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8C33B2E">
      <w:pPr>
        <w:pStyle w:val="10"/>
        <w:rPr>
          <w:rFonts w:hint="eastAsia"/>
          <w:lang w:eastAsia="zh-CN"/>
        </w:rPr>
      </w:pPr>
      <w:bookmarkStart w:id="0" w:name="_Hlk515109029"/>
    </w:p>
    <w:p w14:paraId="7C491B8A">
      <w:pPr>
        <w:rPr>
          <w:rFonts w:hint="eastAsia"/>
          <w:lang w:eastAsia="zh-CN"/>
        </w:rPr>
      </w:pPr>
    </w:p>
    <w:p w14:paraId="6C697192">
      <w:pPr>
        <w:rPr>
          <w:rFonts w:hint="eastAsia"/>
          <w:lang w:eastAsia="zh-CN"/>
        </w:rPr>
      </w:pPr>
    </w:p>
    <w:p w14:paraId="0653A80E">
      <w:pPr>
        <w:rPr>
          <w:rFonts w:hint="eastAsia"/>
          <w:lang w:eastAsia="zh-CN"/>
        </w:rPr>
      </w:pPr>
    </w:p>
    <w:p w14:paraId="584E8DB2">
      <w:pPr>
        <w:rPr>
          <w:rFonts w:hint="eastAsia"/>
          <w:lang w:eastAsia="zh-CN"/>
        </w:rPr>
      </w:pPr>
    </w:p>
    <w:p w14:paraId="2D67F75F">
      <w:pPr>
        <w:rPr>
          <w:rFonts w:hint="eastAsia"/>
          <w:lang w:eastAsia="zh-CN"/>
        </w:rPr>
      </w:pPr>
    </w:p>
    <w:p w14:paraId="469414F0">
      <w:pPr>
        <w:rPr>
          <w:rFonts w:hint="eastAsia"/>
          <w:lang w:eastAsia="zh-CN"/>
        </w:rPr>
      </w:pPr>
    </w:p>
    <w:p w14:paraId="6CC2153A">
      <w:pPr>
        <w:ind w:firstLine="0" w:firstLineChars="0"/>
        <w:jc w:val="center"/>
        <w:rPr>
          <w:rFonts w:hint="eastAsia" w:eastAsia="黑体" w:cs="Times New Roman"/>
          <w:b/>
          <w:snapToGrid w:val="0"/>
          <w:color w:val="auto"/>
          <w:kern w:val="0"/>
          <w:sz w:val="52"/>
          <w:szCs w:val="44"/>
          <w:lang w:eastAsia="zh-CN"/>
        </w:rPr>
      </w:pPr>
    </w:p>
    <w:p w14:paraId="71951D54">
      <w:pPr>
        <w:ind w:firstLine="0" w:firstLineChars="0"/>
        <w:jc w:val="center"/>
        <w:rPr>
          <w:rFonts w:hint="eastAsia" w:eastAsia="黑体" w:cs="Times New Roman"/>
          <w:b/>
          <w:snapToGrid w:val="0"/>
          <w:color w:val="auto"/>
          <w:kern w:val="0"/>
          <w:sz w:val="52"/>
          <w:szCs w:val="44"/>
          <w:lang w:eastAsia="zh-CN"/>
        </w:rPr>
      </w:pPr>
    </w:p>
    <w:p w14:paraId="62FAC3C5">
      <w:pPr>
        <w:widowControl w:val="0"/>
        <w:tabs>
          <w:tab w:val="left" w:pos="0"/>
        </w:tabs>
        <w:kinsoku/>
        <w:autoSpaceDE/>
        <w:autoSpaceDN/>
        <w:adjustRightInd/>
        <w:snapToGrid/>
        <w:spacing w:line="240" w:lineRule="auto"/>
        <w:ind w:firstLine="0" w:firstLineChars="0"/>
        <w:jc w:val="center"/>
        <w:textAlignment w:val="auto"/>
        <w:rPr>
          <w:rFonts w:hint="eastAsia" w:ascii="方正小标宋简体" w:hAnsi="仿宋_GB2312" w:eastAsia="方正小标宋简体" w:cs="宋体"/>
          <w:bCs/>
          <w:snapToGrid/>
          <w:kern w:val="2"/>
          <w:sz w:val="52"/>
          <w:szCs w:val="52"/>
          <w:lang w:eastAsia="zh-CN"/>
        </w:rPr>
      </w:pPr>
    </w:p>
    <w:p w14:paraId="62CC38FB">
      <w:pPr>
        <w:widowControl w:val="0"/>
        <w:tabs>
          <w:tab w:val="left" w:pos="0"/>
        </w:tabs>
        <w:kinsoku/>
        <w:autoSpaceDE/>
        <w:autoSpaceDN/>
        <w:adjustRightInd/>
        <w:snapToGrid/>
        <w:spacing w:line="240" w:lineRule="auto"/>
        <w:ind w:firstLine="0" w:firstLineChars="0"/>
        <w:jc w:val="center"/>
        <w:textAlignment w:val="auto"/>
        <w:rPr>
          <w:rFonts w:hint="default" w:ascii="Times New Roman" w:hAnsi="Times New Roman" w:eastAsia="方正小标宋简体" w:cs="Times New Roman"/>
          <w:bCs/>
          <w:snapToGrid/>
          <w:kern w:val="2"/>
          <w:sz w:val="52"/>
          <w:szCs w:val="52"/>
          <w:lang w:val="en-US" w:eastAsia="zh-CN"/>
        </w:rPr>
      </w:pPr>
      <w:r>
        <w:rPr>
          <w:rFonts w:hint="default" w:ascii="Times New Roman" w:hAnsi="Times New Roman" w:eastAsia="方正小标宋简体" w:cs="Times New Roman"/>
          <w:bCs/>
          <w:snapToGrid/>
          <w:kern w:val="2"/>
          <w:sz w:val="52"/>
          <w:szCs w:val="52"/>
          <w:lang w:val="en-US" w:eastAsia="zh-CN"/>
        </w:rPr>
        <w:t>黑龙江天时利精密科技有限公司</w:t>
      </w:r>
    </w:p>
    <w:p w14:paraId="10B56050">
      <w:pPr>
        <w:widowControl w:val="0"/>
        <w:tabs>
          <w:tab w:val="left" w:pos="0"/>
        </w:tabs>
        <w:kinsoku/>
        <w:autoSpaceDE/>
        <w:autoSpaceDN/>
        <w:adjustRightInd/>
        <w:snapToGrid/>
        <w:spacing w:line="240" w:lineRule="auto"/>
        <w:ind w:firstLine="0" w:firstLineChars="0"/>
        <w:jc w:val="center"/>
        <w:textAlignment w:val="auto"/>
        <w:rPr>
          <w:rFonts w:hint="default" w:ascii="Times New Roman" w:hAnsi="Times New Roman" w:eastAsia="方正小标宋简体" w:cs="Times New Roman"/>
          <w:bCs/>
          <w:snapToGrid/>
          <w:kern w:val="2"/>
          <w:sz w:val="52"/>
          <w:szCs w:val="52"/>
          <w:lang w:eastAsia="zh-CN"/>
        </w:rPr>
      </w:pPr>
      <w:r>
        <w:rPr>
          <w:rFonts w:hint="default" w:ascii="Times New Roman" w:hAnsi="Times New Roman" w:eastAsia="方正小标宋简体" w:cs="Times New Roman"/>
          <w:bCs/>
          <w:snapToGrid/>
          <w:kern w:val="2"/>
          <w:sz w:val="52"/>
          <w:szCs w:val="52"/>
          <w:lang w:val="en-US" w:eastAsia="zh-CN"/>
        </w:rPr>
        <w:t>新建项目</w:t>
      </w:r>
      <w:r>
        <w:rPr>
          <w:rFonts w:hint="default" w:ascii="Times New Roman" w:hAnsi="Times New Roman" w:eastAsia="方正小标宋简体" w:cs="Times New Roman"/>
          <w:bCs/>
          <w:snapToGrid/>
          <w:kern w:val="2"/>
          <w:sz w:val="52"/>
          <w:szCs w:val="52"/>
          <w:lang w:eastAsia="zh-CN"/>
        </w:rPr>
        <w:t>环境影响报告书</w:t>
      </w:r>
    </w:p>
    <w:bookmarkEnd w:id="0"/>
    <w:p w14:paraId="57C97ADA">
      <w:pPr>
        <w:ind w:firstLine="560"/>
        <w:rPr>
          <w:rFonts w:hint="default" w:ascii="Times New Roman" w:hAnsi="Times New Roman" w:cs="Times New Roman"/>
          <w:snapToGrid w:val="0"/>
          <w:color w:val="auto"/>
          <w:kern w:val="0"/>
          <w:sz w:val="28"/>
        </w:rPr>
      </w:pPr>
    </w:p>
    <w:p w14:paraId="1B863251">
      <w:pPr>
        <w:ind w:firstLine="560"/>
        <w:rPr>
          <w:rFonts w:hint="default" w:ascii="Times New Roman" w:hAnsi="Times New Roman" w:cs="Times New Roman"/>
          <w:snapToGrid w:val="0"/>
          <w:color w:val="auto"/>
          <w:kern w:val="0"/>
          <w:sz w:val="28"/>
        </w:rPr>
      </w:pPr>
    </w:p>
    <w:p w14:paraId="672DB0FF">
      <w:pPr>
        <w:ind w:firstLine="560"/>
        <w:rPr>
          <w:rFonts w:hint="default" w:ascii="Times New Roman" w:hAnsi="Times New Roman" w:cs="Times New Roman"/>
          <w:snapToGrid w:val="0"/>
          <w:color w:val="auto"/>
          <w:kern w:val="0"/>
          <w:sz w:val="28"/>
        </w:rPr>
      </w:pPr>
    </w:p>
    <w:p w14:paraId="278808CF">
      <w:pPr>
        <w:ind w:firstLine="560"/>
        <w:rPr>
          <w:rFonts w:hint="default" w:ascii="Times New Roman" w:hAnsi="Times New Roman" w:cs="Times New Roman"/>
          <w:snapToGrid w:val="0"/>
          <w:color w:val="auto"/>
          <w:kern w:val="0"/>
          <w:sz w:val="28"/>
        </w:rPr>
      </w:pPr>
    </w:p>
    <w:p w14:paraId="3292037E">
      <w:pPr>
        <w:ind w:firstLine="560"/>
        <w:rPr>
          <w:rFonts w:hint="default" w:ascii="Times New Roman" w:hAnsi="Times New Roman" w:cs="Times New Roman"/>
          <w:snapToGrid w:val="0"/>
          <w:color w:val="auto"/>
          <w:kern w:val="0"/>
          <w:sz w:val="28"/>
        </w:rPr>
      </w:pPr>
    </w:p>
    <w:p w14:paraId="47E9E1D1">
      <w:pPr>
        <w:rPr>
          <w:rFonts w:hint="default" w:ascii="Times New Roman" w:hAnsi="Times New Roman" w:cs="Times New Roman"/>
          <w:snapToGrid w:val="0"/>
          <w:color w:val="auto"/>
          <w:kern w:val="0"/>
          <w:sz w:val="28"/>
        </w:rPr>
      </w:pPr>
    </w:p>
    <w:p w14:paraId="31575323">
      <w:pPr>
        <w:rPr>
          <w:rFonts w:hint="default" w:ascii="Times New Roman" w:hAnsi="Times New Roman" w:cs="Times New Roman"/>
          <w:snapToGrid w:val="0"/>
          <w:color w:val="auto"/>
          <w:kern w:val="0"/>
          <w:sz w:val="28"/>
        </w:rPr>
      </w:pPr>
    </w:p>
    <w:p w14:paraId="22AFBA96">
      <w:pPr>
        <w:rPr>
          <w:rFonts w:hint="default" w:ascii="Times New Roman" w:hAnsi="Times New Roman" w:cs="Times New Roman"/>
          <w:snapToGrid w:val="0"/>
          <w:color w:val="auto"/>
          <w:kern w:val="0"/>
          <w:sz w:val="28"/>
        </w:rPr>
      </w:pPr>
    </w:p>
    <w:p w14:paraId="49559956">
      <w:pPr>
        <w:rPr>
          <w:rFonts w:hint="default" w:ascii="Times New Roman" w:hAnsi="Times New Roman" w:cs="Times New Roman"/>
          <w:snapToGrid w:val="0"/>
          <w:color w:val="auto"/>
          <w:kern w:val="0"/>
          <w:sz w:val="28"/>
        </w:rPr>
      </w:pPr>
    </w:p>
    <w:p w14:paraId="4F64C972">
      <w:pPr>
        <w:rPr>
          <w:rFonts w:hint="default" w:ascii="Times New Roman" w:hAnsi="Times New Roman" w:cs="Times New Roman"/>
          <w:snapToGrid w:val="0"/>
          <w:color w:val="auto"/>
          <w:kern w:val="0"/>
          <w:sz w:val="28"/>
        </w:rPr>
      </w:pPr>
    </w:p>
    <w:p w14:paraId="2362ACE7">
      <w:pPr>
        <w:rPr>
          <w:rFonts w:hint="default" w:ascii="Times New Roman" w:hAnsi="Times New Roman" w:cs="Times New Roman"/>
          <w:snapToGrid w:val="0"/>
          <w:color w:val="auto"/>
          <w:kern w:val="0"/>
          <w:sz w:val="28"/>
        </w:rPr>
      </w:pPr>
    </w:p>
    <w:p w14:paraId="23F0925E">
      <w:pPr>
        <w:rPr>
          <w:rFonts w:hint="default" w:ascii="Times New Roman" w:hAnsi="Times New Roman" w:cs="Times New Roman"/>
          <w:snapToGrid w:val="0"/>
          <w:color w:val="auto"/>
          <w:kern w:val="0"/>
          <w:sz w:val="28"/>
        </w:rPr>
      </w:pPr>
    </w:p>
    <w:p w14:paraId="1E249971">
      <w:pPr>
        <w:pStyle w:val="8"/>
        <w:rPr>
          <w:rFonts w:hint="default" w:ascii="Times New Roman" w:hAnsi="Times New Roman" w:cs="Times New Roman"/>
          <w:snapToGrid w:val="0"/>
          <w:color w:val="auto"/>
          <w:kern w:val="0"/>
          <w:sz w:val="28"/>
        </w:rPr>
      </w:pPr>
    </w:p>
    <w:p w14:paraId="3CA6EA4B">
      <w:pPr>
        <w:rPr>
          <w:rFonts w:hint="default" w:ascii="Times New Roman" w:hAnsi="Times New Roman" w:cs="Times New Roman"/>
          <w:snapToGrid w:val="0"/>
          <w:color w:val="auto"/>
          <w:kern w:val="0"/>
          <w:sz w:val="28"/>
        </w:rPr>
      </w:pPr>
    </w:p>
    <w:p w14:paraId="69019D63">
      <w:pPr>
        <w:pStyle w:val="8"/>
        <w:rPr>
          <w:rFonts w:hint="default" w:ascii="Times New Roman" w:hAnsi="Times New Roman" w:cs="Times New Roman"/>
        </w:rPr>
      </w:pPr>
    </w:p>
    <w:p w14:paraId="37DA710B">
      <w:pPr>
        <w:ind w:firstLine="560"/>
        <w:rPr>
          <w:rFonts w:hint="default" w:ascii="Times New Roman" w:hAnsi="Times New Roman" w:cs="Times New Roman"/>
          <w:snapToGrid w:val="0"/>
          <w:color w:val="auto"/>
          <w:kern w:val="0"/>
          <w:sz w:val="28"/>
        </w:rPr>
      </w:pPr>
      <w:r>
        <w:rPr>
          <w:rFonts w:hint="default" w:ascii="Times New Roman" w:hAnsi="Times New Roman" w:cs="Times New Roman"/>
          <w:snapToGrid w:val="0"/>
          <w:color w:val="auto"/>
          <w:kern w:val="0"/>
          <w:sz w:val="28"/>
        </w:rPr>
        <w:t xml:space="preserve"> </w:t>
      </w:r>
    </w:p>
    <w:p w14:paraId="66744301">
      <w:pPr>
        <w:ind w:firstLine="560"/>
        <w:rPr>
          <w:rFonts w:hint="default" w:ascii="Times New Roman" w:hAnsi="Times New Roman" w:cs="Times New Roman"/>
          <w:snapToGrid w:val="0"/>
          <w:color w:val="auto"/>
          <w:kern w:val="0"/>
          <w:sz w:val="28"/>
        </w:rPr>
      </w:pPr>
    </w:p>
    <w:p w14:paraId="5CFB4536">
      <w:pPr>
        <w:ind w:firstLine="560"/>
        <w:rPr>
          <w:rFonts w:hint="default" w:ascii="Times New Roman" w:hAnsi="Times New Roman" w:cs="Times New Roman"/>
          <w:snapToGrid w:val="0"/>
          <w:color w:val="auto"/>
          <w:kern w:val="0"/>
          <w:sz w:val="28"/>
        </w:rPr>
      </w:pPr>
    </w:p>
    <w:p w14:paraId="2D018878">
      <w:pPr>
        <w:ind w:firstLine="560"/>
        <w:rPr>
          <w:rFonts w:hint="default" w:ascii="Times New Roman" w:hAnsi="Times New Roman" w:cs="Times New Roman"/>
          <w:snapToGrid w:val="0"/>
          <w:color w:val="auto"/>
          <w:kern w:val="0"/>
          <w:sz w:val="28"/>
        </w:rPr>
      </w:pPr>
    </w:p>
    <w:p w14:paraId="40847A51">
      <w:pPr>
        <w:widowControl w:val="0"/>
        <w:tabs>
          <w:tab w:val="left" w:pos="0"/>
        </w:tabs>
        <w:kinsoku/>
        <w:autoSpaceDE/>
        <w:autoSpaceDN/>
        <w:adjustRightInd/>
        <w:snapToGrid/>
        <w:spacing w:line="240" w:lineRule="auto"/>
        <w:ind w:firstLine="0" w:firstLineChars="0"/>
        <w:jc w:val="center"/>
        <w:textAlignment w:val="auto"/>
        <w:rPr>
          <w:rFonts w:hint="default" w:ascii="Times New Roman" w:hAnsi="Times New Roman" w:eastAsia="方正小标宋简体" w:cs="Times New Roman"/>
          <w:bCs/>
          <w:snapToGrid/>
          <w:kern w:val="2"/>
          <w:sz w:val="32"/>
          <w:szCs w:val="32"/>
          <w:lang w:eastAsia="zh-CN"/>
        </w:rPr>
      </w:pPr>
      <w:r>
        <w:rPr>
          <w:rFonts w:hint="default" w:ascii="Times New Roman" w:hAnsi="Times New Roman" w:eastAsia="方正小标宋简体" w:cs="Times New Roman"/>
          <w:bCs/>
          <w:snapToGrid/>
          <w:kern w:val="2"/>
          <w:sz w:val="32"/>
          <w:szCs w:val="32"/>
          <w:lang w:eastAsia="zh-CN"/>
        </w:rPr>
        <w:t>建设单位：</w:t>
      </w:r>
      <w:r>
        <w:rPr>
          <w:rFonts w:hint="default" w:ascii="Times New Roman" w:hAnsi="Times New Roman" w:eastAsia="方正小标宋简体" w:cs="Times New Roman"/>
          <w:bCs/>
          <w:snapToGrid/>
          <w:kern w:val="2"/>
          <w:sz w:val="32"/>
          <w:szCs w:val="32"/>
          <w:lang w:val="zh-CN" w:eastAsia="zh-CN"/>
        </w:rPr>
        <w:t>黑龙江天时利精密科技有限公司</w:t>
      </w:r>
    </w:p>
    <w:p w14:paraId="47F978F1">
      <w:pPr>
        <w:widowControl w:val="0"/>
        <w:tabs>
          <w:tab w:val="left" w:pos="0"/>
        </w:tabs>
        <w:kinsoku/>
        <w:autoSpaceDE/>
        <w:autoSpaceDN/>
        <w:adjustRightInd/>
        <w:snapToGrid/>
        <w:spacing w:line="240" w:lineRule="auto"/>
        <w:ind w:firstLine="0" w:firstLineChars="0"/>
        <w:jc w:val="center"/>
        <w:textAlignment w:val="auto"/>
        <w:rPr>
          <w:rFonts w:hint="default" w:ascii="Times New Roman" w:hAnsi="Times New Roman" w:eastAsia="方正小标宋简体" w:cs="Times New Roman"/>
          <w:bCs/>
          <w:snapToGrid/>
          <w:kern w:val="2"/>
          <w:sz w:val="32"/>
          <w:szCs w:val="32"/>
          <w:lang w:eastAsia="zh-CN"/>
        </w:rPr>
      </w:pPr>
      <w:r>
        <w:rPr>
          <w:rFonts w:hint="default" w:ascii="Times New Roman" w:hAnsi="Times New Roman" w:eastAsia="方正小标宋简体" w:cs="Times New Roman"/>
          <w:bCs/>
          <w:snapToGrid/>
          <w:kern w:val="2"/>
          <w:sz w:val="32"/>
          <w:szCs w:val="32"/>
          <w:lang w:eastAsia="zh-CN"/>
        </w:rPr>
        <w:t>编制单位：黑龙江辰瀚环境保护有限公司</w:t>
      </w:r>
    </w:p>
    <w:p w14:paraId="46595607">
      <w:pPr>
        <w:widowControl w:val="0"/>
        <w:tabs>
          <w:tab w:val="left" w:pos="0"/>
        </w:tabs>
        <w:kinsoku/>
        <w:autoSpaceDE/>
        <w:autoSpaceDN/>
        <w:adjustRightInd/>
        <w:snapToGrid/>
        <w:spacing w:line="240" w:lineRule="auto"/>
        <w:ind w:firstLine="0" w:firstLineChars="0"/>
        <w:jc w:val="center"/>
        <w:textAlignment w:val="auto"/>
        <w:rPr>
          <w:rFonts w:hint="default" w:ascii="Times New Roman" w:hAnsi="Times New Roman" w:eastAsia="方正小标宋简体" w:cs="Times New Roman"/>
          <w:bCs/>
          <w:snapToGrid/>
          <w:color w:val="auto"/>
          <w:kern w:val="2"/>
          <w:sz w:val="32"/>
          <w:szCs w:val="32"/>
          <w:lang w:eastAsia="zh-CN"/>
        </w:rPr>
      </w:pPr>
      <w:r>
        <w:rPr>
          <w:rFonts w:hint="default" w:ascii="Times New Roman" w:hAnsi="Times New Roman" w:eastAsia="方正小标宋简体" w:cs="Times New Roman"/>
          <w:bCs/>
          <w:snapToGrid/>
          <w:color w:val="auto"/>
          <w:kern w:val="2"/>
          <w:sz w:val="32"/>
          <w:szCs w:val="32"/>
          <w:lang w:eastAsia="zh-CN"/>
        </w:rPr>
        <w:t>编制日期：202</w:t>
      </w:r>
      <w:r>
        <w:rPr>
          <w:rFonts w:hint="default" w:ascii="Times New Roman" w:hAnsi="Times New Roman" w:eastAsia="方正小标宋简体" w:cs="Times New Roman"/>
          <w:bCs/>
          <w:snapToGrid/>
          <w:color w:val="auto"/>
          <w:kern w:val="2"/>
          <w:sz w:val="32"/>
          <w:szCs w:val="32"/>
          <w:lang w:val="en-US" w:eastAsia="zh-CN"/>
        </w:rPr>
        <w:t>5</w:t>
      </w:r>
      <w:r>
        <w:rPr>
          <w:rFonts w:hint="default" w:ascii="Times New Roman" w:hAnsi="Times New Roman" w:eastAsia="方正小标宋简体" w:cs="Times New Roman"/>
          <w:bCs/>
          <w:snapToGrid/>
          <w:color w:val="auto"/>
          <w:kern w:val="2"/>
          <w:sz w:val="32"/>
          <w:szCs w:val="32"/>
          <w:lang w:eastAsia="zh-CN"/>
        </w:rPr>
        <w:t>年</w:t>
      </w:r>
      <w:r>
        <w:rPr>
          <w:rFonts w:hint="default" w:ascii="Times New Roman" w:hAnsi="Times New Roman" w:eastAsia="方正小标宋简体" w:cs="Times New Roman"/>
          <w:bCs/>
          <w:snapToGrid/>
          <w:color w:val="auto"/>
          <w:kern w:val="2"/>
          <w:sz w:val="32"/>
          <w:szCs w:val="32"/>
          <w:lang w:val="en-US" w:eastAsia="zh-CN"/>
        </w:rPr>
        <w:t>12</w:t>
      </w:r>
      <w:r>
        <w:rPr>
          <w:rFonts w:hint="default" w:ascii="Times New Roman" w:hAnsi="Times New Roman" w:eastAsia="方正小标宋简体" w:cs="Times New Roman"/>
          <w:bCs/>
          <w:snapToGrid/>
          <w:color w:val="auto"/>
          <w:kern w:val="2"/>
          <w:sz w:val="32"/>
          <w:szCs w:val="32"/>
          <w:lang w:eastAsia="zh-CN"/>
        </w:rPr>
        <w:t>月</w:t>
      </w:r>
      <w:r>
        <w:rPr>
          <w:rFonts w:hint="default" w:ascii="Times New Roman" w:hAnsi="Times New Roman" w:eastAsia="方正小标宋简体" w:cs="Times New Roman"/>
          <w:bCs/>
          <w:snapToGrid/>
          <w:color w:val="auto"/>
          <w:kern w:val="2"/>
          <w:sz w:val="32"/>
          <w:szCs w:val="32"/>
          <w:lang w:eastAsia="zh-CN"/>
        </w:rPr>
        <w:drawing>
          <wp:inline distT="0" distB="0" distL="114300" distR="114300">
            <wp:extent cx="5757545" cy="8148955"/>
            <wp:effectExtent l="0" t="0" r="14605" b="4445"/>
            <wp:docPr id="138" name="图片 138" descr="资质页--黑龙江天时利精密科技有限公司新建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资质页--黑龙江天时利精密科技有限公司新建项目_01"/>
                    <pic:cNvPicPr>
                      <a:picLocks noChangeAspect="1"/>
                    </pic:cNvPicPr>
                  </pic:nvPicPr>
                  <pic:blipFill>
                    <a:blip r:embed="rId22"/>
                    <a:stretch>
                      <a:fillRect/>
                    </a:stretch>
                  </pic:blipFill>
                  <pic:spPr>
                    <a:xfrm>
                      <a:off x="0" y="0"/>
                      <a:ext cx="5757545" cy="8148955"/>
                    </a:xfrm>
                    <a:prstGeom prst="rect">
                      <a:avLst/>
                    </a:prstGeom>
                  </pic:spPr>
                </pic:pic>
              </a:graphicData>
            </a:graphic>
          </wp:inline>
        </w:drawing>
      </w:r>
    </w:p>
    <w:p w14:paraId="78E0AF89">
      <w:pPr>
        <w:pStyle w:val="13"/>
        <w:keepNext w:val="0"/>
        <w:keepLines w:val="0"/>
        <w:pageBreakBefore w:val="0"/>
        <w:wordWrap/>
        <w:overflowPunct/>
        <w:topLinePunct w:val="0"/>
        <w:bidi w:val="0"/>
        <w:spacing w:line="360" w:lineRule="auto"/>
        <w:ind w:left="0" w:leftChars="0" w:firstLine="0" w:firstLineChars="0"/>
        <w:rPr>
          <w:rFonts w:hint="default" w:ascii="Times New Roman" w:hAnsi="Times New Roman" w:cs="Times New Roman"/>
          <w:b/>
          <w:bCs/>
          <w:color w:val="auto"/>
          <w:sz w:val="24"/>
          <w:szCs w:val="24"/>
          <w:lang w:val="en-US" w:eastAsia="zh-CN"/>
        </w:rPr>
        <w:sectPr>
          <w:headerReference r:id="rId5" w:type="default"/>
          <w:footerReference r:id="rId6" w:type="default"/>
          <w:pgSz w:w="11906" w:h="16839"/>
          <w:pgMar w:top="1133" w:right="1416" w:bottom="1249" w:left="1418" w:header="897" w:footer="1090" w:gutter="0"/>
          <w:pgBorders>
            <w:top w:val="none" w:sz="0" w:space="0"/>
            <w:left w:val="none" w:sz="0" w:space="0"/>
            <w:bottom w:val="none" w:sz="0" w:space="0"/>
            <w:right w:val="none" w:sz="0" w:space="0"/>
          </w:pgBorders>
          <w:pgNumType w:fmt="upperRoman" w:start="1"/>
          <w:cols w:space="720" w:num="1"/>
        </w:sectPr>
      </w:pPr>
    </w:p>
    <w:sdt>
      <w:sdtPr>
        <w:rPr>
          <w:rFonts w:hint="default" w:ascii="Times New Roman" w:hAnsi="Times New Roman" w:eastAsia="宋体" w:cs="Times New Roman"/>
          <w:b/>
          <w:bCs/>
          <w:snapToGrid w:val="0"/>
          <w:color w:val="FF0000"/>
          <w:kern w:val="0"/>
          <w:sz w:val="32"/>
          <w:szCs w:val="32"/>
          <w:lang w:val="en-US" w:eastAsia="en-US" w:bidi="ar-SA"/>
        </w:rPr>
        <w:id w:val="147451419"/>
        <w15:color w:val="DBDBDB"/>
        <w:docPartObj>
          <w:docPartGallery w:val="Table of Contents"/>
          <w:docPartUnique/>
        </w:docPartObj>
      </w:sdtPr>
      <w:sdtEndPr>
        <w:rPr>
          <w:rFonts w:hint="default" w:ascii="Times New Roman" w:hAnsi="Times New Roman" w:eastAsia="Arial" w:cs="Times New Roman"/>
          <w:b/>
          <w:bCs/>
          <w:snapToGrid w:val="0"/>
          <w:color w:val="FF0000"/>
          <w:kern w:val="0"/>
          <w:sz w:val="2"/>
          <w:szCs w:val="2"/>
          <w:lang w:val="en-US" w:eastAsia="en-US" w:bidi="ar-SA"/>
        </w:rPr>
      </w:sdtEndPr>
      <w:sdtContent>
        <w:p w14:paraId="09A61058">
          <w:pPr>
            <w:spacing w:before="0" w:beforeLines="0" w:after="0" w:afterLines="0" w:line="240" w:lineRule="auto"/>
            <w:ind w:left="0" w:leftChars="0" w:right="0" w:rightChars="0" w:firstLine="0" w:firstLineChars="0"/>
            <w:jc w:val="center"/>
            <w:rPr>
              <w:rFonts w:hint="default" w:ascii="Times New Roman" w:hAnsi="Times New Roman" w:cs="Times New Roman"/>
              <w:b/>
              <w:bCs/>
              <w:color w:val="auto"/>
              <w:sz w:val="32"/>
              <w:szCs w:val="32"/>
            </w:rPr>
          </w:pPr>
          <w:r>
            <w:rPr>
              <w:rFonts w:hint="default" w:ascii="Times New Roman" w:hAnsi="Times New Roman" w:eastAsia="宋体" w:cs="Times New Roman"/>
              <w:b/>
              <w:bCs/>
              <w:color w:val="auto"/>
              <w:sz w:val="32"/>
              <w:szCs w:val="32"/>
            </w:rPr>
            <w:t>目录</w:t>
          </w:r>
        </w:p>
        <w:p w14:paraId="44620723">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color w:val="FF0000"/>
              <w:sz w:val="21"/>
              <w:szCs w:val="21"/>
            </w:rPr>
            <w:instrText xml:space="preserve">TOC \o "1-2" \h \u </w:instrText>
          </w:r>
          <w:r>
            <w:rPr>
              <w:rFonts w:hint="default" w:ascii="Times New Roman" w:hAnsi="Times New Roman" w:eastAsia="宋体" w:cs="Times New Roman"/>
              <w:i w:val="0"/>
              <w:iCs w:val="0"/>
              <w:color w:val="FF0000"/>
              <w:sz w:val="21"/>
              <w:szCs w:val="21"/>
            </w:rPr>
            <w:fldChar w:fldCharType="separate"/>
          </w: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_Toc11012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0"/>
              <w:position w:val="0"/>
              <w:sz w:val="21"/>
              <w:szCs w:val="21"/>
            </w:rPr>
            <w:t>1</w:t>
          </w:r>
          <w:r>
            <w:rPr>
              <w:rFonts w:hint="default" w:ascii="Times New Roman" w:hAnsi="Times New Roman" w:eastAsia="微软雅黑" w:cs="Times New Roman"/>
              <w:i w:val="0"/>
              <w:iCs w:val="0"/>
              <w:spacing w:val="0"/>
              <w:position w:val="0"/>
              <w:sz w:val="21"/>
              <w:szCs w:val="21"/>
              <w:lang w:val="en-US" w:eastAsia="zh-CN"/>
            </w:rPr>
            <w:t xml:space="preserve"> </w:t>
          </w:r>
          <w:r>
            <w:rPr>
              <w:rFonts w:hint="default" w:ascii="Times New Roman" w:hAnsi="Times New Roman" w:eastAsia="微软雅黑" w:cs="Times New Roman"/>
              <w:i w:val="0"/>
              <w:iCs w:val="0"/>
              <w:spacing w:val="0"/>
              <w:position w:val="0"/>
              <w:sz w:val="21"/>
              <w:szCs w:val="21"/>
            </w:rPr>
            <w:t>概述</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_Toc11012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7447A741">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_Toc25513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0"/>
              <w:position w:val="0"/>
              <w:sz w:val="21"/>
              <w:szCs w:val="21"/>
            </w:rPr>
            <w:t>1.1</w:t>
          </w:r>
          <w:r>
            <w:rPr>
              <w:rFonts w:hint="default" w:ascii="Times New Roman" w:hAnsi="Times New Roman" w:eastAsia="微软雅黑" w:cs="Times New Roman"/>
              <w:i w:val="0"/>
              <w:iCs w:val="0"/>
              <w:spacing w:val="0"/>
              <w:position w:val="0"/>
              <w:sz w:val="21"/>
              <w:szCs w:val="21"/>
              <w:lang w:val="en-US" w:eastAsia="zh-CN"/>
            </w:rPr>
            <w:t xml:space="preserve"> </w:t>
          </w:r>
          <w:r>
            <w:rPr>
              <w:rFonts w:hint="default" w:ascii="Times New Roman" w:hAnsi="Times New Roman" w:eastAsia="微软雅黑" w:cs="Times New Roman"/>
              <w:i w:val="0"/>
              <w:iCs w:val="0"/>
              <w:spacing w:val="0"/>
              <w:position w:val="0"/>
              <w:sz w:val="21"/>
              <w:szCs w:val="21"/>
            </w:rPr>
            <w:t>项目由来</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_Toc25513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30553BD6">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_Toc5546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0"/>
              <w:position w:val="0"/>
              <w:sz w:val="21"/>
              <w:szCs w:val="21"/>
            </w:rPr>
            <w:t>1.2</w:t>
          </w:r>
          <w:r>
            <w:rPr>
              <w:rFonts w:hint="default" w:ascii="Times New Roman" w:hAnsi="Times New Roman" w:eastAsia="微软雅黑" w:cs="Times New Roman"/>
              <w:i w:val="0"/>
              <w:iCs w:val="0"/>
              <w:spacing w:val="0"/>
              <w:position w:val="0"/>
              <w:sz w:val="21"/>
              <w:szCs w:val="21"/>
              <w:lang w:val="en-US" w:eastAsia="zh-CN"/>
            </w:rPr>
            <w:t xml:space="preserve"> </w:t>
          </w:r>
          <w:r>
            <w:rPr>
              <w:rFonts w:hint="default" w:ascii="Times New Roman" w:hAnsi="Times New Roman" w:eastAsia="微软雅黑" w:cs="Times New Roman"/>
              <w:i w:val="0"/>
              <w:iCs w:val="0"/>
              <w:spacing w:val="0"/>
              <w:position w:val="0"/>
              <w:sz w:val="21"/>
              <w:szCs w:val="21"/>
            </w:rPr>
            <w:t>建设项目</w:t>
          </w:r>
          <w:r>
            <w:rPr>
              <w:rFonts w:hint="default" w:ascii="Times New Roman" w:hAnsi="Times New Roman" w:eastAsia="微软雅黑" w:cs="Times New Roman"/>
              <w:i w:val="0"/>
              <w:iCs w:val="0"/>
              <w:spacing w:val="0"/>
              <w:position w:val="0"/>
              <w:sz w:val="21"/>
              <w:szCs w:val="21"/>
              <w:lang w:eastAsia="zh-CN"/>
            </w:rPr>
            <w:t>的</w:t>
          </w:r>
          <w:r>
            <w:rPr>
              <w:rFonts w:hint="default" w:ascii="Times New Roman" w:hAnsi="Times New Roman" w:eastAsia="微软雅黑" w:cs="Times New Roman"/>
              <w:i w:val="0"/>
              <w:iCs w:val="0"/>
              <w:spacing w:val="0"/>
              <w:position w:val="0"/>
              <w:sz w:val="21"/>
              <w:szCs w:val="21"/>
            </w:rPr>
            <w:t>特点</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_Toc5546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03650ADD">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_Toc5892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0"/>
              <w:position w:val="0"/>
              <w:sz w:val="21"/>
              <w:szCs w:val="21"/>
            </w:rPr>
            <w:t>1.3</w:t>
          </w:r>
          <w:r>
            <w:rPr>
              <w:rFonts w:hint="default" w:ascii="Times New Roman" w:hAnsi="Times New Roman" w:eastAsia="微软雅黑" w:cs="Times New Roman"/>
              <w:i w:val="0"/>
              <w:iCs w:val="0"/>
              <w:spacing w:val="0"/>
              <w:position w:val="0"/>
              <w:sz w:val="21"/>
              <w:szCs w:val="21"/>
              <w:lang w:val="en-US" w:eastAsia="zh-CN"/>
            </w:rPr>
            <w:t xml:space="preserve"> </w:t>
          </w:r>
          <w:r>
            <w:rPr>
              <w:rFonts w:hint="default" w:ascii="Times New Roman" w:hAnsi="Times New Roman" w:eastAsia="微软雅黑" w:cs="Times New Roman"/>
              <w:i w:val="0"/>
              <w:iCs w:val="0"/>
              <w:spacing w:val="0"/>
              <w:position w:val="0"/>
              <w:sz w:val="21"/>
              <w:szCs w:val="21"/>
            </w:rPr>
            <w:t>环境影响评价</w:t>
          </w:r>
          <w:r>
            <w:rPr>
              <w:rFonts w:hint="default" w:ascii="Times New Roman" w:hAnsi="Times New Roman" w:eastAsia="微软雅黑" w:cs="Times New Roman"/>
              <w:i w:val="0"/>
              <w:iCs w:val="0"/>
              <w:spacing w:val="0"/>
              <w:position w:val="0"/>
              <w:sz w:val="21"/>
              <w:szCs w:val="21"/>
              <w:lang w:eastAsia="zh-CN"/>
            </w:rPr>
            <w:t>的工作过程</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_Toc5892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2</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0F4897B0">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_Toc2897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0"/>
              <w:position w:val="0"/>
              <w:sz w:val="21"/>
              <w:szCs w:val="21"/>
              <w:lang w:eastAsia="zh-CN"/>
            </w:rPr>
            <w:t>1.4</w:t>
          </w:r>
          <w:r>
            <w:rPr>
              <w:rFonts w:hint="default" w:ascii="Times New Roman" w:hAnsi="Times New Roman" w:eastAsia="微软雅黑" w:cs="Times New Roman"/>
              <w:i w:val="0"/>
              <w:iCs w:val="0"/>
              <w:spacing w:val="0"/>
              <w:position w:val="0"/>
              <w:sz w:val="21"/>
              <w:szCs w:val="21"/>
              <w:lang w:val="en-US" w:eastAsia="zh-CN"/>
            </w:rPr>
            <w:t xml:space="preserve"> </w:t>
          </w:r>
          <w:r>
            <w:rPr>
              <w:rFonts w:hint="default" w:ascii="Times New Roman" w:hAnsi="Times New Roman" w:eastAsia="微软雅黑" w:cs="Times New Roman"/>
              <w:i w:val="0"/>
              <w:iCs w:val="0"/>
              <w:spacing w:val="0"/>
              <w:position w:val="0"/>
              <w:sz w:val="21"/>
              <w:szCs w:val="21"/>
              <w:lang w:eastAsia="zh-CN"/>
            </w:rPr>
            <w:t>分析判定相关情况</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_Toc2897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3</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7102085A">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_Toc18958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0"/>
              <w:position w:val="0"/>
              <w:sz w:val="21"/>
              <w:szCs w:val="21"/>
              <w:lang w:eastAsia="zh-CN"/>
            </w:rPr>
            <w:t>1.5</w:t>
          </w:r>
          <w:r>
            <w:rPr>
              <w:rFonts w:hint="default" w:ascii="Times New Roman" w:hAnsi="Times New Roman" w:eastAsia="微软雅黑" w:cs="Times New Roman"/>
              <w:i w:val="0"/>
              <w:iCs w:val="0"/>
              <w:spacing w:val="0"/>
              <w:position w:val="0"/>
              <w:sz w:val="21"/>
              <w:szCs w:val="21"/>
              <w:lang w:val="en-US" w:eastAsia="zh-CN"/>
            </w:rPr>
            <w:t xml:space="preserve"> </w:t>
          </w:r>
          <w:r>
            <w:rPr>
              <w:rFonts w:hint="default" w:ascii="Times New Roman" w:hAnsi="Times New Roman" w:eastAsia="微软雅黑" w:cs="Times New Roman"/>
              <w:i w:val="0"/>
              <w:iCs w:val="0"/>
              <w:spacing w:val="0"/>
              <w:position w:val="0"/>
              <w:sz w:val="21"/>
              <w:szCs w:val="21"/>
              <w:lang w:eastAsia="zh-CN"/>
            </w:rPr>
            <w:t>关注的主要环境问题及环境影响</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_Toc18958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17</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00F30DB5">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_Toc27867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0"/>
              <w:position w:val="0"/>
              <w:sz w:val="21"/>
              <w:szCs w:val="21"/>
              <w:lang w:eastAsia="zh-CN"/>
            </w:rPr>
            <w:t>1.6</w:t>
          </w:r>
          <w:r>
            <w:rPr>
              <w:rFonts w:hint="default" w:ascii="Times New Roman" w:hAnsi="Times New Roman" w:eastAsia="微软雅黑" w:cs="Times New Roman"/>
              <w:i w:val="0"/>
              <w:iCs w:val="0"/>
              <w:spacing w:val="0"/>
              <w:position w:val="0"/>
              <w:sz w:val="21"/>
              <w:szCs w:val="21"/>
              <w:lang w:val="en-US" w:eastAsia="zh-CN"/>
            </w:rPr>
            <w:t xml:space="preserve"> </w:t>
          </w:r>
          <w:r>
            <w:rPr>
              <w:rFonts w:hint="default" w:ascii="Times New Roman" w:hAnsi="Times New Roman" w:eastAsia="微软雅黑" w:cs="Times New Roman"/>
              <w:i w:val="0"/>
              <w:iCs w:val="0"/>
              <w:spacing w:val="0"/>
              <w:position w:val="0"/>
              <w:sz w:val="21"/>
              <w:szCs w:val="21"/>
              <w:lang w:eastAsia="zh-CN"/>
            </w:rPr>
            <w:t>环境影响评价的主要结论</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_Toc27867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17</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5136EFC5">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_Toc4503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bCs w:val="0"/>
              <w:i w:val="0"/>
              <w:iCs w:val="0"/>
              <w:spacing w:val="0"/>
              <w:position w:val="0"/>
              <w:sz w:val="21"/>
              <w:szCs w:val="21"/>
            </w:rPr>
            <w:t>2</w:t>
          </w:r>
          <w:r>
            <w:rPr>
              <w:rFonts w:hint="default" w:ascii="Times New Roman" w:hAnsi="Times New Roman" w:eastAsia="微软雅黑" w:cs="Times New Roman"/>
              <w:bCs w:val="0"/>
              <w:i w:val="0"/>
              <w:iCs w:val="0"/>
              <w:spacing w:val="0"/>
              <w:position w:val="0"/>
              <w:sz w:val="21"/>
              <w:szCs w:val="21"/>
              <w:lang w:val="en-US" w:eastAsia="zh-CN"/>
            </w:rPr>
            <w:t xml:space="preserve"> </w:t>
          </w:r>
          <w:r>
            <w:rPr>
              <w:rFonts w:hint="default" w:ascii="Times New Roman" w:hAnsi="Times New Roman" w:eastAsia="微软雅黑" w:cs="Times New Roman"/>
              <w:bCs w:val="0"/>
              <w:i w:val="0"/>
              <w:iCs w:val="0"/>
              <w:spacing w:val="0"/>
              <w:position w:val="0"/>
              <w:sz w:val="21"/>
              <w:szCs w:val="21"/>
            </w:rPr>
            <w:t>总则</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_Toc4503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19</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59058A4E">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_Toc15724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0"/>
              <w:position w:val="0"/>
              <w:sz w:val="21"/>
              <w:szCs w:val="21"/>
              <w:lang w:eastAsia="zh-CN"/>
            </w:rPr>
            <w:t>2.1</w:t>
          </w:r>
          <w:r>
            <w:rPr>
              <w:rFonts w:hint="default" w:ascii="Times New Roman" w:hAnsi="Times New Roman" w:eastAsia="微软雅黑" w:cs="Times New Roman"/>
              <w:i w:val="0"/>
              <w:iCs w:val="0"/>
              <w:spacing w:val="0"/>
              <w:position w:val="0"/>
              <w:sz w:val="21"/>
              <w:szCs w:val="21"/>
              <w:lang w:val="en-US" w:eastAsia="zh-CN"/>
            </w:rPr>
            <w:t xml:space="preserve"> </w:t>
          </w:r>
          <w:r>
            <w:rPr>
              <w:rFonts w:hint="default" w:ascii="Times New Roman" w:hAnsi="Times New Roman" w:eastAsia="微软雅黑" w:cs="Times New Roman"/>
              <w:i w:val="0"/>
              <w:iCs w:val="0"/>
              <w:spacing w:val="0"/>
              <w:position w:val="0"/>
              <w:sz w:val="21"/>
              <w:szCs w:val="21"/>
              <w:lang w:eastAsia="zh-CN"/>
            </w:rPr>
            <w:t>编制依据</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_Toc15724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19</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5FE148A0">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_Toc26492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0"/>
              <w:position w:val="0"/>
              <w:sz w:val="21"/>
              <w:szCs w:val="21"/>
              <w:lang w:val="en-US" w:eastAsia="zh-CN"/>
            </w:rPr>
            <w:t>2.2 评价目的与原则</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_Toc26492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22</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76310AE9">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_Toc11664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0"/>
              <w:position w:val="0"/>
              <w:sz w:val="21"/>
              <w:szCs w:val="21"/>
              <w:lang w:val="en-US" w:eastAsia="zh-CN"/>
            </w:rPr>
            <w:t>2.3 评价重点与评价时段</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_Toc11664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23</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728CF8BC">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_Toc26552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0"/>
              <w:position w:val="0"/>
              <w:sz w:val="21"/>
              <w:szCs w:val="21"/>
              <w:lang w:eastAsia="zh-CN"/>
            </w:rPr>
            <w:t>2.</w:t>
          </w:r>
          <w:r>
            <w:rPr>
              <w:rFonts w:hint="default" w:ascii="Times New Roman" w:hAnsi="Times New Roman" w:eastAsia="微软雅黑" w:cs="Times New Roman"/>
              <w:i w:val="0"/>
              <w:iCs w:val="0"/>
              <w:spacing w:val="0"/>
              <w:position w:val="0"/>
              <w:sz w:val="21"/>
              <w:szCs w:val="21"/>
              <w:lang w:val="en-US" w:eastAsia="zh-CN"/>
            </w:rPr>
            <w:t xml:space="preserve">4 </w:t>
          </w:r>
          <w:r>
            <w:rPr>
              <w:rFonts w:hint="default" w:ascii="Times New Roman" w:hAnsi="Times New Roman" w:eastAsia="微软雅黑" w:cs="Times New Roman"/>
              <w:i w:val="0"/>
              <w:iCs w:val="0"/>
              <w:spacing w:val="0"/>
              <w:position w:val="0"/>
              <w:sz w:val="21"/>
              <w:szCs w:val="21"/>
              <w:lang w:eastAsia="zh-CN"/>
            </w:rPr>
            <w:t>环境影响识别与评价因子筛选</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_Toc26552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23</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5D339517">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_Toc18570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0"/>
              <w:position w:val="0"/>
              <w:sz w:val="21"/>
              <w:szCs w:val="21"/>
              <w:lang w:val="en-US" w:eastAsia="zh-CN"/>
            </w:rPr>
            <w:t>2.5 环境功能区划与评价标准</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_Toc18570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24</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2417034A">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_Toc6888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0"/>
              <w:position w:val="0"/>
              <w:sz w:val="21"/>
              <w:szCs w:val="21"/>
              <w:lang w:eastAsia="zh-CN"/>
            </w:rPr>
            <w:t>2.</w:t>
          </w:r>
          <w:r>
            <w:rPr>
              <w:rFonts w:hint="default" w:ascii="Times New Roman" w:hAnsi="Times New Roman" w:eastAsia="微软雅黑" w:cs="Times New Roman"/>
              <w:i w:val="0"/>
              <w:iCs w:val="0"/>
              <w:spacing w:val="0"/>
              <w:position w:val="0"/>
              <w:sz w:val="21"/>
              <w:szCs w:val="21"/>
              <w:lang w:val="en-US" w:eastAsia="zh-CN"/>
            </w:rPr>
            <w:t xml:space="preserve">6 </w:t>
          </w:r>
          <w:r>
            <w:rPr>
              <w:rFonts w:hint="default" w:ascii="Times New Roman" w:hAnsi="Times New Roman" w:eastAsia="微软雅黑" w:cs="Times New Roman"/>
              <w:i w:val="0"/>
              <w:iCs w:val="0"/>
              <w:spacing w:val="0"/>
              <w:position w:val="0"/>
              <w:sz w:val="21"/>
              <w:szCs w:val="21"/>
              <w:lang w:eastAsia="zh-CN"/>
            </w:rPr>
            <w:t>评价工作等级和评价范围</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_Toc6888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31</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68FEC8F5">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_Toc7486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0"/>
              <w:position w:val="0"/>
              <w:sz w:val="21"/>
              <w:szCs w:val="21"/>
              <w:lang w:eastAsia="zh-CN"/>
            </w:rPr>
            <w:t>2.</w:t>
          </w:r>
          <w:r>
            <w:rPr>
              <w:rFonts w:hint="default" w:ascii="Times New Roman" w:hAnsi="Times New Roman" w:eastAsia="微软雅黑" w:cs="Times New Roman"/>
              <w:i w:val="0"/>
              <w:iCs w:val="0"/>
              <w:spacing w:val="0"/>
              <w:position w:val="0"/>
              <w:sz w:val="21"/>
              <w:szCs w:val="21"/>
              <w:lang w:val="en-US" w:eastAsia="zh-CN"/>
            </w:rPr>
            <w:t>7 主要</w:t>
          </w:r>
          <w:r>
            <w:rPr>
              <w:rFonts w:hint="default" w:ascii="Times New Roman" w:hAnsi="Times New Roman" w:eastAsia="微软雅黑" w:cs="Times New Roman"/>
              <w:i w:val="0"/>
              <w:iCs w:val="0"/>
              <w:spacing w:val="0"/>
              <w:position w:val="0"/>
              <w:sz w:val="21"/>
              <w:szCs w:val="21"/>
              <w:lang w:eastAsia="zh-CN"/>
            </w:rPr>
            <w:t>环境保护目标</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_Toc7486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48</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7A1CB91C">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_Toc25115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bCs w:val="0"/>
              <w:i w:val="0"/>
              <w:iCs w:val="0"/>
              <w:spacing w:val="0"/>
              <w:position w:val="0"/>
              <w:sz w:val="21"/>
              <w:szCs w:val="21"/>
            </w:rPr>
            <w:t>3</w:t>
          </w:r>
          <w:r>
            <w:rPr>
              <w:rFonts w:hint="default" w:ascii="Times New Roman" w:hAnsi="Times New Roman" w:eastAsia="微软雅黑" w:cs="Times New Roman"/>
              <w:bCs w:val="0"/>
              <w:i w:val="0"/>
              <w:iCs w:val="0"/>
              <w:spacing w:val="0"/>
              <w:position w:val="0"/>
              <w:sz w:val="21"/>
              <w:szCs w:val="21"/>
              <w:lang w:val="en-US" w:eastAsia="zh-CN"/>
            </w:rPr>
            <w:t xml:space="preserve"> 建设项目工程分析</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_Toc25115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51</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4D0A97EA">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_Toc18261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rPr>
            <w:t>3.</w:t>
          </w:r>
          <w:r>
            <w:rPr>
              <w:rFonts w:hint="default" w:ascii="Times New Roman" w:hAnsi="Times New Roman" w:eastAsia="微软雅黑" w:cs="Times New Roman"/>
              <w:i w:val="0"/>
              <w:iCs w:val="0"/>
              <w:spacing w:val="6"/>
              <w:sz w:val="21"/>
              <w:szCs w:val="21"/>
              <w:lang w:val="en-US" w:eastAsia="zh-CN"/>
            </w:rPr>
            <w:t>1 建设项目概况</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_Toc18261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51</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02FDA004">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_Toc30176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lang w:val="en-US" w:eastAsia="zh-CN"/>
            </w:rPr>
            <w:t>3.2 影响因素分析</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_Toc30176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57</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16409B1A">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_Toc8840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lang w:val="en-US" w:eastAsia="zh-CN"/>
            </w:rPr>
            <w:t>3.3 污染源源强核算</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_Toc8840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66</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3D251B0A">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_Toc15078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lang w:val="en-US" w:eastAsia="zh-CN"/>
            </w:rPr>
            <w:t>3.4 环境风险</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_Toc15078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89</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2470DA2B">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_Toc309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bCs w:val="0"/>
              <w:i w:val="0"/>
              <w:iCs w:val="0"/>
              <w:spacing w:val="0"/>
              <w:position w:val="0"/>
              <w:sz w:val="21"/>
              <w:szCs w:val="21"/>
              <w:lang w:val="en-US" w:eastAsia="zh-CN"/>
            </w:rPr>
            <w:t xml:space="preserve">4 </w:t>
          </w:r>
          <w:r>
            <w:rPr>
              <w:rFonts w:hint="default" w:ascii="Times New Roman" w:hAnsi="Times New Roman" w:eastAsia="微软雅黑" w:cs="Times New Roman"/>
              <w:bCs w:val="0"/>
              <w:i w:val="0"/>
              <w:iCs w:val="0"/>
              <w:spacing w:val="0"/>
              <w:position w:val="0"/>
              <w:sz w:val="21"/>
              <w:szCs w:val="21"/>
            </w:rPr>
            <w:t>环境现状调查与评价</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_Toc309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91</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2F03CABC">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_Toc193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lang w:val="en-US" w:eastAsia="zh-CN"/>
            </w:rPr>
            <w:t>4.1 自然环境概况</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_Toc193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91</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1653F4E7">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_Toc18601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lang w:val="en-US" w:eastAsia="zh-CN"/>
            </w:rPr>
            <w:t>4.2 环境质量现状调查与评价</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_Toc18601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94</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5423C39F">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_Toc9084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lang w:val="en-US" w:eastAsia="zh-CN"/>
            </w:rPr>
            <w:t>4.3 环境保护目标调查</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_Toc9084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123</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50E6BDD2">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_Toc10446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lang w:val="en-US" w:eastAsia="zh-CN"/>
            </w:rPr>
            <w:t>4.4 区域污染源调查</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_Toc10446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125</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5DEB958E">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_Toc3881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bCs w:val="0"/>
              <w:i w:val="0"/>
              <w:iCs w:val="0"/>
              <w:spacing w:val="0"/>
              <w:position w:val="0"/>
              <w:sz w:val="21"/>
              <w:szCs w:val="21"/>
              <w:lang w:val="en-US" w:eastAsia="zh-CN"/>
            </w:rPr>
            <w:t xml:space="preserve">5 </w:t>
          </w:r>
          <w:r>
            <w:rPr>
              <w:rFonts w:hint="default" w:ascii="Times New Roman" w:hAnsi="Times New Roman" w:eastAsia="微软雅黑" w:cs="Times New Roman"/>
              <w:bCs w:val="0"/>
              <w:i w:val="0"/>
              <w:iCs w:val="0"/>
              <w:spacing w:val="0"/>
              <w:position w:val="0"/>
              <w:sz w:val="21"/>
              <w:szCs w:val="21"/>
            </w:rPr>
            <w:t>环境影响预测与评价</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_Toc3881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127</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44D241A8">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_Toc4627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lang w:val="en-US" w:eastAsia="zh-CN"/>
            </w:rPr>
            <w:t>5.1 施工期环境影响评价</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_Toc4627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127</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7CA701FC">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_Toc23699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lang w:val="en-US" w:eastAsia="zh-CN"/>
            </w:rPr>
            <w:t>5.2 运行期环境影响预测与评价</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_Toc23699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129</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317D43C9">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_Toc25546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bCs w:val="0"/>
              <w:i w:val="0"/>
              <w:iCs w:val="0"/>
              <w:spacing w:val="0"/>
              <w:position w:val="0"/>
              <w:sz w:val="21"/>
              <w:szCs w:val="21"/>
              <w:lang w:val="en-US" w:eastAsia="zh-CN"/>
            </w:rPr>
            <w:t>6</w:t>
          </w:r>
          <w:r>
            <w:rPr>
              <w:rFonts w:hint="default" w:ascii="Times New Roman" w:hAnsi="Times New Roman" w:eastAsia="微软雅黑" w:cs="Times New Roman"/>
              <w:bCs w:val="0"/>
              <w:i w:val="0"/>
              <w:iCs w:val="0"/>
              <w:spacing w:val="0"/>
              <w:position w:val="0"/>
              <w:sz w:val="21"/>
              <w:szCs w:val="21"/>
            </w:rPr>
            <w:t xml:space="preserve"> </w:t>
          </w:r>
          <w:r>
            <w:rPr>
              <w:rFonts w:hint="default" w:ascii="Times New Roman" w:hAnsi="Times New Roman" w:eastAsia="微软雅黑" w:cs="Times New Roman"/>
              <w:bCs w:val="0"/>
              <w:i w:val="0"/>
              <w:iCs w:val="0"/>
              <w:spacing w:val="0"/>
              <w:position w:val="0"/>
              <w:sz w:val="21"/>
              <w:szCs w:val="21"/>
              <w:lang w:val="en-US" w:eastAsia="zh-CN"/>
            </w:rPr>
            <w:t xml:space="preserve"> </w:t>
          </w:r>
          <w:r>
            <w:rPr>
              <w:rFonts w:hint="default" w:ascii="Times New Roman" w:hAnsi="Times New Roman" w:eastAsia="微软雅黑" w:cs="Times New Roman"/>
              <w:bCs w:val="0"/>
              <w:i w:val="0"/>
              <w:iCs w:val="0"/>
              <w:spacing w:val="0"/>
              <w:position w:val="0"/>
              <w:sz w:val="21"/>
              <w:szCs w:val="21"/>
            </w:rPr>
            <w:t>环境保护措施及其可行性论证</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_Toc25546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156</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62319E07">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_Toc14511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lang w:val="en-US" w:eastAsia="zh-CN"/>
            </w:rPr>
            <w:t>6.1 施工期环境保护措施及其可行性论证</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_Toc14511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156</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7913119F">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_Toc24149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lang w:val="en-US" w:eastAsia="zh-CN"/>
            </w:rPr>
            <w:t>6.2 营运期环境保护措施及其可行性论证</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_Toc24149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156</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17595AB5">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_Toc5261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6.3 环保投资</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_Toc5261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178</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179983CA">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_Toc32728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bCs w:val="0"/>
              <w:i w:val="0"/>
              <w:iCs w:val="0"/>
              <w:spacing w:val="0"/>
              <w:position w:val="0"/>
              <w:sz w:val="21"/>
              <w:szCs w:val="21"/>
              <w:lang w:val="en-US" w:eastAsia="zh-CN"/>
            </w:rPr>
            <w:t>7</w:t>
          </w:r>
          <w:r>
            <w:rPr>
              <w:rFonts w:hint="default" w:ascii="Times New Roman" w:hAnsi="Times New Roman" w:eastAsia="微软雅黑" w:cs="Times New Roman"/>
              <w:bCs w:val="0"/>
              <w:i w:val="0"/>
              <w:iCs w:val="0"/>
              <w:spacing w:val="0"/>
              <w:position w:val="0"/>
              <w:sz w:val="21"/>
              <w:szCs w:val="21"/>
            </w:rPr>
            <w:t xml:space="preserve"> 环境影响经济损益分析</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_Toc32728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180</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5AF2F26A">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_Toc18898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7.1 经济效益分析</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_Toc18898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180</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1E8ECCDA">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_Toc26434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7.2 社会效益分析</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_Toc26434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180</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43F08265">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_Toc5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7.3 环境效益分析</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_Toc5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180</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49E5FFA0">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_Toc30964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7.4 分析结论</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_Toc30964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180</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34DD71FF">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_Toc16688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bCs w:val="0"/>
              <w:i w:val="0"/>
              <w:iCs w:val="0"/>
              <w:spacing w:val="0"/>
              <w:position w:val="0"/>
              <w:sz w:val="21"/>
              <w:szCs w:val="21"/>
              <w:lang w:val="en-US" w:eastAsia="zh-CN"/>
            </w:rPr>
            <w:t xml:space="preserve">8 </w:t>
          </w:r>
          <w:r>
            <w:rPr>
              <w:rFonts w:hint="default" w:ascii="Times New Roman" w:hAnsi="Times New Roman" w:eastAsia="微软雅黑" w:cs="Times New Roman"/>
              <w:bCs w:val="0"/>
              <w:i w:val="0"/>
              <w:iCs w:val="0"/>
              <w:spacing w:val="0"/>
              <w:position w:val="0"/>
              <w:sz w:val="21"/>
              <w:szCs w:val="21"/>
            </w:rPr>
            <w:t>环境管理与监测计划</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_Toc16688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182</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0AD9144F">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_Toc6480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8</w:t>
          </w:r>
          <w:r>
            <w:rPr>
              <w:rFonts w:hint="default" w:ascii="Times New Roman" w:hAnsi="Times New Roman" w:eastAsia="微软雅黑" w:cs="Times New Roman"/>
              <w:i w:val="0"/>
              <w:iCs w:val="0"/>
              <w:spacing w:val="6"/>
              <w:sz w:val="21"/>
              <w:szCs w:val="21"/>
              <w:highlight w:val="none"/>
              <w:lang w:val="en-US" w:eastAsia="en-US"/>
            </w:rPr>
            <w:t>.1</w:t>
          </w:r>
          <w:r>
            <w:rPr>
              <w:rFonts w:hint="default" w:ascii="Times New Roman" w:hAnsi="Times New Roman" w:eastAsia="微软雅黑" w:cs="Times New Roman"/>
              <w:i w:val="0"/>
              <w:iCs w:val="0"/>
              <w:spacing w:val="6"/>
              <w:sz w:val="21"/>
              <w:szCs w:val="21"/>
              <w:highlight w:val="none"/>
              <w:lang w:val="en-US" w:eastAsia="zh-CN"/>
            </w:rPr>
            <w:t xml:space="preserve"> </w:t>
          </w:r>
          <w:r>
            <w:rPr>
              <w:rFonts w:hint="default" w:ascii="Times New Roman" w:hAnsi="Times New Roman" w:eastAsia="微软雅黑" w:cs="Times New Roman"/>
              <w:i w:val="0"/>
              <w:iCs w:val="0"/>
              <w:spacing w:val="6"/>
              <w:sz w:val="21"/>
              <w:szCs w:val="21"/>
              <w:highlight w:val="none"/>
              <w:lang w:val="en-US" w:eastAsia="en-US"/>
            </w:rPr>
            <w:t>环境管理</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_Toc6480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182</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6C33BD5A">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_Toc24744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8.2 污染物排放清单及管理要求</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_Toc24744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183</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066F9438">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_Toc13546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8.3 环境监测计划</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_Toc13546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189</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58F9A290">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_Toc11513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8.4 “三同时”环保验收</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_Toc11513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191</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0F945205">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_Toc19262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8.5 污染物排放总量控制分析</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_Toc19262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194</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39AAE684">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_Toc28230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bCs w:val="0"/>
              <w:i w:val="0"/>
              <w:iCs w:val="0"/>
              <w:spacing w:val="0"/>
              <w:position w:val="0"/>
              <w:sz w:val="21"/>
              <w:szCs w:val="21"/>
              <w:lang w:val="en-US" w:eastAsia="zh-CN"/>
            </w:rPr>
            <w:t>9</w:t>
          </w:r>
          <w:r>
            <w:rPr>
              <w:rFonts w:hint="default" w:ascii="Times New Roman" w:hAnsi="Times New Roman" w:eastAsia="微软雅黑" w:cs="Times New Roman"/>
              <w:bCs w:val="0"/>
              <w:i w:val="0"/>
              <w:iCs w:val="0"/>
              <w:spacing w:val="0"/>
              <w:position w:val="0"/>
              <w:sz w:val="21"/>
              <w:szCs w:val="21"/>
            </w:rPr>
            <w:t xml:space="preserve"> 环境影响评价结论</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_Toc28230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196</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5FC35800">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_Toc6165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9.1 项目建设概况</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_Toc6165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196</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152CC5B5">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_Toc31906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9.2 环境质量现状</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_Toc31906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196</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392F8FB7">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_Toc6394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9.3 污染物排放情况及主要影响</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_Toc6394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197</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24CAFEDD">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_Toc22056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9.4 公众意见采纳情况</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_Toc22056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199</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5C0D05B0">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_Toc22381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9.5 环境保护措施</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_Toc22381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199</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58307412">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_Toc6878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9.6 环境影响经济损益分析结论</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_Toc6878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201</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402B251F">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_Toc26049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9.7 环境管理与监测计划</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_Toc26049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201</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1292C46D">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_Toc17573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9.8 产业政策符合性结论</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_Toc17573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201</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29FFCDAF">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eastAsia="微软雅黑"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_Toc11201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9.9 选址合理性结论</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_Toc11201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201</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5846F055">
          <w:pPr>
            <w:pStyle w:val="18"/>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微软雅黑" w:cs="Times New Roman"/>
              <w:i w:val="0"/>
              <w:iCs w:val="0"/>
              <w:color w:val="FF0000"/>
              <w:sz w:val="21"/>
              <w:szCs w:val="21"/>
            </w:rPr>
            <w:fldChar w:fldCharType="begin"/>
          </w:r>
          <w:r>
            <w:rPr>
              <w:rFonts w:hint="default" w:ascii="Times New Roman" w:hAnsi="Times New Roman" w:eastAsia="微软雅黑" w:cs="Times New Roman"/>
              <w:i w:val="0"/>
              <w:iCs w:val="0"/>
              <w:sz w:val="21"/>
              <w:szCs w:val="21"/>
            </w:rPr>
            <w:instrText xml:space="preserve"> HYPERLINK \l _Toc18824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pacing w:val="6"/>
              <w:sz w:val="21"/>
              <w:szCs w:val="21"/>
              <w:highlight w:val="none"/>
              <w:lang w:val="en-US" w:eastAsia="zh-CN"/>
            </w:rPr>
            <w:t>9.10 综合结论</w:t>
          </w:r>
          <w:r>
            <w:rPr>
              <w:rFonts w:hint="default" w:ascii="Times New Roman" w:hAnsi="Times New Roman" w:eastAsia="微软雅黑" w:cs="Times New Roman"/>
              <w:i w:val="0"/>
              <w:iCs w:val="0"/>
              <w:sz w:val="21"/>
              <w:szCs w:val="21"/>
            </w:rPr>
            <w:tab/>
          </w:r>
          <w:r>
            <w:rPr>
              <w:rFonts w:hint="default" w:ascii="Times New Roman" w:hAnsi="Times New Roman" w:eastAsia="微软雅黑" w:cs="Times New Roman"/>
              <w:i w:val="0"/>
              <w:iCs w:val="0"/>
              <w:sz w:val="21"/>
              <w:szCs w:val="21"/>
            </w:rPr>
            <w:fldChar w:fldCharType="begin"/>
          </w:r>
          <w:r>
            <w:rPr>
              <w:rFonts w:hint="default" w:ascii="Times New Roman" w:hAnsi="Times New Roman" w:eastAsia="微软雅黑" w:cs="Times New Roman"/>
              <w:i w:val="0"/>
              <w:iCs w:val="0"/>
              <w:sz w:val="21"/>
              <w:szCs w:val="21"/>
            </w:rPr>
            <w:instrText xml:space="preserve"> PAGEREF _Toc18824 \h </w:instrText>
          </w:r>
          <w:r>
            <w:rPr>
              <w:rFonts w:hint="default" w:ascii="Times New Roman" w:hAnsi="Times New Roman" w:eastAsia="微软雅黑" w:cs="Times New Roman"/>
              <w:i w:val="0"/>
              <w:iCs w:val="0"/>
              <w:sz w:val="21"/>
              <w:szCs w:val="21"/>
            </w:rPr>
            <w:fldChar w:fldCharType="separate"/>
          </w:r>
          <w:r>
            <w:rPr>
              <w:rFonts w:hint="default" w:ascii="Times New Roman" w:hAnsi="Times New Roman" w:eastAsia="微软雅黑" w:cs="Times New Roman"/>
              <w:i w:val="0"/>
              <w:iCs w:val="0"/>
              <w:sz w:val="21"/>
              <w:szCs w:val="21"/>
            </w:rPr>
            <w:t>202</w:t>
          </w:r>
          <w:r>
            <w:rPr>
              <w:rFonts w:hint="default" w:ascii="Times New Roman" w:hAnsi="Times New Roman" w:eastAsia="微软雅黑" w:cs="Times New Roman"/>
              <w:i w:val="0"/>
              <w:iCs w:val="0"/>
              <w:sz w:val="21"/>
              <w:szCs w:val="21"/>
            </w:rPr>
            <w:fldChar w:fldCharType="end"/>
          </w:r>
          <w:r>
            <w:rPr>
              <w:rFonts w:hint="default" w:ascii="Times New Roman" w:hAnsi="Times New Roman" w:eastAsia="微软雅黑" w:cs="Times New Roman"/>
              <w:i w:val="0"/>
              <w:iCs w:val="0"/>
              <w:color w:val="FF0000"/>
              <w:sz w:val="21"/>
              <w:szCs w:val="21"/>
            </w:rPr>
            <w:fldChar w:fldCharType="end"/>
          </w:r>
        </w:p>
        <w:p w14:paraId="023D6827">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_Toc11504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lang w:val="en-US" w:eastAsia="zh-CN"/>
            </w:rPr>
            <w:t>附表</w:t>
          </w:r>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_Toc11504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203</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06DCE413">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_Toc19008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rPr>
            <w:t>附表1</w:t>
          </w:r>
          <w:r>
            <w:rPr>
              <w:rFonts w:hint="default" w:ascii="Times New Roman" w:hAnsi="Times New Roman" w:eastAsia="宋体" w:cs="Times New Roman"/>
              <w:i w:val="0"/>
              <w:iCs w:val="0"/>
              <w:smallCaps/>
              <w:snapToGrid w:val="0"/>
              <w:kern w:val="2"/>
              <w:sz w:val="21"/>
              <w:szCs w:val="21"/>
              <w:highlight w:val="none"/>
              <w:lang w:val="en-US" w:eastAsia="zh-CN"/>
            </w:rPr>
            <w:t xml:space="preserve">  </w:t>
          </w:r>
          <w:r>
            <w:rPr>
              <w:rFonts w:hint="default" w:ascii="Times New Roman" w:hAnsi="Times New Roman" w:eastAsia="宋体" w:cs="Times New Roman"/>
              <w:i w:val="0"/>
              <w:iCs w:val="0"/>
              <w:smallCaps/>
              <w:snapToGrid w:val="0"/>
              <w:kern w:val="2"/>
              <w:sz w:val="21"/>
              <w:szCs w:val="21"/>
              <w:highlight w:val="none"/>
            </w:rPr>
            <w:t>建设项目大气环境影响评价自查表</w:t>
          </w:r>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_Toc19008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203</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6CFCDA6E">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_Toc19303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lang w:eastAsia="zh-CN"/>
            </w:rPr>
            <w:t>附</w:t>
          </w:r>
          <w:r>
            <w:rPr>
              <w:rFonts w:hint="default" w:ascii="Times New Roman" w:hAnsi="Times New Roman" w:eastAsia="宋体" w:cs="Times New Roman"/>
              <w:i w:val="0"/>
              <w:iCs w:val="0"/>
              <w:smallCaps/>
              <w:snapToGrid w:val="0"/>
              <w:kern w:val="2"/>
              <w:sz w:val="21"/>
              <w:szCs w:val="21"/>
              <w:highlight w:val="none"/>
            </w:rPr>
            <w:t>表</w:t>
          </w:r>
          <w:r>
            <w:rPr>
              <w:rFonts w:hint="default" w:ascii="Times New Roman" w:hAnsi="Times New Roman" w:eastAsia="宋体" w:cs="Times New Roman"/>
              <w:i w:val="0"/>
              <w:iCs w:val="0"/>
              <w:smallCaps/>
              <w:snapToGrid w:val="0"/>
              <w:kern w:val="2"/>
              <w:sz w:val="21"/>
              <w:szCs w:val="21"/>
              <w:highlight w:val="none"/>
              <w:lang w:val="en-US" w:eastAsia="zh-CN"/>
            </w:rPr>
            <w:t>2</w:t>
          </w:r>
          <w:r>
            <w:rPr>
              <w:rFonts w:hint="default" w:ascii="Times New Roman" w:hAnsi="Times New Roman" w:eastAsia="宋体" w:cs="Times New Roman"/>
              <w:i w:val="0"/>
              <w:iCs w:val="0"/>
              <w:smallCaps/>
              <w:snapToGrid w:val="0"/>
              <w:kern w:val="2"/>
              <w:sz w:val="21"/>
              <w:szCs w:val="21"/>
              <w:highlight w:val="none"/>
            </w:rPr>
            <w:t xml:space="preserve">  地表水环境影响评价自查表</w:t>
          </w:r>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_Toc19303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205</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7795FF52">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_Toc28059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lang w:eastAsia="zh-CN"/>
            </w:rPr>
            <w:t>附表</w:t>
          </w:r>
          <w:r>
            <w:rPr>
              <w:rFonts w:hint="default" w:ascii="Times New Roman" w:hAnsi="Times New Roman" w:eastAsia="宋体" w:cs="Times New Roman"/>
              <w:i w:val="0"/>
              <w:iCs w:val="0"/>
              <w:smallCaps/>
              <w:snapToGrid w:val="0"/>
              <w:kern w:val="2"/>
              <w:sz w:val="21"/>
              <w:szCs w:val="21"/>
              <w:highlight w:val="none"/>
              <w:lang w:val="en-US" w:eastAsia="zh-CN"/>
            </w:rPr>
            <w:t>3</w:t>
          </w:r>
          <w:r>
            <w:rPr>
              <w:rFonts w:hint="default" w:ascii="Times New Roman" w:hAnsi="Times New Roman" w:eastAsia="宋体" w:cs="Times New Roman"/>
              <w:i w:val="0"/>
              <w:iCs w:val="0"/>
              <w:smallCaps/>
              <w:snapToGrid w:val="0"/>
              <w:kern w:val="2"/>
              <w:sz w:val="21"/>
              <w:szCs w:val="21"/>
              <w:highlight w:val="none"/>
              <w:lang w:eastAsia="zh-CN"/>
            </w:rPr>
            <w:t xml:space="preserve">  土壤环境影响情况自查表</w:t>
          </w:r>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_Toc28059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208</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206BEF75">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_Toc17204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lang w:eastAsia="zh-CN"/>
            </w:rPr>
            <w:t>附表</w:t>
          </w:r>
          <w:r>
            <w:rPr>
              <w:rFonts w:hint="default" w:ascii="Times New Roman" w:hAnsi="Times New Roman" w:eastAsia="宋体" w:cs="Times New Roman"/>
              <w:i w:val="0"/>
              <w:iCs w:val="0"/>
              <w:smallCaps/>
              <w:snapToGrid w:val="0"/>
              <w:kern w:val="2"/>
              <w:sz w:val="21"/>
              <w:szCs w:val="21"/>
              <w:highlight w:val="none"/>
              <w:lang w:val="en-US" w:eastAsia="zh-CN"/>
            </w:rPr>
            <w:t>4</w:t>
          </w:r>
          <w:r>
            <w:rPr>
              <w:rFonts w:hint="default" w:ascii="Times New Roman" w:hAnsi="Times New Roman" w:eastAsia="宋体" w:cs="Times New Roman"/>
              <w:i w:val="0"/>
              <w:iCs w:val="0"/>
              <w:smallCaps/>
              <w:snapToGrid w:val="0"/>
              <w:kern w:val="2"/>
              <w:sz w:val="21"/>
              <w:szCs w:val="21"/>
              <w:highlight w:val="none"/>
              <w:lang w:eastAsia="zh-CN"/>
            </w:rPr>
            <w:t xml:space="preserve">  风险环境影响评价自查表</w:t>
          </w:r>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_Toc17204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209</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21004206">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_Toc17982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rPr>
            <w:t>附表5  声环境影响评价自查表</w:t>
          </w:r>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_Toc17982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211</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75E25BB0">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_Toc18510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rPr>
            <w:t>附表6  生态环境影响评价自查表</w:t>
          </w:r>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_Toc18510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212</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44D73507">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_Toc7300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lang w:val="en-US" w:eastAsia="zh-CN"/>
            </w:rPr>
            <w:t>附图</w:t>
          </w:r>
          <w:bookmarkStart w:id="131" w:name="_GoBack"/>
          <w:bookmarkEnd w:id="131"/>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_Toc7300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213</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2DFAD671">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_Toc23779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lang w:val="en-US" w:eastAsia="zh-CN"/>
            </w:rPr>
            <w:t>附图1地理位置图</w:t>
          </w:r>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_Toc23779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213</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285327A7">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_Toc16437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lang w:val="en-US" w:eastAsia="zh-CN"/>
            </w:rPr>
            <w:t>附图2厂区平面布置图</w:t>
          </w:r>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_Toc16437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214</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6FB436C4">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_Toc22175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lang w:val="en-US" w:eastAsia="zh-CN"/>
            </w:rPr>
            <w:t>附图3项目评价范围及环境敏感目标分布示意图</w:t>
          </w:r>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_Toc22175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215</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693AFC6A">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_Toc2350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lang w:val="en-US" w:eastAsia="zh-CN"/>
            </w:rPr>
            <w:t>附图4厂界四周情况图</w:t>
          </w:r>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_Toc2350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216</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7F8D6A11">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_Toc11083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lang w:val="en-US" w:eastAsia="zh-CN"/>
            </w:rPr>
            <w:t>附图5本项目在园区内规划位置</w:t>
          </w:r>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_Toc11083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217</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19928743">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_Toc1546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lang w:val="en-US" w:eastAsia="zh-CN"/>
            </w:rPr>
            <w:t>附件</w:t>
          </w:r>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_Toc1546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219</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6F290F3F">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_Toc10043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lang w:val="en-US" w:eastAsia="zh-CN"/>
            </w:rPr>
            <w:t>附件1营业执照</w:t>
          </w:r>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_Toc10043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219</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02B5F6AE">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_Toc4426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lang w:val="en-US" w:eastAsia="zh-CN"/>
            </w:rPr>
            <w:t>附件2土地手续</w:t>
          </w:r>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_Toc4426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220</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1286B768">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_Toc1130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lang w:val="en-US" w:eastAsia="zh-CN"/>
            </w:rPr>
            <w:t>附件3检测报告</w:t>
          </w:r>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_Toc1130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227</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7057C9EE">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_Toc2194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lang w:val="en-US" w:eastAsia="zh-CN"/>
            </w:rPr>
            <w:t>附件4天然气成分分析报告</w:t>
          </w:r>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_Toc2194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251</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7A0C2049">
          <w:pPr>
            <w:pStyle w:val="17"/>
            <w:keepNext w:val="0"/>
            <w:keepLines w:val="0"/>
            <w:pageBreakBefore w:val="0"/>
            <w:widowControl/>
            <w:tabs>
              <w:tab w:val="right" w:leader="dot" w:pos="9072"/>
              <w:tab w:val="clear" w:pos="9060"/>
            </w:tabs>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i w:val="0"/>
              <w:iCs w:val="0"/>
              <w:sz w:val="21"/>
              <w:szCs w:val="21"/>
            </w:rPr>
          </w:pPr>
          <w:r>
            <w:rPr>
              <w:rFonts w:hint="default" w:ascii="Times New Roman" w:hAnsi="Times New Roman" w:eastAsia="宋体" w:cs="Times New Roman"/>
              <w:i w:val="0"/>
              <w:iCs w:val="0"/>
              <w:color w:val="FF0000"/>
              <w:sz w:val="21"/>
              <w:szCs w:val="21"/>
            </w:rPr>
            <w:fldChar w:fldCharType="begin"/>
          </w:r>
          <w:r>
            <w:rPr>
              <w:rFonts w:hint="default" w:ascii="Times New Roman" w:hAnsi="Times New Roman" w:eastAsia="宋体" w:cs="Times New Roman"/>
              <w:i w:val="0"/>
              <w:iCs w:val="0"/>
              <w:sz w:val="21"/>
              <w:szCs w:val="21"/>
            </w:rPr>
            <w:instrText xml:space="preserve"> HYPERLINK \l _Toc20275 </w:instrText>
          </w:r>
          <w:r>
            <w:rPr>
              <w:rFonts w:hint="default" w:ascii="Times New Roman" w:hAnsi="Times New Roman" w:eastAsia="宋体" w:cs="Times New Roman"/>
              <w:i w:val="0"/>
              <w:iCs w:val="0"/>
              <w:sz w:val="21"/>
              <w:szCs w:val="21"/>
            </w:rPr>
            <w:fldChar w:fldCharType="separate"/>
          </w:r>
          <w:r>
            <w:rPr>
              <w:rFonts w:hint="default" w:ascii="Times New Roman" w:hAnsi="Times New Roman" w:eastAsia="宋体" w:cs="Times New Roman"/>
              <w:i w:val="0"/>
              <w:iCs w:val="0"/>
              <w:smallCaps/>
              <w:snapToGrid w:val="0"/>
              <w:kern w:val="2"/>
              <w:sz w:val="21"/>
              <w:szCs w:val="21"/>
              <w:highlight w:val="none"/>
              <w:lang w:val="en-US" w:eastAsia="zh-CN"/>
            </w:rPr>
            <w:t>附件5生态环境分区管控分析报告</w:t>
          </w:r>
          <w:r>
            <w:rPr>
              <w:rFonts w:hint="default" w:ascii="Times New Roman" w:hAnsi="Times New Roman" w:cs="Times New Roman"/>
              <w:i w:val="0"/>
              <w:iCs w:val="0"/>
              <w:sz w:val="21"/>
              <w:szCs w:val="21"/>
            </w:rPr>
            <w:tab/>
          </w:r>
          <w:r>
            <w:rPr>
              <w:rFonts w:hint="default" w:ascii="Times New Roman" w:hAnsi="Times New Roman" w:cs="Times New Roman"/>
              <w:i w:val="0"/>
              <w:iCs w:val="0"/>
              <w:sz w:val="21"/>
              <w:szCs w:val="21"/>
            </w:rPr>
            <w:fldChar w:fldCharType="begin"/>
          </w:r>
          <w:r>
            <w:rPr>
              <w:rFonts w:hint="default" w:ascii="Times New Roman" w:hAnsi="Times New Roman" w:cs="Times New Roman"/>
              <w:i w:val="0"/>
              <w:iCs w:val="0"/>
              <w:sz w:val="21"/>
              <w:szCs w:val="21"/>
            </w:rPr>
            <w:instrText xml:space="preserve"> PAGEREF _Toc20275 \h </w:instrText>
          </w:r>
          <w:r>
            <w:rPr>
              <w:rFonts w:hint="default" w:ascii="Times New Roman" w:hAnsi="Times New Roman" w:cs="Times New Roman"/>
              <w:i w:val="0"/>
              <w:iCs w:val="0"/>
              <w:sz w:val="21"/>
              <w:szCs w:val="21"/>
            </w:rPr>
            <w:fldChar w:fldCharType="separate"/>
          </w:r>
          <w:r>
            <w:rPr>
              <w:rFonts w:hint="default" w:ascii="Times New Roman" w:hAnsi="Times New Roman" w:cs="Times New Roman"/>
              <w:i w:val="0"/>
              <w:iCs w:val="0"/>
              <w:sz w:val="21"/>
              <w:szCs w:val="21"/>
            </w:rPr>
            <w:t>255</w:t>
          </w:r>
          <w:r>
            <w:rPr>
              <w:rFonts w:hint="default" w:ascii="Times New Roman" w:hAnsi="Times New Roman" w:cs="Times New Roman"/>
              <w:i w:val="0"/>
              <w:iCs w:val="0"/>
              <w:sz w:val="21"/>
              <w:szCs w:val="21"/>
            </w:rPr>
            <w:fldChar w:fldCharType="end"/>
          </w:r>
          <w:r>
            <w:rPr>
              <w:rFonts w:hint="default" w:ascii="Times New Roman" w:hAnsi="Times New Roman" w:eastAsia="宋体" w:cs="Times New Roman"/>
              <w:i w:val="0"/>
              <w:iCs w:val="0"/>
              <w:color w:val="FF0000"/>
              <w:sz w:val="21"/>
              <w:szCs w:val="21"/>
            </w:rPr>
            <w:fldChar w:fldCharType="end"/>
          </w:r>
        </w:p>
        <w:p w14:paraId="4BEC0EE1">
          <w:pPr>
            <w:pStyle w:val="10"/>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ascii="Times New Roman" w:hAnsi="Times New Roman" w:cs="Times New Roman"/>
              <w:color w:val="FF0000"/>
              <w:sz w:val="21"/>
            </w:rPr>
          </w:pPr>
          <w:r>
            <w:rPr>
              <w:rFonts w:hint="default" w:ascii="Times New Roman" w:hAnsi="Times New Roman" w:eastAsia="宋体" w:cs="Times New Roman"/>
              <w:i w:val="0"/>
              <w:iCs w:val="0"/>
              <w:color w:val="FF0000"/>
              <w:sz w:val="21"/>
              <w:szCs w:val="21"/>
            </w:rPr>
            <w:fldChar w:fldCharType="end"/>
          </w:r>
        </w:p>
      </w:sdtContent>
    </w:sdt>
    <w:p w14:paraId="7020D829">
      <w:pPr>
        <w:pStyle w:val="13"/>
        <w:keepNext w:val="0"/>
        <w:keepLines w:val="0"/>
        <w:pageBreakBefore w:val="0"/>
        <w:wordWrap/>
        <w:overflowPunct/>
        <w:topLinePunct w:val="0"/>
        <w:bidi w:val="0"/>
        <w:spacing w:line="360" w:lineRule="auto"/>
        <w:ind w:left="0" w:leftChars="0" w:firstLine="0" w:firstLineChars="0"/>
        <w:rPr>
          <w:rFonts w:hint="default" w:ascii="Times New Roman" w:hAnsi="Times New Roman" w:cs="Times New Roman"/>
          <w:b/>
          <w:bCs/>
          <w:color w:val="FF0000"/>
          <w:sz w:val="24"/>
          <w:szCs w:val="24"/>
          <w:lang w:val="en-US" w:eastAsia="zh-CN"/>
        </w:rPr>
        <w:sectPr>
          <w:headerReference r:id="rId7" w:type="default"/>
          <w:footerReference r:id="rId8" w:type="default"/>
          <w:pgSz w:w="11906" w:h="16839"/>
          <w:pgMar w:top="1133" w:right="1416" w:bottom="1249" w:left="1418" w:header="897" w:footer="1090" w:gutter="0"/>
          <w:pgBorders>
            <w:top w:val="none" w:sz="0" w:space="0"/>
            <w:left w:val="none" w:sz="0" w:space="0"/>
            <w:bottom w:val="none" w:sz="0" w:space="0"/>
            <w:right w:val="none" w:sz="0" w:space="0"/>
          </w:pgBorders>
          <w:pgNumType w:fmt="upperRoman" w:start="1"/>
          <w:cols w:space="720" w:num="1"/>
        </w:sectPr>
      </w:pPr>
    </w:p>
    <w:p w14:paraId="77306B7A">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0"/>
        <w:rPr>
          <w:rFonts w:hint="default" w:ascii="Times New Roman" w:hAnsi="Times New Roman" w:eastAsia="微软雅黑" w:cs="Times New Roman"/>
          <w:color w:val="auto"/>
          <w:spacing w:val="0"/>
          <w:position w:val="0"/>
          <w:sz w:val="36"/>
          <w:szCs w:val="36"/>
        </w:rPr>
      </w:pPr>
      <w:bookmarkStart w:id="1" w:name="_Toc11012"/>
      <w:r>
        <w:rPr>
          <w:rFonts w:hint="default" w:ascii="Times New Roman" w:hAnsi="Times New Roman" w:eastAsia="Times New Roman" w:cs="Times New Roman"/>
          <w:color w:val="auto"/>
          <w:spacing w:val="0"/>
          <w:position w:val="0"/>
          <w:sz w:val="36"/>
          <w:szCs w:val="36"/>
        </w:rPr>
        <w:t>1</w:t>
      </w:r>
      <w:r>
        <w:rPr>
          <w:rFonts w:hint="default" w:ascii="Times New Roman" w:hAnsi="Times New Roman" w:eastAsia="宋体" w:cs="Times New Roman"/>
          <w:color w:val="auto"/>
          <w:spacing w:val="0"/>
          <w:position w:val="0"/>
          <w:sz w:val="36"/>
          <w:szCs w:val="36"/>
          <w:lang w:val="en-US" w:eastAsia="zh-CN"/>
        </w:rPr>
        <w:t xml:space="preserve"> </w:t>
      </w:r>
      <w:r>
        <w:rPr>
          <w:rFonts w:hint="default" w:ascii="Times New Roman" w:hAnsi="Times New Roman" w:eastAsia="微软雅黑" w:cs="Times New Roman"/>
          <w:color w:val="auto"/>
          <w:spacing w:val="0"/>
          <w:position w:val="0"/>
          <w:sz w:val="36"/>
          <w:szCs w:val="36"/>
        </w:rPr>
        <w:t>概述</w:t>
      </w:r>
      <w:bookmarkEnd w:id="1"/>
    </w:p>
    <w:p w14:paraId="2B7A7379">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0"/>
          <w:position w:val="0"/>
          <w:sz w:val="32"/>
          <w:szCs w:val="32"/>
        </w:rPr>
      </w:pPr>
      <w:bookmarkStart w:id="2" w:name="_Toc25513"/>
      <w:r>
        <w:rPr>
          <w:rFonts w:hint="default" w:ascii="Times New Roman" w:hAnsi="Times New Roman" w:eastAsia="Times New Roman" w:cs="Times New Roman"/>
          <w:color w:val="auto"/>
          <w:spacing w:val="0"/>
          <w:position w:val="0"/>
          <w:sz w:val="32"/>
          <w:szCs w:val="32"/>
        </w:rPr>
        <w:t>1.1</w:t>
      </w:r>
      <w:r>
        <w:rPr>
          <w:rFonts w:hint="default" w:ascii="Times New Roman" w:hAnsi="Times New Roman" w:eastAsia="宋体" w:cs="Times New Roman"/>
          <w:color w:val="auto"/>
          <w:spacing w:val="0"/>
          <w:position w:val="0"/>
          <w:sz w:val="32"/>
          <w:szCs w:val="32"/>
          <w:lang w:val="en-US" w:eastAsia="zh-CN"/>
        </w:rPr>
        <w:t xml:space="preserve"> </w:t>
      </w:r>
      <w:r>
        <w:rPr>
          <w:rFonts w:hint="default" w:ascii="Times New Roman" w:hAnsi="Times New Roman" w:eastAsia="微软雅黑" w:cs="Times New Roman"/>
          <w:color w:val="auto"/>
          <w:spacing w:val="0"/>
          <w:position w:val="0"/>
          <w:sz w:val="32"/>
          <w:szCs w:val="32"/>
        </w:rPr>
        <w:t>项目由来</w:t>
      </w:r>
      <w:bookmarkEnd w:id="2"/>
    </w:p>
    <w:p w14:paraId="2FF7B0D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pacing w:val="0"/>
          <w:position w:val="0"/>
          <w:sz w:val="24"/>
          <w:lang w:val="en-US" w:eastAsia="zh-CN"/>
        </w:rPr>
      </w:pPr>
      <w:r>
        <w:rPr>
          <w:rFonts w:hint="default" w:ascii="Times New Roman" w:hAnsi="Times New Roman" w:eastAsia="宋体" w:cs="Times New Roman"/>
          <w:color w:val="auto"/>
          <w:spacing w:val="0"/>
          <w:position w:val="0"/>
          <w:sz w:val="24"/>
          <w:lang w:val="en-US" w:eastAsia="zh-CN"/>
        </w:rPr>
        <w:t>汽车装饰件被广泛应用于各类汽车领域，因此汽车工业发展直接影响装饰件产品的市场需求。汽车工业具有产业链广、关联度高、就业岗位多、消费拉动大等特点，在国民经济和社会发展中具有重要作用。我国一直以来十分重视汽车工业的发展，经过几十年的努力，汽车工业已经成为我国国民经济重要的支柱产业之一。</w:t>
      </w:r>
    </w:p>
    <w:p w14:paraId="2CD76BF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pacing w:val="0"/>
          <w:position w:val="0"/>
          <w:sz w:val="24"/>
          <w:lang w:val="en-US" w:eastAsia="zh-CN"/>
        </w:rPr>
      </w:pPr>
      <w:r>
        <w:rPr>
          <w:rFonts w:hint="default" w:ascii="Times New Roman" w:hAnsi="Times New Roman" w:eastAsia="宋体" w:cs="Times New Roman"/>
          <w:color w:val="auto"/>
          <w:spacing w:val="0"/>
          <w:position w:val="0"/>
          <w:sz w:val="24"/>
          <w:lang w:val="en-US" w:eastAsia="zh-CN"/>
        </w:rPr>
        <w:t>受益于我国城市化进程不断深化、汽车千人保有量仍有较大空间，这个增长会带动汽车销量；现在汽车市场的消费升级需求显著以及国内新能源汽车快速发展等有利因素影响，预计我国汽车行业将进入长期稳定增长的发展阶段。汽车行业的新生产车时都需要装饰配件，国内新车的内装饰是越来越豪华，这为汽车饰件行业的长期发展提供了基础和保障。黑龙江天时利精密科技有限公司是中山天时利精密科技有限公司在黑龙江</w:t>
      </w:r>
      <w:r>
        <w:rPr>
          <w:rFonts w:hint="eastAsia" w:ascii="Times New Roman" w:hAnsi="Times New Roman" w:eastAsia="宋体" w:cs="Times New Roman"/>
          <w:color w:val="auto"/>
          <w:spacing w:val="0"/>
          <w:position w:val="0"/>
          <w:sz w:val="24"/>
          <w:lang w:val="en-US" w:eastAsia="zh-CN"/>
        </w:rPr>
        <w:t>省</w:t>
      </w:r>
      <w:r>
        <w:rPr>
          <w:rFonts w:hint="default" w:ascii="Times New Roman" w:hAnsi="Times New Roman" w:eastAsia="宋体" w:cs="Times New Roman"/>
          <w:color w:val="auto"/>
          <w:spacing w:val="0"/>
          <w:position w:val="0"/>
          <w:sz w:val="24"/>
          <w:lang w:val="en-US" w:eastAsia="zh-CN"/>
        </w:rPr>
        <w:t>五常市开设的新制造基地，服务于东北的新能源汽车产业。</w:t>
      </w:r>
    </w:p>
    <w:p w14:paraId="3561FA0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pacing w:val="0"/>
          <w:position w:val="0"/>
          <w:sz w:val="24"/>
          <w:lang w:val="en-US" w:eastAsia="zh-CN"/>
        </w:rPr>
      </w:pPr>
      <w:r>
        <w:rPr>
          <w:rFonts w:hint="eastAsia" w:ascii="Times New Roman" w:hAnsi="Times New Roman" w:eastAsia="宋体" w:cs="Times New Roman"/>
          <w:color w:val="auto"/>
          <w:spacing w:val="0"/>
          <w:position w:val="0"/>
          <w:sz w:val="24"/>
          <w:lang w:val="en-US" w:eastAsia="zh-CN"/>
        </w:rPr>
        <w:t>本</w:t>
      </w:r>
      <w:r>
        <w:rPr>
          <w:rFonts w:hint="default" w:ascii="Times New Roman" w:hAnsi="Times New Roman" w:eastAsia="宋体" w:cs="Times New Roman"/>
          <w:color w:val="auto"/>
          <w:spacing w:val="0"/>
          <w:position w:val="0"/>
          <w:sz w:val="24"/>
          <w:lang w:val="en-US" w:eastAsia="zh-CN"/>
        </w:rPr>
        <w:t>项目</w:t>
      </w:r>
      <w:r>
        <w:rPr>
          <w:rFonts w:hint="eastAsia" w:ascii="Times New Roman" w:hAnsi="Times New Roman" w:eastAsia="宋体" w:cs="Times New Roman"/>
          <w:color w:val="auto"/>
          <w:spacing w:val="0"/>
          <w:position w:val="0"/>
          <w:sz w:val="24"/>
          <w:lang w:val="en-US" w:eastAsia="zh-CN"/>
        </w:rPr>
        <w:t>位于</w:t>
      </w:r>
      <w:r>
        <w:rPr>
          <w:rFonts w:hint="default" w:ascii="Times New Roman" w:hAnsi="Times New Roman" w:eastAsia="宋体" w:cs="Times New Roman"/>
          <w:color w:val="auto"/>
          <w:spacing w:val="0"/>
          <w:position w:val="0"/>
          <w:sz w:val="24"/>
          <w:lang w:val="en-US" w:eastAsia="zh-CN"/>
        </w:rPr>
        <w:t>黑龙江</w:t>
      </w:r>
      <w:r>
        <w:rPr>
          <w:rFonts w:hint="eastAsia" w:ascii="Times New Roman" w:hAnsi="Times New Roman" w:eastAsia="宋体" w:cs="Times New Roman"/>
          <w:color w:val="auto"/>
          <w:spacing w:val="0"/>
          <w:position w:val="0"/>
          <w:sz w:val="24"/>
          <w:lang w:val="en-US" w:eastAsia="zh-CN"/>
        </w:rPr>
        <w:t>省哈尔滨市</w:t>
      </w:r>
      <w:r>
        <w:rPr>
          <w:rFonts w:hint="default" w:ascii="Times New Roman" w:hAnsi="Times New Roman" w:eastAsia="宋体" w:cs="Times New Roman"/>
          <w:color w:val="auto"/>
          <w:spacing w:val="0"/>
          <w:position w:val="0"/>
          <w:sz w:val="24"/>
          <w:lang w:val="en-US" w:eastAsia="zh-CN"/>
        </w:rPr>
        <w:t>五常市牛家工业园区宁波路13号，</w:t>
      </w:r>
      <w:r>
        <w:rPr>
          <w:rFonts w:hint="eastAsia" w:ascii="Times New Roman" w:hAnsi="Times New Roman" w:eastAsia="宋体" w:cs="Times New Roman"/>
          <w:color w:val="auto"/>
          <w:spacing w:val="0"/>
          <w:position w:val="0"/>
          <w:sz w:val="24"/>
          <w:lang w:val="en-US" w:eastAsia="zh-CN"/>
        </w:rPr>
        <w:t>占地面积为39999平方米，建设汽车内外饰装饰零部件产品生产基地，年产量为2000万件汽车装饰零部件。</w:t>
      </w:r>
    </w:p>
    <w:p w14:paraId="2D4BB81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pacing w:val="0"/>
          <w:position w:val="0"/>
          <w:sz w:val="24"/>
          <w:lang w:val="en-US" w:eastAsia="zh-CN"/>
        </w:rPr>
      </w:pPr>
      <w:r>
        <w:rPr>
          <w:rFonts w:hint="default" w:ascii="Times New Roman" w:hAnsi="Times New Roman" w:eastAsia="宋体" w:cs="Times New Roman"/>
          <w:color w:val="auto"/>
          <w:spacing w:val="0"/>
          <w:position w:val="0"/>
          <w:sz w:val="24"/>
          <w:lang w:val="en-US" w:eastAsia="zh-CN"/>
        </w:rPr>
        <w:t>根据《国民经济行业分类》(GB/T4754-2017)，本项目行业类别为汽车零部件及配件制造 C3670，依据《建设项目环境影响评价分类管理名录》(2021年版)的有关规定，本项目属于名录中:“三十三、汽车制造业36--第71项:汽车零部件及配件制造 367”中的“年用溶剂型涂料(含稀释剂)10吨及以上的”，本项目使用溶剂型涂料(含稀释剂)超过10t</w:t>
      </w:r>
      <w:r>
        <w:rPr>
          <w:rFonts w:hint="eastAsia" w:ascii="Times New Roman" w:hAnsi="Times New Roman" w:eastAsia="宋体" w:cs="Times New Roman"/>
          <w:color w:val="auto"/>
          <w:spacing w:val="0"/>
          <w:position w:val="0"/>
          <w:sz w:val="24"/>
          <w:lang w:val="en-US" w:eastAsia="zh-CN"/>
        </w:rPr>
        <w:t>/</w:t>
      </w:r>
      <w:r>
        <w:rPr>
          <w:rFonts w:hint="default" w:ascii="Times New Roman" w:hAnsi="Times New Roman" w:eastAsia="宋体" w:cs="Times New Roman"/>
          <w:color w:val="auto"/>
          <w:spacing w:val="0"/>
          <w:position w:val="0"/>
          <w:sz w:val="24"/>
          <w:lang w:val="en-US" w:eastAsia="zh-CN"/>
        </w:rPr>
        <w:t>a，因此应编制环境影响报告书。</w:t>
      </w:r>
    </w:p>
    <w:p w14:paraId="7EA21DA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pacing w:val="0"/>
          <w:position w:val="0"/>
          <w:sz w:val="24"/>
          <w:lang w:val="en-US" w:eastAsia="zh-CN"/>
        </w:rPr>
      </w:pPr>
      <w:r>
        <w:rPr>
          <w:rFonts w:hint="default" w:ascii="Times New Roman" w:hAnsi="Times New Roman" w:eastAsia="宋体" w:cs="Times New Roman"/>
          <w:color w:val="auto"/>
          <w:spacing w:val="0"/>
          <w:position w:val="0"/>
          <w:sz w:val="24"/>
          <w:lang w:val="en-US" w:eastAsia="zh-CN"/>
        </w:rPr>
        <w:t>受建设单位委托，黑龙江辰瀚环境保护有限公司承担该新建项目的环境影响评价工作。评价单位接受委托后，立即组织有关技术人员进行现场踏勘、资料收集等前期工作，并经调查、类比分析及模型计算后，按照国家有关环境影响评价工作的行政法规和技术规范，编制完成了《黑龙江天时利精密科技有限公司新建项目环境影响报告书》。本报告经生态环境局审批后，将作为本项目环境保护管理的主要技术文件。</w:t>
      </w:r>
    </w:p>
    <w:p w14:paraId="35ACFFC9">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0"/>
          <w:position w:val="0"/>
          <w:sz w:val="32"/>
          <w:szCs w:val="32"/>
        </w:rPr>
      </w:pPr>
      <w:bookmarkStart w:id="3" w:name="_Toc5546"/>
      <w:r>
        <w:rPr>
          <w:rFonts w:hint="default" w:ascii="Times New Roman" w:hAnsi="Times New Roman" w:eastAsia="微软雅黑" w:cs="Times New Roman"/>
          <w:color w:val="auto"/>
          <w:spacing w:val="0"/>
          <w:position w:val="0"/>
          <w:sz w:val="32"/>
          <w:szCs w:val="32"/>
        </w:rPr>
        <w:t>1.2</w:t>
      </w:r>
      <w:r>
        <w:rPr>
          <w:rFonts w:hint="default" w:ascii="Times New Roman" w:hAnsi="Times New Roman" w:eastAsia="微软雅黑" w:cs="Times New Roman"/>
          <w:color w:val="auto"/>
          <w:spacing w:val="0"/>
          <w:position w:val="0"/>
          <w:sz w:val="32"/>
          <w:szCs w:val="32"/>
          <w:lang w:val="en-US" w:eastAsia="zh-CN"/>
        </w:rPr>
        <w:t xml:space="preserve"> </w:t>
      </w:r>
      <w:r>
        <w:rPr>
          <w:rFonts w:hint="default" w:ascii="Times New Roman" w:hAnsi="Times New Roman" w:eastAsia="微软雅黑" w:cs="Times New Roman"/>
          <w:color w:val="auto"/>
          <w:spacing w:val="0"/>
          <w:position w:val="0"/>
          <w:sz w:val="32"/>
          <w:szCs w:val="32"/>
        </w:rPr>
        <w:t>建设项目</w:t>
      </w:r>
      <w:r>
        <w:rPr>
          <w:rFonts w:hint="default" w:ascii="Times New Roman" w:hAnsi="Times New Roman" w:eastAsia="微软雅黑" w:cs="Times New Roman"/>
          <w:color w:val="auto"/>
          <w:spacing w:val="0"/>
          <w:position w:val="0"/>
          <w:sz w:val="32"/>
          <w:szCs w:val="32"/>
          <w:lang w:eastAsia="zh-CN"/>
        </w:rPr>
        <w:t>的</w:t>
      </w:r>
      <w:r>
        <w:rPr>
          <w:rFonts w:hint="default" w:ascii="Times New Roman" w:hAnsi="Times New Roman" w:eastAsia="微软雅黑" w:cs="Times New Roman"/>
          <w:color w:val="auto"/>
          <w:spacing w:val="0"/>
          <w:position w:val="0"/>
          <w:sz w:val="32"/>
          <w:szCs w:val="32"/>
        </w:rPr>
        <w:t>特点</w:t>
      </w:r>
      <w:bookmarkEnd w:id="3"/>
    </w:p>
    <w:p w14:paraId="38071AD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FF0000"/>
          <w:spacing w:val="0"/>
          <w:position w:val="0"/>
          <w:sz w:val="24"/>
          <w:lang w:val="en-US" w:eastAsia="zh-CN"/>
        </w:rPr>
      </w:pPr>
      <w:r>
        <w:rPr>
          <w:rFonts w:hint="default" w:ascii="Times New Roman" w:hAnsi="Times New Roman" w:eastAsia="宋体" w:cs="Times New Roman"/>
          <w:color w:val="auto"/>
          <w:spacing w:val="0"/>
          <w:position w:val="0"/>
          <w:sz w:val="24"/>
          <w:lang w:val="en-US" w:eastAsia="zh-CN"/>
        </w:rPr>
        <w:t>黑龙江天时利精密科技有限公司</w:t>
      </w:r>
      <w:r>
        <w:rPr>
          <w:rFonts w:hint="eastAsia" w:ascii="Times New Roman" w:hAnsi="Times New Roman" w:eastAsia="宋体" w:cs="Times New Roman"/>
          <w:color w:val="auto"/>
          <w:spacing w:val="0"/>
          <w:position w:val="0"/>
          <w:sz w:val="24"/>
          <w:lang w:val="en-US" w:eastAsia="zh-CN"/>
        </w:rPr>
        <w:t>购买哈尔滨乐金华奥斯知音门窗有限公司的土地及厂房</w:t>
      </w:r>
      <w:r>
        <w:rPr>
          <w:rFonts w:hint="default" w:ascii="Times New Roman" w:hAnsi="Times New Roman" w:eastAsia="宋体" w:cs="Times New Roman"/>
          <w:color w:val="auto"/>
          <w:spacing w:val="0"/>
          <w:position w:val="0"/>
          <w:sz w:val="24"/>
          <w:lang w:val="en-US" w:eastAsia="zh-CN"/>
        </w:rPr>
        <w:t>用于建设</w:t>
      </w:r>
      <w:r>
        <w:rPr>
          <w:rFonts w:hint="eastAsia" w:ascii="Times New Roman" w:hAnsi="Times New Roman" w:eastAsia="宋体" w:cs="Times New Roman"/>
          <w:color w:val="auto"/>
          <w:spacing w:val="0"/>
          <w:position w:val="0"/>
          <w:sz w:val="24"/>
          <w:lang w:val="en-US" w:eastAsia="zh-CN"/>
        </w:rPr>
        <w:t>汽车装饰零部件</w:t>
      </w:r>
      <w:r>
        <w:rPr>
          <w:rFonts w:hint="default" w:ascii="Times New Roman" w:hAnsi="Times New Roman" w:eastAsia="宋体" w:cs="Times New Roman"/>
          <w:color w:val="auto"/>
          <w:spacing w:val="0"/>
          <w:position w:val="0"/>
          <w:sz w:val="24"/>
          <w:lang w:val="en-US" w:eastAsia="zh-CN"/>
        </w:rPr>
        <w:t>生产线，生产工艺为</w:t>
      </w:r>
      <w:r>
        <w:rPr>
          <w:rFonts w:hint="eastAsia" w:ascii="Times New Roman" w:hAnsi="Times New Roman" w:eastAsia="宋体" w:cs="Times New Roman"/>
          <w:color w:val="auto"/>
          <w:spacing w:val="0"/>
          <w:position w:val="0"/>
          <w:sz w:val="24"/>
          <w:lang w:val="en-US" w:eastAsia="zh-CN"/>
        </w:rPr>
        <w:t>注塑、喷涂、PVD镀膜、包覆等</w:t>
      </w:r>
      <w:r>
        <w:rPr>
          <w:rFonts w:hint="default" w:ascii="Times New Roman" w:hAnsi="Times New Roman" w:eastAsia="宋体" w:cs="Times New Roman"/>
          <w:color w:val="auto"/>
          <w:spacing w:val="0"/>
          <w:position w:val="0"/>
          <w:sz w:val="24"/>
          <w:lang w:val="en-US" w:eastAsia="zh-CN"/>
        </w:rPr>
        <w:t>，企业配套建设废气治理设施等，建成后生产规模为年产</w:t>
      </w:r>
      <w:r>
        <w:rPr>
          <w:rFonts w:hint="eastAsia" w:ascii="Times New Roman" w:hAnsi="Times New Roman" w:eastAsia="宋体" w:cs="Times New Roman"/>
          <w:color w:val="auto"/>
          <w:spacing w:val="0"/>
          <w:position w:val="0"/>
          <w:sz w:val="24"/>
          <w:lang w:val="en-US" w:eastAsia="zh-CN"/>
        </w:rPr>
        <w:t>2</w:t>
      </w:r>
      <w:r>
        <w:rPr>
          <w:rFonts w:hint="default" w:ascii="Times New Roman" w:hAnsi="Times New Roman" w:eastAsia="宋体" w:cs="Times New Roman"/>
          <w:color w:val="auto"/>
          <w:spacing w:val="0"/>
          <w:position w:val="0"/>
          <w:sz w:val="24"/>
          <w:lang w:val="en-US" w:eastAsia="zh-CN"/>
        </w:rPr>
        <w:t>000万件</w:t>
      </w:r>
      <w:r>
        <w:rPr>
          <w:rFonts w:hint="eastAsia" w:ascii="Times New Roman" w:hAnsi="Times New Roman" w:eastAsia="宋体" w:cs="Times New Roman"/>
          <w:color w:val="auto"/>
          <w:spacing w:val="0"/>
          <w:position w:val="0"/>
          <w:sz w:val="24"/>
          <w:lang w:val="en-US" w:eastAsia="zh-CN"/>
        </w:rPr>
        <w:t>汽车装饰零部件</w:t>
      </w:r>
      <w:r>
        <w:rPr>
          <w:rFonts w:hint="default" w:ascii="Times New Roman" w:hAnsi="Times New Roman" w:eastAsia="宋体" w:cs="Times New Roman"/>
          <w:color w:val="auto"/>
          <w:spacing w:val="0"/>
          <w:position w:val="0"/>
          <w:sz w:val="24"/>
          <w:lang w:val="en-US" w:eastAsia="zh-CN"/>
        </w:rPr>
        <w:t>。</w:t>
      </w:r>
    </w:p>
    <w:p w14:paraId="13E65E16">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0"/>
          <w:position w:val="0"/>
          <w:sz w:val="32"/>
          <w:szCs w:val="32"/>
          <w:lang w:eastAsia="zh-CN"/>
        </w:rPr>
      </w:pPr>
      <w:bookmarkStart w:id="4" w:name="_Toc5892"/>
      <w:r>
        <w:rPr>
          <w:rFonts w:hint="default" w:ascii="Times New Roman" w:hAnsi="Times New Roman" w:eastAsia="微软雅黑" w:cs="Times New Roman"/>
          <w:color w:val="auto"/>
          <w:spacing w:val="0"/>
          <w:position w:val="0"/>
          <w:sz w:val="32"/>
          <w:szCs w:val="32"/>
        </w:rPr>
        <w:t>1.3</w:t>
      </w:r>
      <w:r>
        <w:rPr>
          <w:rFonts w:hint="default" w:ascii="Times New Roman" w:hAnsi="Times New Roman" w:eastAsia="微软雅黑" w:cs="Times New Roman"/>
          <w:color w:val="auto"/>
          <w:spacing w:val="0"/>
          <w:position w:val="0"/>
          <w:sz w:val="32"/>
          <w:szCs w:val="32"/>
          <w:lang w:val="en-US" w:eastAsia="zh-CN"/>
        </w:rPr>
        <w:t xml:space="preserve"> </w:t>
      </w:r>
      <w:r>
        <w:rPr>
          <w:rFonts w:hint="default" w:ascii="Times New Roman" w:hAnsi="Times New Roman" w:eastAsia="微软雅黑" w:cs="Times New Roman"/>
          <w:color w:val="auto"/>
          <w:spacing w:val="0"/>
          <w:position w:val="0"/>
          <w:sz w:val="32"/>
          <w:szCs w:val="32"/>
        </w:rPr>
        <w:t>环境影响评价</w:t>
      </w:r>
      <w:r>
        <w:rPr>
          <w:rFonts w:hint="default" w:ascii="Times New Roman" w:hAnsi="Times New Roman" w:eastAsia="微软雅黑" w:cs="Times New Roman"/>
          <w:color w:val="auto"/>
          <w:spacing w:val="0"/>
          <w:position w:val="0"/>
          <w:sz w:val="32"/>
          <w:szCs w:val="32"/>
          <w:lang w:eastAsia="zh-CN"/>
        </w:rPr>
        <w:t>的工作过程</w:t>
      </w:r>
      <w:bookmarkEnd w:id="4"/>
    </w:p>
    <w:p w14:paraId="185827DC">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根据《建设项目环境影响评价技术导则 总纲》（HJ2.1-2016）要求，环境影响评价工作一般分三个阶段，即</w:t>
      </w:r>
      <w:r>
        <w:rPr>
          <w:rFonts w:hint="default" w:ascii="Times New Roman" w:hAnsi="Times New Roman" w:cs="Times New Roman"/>
          <w:color w:val="auto"/>
          <w:kern w:val="0"/>
          <w:sz w:val="24"/>
          <w:szCs w:val="24"/>
          <w:shd w:val="clear" w:color="auto" w:fill="FFFFFF"/>
        </w:rPr>
        <w:t>调查分析和工作方案制定阶段，分析论证和预测评价阶段，环境影响报告书编制阶段</w:t>
      </w:r>
      <w:r>
        <w:rPr>
          <w:rFonts w:hint="default" w:ascii="Times New Roman" w:hAnsi="Times New Roman" w:cs="Times New Roman"/>
          <w:color w:val="auto"/>
          <w:sz w:val="24"/>
        </w:rPr>
        <w:t>。</w:t>
      </w:r>
    </w:p>
    <w:p w14:paraId="5D1F2319">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eastAsia" w:ascii="Times New Roman" w:hAnsi="Times New Roman" w:eastAsia="宋体" w:cs="Times New Roman"/>
          <w:color w:val="auto"/>
          <w:sz w:val="24"/>
          <w:lang w:val="en-US" w:eastAsia="zh-CN"/>
        </w:rPr>
        <w:t>1、</w:t>
      </w:r>
      <w:r>
        <w:rPr>
          <w:rFonts w:hint="default" w:ascii="Times New Roman" w:hAnsi="Times New Roman" w:cs="Times New Roman"/>
          <w:color w:val="auto"/>
          <w:sz w:val="24"/>
        </w:rPr>
        <w:t>一般评价工作过程</w:t>
      </w:r>
    </w:p>
    <w:p w14:paraId="7F45D04C">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本项目环境影响评价工作程序见图1</w:t>
      </w:r>
      <w:r>
        <w:rPr>
          <w:rFonts w:hint="default" w:ascii="Times New Roman" w:hAnsi="Times New Roman" w:eastAsia="宋体" w:cs="Times New Roman"/>
          <w:color w:val="auto"/>
          <w:sz w:val="24"/>
          <w:lang w:val="en-US" w:eastAsia="zh-CN"/>
        </w:rPr>
        <w:t>.</w:t>
      </w:r>
      <w:r>
        <w:rPr>
          <w:rFonts w:hint="default" w:ascii="Times New Roman" w:hAnsi="Times New Roman" w:cs="Times New Roman"/>
          <w:color w:val="auto"/>
          <w:sz w:val="24"/>
        </w:rPr>
        <w:t>3-1。</w:t>
      </w:r>
    </w:p>
    <w:p w14:paraId="011A2482">
      <w:pPr>
        <w:pStyle w:val="32"/>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157980" cy="5114925"/>
            <wp:effectExtent l="0" t="0" r="13970" b="9525"/>
            <wp:docPr id="38"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57"/>
                    <pic:cNvPicPr>
                      <a:picLocks noChangeAspect="1"/>
                    </pic:cNvPicPr>
                  </pic:nvPicPr>
                  <pic:blipFill>
                    <a:blip r:embed="rId23"/>
                    <a:stretch>
                      <a:fillRect/>
                    </a:stretch>
                  </pic:blipFill>
                  <pic:spPr>
                    <a:xfrm>
                      <a:off x="0" y="0"/>
                      <a:ext cx="4157980" cy="5114925"/>
                    </a:xfrm>
                    <a:prstGeom prst="rect">
                      <a:avLst/>
                    </a:prstGeom>
                    <a:noFill/>
                    <a:ln>
                      <a:noFill/>
                    </a:ln>
                  </pic:spPr>
                </pic:pic>
              </a:graphicData>
            </a:graphic>
          </wp:inline>
        </w:drawing>
      </w:r>
    </w:p>
    <w:p w14:paraId="35F499BF">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pacing w:val="0"/>
          <w:position w:val="0"/>
          <w:sz w:val="24"/>
          <w:szCs w:val="24"/>
        </w:rPr>
      </w:pPr>
      <w:r>
        <w:rPr>
          <w:rFonts w:hint="default" w:ascii="Times New Roman" w:hAnsi="Times New Roman" w:eastAsia="宋体" w:cs="Times New Roman"/>
          <w:b/>
          <w:bCs/>
          <w:color w:val="auto"/>
          <w:spacing w:val="0"/>
          <w:position w:val="0"/>
          <w:sz w:val="24"/>
          <w:szCs w:val="24"/>
        </w:rPr>
        <w:t>图1.3-1</w:t>
      </w:r>
      <w:r>
        <w:rPr>
          <w:rFonts w:hint="default" w:ascii="Times New Roman" w:hAnsi="Times New Roman" w:eastAsia="宋体" w:cs="Times New Roman"/>
          <w:b/>
          <w:bCs/>
          <w:color w:val="auto"/>
          <w:spacing w:val="0"/>
          <w:position w:val="0"/>
          <w:sz w:val="24"/>
          <w:szCs w:val="24"/>
          <w:lang w:val="en-US" w:eastAsia="zh-CN"/>
        </w:rPr>
        <w:t xml:space="preserve"> </w:t>
      </w:r>
      <w:r>
        <w:rPr>
          <w:rFonts w:hint="default" w:ascii="Times New Roman" w:hAnsi="Times New Roman" w:eastAsia="宋体" w:cs="Times New Roman"/>
          <w:b/>
          <w:bCs/>
          <w:color w:val="auto"/>
          <w:spacing w:val="0"/>
          <w:position w:val="0"/>
          <w:sz w:val="24"/>
          <w:szCs w:val="24"/>
        </w:rPr>
        <w:t xml:space="preserve"> 环境影响评价的工作过程</w:t>
      </w:r>
    </w:p>
    <w:p w14:paraId="79A955A5">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eastAsia" w:ascii="Times New Roman" w:hAnsi="Times New Roman" w:eastAsia="宋体" w:cs="Times New Roman"/>
          <w:color w:val="auto"/>
          <w:sz w:val="24"/>
          <w:lang w:val="en-US" w:eastAsia="zh-CN"/>
        </w:rPr>
        <w:t>2、</w:t>
      </w:r>
      <w:r>
        <w:rPr>
          <w:rFonts w:hint="default" w:ascii="Times New Roman" w:hAnsi="Times New Roman" w:cs="Times New Roman"/>
          <w:color w:val="auto"/>
          <w:sz w:val="24"/>
        </w:rPr>
        <w:t>本次评价过程</w:t>
      </w:r>
    </w:p>
    <w:p w14:paraId="0A7FA891">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本次环评工作分为三个阶段进行。</w:t>
      </w:r>
    </w:p>
    <w:p w14:paraId="0C58B14C">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1</w:t>
      </w:r>
      <w:r>
        <w:rPr>
          <w:rFonts w:hint="eastAsia" w:ascii="Times New Roman" w:hAnsi="Times New Roman" w:eastAsia="宋体" w:cs="Times New Roman"/>
          <w:color w:val="auto"/>
          <w:sz w:val="24"/>
          <w:lang w:eastAsia="zh-CN"/>
        </w:rPr>
        <w:t>）</w:t>
      </w:r>
      <w:r>
        <w:rPr>
          <w:rFonts w:hint="default" w:ascii="Times New Roman" w:hAnsi="Times New Roman" w:cs="Times New Roman"/>
          <w:color w:val="auto"/>
          <w:sz w:val="24"/>
        </w:rPr>
        <w:t>确定建设项目环境影响评价文件类别。本项目为</w:t>
      </w:r>
      <w:r>
        <w:rPr>
          <w:rFonts w:hint="eastAsia" w:ascii="Times New Roman" w:hAnsi="Times New Roman" w:cs="Times New Roman"/>
          <w:color w:val="auto"/>
          <w:sz w:val="24"/>
          <w:lang w:val="en-US" w:eastAsia="zh-CN"/>
        </w:rPr>
        <w:t>新建</w:t>
      </w:r>
      <w:r>
        <w:rPr>
          <w:rFonts w:hint="default" w:ascii="Times New Roman" w:hAnsi="Times New Roman" w:cs="Times New Roman"/>
          <w:color w:val="auto"/>
          <w:sz w:val="24"/>
          <w:lang w:eastAsia="zh-CN"/>
        </w:rPr>
        <w:t>工程，</w:t>
      </w:r>
      <w:r>
        <w:rPr>
          <w:rFonts w:hint="default" w:ascii="Times New Roman" w:hAnsi="Times New Roman" w:eastAsia="宋体" w:cs="Times New Roman"/>
          <w:color w:val="auto"/>
          <w:spacing w:val="0"/>
          <w:position w:val="0"/>
          <w:sz w:val="24"/>
          <w:lang w:val="en-US" w:eastAsia="zh-CN"/>
        </w:rPr>
        <w:t>本项目使用溶剂型涂料(含稀释剂)超过10t</w:t>
      </w:r>
      <w:r>
        <w:rPr>
          <w:rFonts w:hint="eastAsia" w:ascii="Times New Roman" w:hAnsi="Times New Roman" w:eastAsia="宋体" w:cs="Times New Roman"/>
          <w:color w:val="auto"/>
          <w:spacing w:val="0"/>
          <w:position w:val="0"/>
          <w:sz w:val="24"/>
          <w:lang w:val="en-US" w:eastAsia="zh-CN"/>
        </w:rPr>
        <w:t>/</w:t>
      </w:r>
      <w:r>
        <w:rPr>
          <w:rFonts w:hint="default" w:ascii="Times New Roman" w:hAnsi="Times New Roman" w:eastAsia="宋体" w:cs="Times New Roman"/>
          <w:color w:val="auto"/>
          <w:spacing w:val="0"/>
          <w:position w:val="0"/>
          <w:sz w:val="24"/>
          <w:lang w:val="en-US" w:eastAsia="zh-CN"/>
        </w:rPr>
        <w:t>a，</w:t>
      </w:r>
      <w:r>
        <w:rPr>
          <w:rFonts w:hint="default" w:ascii="Times New Roman" w:hAnsi="Times New Roman" w:cs="Times New Roman"/>
          <w:color w:val="auto"/>
          <w:sz w:val="24"/>
        </w:rPr>
        <w:t>根据《建设项目环境影响评价分类管理名录</w:t>
      </w:r>
      <w:r>
        <w:rPr>
          <w:rFonts w:hint="default" w:ascii="Times New Roman" w:hAnsi="Times New Roman" w:eastAsia="宋体" w:cs="Times New Roman"/>
          <w:color w:val="auto"/>
          <w:sz w:val="24"/>
          <w:lang w:eastAsia="zh-CN"/>
        </w:rPr>
        <w:t>（</w:t>
      </w:r>
      <w:r>
        <w:rPr>
          <w:rFonts w:hint="default" w:ascii="Times New Roman" w:hAnsi="Times New Roman" w:cs="Times New Roman"/>
          <w:color w:val="auto"/>
          <w:sz w:val="24"/>
        </w:rPr>
        <w:t>2021年版</w:t>
      </w:r>
      <w:r>
        <w:rPr>
          <w:rFonts w:hint="default" w:ascii="Times New Roman" w:hAnsi="Times New Roman" w:eastAsia="宋体" w:cs="Times New Roman"/>
          <w:color w:val="auto"/>
          <w:sz w:val="24"/>
          <w:lang w:eastAsia="zh-CN"/>
        </w:rPr>
        <w:t>）</w:t>
      </w:r>
      <w:r>
        <w:rPr>
          <w:rFonts w:hint="default" w:ascii="Times New Roman" w:hAnsi="Times New Roman" w:cs="Times New Roman"/>
          <w:color w:val="auto"/>
          <w:sz w:val="24"/>
        </w:rPr>
        <w:t>》</w:t>
      </w:r>
      <w:r>
        <w:rPr>
          <w:rFonts w:hint="default" w:ascii="Times New Roman" w:hAnsi="Times New Roman" w:eastAsia="宋体" w:cs="Times New Roman"/>
          <w:color w:val="auto"/>
          <w:sz w:val="24"/>
          <w:lang w:eastAsia="zh-CN"/>
        </w:rPr>
        <w:t>（</w:t>
      </w:r>
      <w:r>
        <w:rPr>
          <w:rFonts w:hint="default" w:ascii="Times New Roman" w:hAnsi="Times New Roman" w:cs="Times New Roman"/>
          <w:color w:val="auto"/>
          <w:sz w:val="24"/>
        </w:rPr>
        <w:t>生态环境部部令第16号，2021年1月1日起施行</w:t>
      </w:r>
      <w:r>
        <w:rPr>
          <w:rFonts w:hint="default"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的要求</w:t>
      </w:r>
      <w:r>
        <w:rPr>
          <w:rFonts w:hint="default" w:ascii="Times New Roman" w:hAnsi="Times New Roman" w:cs="Times New Roman"/>
          <w:color w:val="auto"/>
          <w:sz w:val="24"/>
        </w:rPr>
        <w:t>，本项目</w:t>
      </w:r>
      <w:r>
        <w:rPr>
          <w:rFonts w:hint="default" w:ascii="Times New Roman" w:hAnsi="Times New Roman" w:eastAsia="宋体" w:cs="Times New Roman"/>
          <w:color w:val="auto"/>
          <w:spacing w:val="0"/>
          <w:position w:val="0"/>
          <w:sz w:val="24"/>
          <w:szCs w:val="24"/>
        </w:rPr>
        <w:t>属于</w:t>
      </w:r>
      <w:r>
        <w:rPr>
          <w:rFonts w:hint="default" w:ascii="Times New Roman" w:hAnsi="Times New Roman" w:eastAsia="宋体" w:cs="Times New Roman"/>
          <w:color w:val="auto"/>
          <w:spacing w:val="0"/>
          <w:position w:val="0"/>
          <w:sz w:val="24"/>
          <w:lang w:val="en-US" w:eastAsia="zh-CN"/>
        </w:rPr>
        <w:t>三十三、汽车制造业36--第71项:汽车零部件及配件制造 367”中的“年用溶剂型涂料(含稀释剂)10吨及以上的</w:t>
      </w:r>
      <w:r>
        <w:rPr>
          <w:rFonts w:hint="eastAsia" w:ascii="Times New Roman" w:hAnsi="Times New Roman" w:eastAsia="宋体" w:cs="Times New Roman"/>
          <w:color w:val="auto"/>
          <w:spacing w:val="0"/>
          <w:position w:val="0"/>
          <w:sz w:val="24"/>
          <w:lang w:val="en-US" w:eastAsia="zh-CN"/>
        </w:rPr>
        <w:t>”</w:t>
      </w:r>
      <w:r>
        <w:rPr>
          <w:rFonts w:hint="default" w:ascii="Times New Roman" w:hAnsi="Times New Roman" w:eastAsia="宋体" w:cs="Times New Roman"/>
          <w:color w:val="auto"/>
          <w:spacing w:val="0"/>
          <w:position w:val="0"/>
          <w:sz w:val="24"/>
          <w:szCs w:val="24"/>
          <w:lang w:eastAsia="zh-CN"/>
        </w:rPr>
        <w:t>，需</w:t>
      </w:r>
      <w:r>
        <w:rPr>
          <w:rFonts w:hint="default" w:ascii="Times New Roman" w:hAnsi="Times New Roman" w:eastAsia="宋体" w:cs="Times New Roman"/>
          <w:color w:val="auto"/>
          <w:spacing w:val="0"/>
          <w:position w:val="0"/>
          <w:sz w:val="24"/>
          <w:szCs w:val="24"/>
        </w:rPr>
        <w:t>编制环境影响报告书。</w:t>
      </w:r>
    </w:p>
    <w:p w14:paraId="0390EE81">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评价单位在研究相关技术及其他有关文件基础上进行初步工程分析，开展了初步环境现状调查，进行了建设项目环境影响识别和评价因子筛选。明确了评价重点，确定了环境保护目标，根据环境影响评价相关技术导则确定评价工作等级、评价范围及评价适用标准，制定出相应工作方案。</w:t>
      </w:r>
    </w:p>
    <w:p w14:paraId="4F5528E4">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2</w:t>
      </w:r>
      <w:r>
        <w:rPr>
          <w:rFonts w:hint="eastAsia" w:ascii="Times New Roman" w:hAnsi="Times New Roman" w:eastAsia="宋体" w:cs="Times New Roman"/>
          <w:color w:val="auto"/>
          <w:sz w:val="24"/>
          <w:lang w:eastAsia="zh-CN"/>
        </w:rPr>
        <w:t>）</w:t>
      </w:r>
      <w:r>
        <w:rPr>
          <w:rFonts w:hint="default" w:ascii="Times New Roman" w:hAnsi="Times New Roman" w:cs="Times New Roman"/>
          <w:color w:val="auto"/>
          <w:sz w:val="24"/>
        </w:rPr>
        <w:t>根据第一阶段工作成果，对环境现状的大气环境、地下水环境、声环境、土壤环境等进行了调查、监测与评价，详细进行工程分析，确定主要环境影响因素，并采取相应的模式对各环境要素影响进行预测与分析。</w:t>
      </w:r>
    </w:p>
    <w:p w14:paraId="5D93C01D">
      <w:pPr>
        <w:keepNext w:val="0"/>
        <w:keepLines w:val="0"/>
        <w:pageBreakBefore w:val="0"/>
        <w:widowControl/>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pacing w:val="0"/>
          <w:position w:val="0"/>
          <w:sz w:val="24"/>
          <w:szCs w:val="24"/>
        </w:rPr>
      </w:pP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3</w:t>
      </w:r>
      <w:r>
        <w:rPr>
          <w:rFonts w:hint="eastAsia" w:ascii="Times New Roman" w:hAnsi="Times New Roman" w:eastAsia="宋体" w:cs="Times New Roman"/>
          <w:color w:val="auto"/>
          <w:sz w:val="24"/>
          <w:lang w:eastAsia="zh-CN"/>
        </w:rPr>
        <w:t>）</w:t>
      </w:r>
      <w:r>
        <w:rPr>
          <w:rFonts w:hint="default" w:ascii="Times New Roman" w:hAnsi="Times New Roman" w:cs="Times New Roman"/>
          <w:color w:val="auto"/>
          <w:sz w:val="24"/>
          <w:lang w:val="en-US" w:eastAsia="zh-CN"/>
        </w:rPr>
        <w:t>提出环境保护措施，进行经济技术可行性论证，给出污染物排放清单并给出评价结论，形成</w:t>
      </w:r>
      <w:r>
        <w:rPr>
          <w:rFonts w:hint="default" w:ascii="Times New Roman" w:hAnsi="Times New Roman" w:eastAsia="宋体" w:cs="Times New Roman"/>
          <w:color w:val="auto"/>
          <w:spacing w:val="0"/>
          <w:position w:val="0"/>
          <w:sz w:val="24"/>
          <w:szCs w:val="24"/>
        </w:rPr>
        <w:t>环境影响报告书。</w:t>
      </w:r>
    </w:p>
    <w:p w14:paraId="47568013">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0"/>
          <w:position w:val="0"/>
          <w:sz w:val="32"/>
          <w:szCs w:val="32"/>
          <w:lang w:eastAsia="zh-CN"/>
        </w:rPr>
      </w:pPr>
      <w:bookmarkStart w:id="5" w:name="_Toc2897"/>
      <w:r>
        <w:rPr>
          <w:rFonts w:hint="default" w:ascii="Times New Roman" w:hAnsi="Times New Roman" w:eastAsia="微软雅黑" w:cs="Times New Roman"/>
          <w:color w:val="auto"/>
          <w:spacing w:val="0"/>
          <w:position w:val="0"/>
          <w:sz w:val="32"/>
          <w:szCs w:val="32"/>
          <w:lang w:eastAsia="zh-CN"/>
        </w:rPr>
        <w:t>1.4</w:t>
      </w:r>
      <w:r>
        <w:rPr>
          <w:rFonts w:hint="default" w:ascii="Times New Roman" w:hAnsi="Times New Roman" w:eastAsia="微软雅黑" w:cs="Times New Roman"/>
          <w:color w:val="auto"/>
          <w:spacing w:val="0"/>
          <w:position w:val="0"/>
          <w:sz w:val="32"/>
          <w:szCs w:val="32"/>
          <w:lang w:val="en-US" w:eastAsia="zh-CN"/>
        </w:rPr>
        <w:t xml:space="preserve"> </w:t>
      </w:r>
      <w:r>
        <w:rPr>
          <w:rFonts w:hint="default" w:ascii="Times New Roman" w:hAnsi="Times New Roman" w:eastAsia="微软雅黑" w:cs="Times New Roman"/>
          <w:color w:val="auto"/>
          <w:spacing w:val="0"/>
          <w:position w:val="0"/>
          <w:sz w:val="32"/>
          <w:szCs w:val="32"/>
          <w:lang w:eastAsia="zh-CN"/>
        </w:rPr>
        <w:t>分析判定相关情况</w:t>
      </w:r>
      <w:bookmarkEnd w:id="5"/>
    </w:p>
    <w:p w14:paraId="7308C4AA">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default" w:ascii="Times New Roman" w:hAnsi="Times New Roman" w:eastAsia="宋体" w:cs="Times New Roman"/>
          <w:b/>
          <w:bCs/>
          <w:color w:val="auto"/>
          <w:spacing w:val="0"/>
          <w:position w:val="0"/>
          <w:sz w:val="30"/>
          <w:szCs w:val="30"/>
          <w:lang w:val="en-US" w:eastAsia="zh-CN"/>
        </w:rPr>
        <w:t>1.4.1与产业政策符合性分析</w:t>
      </w:r>
    </w:p>
    <w:p w14:paraId="51B8A60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outlineLvl w:val="9"/>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本项目属于汽车零部件制造业，对照《产业结构调整指导目录（2024本），不在其限制和淘汰类项目之列，属允许类产业。</w:t>
      </w:r>
      <w:r>
        <w:rPr>
          <w:rFonts w:hint="eastAsia" w:ascii="Times New Roman" w:hAnsi="Times New Roman" w:eastAsia="宋体" w:cs="Times New Roman"/>
          <w:color w:val="auto"/>
          <w:spacing w:val="0"/>
          <w:position w:val="0"/>
          <w:sz w:val="24"/>
          <w:szCs w:val="24"/>
          <w:lang w:val="en-US" w:eastAsia="zh-CN"/>
        </w:rPr>
        <w:t>因此，</w:t>
      </w:r>
      <w:r>
        <w:rPr>
          <w:rFonts w:hint="default" w:ascii="Times New Roman" w:hAnsi="Times New Roman" w:eastAsia="宋体" w:cs="Times New Roman"/>
          <w:color w:val="auto"/>
          <w:spacing w:val="0"/>
          <w:position w:val="0"/>
          <w:sz w:val="24"/>
          <w:szCs w:val="24"/>
        </w:rPr>
        <w:t>本项目的建设与国家产业政策相符合。</w:t>
      </w:r>
    </w:p>
    <w:p w14:paraId="27BD5FBC">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default" w:ascii="Times New Roman" w:hAnsi="Times New Roman" w:eastAsia="宋体" w:cs="Times New Roman"/>
          <w:b/>
          <w:bCs/>
          <w:color w:val="auto"/>
          <w:spacing w:val="0"/>
          <w:position w:val="0"/>
          <w:sz w:val="30"/>
          <w:szCs w:val="30"/>
          <w:lang w:val="en-US" w:eastAsia="zh-CN"/>
        </w:rPr>
        <w:t>1.4.</w:t>
      </w:r>
      <w:r>
        <w:rPr>
          <w:rFonts w:hint="eastAsia" w:ascii="Times New Roman" w:hAnsi="Times New Roman" w:eastAsia="宋体" w:cs="Times New Roman"/>
          <w:b/>
          <w:bCs/>
          <w:color w:val="auto"/>
          <w:spacing w:val="0"/>
          <w:position w:val="0"/>
          <w:sz w:val="30"/>
          <w:szCs w:val="30"/>
          <w:lang w:val="en-US" w:eastAsia="zh-CN"/>
        </w:rPr>
        <w:t>2</w:t>
      </w:r>
      <w:r>
        <w:rPr>
          <w:rFonts w:hint="default" w:ascii="Times New Roman" w:hAnsi="Times New Roman" w:eastAsia="宋体" w:cs="Times New Roman"/>
          <w:b/>
          <w:bCs/>
          <w:color w:val="auto"/>
          <w:spacing w:val="0"/>
          <w:position w:val="0"/>
          <w:sz w:val="30"/>
          <w:szCs w:val="30"/>
          <w:lang w:val="en-US" w:eastAsia="zh-CN"/>
        </w:rPr>
        <w:t>与相关政策符合性分析</w:t>
      </w:r>
    </w:p>
    <w:p w14:paraId="52A06BB8">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jc w:val="left"/>
        <w:textAlignment w:val="baseline"/>
        <w:outlineLvl w:val="3"/>
        <w:rPr>
          <w:rFonts w:hint="default" w:ascii="Times New Roman" w:hAnsi="Times New Roman" w:cs="Times New Roman"/>
          <w:b/>
          <w:bCs/>
          <w:color w:val="auto"/>
          <w:sz w:val="24"/>
          <w:lang w:val="en-US" w:eastAsia="zh-CN"/>
        </w:rPr>
      </w:pPr>
      <w:r>
        <w:rPr>
          <w:rFonts w:hint="eastAsia" w:ascii="Times New Roman" w:hAnsi="Times New Roman" w:cs="Times New Roman"/>
          <w:b/>
          <w:bCs/>
          <w:color w:val="auto"/>
          <w:sz w:val="24"/>
          <w:lang w:val="en-US" w:eastAsia="zh-CN"/>
        </w:rPr>
        <w:t>1.4.2.1与“大气污染防治政策”符合性判定</w:t>
      </w:r>
    </w:p>
    <w:p w14:paraId="5F1AB50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outlineLvl w:val="9"/>
        <w:rPr>
          <w:rFonts w:hint="default" w:ascii="Times New Roman" w:hAnsi="Times New Roman" w:eastAsia="宋体" w:cs="Times New Roman"/>
          <w:color w:val="auto"/>
          <w:spacing w:val="0"/>
          <w:position w:val="0"/>
          <w:sz w:val="24"/>
          <w:szCs w:val="24"/>
          <w:lang w:val="en-US" w:eastAsia="zh-CN"/>
        </w:rPr>
      </w:pPr>
      <w:r>
        <w:rPr>
          <w:rFonts w:hint="eastAsia" w:ascii="Times New Roman" w:hAnsi="Times New Roman" w:eastAsia="宋体" w:cs="Times New Roman"/>
          <w:color w:val="auto"/>
          <w:spacing w:val="0"/>
          <w:position w:val="0"/>
          <w:sz w:val="24"/>
          <w:szCs w:val="24"/>
          <w:lang w:val="en-US" w:eastAsia="zh-CN"/>
        </w:rPr>
        <w:t>根据《大气污染防治行动计划》（国发[2013]37号）、《重点行业挥发性有机物综合治理方案》（环大气[2019]53）、《黑龙江省大气污染防治行动计划实施细则》（黑政发〔2014〕1号）、《黑龙江省重点行业挥发性有机物综合治理行动方案》（黑环发[2019]153号）、《挥发性有机物（VOCs）污染防治技术政策》、《国务院关于印发〈空气质量持续改善行动计划〉的通知》（国发[2023]24号）、</w:t>
      </w:r>
      <w:r>
        <w:rPr>
          <w:rFonts w:hint="default" w:ascii="Times New Roman" w:hAnsi="Times New Roman" w:eastAsia="宋体" w:cs="Times New Roman"/>
          <w:color w:val="auto"/>
          <w:spacing w:val="0"/>
          <w:position w:val="0"/>
          <w:sz w:val="24"/>
          <w:szCs w:val="24"/>
          <w:lang w:val="en-US" w:eastAsia="zh-CN"/>
        </w:rPr>
        <w:t>《</w:t>
      </w:r>
      <w:r>
        <w:rPr>
          <w:rFonts w:hint="eastAsia" w:ascii="Times New Roman" w:hAnsi="Times New Roman" w:eastAsia="宋体" w:cs="Times New Roman"/>
          <w:color w:val="auto"/>
          <w:spacing w:val="0"/>
          <w:position w:val="0"/>
          <w:sz w:val="24"/>
          <w:szCs w:val="24"/>
          <w:lang w:val="en-US" w:eastAsia="zh-CN"/>
        </w:rPr>
        <w:t>黑龙江省空气质量持续改善行动计划实施方案</w:t>
      </w:r>
      <w:r>
        <w:rPr>
          <w:rFonts w:hint="default" w:ascii="Times New Roman" w:hAnsi="Times New Roman" w:eastAsia="宋体" w:cs="Times New Roman"/>
          <w:color w:val="auto"/>
          <w:spacing w:val="0"/>
          <w:position w:val="0"/>
          <w:sz w:val="24"/>
          <w:szCs w:val="24"/>
          <w:lang w:val="en-US" w:eastAsia="zh-CN"/>
        </w:rPr>
        <w:t>》（</w:t>
      </w:r>
      <w:r>
        <w:rPr>
          <w:rFonts w:hint="eastAsia" w:ascii="Times New Roman" w:hAnsi="Times New Roman" w:eastAsia="宋体" w:cs="Times New Roman"/>
          <w:color w:val="auto"/>
          <w:spacing w:val="0"/>
          <w:position w:val="0"/>
          <w:sz w:val="24"/>
          <w:szCs w:val="24"/>
          <w:lang w:val="en-US" w:eastAsia="zh-CN"/>
        </w:rPr>
        <w:t>黑政发[2023]19号</w:t>
      </w:r>
      <w:r>
        <w:rPr>
          <w:rFonts w:hint="default" w:ascii="Times New Roman" w:hAnsi="Times New Roman" w:eastAsia="宋体" w:cs="Times New Roman"/>
          <w:color w:val="auto"/>
          <w:spacing w:val="0"/>
          <w:position w:val="0"/>
          <w:sz w:val="24"/>
          <w:szCs w:val="24"/>
          <w:lang w:val="en-US" w:eastAsia="zh-CN"/>
        </w:rPr>
        <w:t>）、《哈尔滨市大气环境质量限期达标规划（2020-2027年）》</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《黑龙江省工业炉窑大气污染综合治理方案的通知》</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黑环发〔2019〕144号</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color w:val="auto"/>
          <w:spacing w:val="0"/>
          <w:position w:val="0"/>
          <w:sz w:val="24"/>
          <w:szCs w:val="24"/>
          <w:lang w:val="en-US" w:eastAsia="zh-CN"/>
        </w:rPr>
        <w:t>，本项目与“大气污染防治政策”相关要求符合性详见下表。</w:t>
      </w:r>
    </w:p>
    <w:p w14:paraId="6FA997C7">
      <w:pPr>
        <w:widowControl/>
        <w:spacing w:line="240" w:lineRule="auto"/>
        <w:ind w:firstLine="0" w:firstLineChars="0"/>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表1.4-</w:t>
      </w:r>
      <w:r>
        <w:rPr>
          <w:rFonts w:hint="eastAsia" w:ascii="Times New Roman" w:hAnsi="Times New Roman" w:eastAsia="宋体" w:cs="Times New Roman"/>
          <w:b/>
          <w:bCs/>
          <w:sz w:val="24"/>
          <w:szCs w:val="24"/>
          <w:lang w:val="en-US" w:eastAsia="zh-CN"/>
        </w:rPr>
        <w:t>1</w:t>
      </w:r>
      <w:r>
        <w:rPr>
          <w:rFonts w:hint="default" w:ascii="Times New Roman" w:hAnsi="Times New Roman" w:eastAsia="宋体" w:cs="Times New Roman"/>
          <w:b/>
          <w:bCs/>
          <w:sz w:val="24"/>
          <w:szCs w:val="24"/>
        </w:rPr>
        <w:t xml:space="preserve">  本项目与大气污染防治行动计划相关要求符合性</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451"/>
        <w:gridCol w:w="385"/>
        <w:gridCol w:w="1507"/>
        <w:gridCol w:w="5489"/>
        <w:gridCol w:w="1353"/>
      </w:tblGrid>
      <w:tr w14:paraId="4E9059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451" w:type="dxa"/>
            <w:tcBorders>
              <w:tl2br w:val="nil"/>
              <w:tr2bl w:val="nil"/>
            </w:tcBorders>
            <w:vAlign w:val="center"/>
          </w:tcPr>
          <w:p w14:paraId="68D84BA8">
            <w:pPr>
              <w:widowControl/>
              <w:snapToGrid w:val="0"/>
              <w:spacing w:line="240" w:lineRule="auto"/>
              <w:ind w:firstLine="0" w:firstLineChars="0"/>
              <w:jc w:val="center"/>
              <w:rPr>
                <w:rFonts w:hint="default" w:ascii="Times New Roman" w:hAnsi="Times New Roman" w:eastAsia="宋体" w:cs="Times New Roman"/>
                <w:b/>
                <w:sz w:val="21"/>
              </w:rPr>
            </w:pPr>
            <w:r>
              <w:rPr>
                <w:rFonts w:hint="default" w:ascii="Times New Roman" w:hAnsi="Times New Roman" w:eastAsia="宋体" w:cs="Times New Roman"/>
                <w:b/>
                <w:sz w:val="21"/>
              </w:rPr>
              <w:t>序号</w:t>
            </w:r>
          </w:p>
        </w:tc>
        <w:tc>
          <w:tcPr>
            <w:tcW w:w="1892" w:type="dxa"/>
            <w:gridSpan w:val="2"/>
            <w:tcBorders>
              <w:tl2br w:val="nil"/>
              <w:tr2bl w:val="nil"/>
            </w:tcBorders>
            <w:vAlign w:val="center"/>
          </w:tcPr>
          <w:p w14:paraId="36160320">
            <w:pPr>
              <w:widowControl/>
              <w:snapToGrid w:val="0"/>
              <w:spacing w:line="240" w:lineRule="auto"/>
              <w:ind w:firstLine="0" w:firstLineChars="0"/>
              <w:jc w:val="center"/>
              <w:rPr>
                <w:rFonts w:hint="default" w:ascii="Times New Roman" w:hAnsi="Times New Roman" w:eastAsia="宋体" w:cs="Times New Roman"/>
                <w:b/>
                <w:sz w:val="21"/>
              </w:rPr>
            </w:pPr>
            <w:r>
              <w:rPr>
                <w:rFonts w:hint="default" w:ascii="Times New Roman" w:hAnsi="Times New Roman" w:eastAsia="宋体" w:cs="Times New Roman"/>
                <w:b/>
                <w:sz w:val="21"/>
              </w:rPr>
              <w:t>类别</w:t>
            </w:r>
          </w:p>
        </w:tc>
        <w:tc>
          <w:tcPr>
            <w:tcW w:w="5489" w:type="dxa"/>
            <w:tcBorders>
              <w:tl2br w:val="nil"/>
              <w:tr2bl w:val="nil"/>
            </w:tcBorders>
            <w:vAlign w:val="center"/>
          </w:tcPr>
          <w:p w14:paraId="325699AF">
            <w:pPr>
              <w:widowControl/>
              <w:snapToGrid w:val="0"/>
              <w:spacing w:line="240" w:lineRule="auto"/>
              <w:ind w:firstLine="0" w:firstLineChars="0"/>
              <w:jc w:val="center"/>
              <w:rPr>
                <w:rFonts w:hint="default" w:ascii="Times New Roman" w:hAnsi="Times New Roman" w:eastAsia="宋体" w:cs="Times New Roman"/>
                <w:b/>
                <w:sz w:val="21"/>
              </w:rPr>
            </w:pPr>
            <w:r>
              <w:rPr>
                <w:rFonts w:hint="default" w:ascii="Times New Roman" w:hAnsi="Times New Roman" w:eastAsia="宋体" w:cs="Times New Roman"/>
                <w:b/>
                <w:sz w:val="21"/>
                <w:lang w:val="en-US" w:eastAsia="zh-CN"/>
              </w:rPr>
              <w:t>“大气污染防治政策”</w:t>
            </w:r>
            <w:r>
              <w:rPr>
                <w:rFonts w:hint="default" w:ascii="Times New Roman" w:hAnsi="Times New Roman" w:eastAsia="宋体" w:cs="Times New Roman"/>
                <w:b/>
                <w:sz w:val="21"/>
              </w:rPr>
              <w:t>的要求</w:t>
            </w:r>
          </w:p>
        </w:tc>
        <w:tc>
          <w:tcPr>
            <w:tcW w:w="1353" w:type="dxa"/>
            <w:tcBorders>
              <w:tl2br w:val="nil"/>
              <w:tr2bl w:val="nil"/>
            </w:tcBorders>
            <w:vAlign w:val="center"/>
          </w:tcPr>
          <w:p w14:paraId="2481A598">
            <w:pPr>
              <w:widowControl/>
              <w:snapToGrid w:val="0"/>
              <w:spacing w:line="240" w:lineRule="auto"/>
              <w:ind w:firstLine="0" w:firstLineChars="0"/>
              <w:jc w:val="center"/>
              <w:rPr>
                <w:rFonts w:hint="default" w:ascii="Times New Roman" w:hAnsi="Times New Roman" w:eastAsia="宋体" w:cs="Times New Roman"/>
                <w:b/>
                <w:sz w:val="21"/>
              </w:rPr>
            </w:pPr>
            <w:r>
              <w:rPr>
                <w:rFonts w:hint="default" w:ascii="Times New Roman" w:hAnsi="Times New Roman" w:eastAsia="宋体" w:cs="Times New Roman"/>
                <w:b/>
                <w:sz w:val="21"/>
              </w:rPr>
              <w:t>本项目符合性</w:t>
            </w:r>
          </w:p>
        </w:tc>
      </w:tr>
      <w:tr w14:paraId="532FC8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51" w:type="dxa"/>
            <w:vMerge w:val="restart"/>
            <w:tcBorders>
              <w:tl2br w:val="nil"/>
              <w:tr2bl w:val="nil"/>
            </w:tcBorders>
            <w:vAlign w:val="center"/>
          </w:tcPr>
          <w:p w14:paraId="0C652AD7">
            <w:pPr>
              <w:widowControl/>
              <w:spacing w:line="240" w:lineRule="auto"/>
              <w:ind w:firstLine="0" w:firstLineChars="0"/>
              <w:jc w:val="center"/>
              <w:rPr>
                <w:rFonts w:hint="default" w:ascii="Times New Roman" w:hAnsi="Times New Roman" w:eastAsia="宋体" w:cs="Times New Roman"/>
                <w:sz w:val="21"/>
              </w:rPr>
            </w:pPr>
            <w:r>
              <w:rPr>
                <w:rFonts w:hint="default" w:ascii="Times New Roman" w:hAnsi="Times New Roman" w:eastAsia="宋体" w:cs="Times New Roman"/>
                <w:sz w:val="21"/>
              </w:rPr>
              <w:t>1</w:t>
            </w:r>
          </w:p>
        </w:tc>
        <w:tc>
          <w:tcPr>
            <w:tcW w:w="385" w:type="dxa"/>
            <w:vMerge w:val="restart"/>
            <w:tcBorders>
              <w:tl2br w:val="nil"/>
              <w:tr2bl w:val="nil"/>
            </w:tcBorders>
            <w:vAlign w:val="center"/>
          </w:tcPr>
          <w:p w14:paraId="73E12D51">
            <w:pPr>
              <w:widowControl/>
              <w:spacing w:line="240" w:lineRule="auto"/>
              <w:ind w:firstLine="0" w:firstLineChars="0"/>
              <w:jc w:val="center"/>
              <w:rPr>
                <w:rFonts w:hint="default" w:ascii="Times New Roman" w:hAnsi="Times New Roman" w:eastAsia="宋体" w:cs="Times New Roman"/>
                <w:sz w:val="21"/>
              </w:rPr>
            </w:pPr>
            <w:r>
              <w:rPr>
                <w:rFonts w:hint="default" w:ascii="Times New Roman" w:hAnsi="Times New Roman" w:eastAsia="宋体" w:cs="Times New Roman"/>
                <w:sz w:val="21"/>
              </w:rPr>
              <w:t>国家</w:t>
            </w:r>
          </w:p>
        </w:tc>
        <w:tc>
          <w:tcPr>
            <w:tcW w:w="1507" w:type="dxa"/>
            <w:tcBorders>
              <w:tl2br w:val="nil"/>
              <w:tr2bl w:val="nil"/>
            </w:tcBorders>
            <w:vAlign w:val="center"/>
          </w:tcPr>
          <w:p w14:paraId="4E4190C1">
            <w:pPr>
              <w:widowControl/>
              <w:spacing w:line="240" w:lineRule="auto"/>
              <w:ind w:firstLine="0" w:firstLineChars="0"/>
              <w:jc w:val="center"/>
              <w:rPr>
                <w:rFonts w:hint="default" w:ascii="Times New Roman" w:hAnsi="Times New Roman" w:eastAsia="宋体" w:cs="Times New Roman"/>
                <w:sz w:val="21"/>
              </w:rPr>
            </w:pPr>
            <w:r>
              <w:rPr>
                <w:rFonts w:hint="default" w:ascii="Times New Roman" w:hAnsi="Times New Roman" w:eastAsia="宋体" w:cs="Times New Roman"/>
                <w:sz w:val="21"/>
                <w:lang w:val="en-US" w:eastAsia="zh-CN"/>
              </w:rPr>
              <w:t>《大气污染防治行动计划》（国发[2013]37号）</w:t>
            </w:r>
          </w:p>
        </w:tc>
        <w:tc>
          <w:tcPr>
            <w:tcW w:w="5489" w:type="dxa"/>
            <w:tcBorders>
              <w:tl2br w:val="nil"/>
              <w:tr2bl w:val="nil"/>
            </w:tcBorders>
            <w:vAlign w:val="center"/>
          </w:tcPr>
          <w:p w14:paraId="38821FA4">
            <w:pPr>
              <w:widowControl/>
              <w:spacing w:line="240" w:lineRule="auto"/>
              <w:ind w:firstLine="0" w:firstLineChars="0"/>
              <w:jc w:val="left"/>
              <w:rPr>
                <w:rFonts w:hint="default" w:ascii="Times New Roman" w:hAnsi="Times New Roman" w:eastAsia="宋体" w:cs="Times New Roman"/>
                <w:sz w:val="21"/>
              </w:rPr>
            </w:pPr>
            <w:r>
              <w:rPr>
                <w:rFonts w:hint="default" w:ascii="Times New Roman" w:hAnsi="Times New Roman" w:eastAsia="宋体" w:cs="Times New Roman"/>
                <w:sz w:val="21"/>
                <w:lang w:val="en-US" w:eastAsia="zh-CN"/>
              </w:rPr>
              <w:t>（1）加大综合治理力度，减少多污染物排放。加强工业企业大气污染综合治理；推进挥发性有机物污染治理。</w:t>
            </w:r>
          </w:p>
          <w:p w14:paraId="407A0CB2">
            <w:pPr>
              <w:widowControl/>
              <w:spacing w:line="240" w:lineRule="auto"/>
              <w:ind w:firstLine="0" w:firstLineChars="0"/>
              <w:jc w:val="left"/>
              <w:rPr>
                <w:rFonts w:hint="default" w:ascii="Times New Roman" w:hAnsi="Times New Roman" w:eastAsia="宋体" w:cs="Times New Roman"/>
                <w:sz w:val="21"/>
              </w:rPr>
            </w:pPr>
            <w:r>
              <w:rPr>
                <w:rFonts w:hint="default" w:ascii="Times New Roman" w:hAnsi="Times New Roman" w:eastAsia="宋体" w:cs="Times New Roman"/>
                <w:sz w:val="21"/>
                <w:lang w:val="en-US" w:eastAsia="zh-CN"/>
              </w:rPr>
              <w:t>（2）加快调整能源结构，增加清洁能源供应。</w:t>
            </w:r>
          </w:p>
        </w:tc>
        <w:tc>
          <w:tcPr>
            <w:tcW w:w="1353" w:type="dxa"/>
            <w:vMerge w:val="restart"/>
            <w:tcBorders>
              <w:tl2br w:val="nil"/>
              <w:tr2bl w:val="nil"/>
            </w:tcBorders>
            <w:vAlign w:val="center"/>
          </w:tcPr>
          <w:p w14:paraId="1B25ED30">
            <w:pPr>
              <w:widowControl/>
              <w:spacing w:line="240" w:lineRule="auto"/>
              <w:ind w:firstLine="0" w:firstLineChars="0"/>
              <w:rPr>
                <w:rFonts w:hint="eastAsia" w:ascii="Times New Roman" w:hAnsi="Times New Roman" w:eastAsia="宋体" w:cs="Times New Roman"/>
                <w:sz w:val="21"/>
                <w:lang w:eastAsia="zh-CN"/>
              </w:rPr>
            </w:pPr>
            <w:r>
              <w:rPr>
                <w:rFonts w:hint="default" w:ascii="Times New Roman" w:hAnsi="Times New Roman" w:eastAsia="宋体" w:cs="Times New Roman"/>
                <w:sz w:val="21"/>
              </w:rPr>
              <w:t>本项目位于黑龙江</w:t>
            </w:r>
            <w:r>
              <w:rPr>
                <w:rFonts w:hint="eastAsia" w:ascii="Times New Roman" w:hAnsi="Times New Roman" w:eastAsia="宋体" w:cs="Times New Roman"/>
                <w:sz w:val="21"/>
                <w:lang w:val="en-US" w:eastAsia="zh-CN"/>
              </w:rPr>
              <w:t>省哈尔滨市</w:t>
            </w:r>
            <w:r>
              <w:rPr>
                <w:rFonts w:hint="default" w:ascii="Times New Roman" w:hAnsi="Times New Roman" w:eastAsia="宋体" w:cs="Times New Roman"/>
                <w:sz w:val="21"/>
              </w:rPr>
              <w:t>五常市牛家工业园区宁波路13号</w:t>
            </w:r>
            <w:r>
              <w:rPr>
                <w:rFonts w:hint="eastAsia" w:ascii="Times New Roman" w:hAnsi="Times New Roman" w:eastAsia="宋体" w:cs="Times New Roman"/>
                <w:sz w:val="21"/>
                <w:lang w:eastAsia="zh-CN"/>
              </w:rPr>
              <w:t>。</w:t>
            </w:r>
          </w:p>
          <w:p w14:paraId="26CC09D2">
            <w:pPr>
              <w:widowControl/>
              <w:spacing w:line="240" w:lineRule="auto"/>
              <w:ind w:firstLine="0" w:firstLineChars="0"/>
              <w:rPr>
                <w:rFonts w:hint="default" w:ascii="Times New Roman" w:hAnsi="Times New Roman" w:eastAsia="宋体" w:cs="Times New Roman"/>
                <w:sz w:val="21"/>
              </w:rPr>
            </w:pPr>
            <w:r>
              <w:rPr>
                <w:rFonts w:hint="default" w:ascii="Times New Roman" w:hAnsi="Times New Roman" w:eastAsia="宋体" w:cs="Times New Roman"/>
                <w:sz w:val="21"/>
              </w:rPr>
              <w:t>本项目对厂区内装置、阀门、管线等定期巡检和管理，防止跑、冒、滴、漏造成的气体挥发。</w:t>
            </w:r>
            <w:r>
              <w:rPr>
                <w:rFonts w:hint="eastAsia" w:ascii="Times New Roman" w:hAnsi="Times New Roman" w:eastAsia="宋体" w:cs="Times New Roman"/>
                <w:sz w:val="21"/>
                <w:lang w:val="en-US" w:eastAsia="zh-CN"/>
              </w:rPr>
              <w:t>本项目冬季采用电采暖，生产用热为电及天然气。本项目冬季采用电采暖，生产用热为电及天然气。本项目使用的液态原料均存储于密闭包装桶或包装盒中，包装桶及包装盒存放于专用储存区，非取用状态下，各包装桶及包装盒均加盖、封口、保持密闭。</w:t>
            </w:r>
          </w:p>
          <w:p w14:paraId="1340A4CB">
            <w:pPr>
              <w:widowControl/>
              <w:spacing w:line="240" w:lineRule="auto"/>
              <w:ind w:firstLine="0" w:firstLineChars="0"/>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sz w:val="21"/>
              </w:rPr>
              <w:t>本项目工艺产生的废气通过处理后达标排放。</w:t>
            </w:r>
            <w:r>
              <w:rPr>
                <w:rFonts w:hint="default" w:ascii="Times New Roman" w:hAnsi="Times New Roman" w:eastAsia="宋体" w:cs="Times New Roman"/>
                <w:color w:val="auto"/>
                <w:sz w:val="21"/>
                <w:lang w:val="en-US" w:eastAsia="zh-CN"/>
              </w:rPr>
              <w:t>本项目在每台注塑机出口设置集气罩对注塑废气进行收集，然后汇入一套“四级活性炭”装置处理后，尾气通过一根15m高排气筒(DA001)排放；喷涂废气（调漆废气、喷漆废气、流平废气、烘干废气）、管路和喷枪清洗废气与丝印废气经水帘式漆雾净化+沸石转轮吸附+RTO焚烧装置处理后经一根22.5m高排气筒（DA002）排放；天然气燃烧机废气经</w:t>
            </w:r>
            <w:r>
              <w:rPr>
                <w:rFonts w:hint="eastAsia" w:ascii="Times New Roman" w:hAnsi="Times New Roman" w:eastAsia="宋体" w:cs="Times New Roman"/>
                <w:color w:val="auto"/>
                <w:sz w:val="21"/>
                <w:lang w:val="en-US" w:eastAsia="zh-CN"/>
              </w:rPr>
              <w:t>低氮燃烧后经</w:t>
            </w:r>
            <w:r>
              <w:rPr>
                <w:rFonts w:hint="default" w:ascii="Times New Roman" w:hAnsi="Times New Roman" w:eastAsia="宋体" w:cs="Times New Roman"/>
                <w:color w:val="auto"/>
                <w:sz w:val="21"/>
                <w:lang w:val="en-US" w:eastAsia="zh-CN"/>
              </w:rPr>
              <w:t>20.5m高烟囱（DA003）排放；</w:t>
            </w:r>
            <w:r>
              <w:rPr>
                <w:rFonts w:hint="eastAsia" w:ascii="Times New Roman" w:hAnsi="Times New Roman" w:eastAsia="宋体" w:cs="Times New Roman"/>
                <w:color w:val="auto"/>
                <w:sz w:val="21"/>
                <w:lang w:val="en-US" w:eastAsia="zh-CN"/>
              </w:rPr>
              <w:t>配胶、喷胶及烘干</w:t>
            </w:r>
            <w:r>
              <w:rPr>
                <w:rFonts w:hint="default" w:ascii="Times New Roman" w:hAnsi="Times New Roman" w:eastAsia="宋体" w:cs="Times New Roman"/>
                <w:color w:val="auto"/>
                <w:sz w:val="21"/>
                <w:lang w:val="en-US" w:eastAsia="zh-CN"/>
              </w:rPr>
              <w:t>废气、发泡废气收集后经四级活性炭吸附装置处理后于1根15m高排气筒（DA004）排放；</w:t>
            </w:r>
            <w:r>
              <w:rPr>
                <w:rFonts w:hint="eastAsia" w:ascii="Times New Roman" w:hAnsi="Times New Roman" w:eastAsia="宋体" w:cs="Times New Roman"/>
                <w:color w:val="auto"/>
                <w:sz w:val="21"/>
                <w:lang w:val="en-US" w:eastAsia="zh-CN"/>
              </w:rPr>
              <w:t>打磨抛光粉尘自带布袋除尘器，除尘过程废气产生量少，除尘废气在车间内无组织排放；</w:t>
            </w:r>
            <w:r>
              <w:rPr>
                <w:rFonts w:hint="default" w:ascii="Times New Roman" w:hAnsi="Times New Roman" w:eastAsia="宋体" w:cs="Times New Roman"/>
                <w:color w:val="auto"/>
                <w:sz w:val="21"/>
                <w:lang w:val="en-US" w:eastAsia="zh-CN"/>
              </w:rPr>
              <w:t>破碎机破碎时是完全密闭的，且设有专门的密闭破碎间，破碎粉尘产生量较少，在车间内无组织排放；危险废物贮存库密闭贮存危险废物，及时转运，挥发出极少量的有机废气，在厂区内无组织排放。</w:t>
            </w:r>
          </w:p>
          <w:p w14:paraId="69CC44F7">
            <w:pPr>
              <w:widowControl/>
              <w:spacing w:line="240" w:lineRule="auto"/>
              <w:ind w:firstLine="0" w:firstLineChars="0"/>
              <w:rPr>
                <w:rFonts w:hint="eastAsia" w:ascii="Times New Roman" w:hAnsi="Times New Roman" w:eastAsia="宋体" w:cs="Times New Roman"/>
                <w:sz w:val="21"/>
                <w:lang w:val="en-US" w:eastAsia="zh-CN"/>
              </w:rPr>
            </w:pPr>
            <w:r>
              <w:rPr>
                <w:rFonts w:hint="eastAsia" w:ascii="Times New Roman" w:hAnsi="Times New Roman" w:eastAsia="宋体" w:cs="Times New Roman"/>
                <w:color w:val="auto"/>
                <w:sz w:val="21"/>
                <w:lang w:val="en-US" w:eastAsia="zh-CN"/>
              </w:rPr>
              <w:t>本项目</w:t>
            </w:r>
            <w:r>
              <w:rPr>
                <w:rFonts w:hint="default" w:ascii="Times New Roman" w:hAnsi="Times New Roman" w:eastAsia="宋体" w:cs="Times New Roman"/>
                <w:sz w:val="21"/>
              </w:rPr>
              <w:t>符合国家、省</w:t>
            </w:r>
            <w:r>
              <w:rPr>
                <w:rFonts w:hint="eastAsia" w:ascii="Times New Roman" w:hAnsi="Times New Roman" w:eastAsia="宋体" w:cs="Times New Roman"/>
                <w:sz w:val="21"/>
                <w:lang w:eastAsia="zh-CN"/>
              </w:rPr>
              <w:t>、</w:t>
            </w:r>
            <w:r>
              <w:rPr>
                <w:rFonts w:hint="default" w:ascii="Times New Roman" w:hAnsi="Times New Roman" w:eastAsia="宋体" w:cs="Times New Roman"/>
                <w:sz w:val="21"/>
              </w:rPr>
              <w:t>市</w:t>
            </w:r>
            <w:r>
              <w:rPr>
                <w:rFonts w:hint="default" w:ascii="Times New Roman" w:hAnsi="Times New Roman" w:eastAsia="宋体" w:cs="Times New Roman"/>
                <w:sz w:val="21"/>
                <w:lang w:val="en-US" w:eastAsia="zh-CN"/>
              </w:rPr>
              <w:t>“大气污染防</w:t>
            </w:r>
            <w:r>
              <w:rPr>
                <w:rFonts w:hint="default" w:ascii="Times New Roman" w:hAnsi="Times New Roman" w:eastAsia="宋体" w:cs="Times New Roman"/>
                <w:color w:val="auto"/>
                <w:sz w:val="21"/>
                <w:lang w:val="en-US" w:eastAsia="zh-CN"/>
              </w:rPr>
              <w:t>治政策”</w:t>
            </w:r>
            <w:r>
              <w:rPr>
                <w:rFonts w:hint="default" w:ascii="Times New Roman" w:hAnsi="Times New Roman" w:eastAsia="宋体" w:cs="Times New Roman"/>
                <w:color w:val="auto"/>
                <w:sz w:val="21"/>
              </w:rPr>
              <w:t>的相关要求。</w:t>
            </w:r>
          </w:p>
        </w:tc>
      </w:tr>
      <w:tr w14:paraId="0270BD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51" w:type="dxa"/>
            <w:vMerge w:val="continue"/>
            <w:tcBorders>
              <w:tl2br w:val="nil"/>
              <w:tr2bl w:val="nil"/>
            </w:tcBorders>
            <w:vAlign w:val="center"/>
          </w:tcPr>
          <w:p w14:paraId="3AD3F868">
            <w:pPr>
              <w:widowControl/>
              <w:spacing w:line="240" w:lineRule="auto"/>
              <w:ind w:firstLine="0" w:firstLineChars="0"/>
              <w:jc w:val="center"/>
              <w:rPr>
                <w:rFonts w:hint="default" w:ascii="Times New Roman" w:hAnsi="Times New Roman" w:eastAsia="宋体" w:cs="Times New Roman"/>
                <w:sz w:val="21"/>
              </w:rPr>
            </w:pPr>
          </w:p>
        </w:tc>
        <w:tc>
          <w:tcPr>
            <w:tcW w:w="385" w:type="dxa"/>
            <w:vMerge w:val="continue"/>
            <w:tcBorders>
              <w:tl2br w:val="nil"/>
              <w:tr2bl w:val="nil"/>
            </w:tcBorders>
            <w:vAlign w:val="center"/>
          </w:tcPr>
          <w:p w14:paraId="2D8DF2E5">
            <w:pPr>
              <w:widowControl/>
              <w:spacing w:line="240" w:lineRule="auto"/>
              <w:ind w:firstLine="0" w:firstLineChars="0"/>
              <w:jc w:val="center"/>
              <w:rPr>
                <w:rFonts w:hint="default" w:ascii="Times New Roman" w:hAnsi="Times New Roman" w:eastAsia="宋体" w:cs="Times New Roman"/>
                <w:sz w:val="21"/>
              </w:rPr>
            </w:pPr>
          </w:p>
        </w:tc>
        <w:tc>
          <w:tcPr>
            <w:tcW w:w="1507" w:type="dxa"/>
            <w:tcBorders>
              <w:tl2br w:val="nil"/>
              <w:tr2bl w:val="nil"/>
            </w:tcBorders>
            <w:shd w:val="clear" w:color="auto" w:fill="auto"/>
            <w:vAlign w:val="center"/>
          </w:tcPr>
          <w:p w14:paraId="44664031">
            <w:pPr>
              <w:widowControl/>
              <w:spacing w:line="240" w:lineRule="auto"/>
              <w:ind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rPr>
              <w:t>《空气质量持续改善行动计划》</w:t>
            </w:r>
            <w:r>
              <w:rPr>
                <w:rFonts w:hint="default" w:ascii="Times New Roman" w:hAnsi="Times New Roman" w:eastAsia="宋体" w:cs="Times New Roman"/>
                <w:sz w:val="21"/>
                <w:lang w:val="en-US" w:eastAsia="zh-CN"/>
              </w:rPr>
              <w:t>（国发[2023]24号）</w:t>
            </w:r>
          </w:p>
        </w:tc>
        <w:tc>
          <w:tcPr>
            <w:tcW w:w="5489" w:type="dxa"/>
            <w:tcBorders>
              <w:tl2br w:val="nil"/>
              <w:tr2bl w:val="nil"/>
            </w:tcBorders>
            <w:shd w:val="clear" w:color="auto" w:fill="auto"/>
            <w:vAlign w:val="center"/>
          </w:tcPr>
          <w:p w14:paraId="0D212D1E">
            <w:pPr>
              <w:widowControl/>
              <w:spacing w:line="240" w:lineRule="auto"/>
              <w:ind w:firstLine="0" w:firstLineChars="0"/>
              <w:jc w:val="left"/>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rPr>
              <w:t>强化VOCs全流程、全环节综合治理。鼓励储罐使用低泄漏的呼吸阀、紧急泄压阀，定期开展密封性检测。汽车罐车推广使用密封式快速接头。污水处理场所高浓度有机废气要单独收集处理；含VOCs有机废水储罐、装置区集水井（池）有机废气要密闭收集处理。重点区域石化、化工行业集中的城市和重点工业园区，2024年年底前建立统一的泄漏检测与修复信息管理平台。企业开停工、检维修期间，及时收集处理退料、清洗、吹扫等作业产生的VOCs废气。企业不得将火炬燃烧装置作为日常大气污染处理设施。</w:t>
            </w:r>
          </w:p>
        </w:tc>
        <w:tc>
          <w:tcPr>
            <w:tcW w:w="1353" w:type="dxa"/>
            <w:vMerge w:val="continue"/>
            <w:tcBorders>
              <w:tl2br w:val="nil"/>
              <w:tr2bl w:val="nil"/>
            </w:tcBorders>
            <w:vAlign w:val="center"/>
          </w:tcPr>
          <w:p w14:paraId="4C149CA3">
            <w:pPr>
              <w:widowControl/>
              <w:spacing w:line="240" w:lineRule="auto"/>
              <w:ind w:firstLine="0" w:firstLineChars="0"/>
              <w:rPr>
                <w:rFonts w:hint="default" w:ascii="Times New Roman" w:hAnsi="Times New Roman" w:eastAsia="宋体" w:cs="Times New Roman"/>
                <w:sz w:val="21"/>
              </w:rPr>
            </w:pPr>
          </w:p>
        </w:tc>
      </w:tr>
      <w:tr w14:paraId="206FDA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51" w:type="dxa"/>
            <w:vMerge w:val="continue"/>
            <w:tcBorders>
              <w:tl2br w:val="nil"/>
              <w:tr2bl w:val="nil"/>
            </w:tcBorders>
            <w:vAlign w:val="center"/>
          </w:tcPr>
          <w:p w14:paraId="20C576F1">
            <w:pPr>
              <w:widowControl/>
              <w:spacing w:line="240" w:lineRule="auto"/>
              <w:ind w:firstLine="0" w:firstLineChars="0"/>
              <w:jc w:val="center"/>
              <w:rPr>
                <w:rFonts w:hint="default" w:ascii="Times New Roman" w:hAnsi="Times New Roman" w:eastAsia="宋体" w:cs="Times New Roman"/>
                <w:sz w:val="21"/>
              </w:rPr>
            </w:pPr>
          </w:p>
        </w:tc>
        <w:tc>
          <w:tcPr>
            <w:tcW w:w="385" w:type="dxa"/>
            <w:vMerge w:val="continue"/>
            <w:tcBorders>
              <w:tl2br w:val="nil"/>
              <w:tr2bl w:val="nil"/>
            </w:tcBorders>
            <w:vAlign w:val="center"/>
          </w:tcPr>
          <w:p w14:paraId="34E8AE31">
            <w:pPr>
              <w:widowControl/>
              <w:spacing w:line="240" w:lineRule="auto"/>
              <w:ind w:firstLine="0" w:firstLineChars="0"/>
              <w:jc w:val="center"/>
              <w:rPr>
                <w:rFonts w:hint="default" w:ascii="Times New Roman" w:hAnsi="Times New Roman" w:eastAsia="宋体" w:cs="Times New Roman"/>
                <w:sz w:val="21"/>
              </w:rPr>
            </w:pPr>
          </w:p>
        </w:tc>
        <w:tc>
          <w:tcPr>
            <w:tcW w:w="1507" w:type="dxa"/>
            <w:tcBorders>
              <w:tl2br w:val="nil"/>
              <w:tr2bl w:val="nil"/>
            </w:tcBorders>
            <w:vAlign w:val="center"/>
          </w:tcPr>
          <w:p w14:paraId="684FF77E">
            <w:pPr>
              <w:widowControl/>
              <w:spacing w:line="240" w:lineRule="auto"/>
              <w:ind w:firstLine="0" w:firstLineChars="0"/>
              <w:jc w:val="center"/>
              <w:rPr>
                <w:rFonts w:hint="default" w:ascii="Times New Roman" w:hAnsi="Times New Roman" w:eastAsia="宋体" w:cs="Times New Roman"/>
                <w:sz w:val="21"/>
              </w:rPr>
            </w:pPr>
            <w:r>
              <w:rPr>
                <w:rFonts w:hint="default" w:ascii="Times New Roman" w:hAnsi="Times New Roman" w:eastAsia="宋体" w:cs="Times New Roman"/>
                <w:sz w:val="21"/>
                <w:lang w:val="en-US" w:eastAsia="zh-CN"/>
              </w:rPr>
              <w:t>《重点行业挥发性有机物综合治理方案》（环大气[2019]53）</w:t>
            </w:r>
          </w:p>
        </w:tc>
        <w:tc>
          <w:tcPr>
            <w:tcW w:w="5489" w:type="dxa"/>
            <w:tcBorders>
              <w:tl2br w:val="nil"/>
              <w:tr2bl w:val="nil"/>
            </w:tcBorders>
            <w:vAlign w:val="center"/>
          </w:tcPr>
          <w:p w14:paraId="39EBCB1C">
            <w:pPr>
              <w:widowControl/>
              <w:spacing w:line="240" w:lineRule="auto"/>
              <w:ind w:firstLine="0" w:firstLineChars="0"/>
              <w:jc w:val="left"/>
              <w:rPr>
                <w:rFonts w:hint="default" w:ascii="Times New Roman" w:hAnsi="Times New Roman" w:eastAsia="宋体" w:cs="Times New Roman"/>
                <w:sz w:val="21"/>
              </w:rPr>
            </w:pPr>
            <w:r>
              <w:rPr>
                <w:rFonts w:hint="default" w:ascii="Times New Roman" w:hAnsi="Times New Roman" w:eastAsia="宋体" w:cs="Times New Roman"/>
                <w:sz w:val="21"/>
              </w:rPr>
              <w:t>大力推进源头替代。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企业采用符合国家有关低VOCs含量产品规定的涂料、油墨、胶粘剂等，排放浓度稳定达标且排放速率、排放绩效等满足相关规定的，相应生产工序可不要求建设末端治理设施。使用的原辅材料VOCs含量（质量比）低于10%的工序，可不要求采取无组织排放收集措施</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(1)石化行业VOCs综合治理。全面加大石油炼制及有机化学品、合成树脂、合成纤维</w:t>
            </w:r>
            <w:r>
              <w:rPr>
                <w:rFonts w:hint="eastAsia" w:ascii="Times New Roman" w:hAnsi="Times New Roman" w:eastAsia="宋体" w:cs="Times New Roman"/>
                <w:sz w:val="21"/>
                <w:lang w:eastAsia="zh-CN"/>
              </w:rPr>
              <w:t>、</w:t>
            </w:r>
            <w:r>
              <w:rPr>
                <w:rFonts w:hint="default" w:ascii="Times New Roman" w:hAnsi="Times New Roman" w:eastAsia="宋体" w:cs="Times New Roman"/>
                <w:sz w:val="21"/>
              </w:rPr>
              <w:t>合成橡胶等行业VOCs治理力度。(2)推进建设适宜高效的治污设施。企业新建治污设施或对现有治污设施实施改造，应依据排放废气的浓度、组分、风量，温度、湿度、压力，以及生产工况等，合理选择治理技术。鼓励企业采用多种技术的组合工艺提高VOCs治理效率。(3)全面加强无组织排放控制。重点对含VOCs</w:t>
            </w:r>
            <w:r>
              <w:rPr>
                <w:rFonts w:hint="eastAsia" w:ascii="Times New Roman" w:hAnsi="Times New Roman" w:eastAsia="宋体" w:cs="Times New Roman"/>
                <w:sz w:val="21"/>
                <w:lang w:val="en-US" w:eastAsia="zh-CN"/>
              </w:rPr>
              <w:t>物料</w:t>
            </w:r>
            <w:r>
              <w:rPr>
                <w:rFonts w:hint="default" w:ascii="Times New Roman" w:hAnsi="Times New Roman" w:eastAsia="宋体" w:cs="Times New Roman"/>
                <w:sz w:val="21"/>
              </w:rPr>
              <w:t>(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tc>
        <w:tc>
          <w:tcPr>
            <w:tcW w:w="1353" w:type="dxa"/>
            <w:vMerge w:val="continue"/>
            <w:tcBorders>
              <w:tl2br w:val="nil"/>
              <w:tr2bl w:val="nil"/>
            </w:tcBorders>
            <w:vAlign w:val="center"/>
          </w:tcPr>
          <w:p w14:paraId="0699905F">
            <w:pPr>
              <w:widowControl/>
              <w:spacing w:line="240" w:lineRule="auto"/>
              <w:ind w:firstLine="0" w:firstLineChars="0"/>
              <w:rPr>
                <w:rFonts w:hint="default" w:ascii="Times New Roman" w:hAnsi="Times New Roman" w:eastAsia="宋体" w:cs="Times New Roman"/>
                <w:sz w:val="21"/>
              </w:rPr>
            </w:pPr>
          </w:p>
        </w:tc>
      </w:tr>
      <w:tr w14:paraId="3C3DE0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51" w:type="dxa"/>
            <w:vMerge w:val="restart"/>
            <w:tcBorders>
              <w:tl2br w:val="nil"/>
              <w:tr2bl w:val="nil"/>
            </w:tcBorders>
            <w:vAlign w:val="center"/>
          </w:tcPr>
          <w:p w14:paraId="7C54A652">
            <w:pPr>
              <w:widowControl/>
              <w:spacing w:line="240" w:lineRule="auto"/>
              <w:ind w:firstLine="0" w:firstLineChars="0"/>
              <w:jc w:val="center"/>
              <w:rPr>
                <w:rFonts w:hint="default" w:ascii="Times New Roman" w:hAnsi="Times New Roman" w:eastAsia="宋体" w:cs="Times New Roman"/>
                <w:sz w:val="21"/>
              </w:rPr>
            </w:pPr>
            <w:r>
              <w:rPr>
                <w:rFonts w:hint="default" w:ascii="Times New Roman" w:hAnsi="Times New Roman" w:eastAsia="宋体" w:cs="Times New Roman"/>
                <w:sz w:val="21"/>
              </w:rPr>
              <w:t>2</w:t>
            </w:r>
          </w:p>
        </w:tc>
        <w:tc>
          <w:tcPr>
            <w:tcW w:w="385" w:type="dxa"/>
            <w:vMerge w:val="restart"/>
            <w:tcBorders>
              <w:tl2br w:val="nil"/>
              <w:tr2bl w:val="nil"/>
            </w:tcBorders>
            <w:vAlign w:val="center"/>
          </w:tcPr>
          <w:p w14:paraId="44969611">
            <w:pPr>
              <w:widowControl/>
              <w:spacing w:line="240" w:lineRule="auto"/>
              <w:ind w:firstLine="0" w:firstLineChars="0"/>
              <w:jc w:val="center"/>
              <w:rPr>
                <w:rFonts w:hint="default" w:ascii="Times New Roman" w:hAnsi="Times New Roman" w:eastAsia="宋体" w:cs="Times New Roman"/>
                <w:sz w:val="21"/>
              </w:rPr>
            </w:pPr>
            <w:r>
              <w:rPr>
                <w:rFonts w:hint="default" w:ascii="Times New Roman" w:hAnsi="Times New Roman" w:eastAsia="宋体" w:cs="Times New Roman"/>
                <w:sz w:val="21"/>
              </w:rPr>
              <w:t>黑龙江省</w:t>
            </w:r>
          </w:p>
        </w:tc>
        <w:tc>
          <w:tcPr>
            <w:tcW w:w="1507" w:type="dxa"/>
            <w:tcBorders>
              <w:tl2br w:val="nil"/>
              <w:tr2bl w:val="nil"/>
            </w:tcBorders>
            <w:vAlign w:val="center"/>
          </w:tcPr>
          <w:p w14:paraId="1FC9B08A">
            <w:pPr>
              <w:widowControl/>
              <w:spacing w:line="240" w:lineRule="auto"/>
              <w:ind w:firstLine="0" w:firstLineChars="0"/>
              <w:jc w:val="center"/>
              <w:rPr>
                <w:rFonts w:hint="default" w:ascii="Times New Roman" w:hAnsi="Times New Roman" w:eastAsia="宋体" w:cs="Times New Roman"/>
                <w:sz w:val="21"/>
              </w:rPr>
            </w:pPr>
            <w:r>
              <w:rPr>
                <w:rFonts w:hint="default" w:ascii="Times New Roman" w:hAnsi="Times New Roman" w:eastAsia="宋体" w:cs="Times New Roman"/>
                <w:sz w:val="21"/>
              </w:rPr>
              <w:t>《黑龙江省空气质量持续改善行动计划实施方案》</w:t>
            </w:r>
          </w:p>
        </w:tc>
        <w:tc>
          <w:tcPr>
            <w:tcW w:w="5489" w:type="dxa"/>
            <w:tcBorders>
              <w:tl2br w:val="nil"/>
              <w:tr2bl w:val="nil"/>
            </w:tcBorders>
            <w:vAlign w:val="center"/>
          </w:tcPr>
          <w:p w14:paraId="5945640F">
            <w:pPr>
              <w:widowControl/>
              <w:spacing w:line="240" w:lineRule="auto"/>
              <w:ind w:firstLine="0" w:firstLineChars="0"/>
              <w:jc w:val="left"/>
              <w:rPr>
                <w:rFonts w:hint="default" w:ascii="Times New Roman" w:hAnsi="Times New Roman" w:eastAsia="宋体" w:cs="Times New Roman"/>
                <w:sz w:val="21"/>
              </w:rPr>
            </w:pPr>
            <w:r>
              <w:rPr>
                <w:rFonts w:hint="default" w:ascii="Times New Roman" w:hAnsi="Times New Roman" w:eastAsia="宋体" w:cs="Times New Roman"/>
                <w:sz w:val="21"/>
              </w:rPr>
              <w:t>（1）石油化工等工业企业应当采取泄漏检测与修复技术，对管道、设备进行日常检测、修复，及时收集处理泄漏物料。</w:t>
            </w:r>
          </w:p>
          <w:p w14:paraId="4D6B813E">
            <w:pPr>
              <w:widowControl/>
              <w:spacing w:line="240" w:lineRule="auto"/>
              <w:ind w:firstLine="0" w:firstLineChars="0"/>
              <w:jc w:val="left"/>
              <w:rPr>
                <w:rFonts w:hint="default" w:ascii="Times New Roman" w:hAnsi="Times New Roman" w:eastAsia="宋体" w:cs="Times New Roman"/>
                <w:sz w:val="21"/>
              </w:rPr>
            </w:pPr>
            <w:r>
              <w:rPr>
                <w:rFonts w:hint="default" w:ascii="Times New Roman" w:hAnsi="Times New Roman" w:eastAsia="宋体" w:cs="Times New Roman"/>
                <w:sz w:val="21"/>
              </w:rPr>
              <w:t>（2）各级人民政府应当调整能源结构，推广清洁能源的生产和使用，制定并组织实施煤炭消费总量控制规划，减少煤炭生产、使用、转化过程中的大气污染物排放。</w:t>
            </w:r>
          </w:p>
        </w:tc>
        <w:tc>
          <w:tcPr>
            <w:tcW w:w="1353" w:type="dxa"/>
            <w:vMerge w:val="continue"/>
            <w:tcBorders>
              <w:tl2br w:val="nil"/>
              <w:tr2bl w:val="nil"/>
            </w:tcBorders>
            <w:vAlign w:val="center"/>
          </w:tcPr>
          <w:p w14:paraId="75DFE969">
            <w:pPr>
              <w:widowControl/>
              <w:spacing w:line="240" w:lineRule="auto"/>
              <w:ind w:firstLine="0" w:firstLineChars="0"/>
              <w:jc w:val="center"/>
              <w:rPr>
                <w:rFonts w:hint="default" w:ascii="Times New Roman" w:hAnsi="Times New Roman" w:eastAsia="宋体" w:cs="Times New Roman"/>
                <w:sz w:val="21"/>
              </w:rPr>
            </w:pPr>
          </w:p>
        </w:tc>
      </w:tr>
      <w:tr w14:paraId="7394BC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51" w:type="dxa"/>
            <w:vMerge w:val="continue"/>
            <w:tcBorders>
              <w:tl2br w:val="nil"/>
              <w:tr2bl w:val="nil"/>
            </w:tcBorders>
            <w:vAlign w:val="center"/>
          </w:tcPr>
          <w:p w14:paraId="58FEA829">
            <w:pPr>
              <w:widowControl/>
              <w:spacing w:line="240" w:lineRule="auto"/>
              <w:ind w:firstLine="0" w:firstLineChars="0"/>
              <w:jc w:val="center"/>
              <w:rPr>
                <w:rFonts w:hint="default" w:ascii="Times New Roman" w:hAnsi="Times New Roman" w:eastAsia="宋体" w:cs="Times New Roman"/>
                <w:sz w:val="21"/>
              </w:rPr>
            </w:pPr>
          </w:p>
        </w:tc>
        <w:tc>
          <w:tcPr>
            <w:tcW w:w="385" w:type="dxa"/>
            <w:vMerge w:val="continue"/>
            <w:tcBorders>
              <w:tl2br w:val="nil"/>
              <w:tr2bl w:val="nil"/>
            </w:tcBorders>
            <w:vAlign w:val="center"/>
          </w:tcPr>
          <w:p w14:paraId="5C5E9912">
            <w:pPr>
              <w:widowControl/>
              <w:spacing w:line="240" w:lineRule="auto"/>
              <w:ind w:firstLine="0" w:firstLineChars="0"/>
              <w:jc w:val="center"/>
              <w:rPr>
                <w:rFonts w:hint="default" w:ascii="Times New Roman" w:hAnsi="Times New Roman" w:eastAsia="宋体" w:cs="Times New Roman"/>
                <w:sz w:val="21"/>
              </w:rPr>
            </w:pPr>
          </w:p>
        </w:tc>
        <w:tc>
          <w:tcPr>
            <w:tcW w:w="1507" w:type="dxa"/>
            <w:tcBorders>
              <w:tl2br w:val="nil"/>
              <w:tr2bl w:val="nil"/>
            </w:tcBorders>
            <w:vAlign w:val="center"/>
          </w:tcPr>
          <w:p w14:paraId="47E76975">
            <w:pPr>
              <w:widowControl/>
              <w:spacing w:line="240" w:lineRule="auto"/>
              <w:ind w:firstLine="0" w:firstLineChars="0"/>
              <w:jc w:val="center"/>
              <w:rPr>
                <w:rFonts w:hint="default" w:ascii="Times New Roman" w:hAnsi="Times New Roman" w:eastAsia="宋体" w:cs="Times New Roman"/>
                <w:sz w:val="21"/>
              </w:rPr>
            </w:pPr>
            <w:r>
              <w:rPr>
                <w:rFonts w:hint="default" w:ascii="Times New Roman" w:hAnsi="Times New Roman" w:eastAsia="宋体" w:cs="Times New Roman"/>
                <w:sz w:val="21"/>
                <w:lang w:val="en-US" w:eastAsia="zh-CN"/>
              </w:rPr>
              <w:t>《黑龙江省大气污染防治行动计划实施细则》（黑政发〔2014〕1号）</w:t>
            </w:r>
          </w:p>
        </w:tc>
        <w:tc>
          <w:tcPr>
            <w:tcW w:w="5489" w:type="dxa"/>
            <w:tcBorders>
              <w:tl2br w:val="nil"/>
              <w:tr2bl w:val="nil"/>
            </w:tcBorders>
            <w:vAlign w:val="center"/>
          </w:tcPr>
          <w:p w14:paraId="23A9BF12">
            <w:pPr>
              <w:widowControl/>
              <w:numPr>
                <w:ilvl w:val="0"/>
                <w:numId w:val="13"/>
              </w:numPr>
              <w:spacing w:line="240" w:lineRule="auto"/>
              <w:ind w:firstLine="0" w:firstLineChars="0"/>
              <w:jc w:val="left"/>
              <w:rPr>
                <w:rFonts w:hint="default" w:ascii="Times New Roman" w:hAnsi="Times New Roman" w:eastAsia="宋体" w:cs="Times New Roman"/>
                <w:sz w:val="21"/>
              </w:rPr>
            </w:pPr>
            <w:r>
              <w:rPr>
                <w:rFonts w:hint="default" w:ascii="Times New Roman" w:hAnsi="Times New Roman" w:eastAsia="宋体" w:cs="Times New Roman"/>
                <w:sz w:val="21"/>
              </w:rPr>
              <w:t>加强对燃煤锅炉及窑炉等治理。规模在20蒸吨及以上的燃煤锅炉要实施烟气脱硫，确保达标排放。循环硫化床锅炉要全部安装静电、布袋等高效除尘设施，实现达标排放，抛煤机和往复炉排等层燃锅炉要使用含硫量低于0.5%、灰分小于27%、全水分15%以下、低位发热量不低于4700千卡/公斤的洁净配煤，并综合考虑加大动力煤洗选力度、清洁能源替代等多种措施。冲天炉完成电炉改造，或实施每小时5吨以上热风炉和湿式除尘器改造，实现稳定达标排放。燃煤窑炉完成煤气发生炉、水煤浆燃烧器等技术改造或使用清洁能源，实现达标排放。</w:t>
            </w:r>
          </w:p>
          <w:p w14:paraId="18FDCCD3">
            <w:pPr>
              <w:widowControl/>
              <w:numPr>
                <w:ilvl w:val="0"/>
                <w:numId w:val="0"/>
              </w:numPr>
              <w:kinsoku w:val="0"/>
              <w:autoSpaceDE w:val="0"/>
              <w:autoSpaceDN w:val="0"/>
              <w:adjustRightInd w:val="0"/>
              <w:snapToGrid w:val="0"/>
              <w:spacing w:line="240" w:lineRule="auto"/>
              <w:jc w:val="left"/>
              <w:textAlignment w:val="baseline"/>
              <w:rPr>
                <w:rFonts w:hint="default" w:ascii="Times New Roman" w:hAnsi="Times New Roman" w:eastAsia="宋体" w:cs="Times New Roman"/>
                <w:sz w:val="21"/>
              </w:rPr>
            </w:pPr>
            <w:r>
              <w:rPr>
                <w:rFonts w:hint="default" w:ascii="Times New Roman" w:hAnsi="Times New Roman" w:eastAsia="宋体" w:cs="Times New Roman"/>
                <w:sz w:val="21"/>
              </w:rPr>
              <w:t>(2)加强有机废气污染治理。各地要制定辖区内石化、有机化工、医药、农药等重点行业挥发性有机物综合整治方案，重点加强生产过程中排放的有机废气处理。加大清洁生产技术的运用，实施溶剂替代，减少挥发性有机物溶剂的使用和逸散，对有机废气安装后处理设施，对产生的废气集中治理。石化行业要开展LDAR(泄漏与修复技术)技术改造和有机废气综合整治，加强对生产、输送和储存过程中挥发性有机物泄露的监测和监管。制药行业要重点解决发酵尾气的无组织排放，对污水处理站加盖密闭，安装喷淋吸收装置和生物脱硫装置，使气体的分离效率达到95%以上。</w:t>
            </w:r>
          </w:p>
          <w:p w14:paraId="3DCD607C">
            <w:pPr>
              <w:widowControl/>
              <w:numPr>
                <w:ilvl w:val="0"/>
                <w:numId w:val="0"/>
              </w:numPr>
              <w:kinsoku w:val="0"/>
              <w:autoSpaceDE w:val="0"/>
              <w:autoSpaceDN w:val="0"/>
              <w:adjustRightInd w:val="0"/>
              <w:snapToGrid w:val="0"/>
              <w:spacing w:line="240" w:lineRule="auto"/>
              <w:jc w:val="left"/>
              <w:textAlignment w:val="baseline"/>
              <w:rPr>
                <w:rFonts w:hint="default" w:ascii="Times New Roman" w:hAnsi="Times New Roman" w:eastAsia="宋体" w:cs="Times New Roman"/>
                <w:sz w:val="21"/>
              </w:rPr>
            </w:pPr>
            <w:r>
              <w:rPr>
                <w:rFonts w:hint="eastAsia" w:ascii="Times New Roman" w:hAnsi="Times New Roman" w:eastAsia="宋体" w:cs="Times New Roman"/>
                <w:sz w:val="21"/>
                <w:lang w:eastAsia="zh-CN"/>
              </w:rPr>
              <w:t>（</w:t>
            </w:r>
            <w:r>
              <w:rPr>
                <w:rFonts w:hint="eastAsia" w:ascii="Times New Roman" w:hAnsi="Times New Roman" w:eastAsia="宋体" w:cs="Times New Roman"/>
                <w:sz w:val="21"/>
                <w:lang w:val="en-US" w:eastAsia="zh-CN"/>
              </w:rPr>
              <w:t>3</w:t>
            </w:r>
            <w:r>
              <w:rPr>
                <w:rFonts w:hint="eastAsia" w:ascii="Times New Roman" w:hAnsi="Times New Roman" w:eastAsia="宋体" w:cs="Times New Roman"/>
                <w:sz w:val="21"/>
                <w:lang w:eastAsia="zh-CN"/>
              </w:rPr>
              <w:t>）</w:t>
            </w:r>
            <w:r>
              <w:rPr>
                <w:rFonts w:hint="default" w:ascii="Times New Roman" w:hAnsi="Times New Roman" w:eastAsia="宋体" w:cs="Times New Roman"/>
                <w:sz w:val="21"/>
              </w:rPr>
              <w:t>加强对污水、污泥、垃圾的处理。采取适当方式对工业企业污水治理设施和城镇集中式污水处理设施所产生的恶臭废气进行收集和净化。鼓励回收利用废水处理过程中产生的沼气，禁止直接排空。</w:t>
            </w:r>
          </w:p>
        </w:tc>
        <w:tc>
          <w:tcPr>
            <w:tcW w:w="1353" w:type="dxa"/>
            <w:vMerge w:val="continue"/>
            <w:tcBorders>
              <w:tl2br w:val="nil"/>
              <w:tr2bl w:val="nil"/>
            </w:tcBorders>
            <w:vAlign w:val="center"/>
          </w:tcPr>
          <w:p w14:paraId="7B9F87A8">
            <w:pPr>
              <w:widowControl/>
              <w:spacing w:line="240" w:lineRule="auto"/>
              <w:ind w:firstLine="0" w:firstLineChars="0"/>
              <w:jc w:val="center"/>
              <w:rPr>
                <w:rFonts w:hint="default" w:ascii="Times New Roman" w:hAnsi="Times New Roman" w:eastAsia="宋体" w:cs="Times New Roman"/>
                <w:sz w:val="21"/>
              </w:rPr>
            </w:pPr>
          </w:p>
        </w:tc>
      </w:tr>
      <w:tr w14:paraId="48B2BA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451" w:type="dxa"/>
            <w:tcBorders>
              <w:tl2br w:val="nil"/>
              <w:tr2bl w:val="nil"/>
            </w:tcBorders>
            <w:vAlign w:val="center"/>
          </w:tcPr>
          <w:p w14:paraId="102F0F50">
            <w:pPr>
              <w:widowControl/>
              <w:spacing w:line="240" w:lineRule="auto"/>
              <w:ind w:firstLine="0" w:firstLineChars="0"/>
              <w:jc w:val="center"/>
              <w:rPr>
                <w:rFonts w:hint="eastAsia"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3</w:t>
            </w:r>
          </w:p>
        </w:tc>
        <w:tc>
          <w:tcPr>
            <w:tcW w:w="385" w:type="dxa"/>
            <w:vMerge w:val="continue"/>
            <w:tcBorders>
              <w:tl2br w:val="nil"/>
              <w:tr2bl w:val="nil"/>
            </w:tcBorders>
            <w:vAlign w:val="center"/>
          </w:tcPr>
          <w:p w14:paraId="414B3132">
            <w:pPr>
              <w:widowControl/>
              <w:spacing w:line="240" w:lineRule="auto"/>
              <w:ind w:firstLine="0" w:firstLineChars="0"/>
              <w:jc w:val="center"/>
              <w:rPr>
                <w:rFonts w:hint="default" w:ascii="Times New Roman" w:hAnsi="Times New Roman" w:eastAsia="宋体" w:cs="Times New Roman"/>
                <w:sz w:val="21"/>
              </w:rPr>
            </w:pPr>
          </w:p>
        </w:tc>
        <w:tc>
          <w:tcPr>
            <w:tcW w:w="1507" w:type="dxa"/>
            <w:tcBorders>
              <w:tl2br w:val="nil"/>
              <w:tr2bl w:val="nil"/>
            </w:tcBorders>
            <w:vAlign w:val="center"/>
          </w:tcPr>
          <w:p w14:paraId="7A9F2120">
            <w:pPr>
              <w:widowControl/>
              <w:spacing w:line="240" w:lineRule="auto"/>
              <w:ind w:firstLine="0" w:firstLineChars="0"/>
              <w:jc w:val="center"/>
              <w:rPr>
                <w:rFonts w:hint="default" w:ascii="Times New Roman" w:hAnsi="Times New Roman" w:eastAsia="宋体" w:cs="Times New Roman"/>
                <w:sz w:val="21"/>
                <w:lang w:val="en-US" w:eastAsia="zh-CN"/>
              </w:rPr>
            </w:pPr>
            <w:r>
              <w:rPr>
                <w:rFonts w:hint="default" w:ascii="Times New Roman" w:hAnsi="Times New Roman" w:eastAsia="宋体" w:cs="Times New Roman"/>
                <w:sz w:val="21"/>
                <w:lang w:val="en-US" w:eastAsia="zh-CN"/>
              </w:rPr>
              <w:t>《黑龙江省工业炉窑大气污染综合治理方案的通知》（黑环发〔2019〕</w:t>
            </w:r>
            <w:r>
              <w:rPr>
                <w:rFonts w:hint="eastAsia" w:ascii="Times New Roman" w:hAnsi="Times New Roman" w:eastAsia="宋体" w:cs="Times New Roman"/>
                <w:sz w:val="21"/>
                <w:lang w:val="en-US" w:eastAsia="zh-CN"/>
              </w:rPr>
              <w:t>144号</w:t>
            </w:r>
          </w:p>
        </w:tc>
        <w:tc>
          <w:tcPr>
            <w:tcW w:w="5489" w:type="dxa"/>
            <w:tcBorders>
              <w:tl2br w:val="nil"/>
              <w:tr2bl w:val="nil"/>
            </w:tcBorders>
            <w:vAlign w:val="center"/>
          </w:tcPr>
          <w:p w14:paraId="39DCF027">
            <w:pPr>
              <w:widowControl/>
              <w:numPr>
                <w:ilvl w:val="0"/>
                <w:numId w:val="0"/>
              </w:numPr>
              <w:kinsoku w:val="0"/>
              <w:autoSpaceDE w:val="0"/>
              <w:autoSpaceDN w:val="0"/>
              <w:adjustRightInd w:val="0"/>
              <w:snapToGrid w:val="0"/>
              <w:spacing w:line="240" w:lineRule="auto"/>
              <w:jc w:val="left"/>
              <w:textAlignment w:val="baseline"/>
              <w:rPr>
                <w:rFonts w:hint="eastAsia" w:ascii="Times New Roman" w:hAnsi="Times New Roman" w:eastAsia="宋体" w:cs="Times New Roman"/>
                <w:sz w:val="21"/>
                <w:lang w:eastAsia="zh-CN"/>
              </w:rPr>
            </w:pPr>
            <w:r>
              <w:rPr>
                <w:rFonts w:hint="eastAsia" w:ascii="Times New Roman" w:hAnsi="Times New Roman" w:eastAsia="宋体" w:cs="Times New Roman"/>
                <w:sz w:val="21"/>
                <w:lang w:eastAsia="zh-CN"/>
              </w:rPr>
              <w:t>《黑龙江省工业炉窑大气污染综合治理方案的通知》提出:二、重点任务(一)优化调整产业结构。严格项目环境准入。新建涉工业炉的建设项目，原则上要入园区，配套建设高效环保治理设施。加大落后产能和不达标工业炉窑淘汰力度。分行业清理《产业结构调整指导目录》淘汰类工业炉窑。对热效率低下、敞开未封闭，装备简易落后、自动化程度低，无组织排放突出，以及无治理设施或治理设施工作落后等严重污染环境的工业炉窑，依法责令停业关闭。(二)加快燃料清洁低碳化替代。对以煤、石油焦、渣油、重油等为燃料的工业炉窑，加快使用清洁低碳能源以及利用工厂余热、电厂热力等进行替代。玻璃行业全面禁止掺烧高硫石油焦。加大煤气发生炉淘汰力度。推动淘汰炉直径3米以下燃料类煤气发生炉。加快淘汰燃煤工业炉窑，加快取缔燃煤热风炉，加快淘汰热电联产供热管网覆盖范围内的燃煤加热、烘干炉(窑)加快推动铸造(10吨/小时及以下)、岩棉等行业冲天炉改为电炉。</w:t>
            </w:r>
          </w:p>
        </w:tc>
        <w:tc>
          <w:tcPr>
            <w:tcW w:w="1353" w:type="dxa"/>
            <w:vMerge w:val="continue"/>
            <w:tcBorders>
              <w:tl2br w:val="nil"/>
              <w:tr2bl w:val="nil"/>
            </w:tcBorders>
            <w:vAlign w:val="center"/>
          </w:tcPr>
          <w:p w14:paraId="12436BAA">
            <w:pPr>
              <w:widowControl/>
              <w:spacing w:line="240" w:lineRule="auto"/>
              <w:ind w:firstLine="0" w:firstLineChars="0"/>
              <w:jc w:val="center"/>
              <w:rPr>
                <w:rFonts w:hint="default" w:ascii="Times New Roman" w:hAnsi="Times New Roman" w:eastAsia="宋体" w:cs="Times New Roman"/>
                <w:sz w:val="21"/>
              </w:rPr>
            </w:pPr>
          </w:p>
        </w:tc>
      </w:tr>
      <w:tr w14:paraId="648F77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51" w:type="dxa"/>
            <w:tcBorders>
              <w:tl2br w:val="nil"/>
              <w:tr2bl w:val="nil"/>
            </w:tcBorders>
            <w:vAlign w:val="center"/>
          </w:tcPr>
          <w:p w14:paraId="09680464">
            <w:pPr>
              <w:widowControl/>
              <w:spacing w:line="240" w:lineRule="auto"/>
              <w:ind w:firstLine="0" w:firstLineChars="0"/>
              <w:jc w:val="center"/>
              <w:rPr>
                <w:rFonts w:hint="default" w:ascii="Times New Roman" w:hAnsi="Times New Roman" w:eastAsia="宋体" w:cs="Times New Roman"/>
                <w:sz w:val="21"/>
              </w:rPr>
            </w:pPr>
            <w:r>
              <w:rPr>
                <w:rFonts w:hint="default" w:ascii="Times New Roman" w:hAnsi="Times New Roman" w:eastAsia="宋体" w:cs="Times New Roman"/>
                <w:sz w:val="21"/>
              </w:rPr>
              <w:t>3</w:t>
            </w:r>
          </w:p>
        </w:tc>
        <w:tc>
          <w:tcPr>
            <w:tcW w:w="385" w:type="dxa"/>
            <w:tcBorders>
              <w:tl2br w:val="nil"/>
              <w:tr2bl w:val="nil"/>
            </w:tcBorders>
            <w:vAlign w:val="center"/>
          </w:tcPr>
          <w:p w14:paraId="35C5033F">
            <w:pPr>
              <w:widowControl/>
              <w:spacing w:line="240" w:lineRule="auto"/>
              <w:ind w:firstLine="0" w:firstLineChars="0"/>
              <w:jc w:val="center"/>
              <w:rPr>
                <w:rFonts w:hint="default" w:ascii="Times New Roman" w:hAnsi="Times New Roman" w:eastAsia="宋体" w:cs="Times New Roman"/>
                <w:sz w:val="21"/>
              </w:rPr>
            </w:pPr>
            <w:r>
              <w:rPr>
                <w:rFonts w:hint="default" w:ascii="Times New Roman" w:hAnsi="Times New Roman" w:eastAsia="宋体" w:cs="Times New Roman"/>
                <w:sz w:val="21"/>
              </w:rPr>
              <w:t>哈尔滨市</w:t>
            </w:r>
          </w:p>
        </w:tc>
        <w:tc>
          <w:tcPr>
            <w:tcW w:w="1507" w:type="dxa"/>
            <w:tcBorders>
              <w:tl2br w:val="nil"/>
              <w:tr2bl w:val="nil"/>
            </w:tcBorders>
            <w:shd w:val="clear" w:color="auto" w:fill="auto"/>
            <w:vAlign w:val="center"/>
          </w:tcPr>
          <w:p w14:paraId="3A0E05A3">
            <w:pPr>
              <w:widowControl/>
              <w:spacing w:line="240" w:lineRule="auto"/>
              <w:ind w:firstLine="0" w:firstLineChars="0"/>
              <w:jc w:val="center"/>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rPr>
              <w:t>《哈尔滨市大气环境质量限期达标规划（2020-2027年）》</w:t>
            </w:r>
          </w:p>
        </w:tc>
        <w:tc>
          <w:tcPr>
            <w:tcW w:w="5489" w:type="dxa"/>
            <w:tcBorders>
              <w:tl2br w:val="nil"/>
              <w:tr2bl w:val="nil"/>
            </w:tcBorders>
            <w:shd w:val="clear" w:color="auto" w:fill="auto"/>
            <w:vAlign w:val="center"/>
          </w:tcPr>
          <w:p w14:paraId="32C7DF82">
            <w:pPr>
              <w:widowControl/>
              <w:spacing w:line="240" w:lineRule="auto"/>
              <w:ind w:firstLine="0" w:firstLineChars="0"/>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z w:val="21"/>
              </w:rPr>
              <w:t>5、稳步推进冬季清洁取暖。编制冬季清洁取暖实施方案，以保障城乡群众冬季安全取暖和节能减排为立足点，围绕城区、县城和农村</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三大区域</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，从热源侧和用户侧</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两端着手</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热网、电网、气网</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三网发力</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，按照</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宜电则电、宜气则气、宜热则热</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的原则，实施集中供暖清洁热源建设和清洁能源改造；同步实施既有建筑节能改造，推动执行绿色建筑标准，加大建筑节能产品、装配式建筑技术、新型保温墙体材料等在建筑领域的应用。到2025年，城镇绿色建筑推广占新建民用建筑比例达到100%，装配式</w:t>
            </w:r>
            <w:r>
              <w:rPr>
                <w:rFonts w:hint="default" w:ascii="Times New Roman" w:hAnsi="Times New Roman" w:eastAsia="宋体" w:cs="Times New Roman"/>
                <w:sz w:val="21"/>
                <w:lang w:val="en-US" w:eastAsia="zh-CN"/>
              </w:rPr>
              <w:t xml:space="preserve"> </w:t>
            </w:r>
            <w:r>
              <w:rPr>
                <w:rFonts w:hint="default" w:ascii="Times New Roman" w:hAnsi="Times New Roman" w:eastAsia="宋体" w:cs="Times New Roman"/>
                <w:sz w:val="21"/>
              </w:rPr>
              <w:t>建筑占新建建筑比例达到30%。到2027年，城区、县城清洁取暖率达到100%，完全替代散煤取暖；农村地区达到70%以上。11、VOCs全过程综合整治。以完善</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源头-过程-末端</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治理模式、推进</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一行一策</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管理为主要导向，从源头结构调整、污染深度治理和全过程精细化管理。深化VOCs综合整治，推进臭氧协同控制。到2025年，挥发性有机物重点工程减排量1550吨以上。大力推进VOCs源头替代。工业涂装企业全面推行使用低VOCs含量原辅材料，引导技术</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工艺</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创新，促进源头减排。全面排查使用料、油墨、胶粘剂、涂层剂</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树脂</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、清洗剂等原辅材料的企业，按照</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可替尽替、应代尽代</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的原则，实施一批源头替代项目。到2025年，溶剂型工业涂料、油墨、胶粘剂等使用量下降比例达到国家要求。不断提高废气收集效率。在保证安全前提下，加强含VOCs物料全方位、全链条、全环节密闭管理，做好VOCs物料储存、转移和输送、设备与管线组件泄漏、敞开液面逸散以及工艺过程等无组织排放环节的管理。严格按照相关行业排放标准和《挥发性有机物无组织排放控制标准》要求开展泄漏检测与修复</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LDAR</w:t>
            </w:r>
            <w:r>
              <w:rPr>
                <w:rFonts w:hint="default" w:ascii="Times New Roman" w:hAnsi="Times New Roman" w:eastAsia="宋体" w:cs="Times New Roman"/>
                <w:sz w:val="21"/>
                <w:lang w:eastAsia="zh-CN"/>
              </w:rPr>
              <w:t>）</w:t>
            </w:r>
            <w:r>
              <w:rPr>
                <w:rFonts w:hint="default" w:ascii="Times New Roman" w:hAnsi="Times New Roman" w:eastAsia="宋体" w:cs="Times New Roman"/>
                <w:sz w:val="21"/>
              </w:rPr>
              <w:t>工作，到2025年，全面开展LDAR数字化管理。有效提高废气处理率。推动企业结合排放废气特征合理选择治理技术，对现有VOCs低效治理设施进行更换或升级改造，提高废气治理设施去除率。到2025年，石化行业的VOCs综合去除效率达到70%以上，化工、工业涂装、包装印刷、家具等行业的VOCs综合去除效率60%以上。逐步推动取消非必要的VOCs排放系统旁路，保留的旁路在非紧急情况下保持关闭并加强监管。加强油品储运销和汽修行业VOCs治理。</w:t>
            </w:r>
          </w:p>
        </w:tc>
        <w:tc>
          <w:tcPr>
            <w:tcW w:w="1353" w:type="dxa"/>
            <w:vMerge w:val="continue"/>
            <w:tcBorders>
              <w:tl2br w:val="nil"/>
              <w:tr2bl w:val="nil"/>
            </w:tcBorders>
            <w:vAlign w:val="center"/>
          </w:tcPr>
          <w:p w14:paraId="0AB8023F">
            <w:pPr>
              <w:widowControl/>
              <w:spacing w:line="240" w:lineRule="auto"/>
              <w:ind w:firstLine="0" w:firstLineChars="0"/>
              <w:jc w:val="center"/>
              <w:rPr>
                <w:rFonts w:hint="default" w:ascii="Times New Roman" w:hAnsi="Times New Roman" w:eastAsia="宋体" w:cs="Times New Roman"/>
                <w:sz w:val="21"/>
                <w:lang w:val="en-US" w:eastAsia="zh-CN"/>
              </w:rPr>
            </w:pPr>
          </w:p>
        </w:tc>
      </w:tr>
    </w:tbl>
    <w:p w14:paraId="6AB0DB74">
      <w:pPr>
        <w:widowControl/>
        <w:spacing w:line="240" w:lineRule="auto"/>
        <w:ind w:firstLine="0" w:firstLineChars="0"/>
        <w:jc w:val="center"/>
        <w:rPr>
          <w:rFonts w:hint="eastAsia"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rPr>
        <w:t>表1.4-</w:t>
      </w:r>
      <w:r>
        <w:rPr>
          <w:rFonts w:hint="eastAsia" w:ascii="Times New Roman" w:hAnsi="Times New Roman" w:eastAsia="宋体" w:cs="Times New Roman"/>
          <w:b/>
          <w:bCs/>
          <w:sz w:val="24"/>
          <w:szCs w:val="24"/>
          <w:lang w:val="en-US" w:eastAsia="zh-CN"/>
        </w:rPr>
        <w:t>2</w:t>
      </w:r>
      <w:r>
        <w:rPr>
          <w:rFonts w:hint="default" w:ascii="Times New Roman" w:hAnsi="Times New Roman" w:eastAsia="宋体" w:cs="Times New Roman"/>
          <w:b/>
          <w:bCs/>
          <w:sz w:val="24"/>
          <w:szCs w:val="24"/>
        </w:rPr>
        <w:t xml:space="preserve">  本项目与</w:t>
      </w:r>
      <w:r>
        <w:rPr>
          <w:rFonts w:hint="default" w:ascii="Times New Roman" w:hAnsi="Times New Roman" w:eastAsia="宋体" w:cs="Times New Roman"/>
          <w:b/>
          <w:bCs/>
          <w:sz w:val="24"/>
          <w:szCs w:val="24"/>
          <w:lang w:val="en-US" w:eastAsia="zh-CN"/>
        </w:rPr>
        <w:t>《黑龙江省重点行业挥发性有机物综合治理行动方案》</w:t>
      </w:r>
      <w:r>
        <w:rPr>
          <w:rFonts w:hint="default" w:ascii="Times New Roman" w:hAnsi="Times New Roman" w:eastAsia="宋体" w:cs="Times New Roman"/>
          <w:b/>
          <w:bCs/>
          <w:sz w:val="24"/>
          <w:szCs w:val="24"/>
        </w:rPr>
        <w:t>符合性</w:t>
      </w:r>
      <w:r>
        <w:rPr>
          <w:rFonts w:hint="eastAsia" w:ascii="Times New Roman" w:hAnsi="Times New Roman" w:eastAsia="宋体" w:cs="Times New Roman"/>
          <w:b/>
          <w:bCs/>
          <w:sz w:val="24"/>
          <w:szCs w:val="24"/>
          <w:lang w:val="en-US" w:eastAsia="zh-CN"/>
        </w:rPr>
        <w:t>分析</w:t>
      </w:r>
    </w:p>
    <w:tbl>
      <w:tblPr>
        <w:tblStyle w:val="2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4272"/>
        <w:gridCol w:w="3033"/>
        <w:gridCol w:w="1131"/>
      </w:tblGrid>
      <w:tr w14:paraId="093E0A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1" w:type="dxa"/>
            <w:tcBorders>
              <w:tl2br w:val="nil"/>
              <w:tr2bl w:val="nil"/>
            </w:tcBorders>
            <w:vAlign w:val="center"/>
          </w:tcPr>
          <w:p w14:paraId="0E420BDC">
            <w:pPr>
              <w:widowControl/>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序号</w:t>
            </w:r>
          </w:p>
        </w:tc>
        <w:tc>
          <w:tcPr>
            <w:tcW w:w="4272" w:type="dxa"/>
            <w:tcBorders>
              <w:tl2br w:val="nil"/>
              <w:tr2bl w:val="nil"/>
            </w:tcBorders>
            <w:vAlign w:val="center"/>
          </w:tcPr>
          <w:p w14:paraId="24043F5A">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《黑龙江省重点行业挥发性有机物综合治理行动方案》</w:t>
            </w:r>
          </w:p>
        </w:tc>
        <w:tc>
          <w:tcPr>
            <w:tcW w:w="3033" w:type="dxa"/>
            <w:tcBorders>
              <w:tl2br w:val="nil"/>
              <w:tr2bl w:val="nil"/>
            </w:tcBorders>
            <w:vAlign w:val="center"/>
          </w:tcPr>
          <w:p w14:paraId="55D7A54E">
            <w:pPr>
              <w:widowControl/>
              <w:spacing w:line="240" w:lineRule="auto"/>
              <w:ind w:firstLine="0" w:firstLineChars="0"/>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本项目情况</w:t>
            </w:r>
          </w:p>
        </w:tc>
        <w:tc>
          <w:tcPr>
            <w:tcW w:w="1131" w:type="dxa"/>
            <w:tcBorders>
              <w:tl2br w:val="nil"/>
              <w:tr2bl w:val="nil"/>
            </w:tcBorders>
            <w:vAlign w:val="center"/>
          </w:tcPr>
          <w:p w14:paraId="7CE2153C">
            <w:pPr>
              <w:widowControl/>
              <w:spacing w:line="240" w:lineRule="auto"/>
              <w:ind w:firstLine="0" w:firstLineChars="0"/>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相符性</w:t>
            </w:r>
          </w:p>
        </w:tc>
      </w:tr>
      <w:tr w14:paraId="7B4BB0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1" w:type="dxa"/>
            <w:tcBorders>
              <w:tl2br w:val="nil"/>
              <w:tr2bl w:val="nil"/>
            </w:tcBorders>
            <w:vAlign w:val="center"/>
          </w:tcPr>
          <w:p w14:paraId="7A2CF643">
            <w:pPr>
              <w:widowControl/>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1</w:t>
            </w:r>
          </w:p>
        </w:tc>
        <w:tc>
          <w:tcPr>
            <w:tcW w:w="4272" w:type="dxa"/>
            <w:tcBorders>
              <w:tl2br w:val="nil"/>
              <w:tr2bl w:val="nil"/>
            </w:tcBorders>
            <w:vAlign w:val="center"/>
          </w:tcPr>
          <w:p w14:paraId="01FDDBD4">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tc>
        <w:tc>
          <w:tcPr>
            <w:tcW w:w="3033" w:type="dxa"/>
            <w:tcBorders>
              <w:tl2br w:val="nil"/>
              <w:tr2bl w:val="nil"/>
            </w:tcBorders>
            <w:vAlign w:val="center"/>
          </w:tcPr>
          <w:p w14:paraId="409C9906">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本项目含VOCs物料的储存、输送、投料、卸料，涉及VOCs物料的生产及含VOCs产品分装等过程密闭操作，减少VOCs无组织排放。本项目生产线全部位于车间内，通过采取有效的废气收集措施可削减VOCs无组织排放。</w:t>
            </w:r>
          </w:p>
        </w:tc>
        <w:tc>
          <w:tcPr>
            <w:tcW w:w="1131" w:type="dxa"/>
            <w:tcBorders>
              <w:tl2br w:val="nil"/>
              <w:tr2bl w:val="nil"/>
            </w:tcBorders>
            <w:vAlign w:val="center"/>
          </w:tcPr>
          <w:p w14:paraId="4D466529">
            <w:pPr>
              <w:widowControl/>
              <w:spacing w:line="240" w:lineRule="auto"/>
              <w:ind w:firstLine="0" w:firstLineChars="0"/>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符合</w:t>
            </w:r>
          </w:p>
        </w:tc>
      </w:tr>
      <w:tr w14:paraId="18325F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1" w:type="dxa"/>
            <w:tcBorders>
              <w:tl2br w:val="nil"/>
              <w:tr2bl w:val="nil"/>
            </w:tcBorders>
            <w:vAlign w:val="center"/>
          </w:tcPr>
          <w:p w14:paraId="353E5C8F">
            <w:pPr>
              <w:widowControl/>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2</w:t>
            </w:r>
          </w:p>
        </w:tc>
        <w:tc>
          <w:tcPr>
            <w:tcW w:w="4272" w:type="dxa"/>
            <w:tcBorders>
              <w:tl2br w:val="nil"/>
              <w:tr2bl w:val="nil"/>
            </w:tcBorders>
            <w:vAlign w:val="center"/>
          </w:tcPr>
          <w:p w14:paraId="2A156CBF">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加强设备与场所密闭管理。含VOCs物料应储存于密闭容器、包装袋，高效密封储罐，封闭式储库、料仓等。含VOCs物料转移和输送，应采用密闭管道或密闭容器、罐车等。高VOCs含量废水（废水液面上方100毫米处VOCs检测浓度超过200ppm，其中，重点区域超过100ppm，以碳计）的集输、储存和处理过程，应加盖密闭。含VOCs物料生产和使用过程，应采取有效收集措施或在密闭空间中操作。</w:t>
            </w:r>
          </w:p>
        </w:tc>
        <w:tc>
          <w:tcPr>
            <w:tcW w:w="3033" w:type="dxa"/>
            <w:tcBorders>
              <w:tl2br w:val="nil"/>
              <w:tr2bl w:val="nil"/>
            </w:tcBorders>
            <w:vAlign w:val="center"/>
          </w:tcPr>
          <w:p w14:paraId="141B9A7D">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本项目加强了设备与场所密闭管理。含VOCs物料均储存于密闭容器、包装袋，封闭式储库。含VOCs物料转移和输送，采用密闭管道及密闭容器等方式。含VOCs物料生产和使用过程，采取了有效收集措施并且在密闭车间中操作。</w:t>
            </w:r>
          </w:p>
        </w:tc>
        <w:tc>
          <w:tcPr>
            <w:tcW w:w="1131" w:type="dxa"/>
            <w:tcBorders>
              <w:tl2br w:val="nil"/>
              <w:tr2bl w:val="nil"/>
            </w:tcBorders>
            <w:vAlign w:val="center"/>
          </w:tcPr>
          <w:p w14:paraId="0B720D92">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符合</w:t>
            </w:r>
          </w:p>
        </w:tc>
      </w:tr>
      <w:tr w14:paraId="0EA044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1" w:type="dxa"/>
            <w:tcBorders>
              <w:tl2br w:val="nil"/>
              <w:tr2bl w:val="nil"/>
            </w:tcBorders>
            <w:vAlign w:val="center"/>
          </w:tcPr>
          <w:p w14:paraId="010E0747">
            <w:pPr>
              <w:widowControl/>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3</w:t>
            </w:r>
          </w:p>
        </w:tc>
        <w:tc>
          <w:tcPr>
            <w:tcW w:w="4272" w:type="dxa"/>
            <w:tcBorders>
              <w:tl2br w:val="nil"/>
              <w:tr2bl w:val="nil"/>
            </w:tcBorders>
            <w:vAlign w:val="center"/>
          </w:tcPr>
          <w:p w14:paraId="48835CB7">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提高废气收集率。遵循“应收尽收、分质收集”的原则，科学设计废气收集系统，将无组织排放转变为有组织排放进行控制。采用全密闭集气罩或密闭空间的，除行业有特殊要求外，应保持微负压状态，并根据相关规范合理设置通风量。采用局部集气罩的，距集气罩开口面最远处的VOCs无组织排放位置，控制风速应不低于0.3米/秒，有行业要求的按相关规定执行。</w:t>
            </w:r>
          </w:p>
        </w:tc>
        <w:tc>
          <w:tcPr>
            <w:tcW w:w="3033" w:type="dxa"/>
            <w:tcBorders>
              <w:tl2br w:val="nil"/>
              <w:tr2bl w:val="nil"/>
            </w:tcBorders>
            <w:vAlign w:val="center"/>
          </w:tcPr>
          <w:p w14:paraId="133A0B1D">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本项目生产车间密闭，对于挥发性有机物产生量高的生产工艺段等取负压收集有机物。</w:t>
            </w:r>
          </w:p>
        </w:tc>
        <w:tc>
          <w:tcPr>
            <w:tcW w:w="1131" w:type="dxa"/>
            <w:tcBorders>
              <w:tl2br w:val="nil"/>
              <w:tr2bl w:val="nil"/>
            </w:tcBorders>
            <w:vAlign w:val="center"/>
          </w:tcPr>
          <w:p w14:paraId="34010B42">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符合</w:t>
            </w:r>
          </w:p>
        </w:tc>
      </w:tr>
      <w:tr w14:paraId="05BB48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1" w:type="dxa"/>
            <w:tcBorders>
              <w:tl2br w:val="nil"/>
              <w:tr2bl w:val="nil"/>
            </w:tcBorders>
            <w:vAlign w:val="center"/>
          </w:tcPr>
          <w:p w14:paraId="116A4EB1">
            <w:pPr>
              <w:widowControl/>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4</w:t>
            </w:r>
          </w:p>
        </w:tc>
        <w:tc>
          <w:tcPr>
            <w:tcW w:w="4272" w:type="dxa"/>
            <w:tcBorders>
              <w:tl2br w:val="nil"/>
              <w:tr2bl w:val="nil"/>
            </w:tcBorders>
            <w:vAlign w:val="center"/>
          </w:tcPr>
          <w:p w14:paraId="440B124B">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推进建设适宜高效的治污设施。企业新建治污设施或对现有治污设施实施改造，应依据排放废气的浓度、组分、风量，温度、湿度压力,以及生产工况等,合理选择治理技术。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油气(溶剂)回收宜采用冷凝+吸附、吸附+吸收、膜分离+吸附等技术。低温等离子、光催化、光氧化技术主要适用于恶臭异味等治理;生物法主要适用于低浓度VOCs废气治理和恶臭异味治理。非水溶性的VOCs废气禁止采用水或水溶液喷淋吸收处理。采用一次性活性炭吸附技术的，应定期更换活性炭，废旧活性炭应再生或处理处置。有条件的工业园区和产业集群等，推广集中喷涂、溶剂集中回收、活性炭集中再生等，加强资源共享，提高VOCs治理效率。</w:t>
            </w:r>
          </w:p>
        </w:tc>
        <w:tc>
          <w:tcPr>
            <w:tcW w:w="3033" w:type="dxa"/>
            <w:tcBorders>
              <w:tl2br w:val="nil"/>
              <w:tr2bl w:val="nil"/>
            </w:tcBorders>
            <w:vAlign w:val="center"/>
          </w:tcPr>
          <w:p w14:paraId="57EDD843">
            <w:pPr>
              <w:widowControl w:val="0"/>
              <w:rPr>
                <w:rFonts w:hint="eastAsia"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szCs w:val="21"/>
                <w:lang w:val="en-US" w:eastAsia="zh-CN"/>
              </w:rPr>
              <w:t>项目在每台注塑机出口设置集气罩对注塑废气进行收集，然后汇入一套“四级活性炭”装置处理后，尾气通过一根15m高排气筒(DA001)排放；喷涂废气（调漆废气、喷漆废气、流平废气、烘干废气）、管路和喷枪清洗废气与丝印废气经水帘式漆雾净化+沸石转轮吸附+RTO焚烧装置处理后经一根22.5m高排气筒（DA002）排放</w:t>
            </w:r>
            <w:r>
              <w:rPr>
                <w:rFonts w:hint="eastAsia"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配胶、喷胶及烘干</w:t>
            </w:r>
            <w:r>
              <w:rPr>
                <w:rFonts w:hint="default" w:ascii="Times New Roman" w:hAnsi="Times New Roman" w:eastAsia="宋体" w:cs="Times New Roman"/>
                <w:color w:val="auto"/>
                <w:sz w:val="21"/>
                <w:szCs w:val="21"/>
                <w:lang w:val="en-US" w:eastAsia="zh-CN"/>
              </w:rPr>
              <w:t>废气、发泡废气收集后经四级活性炭吸附装置处理后于1根15m高排气筒（DA004）排放</w:t>
            </w:r>
            <w:r>
              <w:rPr>
                <w:rFonts w:hint="eastAsia" w:eastAsia="宋体" w:cs="Times New Roman"/>
                <w:color w:val="auto"/>
                <w:sz w:val="21"/>
                <w:szCs w:val="21"/>
                <w:lang w:val="en-US" w:eastAsia="zh-CN"/>
              </w:rPr>
              <w:t>；危险废物贮存库密闭贮存危险废物，及时转运，挥发出极少量的有机废气，在厂区内无组织排放。</w:t>
            </w:r>
          </w:p>
        </w:tc>
        <w:tc>
          <w:tcPr>
            <w:tcW w:w="1131" w:type="dxa"/>
            <w:tcBorders>
              <w:tl2br w:val="nil"/>
              <w:tr2bl w:val="nil"/>
            </w:tcBorders>
            <w:vAlign w:val="center"/>
          </w:tcPr>
          <w:p w14:paraId="49F2BF78">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符合</w:t>
            </w:r>
          </w:p>
        </w:tc>
      </w:tr>
      <w:tr w14:paraId="455B42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1" w:type="dxa"/>
            <w:tcBorders>
              <w:tl2br w:val="nil"/>
              <w:tr2bl w:val="nil"/>
            </w:tcBorders>
            <w:vAlign w:val="center"/>
          </w:tcPr>
          <w:p w14:paraId="53E1D237">
            <w:pPr>
              <w:widowControl/>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5</w:t>
            </w:r>
          </w:p>
        </w:tc>
        <w:tc>
          <w:tcPr>
            <w:tcW w:w="4272" w:type="dxa"/>
            <w:tcBorders>
              <w:tl2br w:val="nil"/>
              <w:tr2bl w:val="nil"/>
            </w:tcBorders>
            <w:vAlign w:val="center"/>
          </w:tcPr>
          <w:p w14:paraId="04B29BEC">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规范工程设计。采用吸附处理工艺的，应满足《吸附法工业有机废气治理工程技术规范》要求。采用催化燃烧工艺的,应满足《催化燃烧法工业有机废气治理工程技术规范》要求。采用蓄热燃烧等其他处理工艺的，应按相关技术规范要求设计。</w:t>
            </w:r>
          </w:p>
        </w:tc>
        <w:tc>
          <w:tcPr>
            <w:tcW w:w="3033" w:type="dxa"/>
            <w:tcBorders>
              <w:tl2br w:val="nil"/>
              <w:tr2bl w:val="nil"/>
            </w:tcBorders>
            <w:vAlign w:val="center"/>
          </w:tcPr>
          <w:p w14:paraId="35F01E35">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本项目采用了活性炭吸附装置及蓄热燃烧装置进行处理有机废气，其中吸附工艺满足《吸附法工业有机废气治理工程技术规范》要求。</w:t>
            </w:r>
          </w:p>
        </w:tc>
        <w:tc>
          <w:tcPr>
            <w:tcW w:w="1131" w:type="dxa"/>
            <w:tcBorders>
              <w:tl2br w:val="nil"/>
              <w:tr2bl w:val="nil"/>
            </w:tcBorders>
            <w:vAlign w:val="center"/>
          </w:tcPr>
          <w:p w14:paraId="7C28EF9A">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符合</w:t>
            </w:r>
          </w:p>
        </w:tc>
      </w:tr>
      <w:tr w14:paraId="113490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8" w:hRule="atLeast"/>
        </w:trPr>
        <w:tc>
          <w:tcPr>
            <w:tcW w:w="851" w:type="dxa"/>
            <w:tcBorders>
              <w:tl2br w:val="nil"/>
              <w:tr2bl w:val="nil"/>
            </w:tcBorders>
            <w:vAlign w:val="center"/>
          </w:tcPr>
          <w:p w14:paraId="5E0932A4">
            <w:pPr>
              <w:widowControl/>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6</w:t>
            </w:r>
          </w:p>
        </w:tc>
        <w:tc>
          <w:tcPr>
            <w:tcW w:w="4272" w:type="dxa"/>
            <w:tcBorders>
              <w:tl2br w:val="nil"/>
              <w:tr2bl w:val="nil"/>
            </w:tcBorders>
            <w:vAlign w:val="center"/>
          </w:tcPr>
          <w:p w14:paraId="58AB131C">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实行重点排放源排放浓度与去除效率双重控制。车间或生产设施收集排放的废气，VOCs初始排放速率大于等于3千克/小时，应加大控制力度，除确保排放浓度稳定达标外，还应实行去除效率控制，去除效率不低于80%;采用的原辅材料符合国家有关低VOCS含量产品规定的除外,有行业排放标准的按其相关规定执行。</w:t>
            </w:r>
          </w:p>
        </w:tc>
        <w:tc>
          <w:tcPr>
            <w:tcW w:w="3033" w:type="dxa"/>
            <w:tcBorders>
              <w:tl2br w:val="nil"/>
              <w:tr2bl w:val="nil"/>
            </w:tcBorders>
            <w:vAlign w:val="center"/>
          </w:tcPr>
          <w:p w14:paraId="3ED36912">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本项目采取了活性炭吸附措施及沸石转轮吸附+RTO焚烧装置进行处理。综合去除效率不低于90%。</w:t>
            </w:r>
          </w:p>
        </w:tc>
        <w:tc>
          <w:tcPr>
            <w:tcW w:w="1131" w:type="dxa"/>
            <w:tcBorders>
              <w:tl2br w:val="nil"/>
              <w:tr2bl w:val="nil"/>
            </w:tcBorders>
            <w:vAlign w:val="center"/>
          </w:tcPr>
          <w:p w14:paraId="405A22DB">
            <w:pPr>
              <w:widowControl/>
              <w:spacing w:line="240" w:lineRule="auto"/>
              <w:ind w:firstLine="0" w:firstLineChars="0"/>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符合</w:t>
            </w:r>
          </w:p>
        </w:tc>
      </w:tr>
      <w:tr w14:paraId="0D13F0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1" w:type="dxa"/>
            <w:tcBorders>
              <w:tl2br w:val="nil"/>
              <w:tr2bl w:val="nil"/>
            </w:tcBorders>
            <w:vAlign w:val="center"/>
          </w:tcPr>
          <w:p w14:paraId="570CEF81">
            <w:pPr>
              <w:widowControl/>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7</w:t>
            </w:r>
          </w:p>
        </w:tc>
        <w:tc>
          <w:tcPr>
            <w:tcW w:w="4272" w:type="dxa"/>
            <w:tcBorders>
              <w:tl2br w:val="nil"/>
              <w:tr2bl w:val="nil"/>
            </w:tcBorders>
            <w:vAlign w:val="center"/>
          </w:tcPr>
          <w:p w14:paraId="7C9CBBB4">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加强企业运行管理。企业应系统梳理 VOCs排放主要环节和工序，包括启停机、检维修作业等，制定具体操作规程，落实到具体责任人。健全内部考核制度。加强人员能力培训和技术交流。建立管理台账，记录企业生产和治污设施运行的关键参数见附件3(VOCs治理台账记录要求)，在线监控参数要确保能够实时调取,相关台账记录至少保存三年。</w:t>
            </w:r>
          </w:p>
        </w:tc>
        <w:tc>
          <w:tcPr>
            <w:tcW w:w="3033" w:type="dxa"/>
            <w:tcBorders>
              <w:tl2br w:val="nil"/>
              <w:tr2bl w:val="nil"/>
            </w:tcBorders>
            <w:vAlign w:val="center"/>
          </w:tcPr>
          <w:p w14:paraId="0E7EA339">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企业针对排放VOCs主要环节和工序，包括启停机、检维修作业等，制定具体操作规程，落实到具体责任人。健全内部考核制度,建立管理台账，记录企业生产和治污设施运行的关键参数，在线监控参数要确保能够实时调取，相关台账记录至少保存三年。</w:t>
            </w:r>
          </w:p>
        </w:tc>
        <w:tc>
          <w:tcPr>
            <w:tcW w:w="1131" w:type="dxa"/>
            <w:tcBorders>
              <w:tl2br w:val="nil"/>
              <w:tr2bl w:val="nil"/>
            </w:tcBorders>
            <w:vAlign w:val="center"/>
          </w:tcPr>
          <w:p w14:paraId="53ED2884">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符合</w:t>
            </w:r>
          </w:p>
        </w:tc>
      </w:tr>
      <w:tr w14:paraId="3E2EA0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1" w:type="dxa"/>
            <w:tcBorders>
              <w:tl2br w:val="nil"/>
              <w:tr2bl w:val="nil"/>
            </w:tcBorders>
            <w:vAlign w:val="center"/>
          </w:tcPr>
          <w:p w14:paraId="3E563129">
            <w:pPr>
              <w:widowControl/>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8</w:t>
            </w:r>
          </w:p>
        </w:tc>
        <w:tc>
          <w:tcPr>
            <w:tcW w:w="4272" w:type="dxa"/>
            <w:tcBorders>
              <w:tl2br w:val="nil"/>
              <w:tr2bl w:val="nil"/>
            </w:tcBorders>
            <w:vAlign w:val="center"/>
          </w:tcPr>
          <w:p w14:paraId="29841571">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化工行业VOCs综合治理。加强制药、农药、煤化工(含现代煤化工、炼焦、合成氨等)、涂料、油墨、胶粘剂、橡胶和塑料制品等行业VOCs治理力度。重点提高涉VOCs排放主要工序密闭化水平,加强无组织排放收集，加大含VOCs物料储存和装卸治理力度。</w:t>
            </w:r>
          </w:p>
        </w:tc>
        <w:tc>
          <w:tcPr>
            <w:tcW w:w="3033" w:type="dxa"/>
            <w:tcBorders>
              <w:tl2br w:val="nil"/>
              <w:tr2bl w:val="nil"/>
            </w:tcBorders>
            <w:vAlign w:val="center"/>
          </w:tcPr>
          <w:p w14:paraId="54EC754F">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本项目涉VOCs排放主要工序均采用密闭化措施，本项目生产车间密闭，对于挥发性有机物产生量高的生产工艺段等取负压收集有机物。</w:t>
            </w:r>
          </w:p>
        </w:tc>
        <w:tc>
          <w:tcPr>
            <w:tcW w:w="1131" w:type="dxa"/>
            <w:tcBorders>
              <w:tl2br w:val="nil"/>
              <w:tr2bl w:val="nil"/>
            </w:tcBorders>
            <w:vAlign w:val="center"/>
          </w:tcPr>
          <w:p w14:paraId="339C0B7F">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符合</w:t>
            </w:r>
          </w:p>
        </w:tc>
      </w:tr>
      <w:tr w14:paraId="5A0723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1" w:type="dxa"/>
            <w:tcBorders>
              <w:tl2br w:val="nil"/>
              <w:tr2bl w:val="nil"/>
            </w:tcBorders>
            <w:vAlign w:val="center"/>
          </w:tcPr>
          <w:p w14:paraId="6B133AD4">
            <w:pPr>
              <w:widowControl/>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9</w:t>
            </w:r>
          </w:p>
        </w:tc>
        <w:tc>
          <w:tcPr>
            <w:tcW w:w="4272" w:type="dxa"/>
            <w:tcBorders>
              <w:tl2br w:val="nil"/>
              <w:tr2bl w:val="nil"/>
            </w:tcBorders>
            <w:vAlign w:val="center"/>
          </w:tcPr>
          <w:p w14:paraId="54C87CA6">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加快生产设备密闭化改造。对进出料、物料输送、搅拌、固液分离、干燥、灌装等过程,采取密闭化措施，提升工艺装备水平。加快淘汰敞口式、明流式设施。有条件的市(地)可执行国家对重点地区的要求。</w:t>
            </w:r>
          </w:p>
        </w:tc>
        <w:tc>
          <w:tcPr>
            <w:tcW w:w="3033" w:type="dxa"/>
            <w:tcBorders>
              <w:tl2br w:val="nil"/>
              <w:tr2bl w:val="nil"/>
            </w:tcBorders>
            <w:vAlign w:val="center"/>
          </w:tcPr>
          <w:p w14:paraId="601A2729">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本项目生产设备均密闭，对进出料、物料输送等过程，采取密闭化措施，提升工艺装备水平。</w:t>
            </w:r>
          </w:p>
        </w:tc>
        <w:tc>
          <w:tcPr>
            <w:tcW w:w="1131" w:type="dxa"/>
            <w:tcBorders>
              <w:tl2br w:val="nil"/>
              <w:tr2bl w:val="nil"/>
            </w:tcBorders>
            <w:vAlign w:val="center"/>
          </w:tcPr>
          <w:p w14:paraId="7BC8ADDC">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符合</w:t>
            </w:r>
          </w:p>
        </w:tc>
      </w:tr>
      <w:tr w14:paraId="6A895A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1" w:type="dxa"/>
            <w:tcBorders>
              <w:tl2br w:val="nil"/>
              <w:tr2bl w:val="nil"/>
            </w:tcBorders>
            <w:vAlign w:val="center"/>
          </w:tcPr>
          <w:p w14:paraId="58DAE85A">
            <w:pPr>
              <w:widowControl/>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10</w:t>
            </w:r>
          </w:p>
        </w:tc>
        <w:tc>
          <w:tcPr>
            <w:tcW w:w="4272" w:type="dxa"/>
            <w:tcBorders>
              <w:tl2br w:val="nil"/>
              <w:tr2bl w:val="nil"/>
            </w:tcBorders>
            <w:vAlign w:val="center"/>
          </w:tcPr>
          <w:p w14:paraId="3C7ED7A9">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严格控制储存和装卸过程VOCs排放。鼓励采用压力罐、浮顶罐等替代固定顶罐。真实蒸气压大于等于27.6kPa的有机液体，利用固定顶罐储存的，应按有关规定采用气相平衡系统或收集净化处理。</w:t>
            </w:r>
          </w:p>
        </w:tc>
        <w:tc>
          <w:tcPr>
            <w:tcW w:w="3033" w:type="dxa"/>
            <w:tcBorders>
              <w:tl2br w:val="nil"/>
              <w:tr2bl w:val="nil"/>
            </w:tcBorders>
            <w:vAlign w:val="center"/>
          </w:tcPr>
          <w:p w14:paraId="1946972F">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本项目严格控制储存和装卸过程VOCs排放。</w:t>
            </w:r>
          </w:p>
        </w:tc>
        <w:tc>
          <w:tcPr>
            <w:tcW w:w="1131" w:type="dxa"/>
            <w:tcBorders>
              <w:tl2br w:val="nil"/>
              <w:tr2bl w:val="nil"/>
            </w:tcBorders>
            <w:vAlign w:val="center"/>
          </w:tcPr>
          <w:p w14:paraId="5C862108">
            <w:pPr>
              <w:widowControl/>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符合</w:t>
            </w:r>
          </w:p>
        </w:tc>
      </w:tr>
      <w:tr w14:paraId="522F83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1" w:type="dxa"/>
            <w:tcBorders>
              <w:tl2br w:val="nil"/>
              <w:tr2bl w:val="nil"/>
            </w:tcBorders>
            <w:vAlign w:val="center"/>
          </w:tcPr>
          <w:p w14:paraId="18F3DE35">
            <w:pPr>
              <w:widowControl/>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11</w:t>
            </w:r>
          </w:p>
        </w:tc>
        <w:tc>
          <w:tcPr>
            <w:tcW w:w="4272" w:type="dxa"/>
            <w:tcBorders>
              <w:tl2br w:val="nil"/>
              <w:tr2bl w:val="nil"/>
            </w:tcBorders>
            <w:vAlign w:val="center"/>
          </w:tcPr>
          <w:p w14:paraId="2DFB6CE3">
            <w:pPr>
              <w:widowControl/>
              <w:spacing w:line="240" w:lineRule="auto"/>
              <w:ind w:firstLine="0" w:firstLineChars="0"/>
              <w:jc w:val="center"/>
              <w:rPr>
                <w:rFonts w:hint="eastAsia"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实施废气分类收集处理。优先选用冷凝、吸附再生等回收技术;难以回收的，宜选用燃烧、吸附浓缩+燃烧等高效治理技术。水溶性、酸碱VOCs废气宜选用多级化学吸收等处理技术。恶臭类废气还应进一步加强除臭处理。加强非正常工况废气排放控制。退料、吹扫、清洗等过程应加强含VOCs物料回收工作,产生的VOCs废气要加大收集处理力度。开车阶段产生的易挥发性不合格产品应收集至中间储罐等装置。有条件的化工企业可制定开停车、检维修等非正常工况VOCs治理操作规程。</w:t>
            </w:r>
          </w:p>
        </w:tc>
        <w:tc>
          <w:tcPr>
            <w:tcW w:w="3033" w:type="dxa"/>
            <w:tcBorders>
              <w:tl2br w:val="nil"/>
              <w:tr2bl w:val="nil"/>
            </w:tcBorders>
            <w:vAlign w:val="center"/>
          </w:tcPr>
          <w:p w14:paraId="71DCFE01">
            <w:pPr>
              <w:widowControl/>
              <w:spacing w:line="240" w:lineRule="auto"/>
              <w:ind w:firstLine="0" w:firstLineChars="0"/>
              <w:jc w:val="center"/>
              <w:rPr>
                <w:rFonts w:hint="eastAsia" w:ascii="Times New Roman" w:hAnsi="Times New Roman" w:eastAsia="宋体" w:cs="Times New Roman"/>
                <w:color w:val="FF0000"/>
                <w:sz w:val="21"/>
                <w:lang w:val="en-US" w:eastAsia="zh-CN"/>
              </w:rPr>
            </w:pPr>
            <w:r>
              <w:rPr>
                <w:rFonts w:hint="default" w:ascii="Times New Roman" w:hAnsi="Times New Roman" w:eastAsia="宋体" w:cs="Times New Roman"/>
                <w:color w:val="auto"/>
                <w:sz w:val="21"/>
                <w:szCs w:val="21"/>
                <w:lang w:val="en-US" w:eastAsia="zh-CN"/>
              </w:rPr>
              <w:t>项目在每台注塑机出口设置集气罩对注塑废气进行收集，然后汇入一套“四级活性炭”装置处理后，尾气通过一根15m高排气筒(DA001)排放；喷涂废气（调漆废气、喷漆废气、流平废气、烘干废气）、管路和喷枪清洗废气与丝印废气经水帘式漆雾净化+沸石转轮吸附+RTO焚烧装置处理后经一根22.5m高排气筒（DA002）排放</w:t>
            </w:r>
            <w:r>
              <w:rPr>
                <w:rFonts w:hint="eastAsia"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配胶、喷胶及烘干</w:t>
            </w:r>
            <w:r>
              <w:rPr>
                <w:rFonts w:hint="default" w:ascii="Times New Roman" w:hAnsi="Times New Roman" w:eastAsia="宋体" w:cs="Times New Roman"/>
                <w:color w:val="auto"/>
                <w:sz w:val="21"/>
                <w:szCs w:val="21"/>
                <w:lang w:val="en-US" w:eastAsia="zh-CN"/>
              </w:rPr>
              <w:t>废气、发泡废气收集后经四级活性炭吸附装置处理后于1根15m高排气筒（DA004）排放</w:t>
            </w:r>
            <w:r>
              <w:rPr>
                <w:rFonts w:hint="eastAsia" w:eastAsia="宋体" w:cs="Times New Roman"/>
                <w:color w:val="auto"/>
                <w:sz w:val="21"/>
                <w:szCs w:val="21"/>
                <w:lang w:val="en-US" w:eastAsia="zh-CN"/>
              </w:rPr>
              <w:t>；危险废物贮存库密闭贮存危险废物，及时转运，挥发出极少量的有机废气，在厂区内无组织排放。</w:t>
            </w:r>
          </w:p>
        </w:tc>
        <w:tc>
          <w:tcPr>
            <w:tcW w:w="1131" w:type="dxa"/>
            <w:tcBorders>
              <w:tl2br w:val="nil"/>
              <w:tr2bl w:val="nil"/>
            </w:tcBorders>
            <w:vAlign w:val="center"/>
          </w:tcPr>
          <w:p w14:paraId="24486185">
            <w:pPr>
              <w:widowControl/>
              <w:spacing w:line="240" w:lineRule="auto"/>
              <w:ind w:firstLine="0" w:firstLineChars="0"/>
              <w:jc w:val="center"/>
              <w:rPr>
                <w:rFonts w:hint="eastAsia"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符合</w:t>
            </w:r>
          </w:p>
        </w:tc>
      </w:tr>
    </w:tbl>
    <w:p w14:paraId="1E97B138">
      <w:pPr>
        <w:widowControl/>
        <w:spacing w:line="240" w:lineRule="auto"/>
        <w:ind w:firstLine="0" w:firstLineChars="0"/>
        <w:jc w:val="center"/>
        <w:rPr>
          <w:rFonts w:hint="eastAsia"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rPr>
        <w:t>表</w:t>
      </w:r>
      <w:r>
        <w:rPr>
          <w:rFonts w:hint="eastAsia" w:ascii="Times New Roman" w:hAnsi="Times New Roman" w:eastAsia="宋体" w:cs="Times New Roman"/>
          <w:b/>
          <w:bCs/>
          <w:color w:val="auto"/>
          <w:sz w:val="24"/>
          <w:szCs w:val="24"/>
        </w:rPr>
        <w:t>1.4-</w:t>
      </w:r>
      <w:r>
        <w:rPr>
          <w:rFonts w:hint="eastAsia" w:ascii="Times New Roman" w:hAnsi="Times New Roman" w:eastAsia="宋体" w:cs="Times New Roman"/>
          <w:b/>
          <w:bCs/>
          <w:color w:val="auto"/>
          <w:sz w:val="24"/>
          <w:szCs w:val="24"/>
          <w:lang w:val="en-US" w:eastAsia="zh-CN"/>
        </w:rPr>
        <w:t>3</w:t>
      </w:r>
      <w:r>
        <w:rPr>
          <w:rFonts w:hint="eastAsia" w:ascii="Times New Roman" w:hAnsi="Times New Roman" w:eastAsia="宋体" w:cs="Times New Roman"/>
          <w:b/>
          <w:bCs/>
          <w:color w:val="auto"/>
          <w:sz w:val="24"/>
          <w:szCs w:val="24"/>
        </w:rPr>
        <w:t xml:space="preserve">  本项目与</w:t>
      </w:r>
      <w:r>
        <w:rPr>
          <w:rFonts w:hint="eastAsia" w:ascii="Times New Roman" w:hAnsi="Times New Roman" w:cs="Times New Roman"/>
          <w:b/>
          <w:bCs/>
          <w:color w:val="auto"/>
          <w:sz w:val="24"/>
          <w:lang w:val="en-US" w:eastAsia="zh-CN"/>
        </w:rPr>
        <w:t>《挥发性有机物（VOCs）污染防治技术政策》</w:t>
      </w:r>
      <w:r>
        <w:rPr>
          <w:rFonts w:hint="eastAsia" w:ascii="Times New Roman" w:hAnsi="Times New Roman" w:eastAsia="宋体" w:cs="Times New Roman"/>
          <w:b/>
          <w:bCs/>
          <w:color w:val="auto"/>
          <w:sz w:val="24"/>
          <w:szCs w:val="24"/>
        </w:rPr>
        <w:t>相关要求符合性</w:t>
      </w:r>
      <w:r>
        <w:rPr>
          <w:rFonts w:hint="eastAsia" w:ascii="Times New Roman" w:hAnsi="Times New Roman" w:eastAsia="宋体" w:cs="Times New Roman"/>
          <w:b/>
          <w:bCs/>
          <w:color w:val="auto"/>
          <w:sz w:val="24"/>
          <w:szCs w:val="24"/>
          <w:lang w:val="en-US" w:eastAsia="zh-CN"/>
        </w:rPr>
        <w:t>分析</w:t>
      </w:r>
    </w:p>
    <w:tbl>
      <w:tblPr>
        <w:tblStyle w:val="2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1205"/>
        <w:gridCol w:w="4820"/>
        <w:gridCol w:w="2605"/>
        <w:gridCol w:w="650"/>
      </w:tblGrid>
      <w:tr w14:paraId="0A7B2B7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blHeader/>
          <w:jc w:val="center"/>
        </w:trPr>
        <w:tc>
          <w:tcPr>
            <w:tcW w:w="649" w:type="pct"/>
            <w:tcBorders>
              <w:tl2br w:val="nil"/>
              <w:tr2bl w:val="nil"/>
            </w:tcBorders>
            <w:vAlign w:val="center"/>
          </w:tcPr>
          <w:p w14:paraId="5C7AB105">
            <w:pPr>
              <w:widowControl/>
              <w:spacing w:line="240" w:lineRule="auto"/>
              <w:ind w:firstLine="0" w:firstLineChars="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序号</w:t>
            </w:r>
          </w:p>
        </w:tc>
        <w:tc>
          <w:tcPr>
            <w:tcW w:w="2596" w:type="pct"/>
            <w:tcBorders>
              <w:tl2br w:val="nil"/>
              <w:tr2bl w:val="nil"/>
            </w:tcBorders>
            <w:vAlign w:val="center"/>
          </w:tcPr>
          <w:p w14:paraId="57A6FC5F">
            <w:pPr>
              <w:widowControl/>
              <w:spacing w:line="240" w:lineRule="auto"/>
              <w:ind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val="en-US" w:eastAsia="zh-CN"/>
              </w:rPr>
              <w:t>《挥发性有机物（VOCs）污染防治技术政策》</w:t>
            </w:r>
            <w:r>
              <w:rPr>
                <w:rFonts w:hint="default" w:ascii="Times New Roman" w:hAnsi="Times New Roman" w:eastAsia="宋体" w:cs="Times New Roman"/>
                <w:b/>
                <w:color w:val="auto"/>
                <w:sz w:val="21"/>
                <w:szCs w:val="21"/>
              </w:rPr>
              <w:t>的要求</w:t>
            </w:r>
          </w:p>
        </w:tc>
        <w:tc>
          <w:tcPr>
            <w:tcW w:w="1403" w:type="pct"/>
            <w:tcBorders>
              <w:right w:val="single" w:color="000000" w:sz="4" w:space="0"/>
              <w:tl2br w:val="nil"/>
              <w:tr2bl w:val="nil"/>
            </w:tcBorders>
            <w:vAlign w:val="center"/>
          </w:tcPr>
          <w:p w14:paraId="7F8DCC14">
            <w:pPr>
              <w:widowControl/>
              <w:spacing w:line="240" w:lineRule="auto"/>
              <w:ind w:firstLine="0" w:firstLineChars="0"/>
              <w:jc w:val="center"/>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rPr>
              <w:t>本项目</w:t>
            </w:r>
            <w:r>
              <w:rPr>
                <w:rFonts w:hint="default" w:ascii="Times New Roman" w:hAnsi="Times New Roman" w:eastAsia="宋体" w:cs="Times New Roman"/>
                <w:b/>
                <w:color w:val="auto"/>
                <w:sz w:val="21"/>
                <w:szCs w:val="21"/>
                <w:lang w:val="en-US" w:eastAsia="zh-CN"/>
              </w:rPr>
              <w:t>情况</w:t>
            </w:r>
          </w:p>
        </w:tc>
        <w:tc>
          <w:tcPr>
            <w:tcW w:w="350" w:type="pct"/>
            <w:tcBorders>
              <w:left w:val="single" w:color="000000" w:sz="4" w:space="0"/>
              <w:tl2br w:val="nil"/>
              <w:tr2bl w:val="nil"/>
            </w:tcBorders>
            <w:vAlign w:val="center"/>
          </w:tcPr>
          <w:p w14:paraId="1DB2F747">
            <w:pPr>
              <w:widowControl/>
              <w:spacing w:line="240" w:lineRule="auto"/>
              <w:ind w:firstLine="0" w:firstLineChars="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符合性</w:t>
            </w:r>
          </w:p>
        </w:tc>
      </w:tr>
      <w:tr w14:paraId="6E34BDA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jc w:val="center"/>
        </w:trPr>
        <w:tc>
          <w:tcPr>
            <w:tcW w:w="649" w:type="pct"/>
            <w:tcBorders>
              <w:tl2br w:val="nil"/>
              <w:tr2bl w:val="nil"/>
            </w:tcBorders>
            <w:vAlign w:val="center"/>
          </w:tcPr>
          <w:p w14:paraId="38B83C68">
            <w:pPr>
              <w:widowControl/>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二、源头和过程控制</w:t>
            </w:r>
          </w:p>
        </w:tc>
        <w:tc>
          <w:tcPr>
            <w:tcW w:w="2596" w:type="pct"/>
            <w:tcBorders>
              <w:bottom w:val="single" w:color="000000" w:sz="4" w:space="0"/>
              <w:tl2br w:val="nil"/>
              <w:tr2bl w:val="nil"/>
            </w:tcBorders>
            <w:vAlign w:val="center"/>
          </w:tcPr>
          <w:p w14:paraId="5A0D402F">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在油类(燃油、溶剂)的储存、运输和销售过程中的VOCs污染防治技术措施包括:油类(燃油、溶剂等)储罐宜采用高效密封的内(外)浮顶罐，当采用固定顶罐时，通过密闭排气系统将含VOCs气体输送至回收设备:油类(燃油、溶剂等)运载工具(汽车油罐车、铁路油槽车、油轮等)在装载过程中排放的VOCs密闭收集输送至回收设备，也可返回储罐或送入气体管网。</w:t>
            </w:r>
          </w:p>
        </w:tc>
        <w:tc>
          <w:tcPr>
            <w:tcW w:w="1403" w:type="pct"/>
            <w:tcBorders>
              <w:bottom w:val="single" w:color="000000" w:sz="4" w:space="0"/>
              <w:right w:val="single" w:color="000000" w:sz="4" w:space="0"/>
              <w:tl2br w:val="nil"/>
              <w:tr2bl w:val="nil"/>
            </w:tcBorders>
            <w:vAlign w:val="center"/>
          </w:tcPr>
          <w:p w14:paraId="5F64CB48">
            <w:pPr>
              <w:widowControl/>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color w:val="auto"/>
                <w:sz w:val="21"/>
                <w:lang w:val="en-US" w:eastAsia="zh-CN"/>
              </w:rPr>
              <w:t>本项目含VOCs物料的储存、输送、投料、卸料，涉及VOCs物料的生产及含VOCs产品分装等过程密闭操作，减少VOCs无组织排放。本项目生产线全部位于车间内，通过采取有效的废气收集措施可削减VOCs无组织排放。</w:t>
            </w:r>
          </w:p>
        </w:tc>
        <w:tc>
          <w:tcPr>
            <w:tcW w:w="350" w:type="pct"/>
            <w:tcBorders>
              <w:left w:val="single" w:color="000000" w:sz="4" w:space="0"/>
              <w:bottom w:val="single" w:color="000000" w:sz="4" w:space="0"/>
              <w:tl2br w:val="nil"/>
              <w:tr2bl w:val="nil"/>
            </w:tcBorders>
            <w:vAlign w:val="center"/>
          </w:tcPr>
          <w:p w14:paraId="10A6A8A8">
            <w:pPr>
              <w:widowControl/>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符合</w:t>
            </w:r>
          </w:p>
        </w:tc>
      </w:tr>
      <w:tr w14:paraId="7F9718B7">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jc w:val="center"/>
        </w:trPr>
        <w:tc>
          <w:tcPr>
            <w:tcW w:w="649" w:type="pct"/>
            <w:vMerge w:val="restart"/>
            <w:tcBorders>
              <w:tl2br w:val="nil"/>
              <w:tr2bl w:val="nil"/>
            </w:tcBorders>
            <w:vAlign w:val="center"/>
          </w:tcPr>
          <w:p w14:paraId="483BE755">
            <w:pPr>
              <w:widowControl/>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三、末端治理与综合利用</w:t>
            </w:r>
          </w:p>
        </w:tc>
        <w:tc>
          <w:tcPr>
            <w:tcW w:w="2596" w:type="pct"/>
            <w:tcBorders>
              <w:top w:val="single" w:color="000000" w:sz="4" w:space="0"/>
              <w:bottom w:val="single" w:color="000000" w:sz="4" w:space="0"/>
              <w:tl2br w:val="nil"/>
              <w:tr2bl w:val="nil"/>
            </w:tcBorders>
            <w:vAlign w:val="center"/>
          </w:tcPr>
          <w:p w14:paraId="770D22D0">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在工业生产过程中鼓励VOCs的回收利用，并优先鼓励在生产系统内回用。</w:t>
            </w:r>
          </w:p>
        </w:tc>
        <w:tc>
          <w:tcPr>
            <w:tcW w:w="1403" w:type="pct"/>
            <w:vMerge w:val="restart"/>
            <w:tcBorders>
              <w:top w:val="single" w:color="000000" w:sz="4" w:space="0"/>
              <w:right w:val="single" w:color="000000" w:sz="4" w:space="0"/>
              <w:tl2br w:val="nil"/>
              <w:tr2bl w:val="nil"/>
            </w:tcBorders>
            <w:vAlign w:val="center"/>
          </w:tcPr>
          <w:p w14:paraId="3573AEF7">
            <w:pPr>
              <w:widowControl/>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color w:val="auto"/>
                <w:sz w:val="21"/>
                <w:szCs w:val="21"/>
                <w:lang w:val="en-US" w:eastAsia="zh-CN"/>
              </w:rPr>
              <w:t>项目在每台注塑机出口设置集气罩对注塑废气进行收集，然后汇入一套“四级活性炭”装置处理后，尾气通过一根15m高排气筒(DA001)排放；喷涂废气（调漆废气、喷漆废气、流平废气、烘干废气）、管路和喷枪清洗废气与丝印废气经水帘式漆雾净化+沸石转轮吸附+RTO焚烧装置处理后经一根22.5m高排气筒（DA002）排放</w:t>
            </w:r>
            <w:r>
              <w:rPr>
                <w:rFonts w:hint="eastAsia"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配胶、喷胶及烘干</w:t>
            </w:r>
            <w:r>
              <w:rPr>
                <w:rFonts w:hint="default" w:ascii="Times New Roman" w:hAnsi="Times New Roman" w:eastAsia="宋体" w:cs="Times New Roman"/>
                <w:color w:val="auto"/>
                <w:sz w:val="21"/>
                <w:szCs w:val="21"/>
                <w:lang w:val="en-US" w:eastAsia="zh-CN"/>
              </w:rPr>
              <w:t>废气、发泡废气收集后经四级活性炭吸附装置处理后于1根15m高排气筒（DA004）排放</w:t>
            </w:r>
            <w:r>
              <w:rPr>
                <w:rFonts w:hint="eastAsia" w:eastAsia="宋体" w:cs="Times New Roman"/>
                <w:color w:val="auto"/>
                <w:sz w:val="21"/>
                <w:szCs w:val="21"/>
                <w:lang w:val="en-US" w:eastAsia="zh-CN"/>
              </w:rPr>
              <w:t>；危险废物贮存库密闭贮存危险废物，及时转运，挥发出极少量的有机废气，在厂区内无组织排放。</w:t>
            </w:r>
          </w:p>
        </w:tc>
        <w:tc>
          <w:tcPr>
            <w:tcW w:w="350" w:type="pct"/>
            <w:vMerge w:val="restart"/>
            <w:tcBorders>
              <w:top w:val="single" w:color="000000" w:sz="4" w:space="0"/>
              <w:left w:val="single" w:color="000000" w:sz="4" w:space="0"/>
              <w:tl2br w:val="nil"/>
              <w:tr2bl w:val="nil"/>
            </w:tcBorders>
            <w:vAlign w:val="center"/>
          </w:tcPr>
          <w:p w14:paraId="1CADEB2C">
            <w:pPr>
              <w:widowControl/>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符合</w:t>
            </w:r>
          </w:p>
        </w:tc>
      </w:tr>
      <w:tr w14:paraId="66148EFA">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jc w:val="center"/>
        </w:trPr>
        <w:tc>
          <w:tcPr>
            <w:tcW w:w="649" w:type="pct"/>
            <w:vMerge w:val="continue"/>
            <w:tcBorders>
              <w:tl2br w:val="nil"/>
              <w:tr2bl w:val="nil"/>
            </w:tcBorders>
            <w:vAlign w:val="center"/>
          </w:tcPr>
          <w:p w14:paraId="2B576ED2">
            <w:pPr>
              <w:widowControl/>
              <w:spacing w:line="240" w:lineRule="auto"/>
              <w:ind w:firstLine="0" w:firstLineChars="0"/>
              <w:jc w:val="center"/>
              <w:rPr>
                <w:rFonts w:hint="default" w:ascii="Times New Roman" w:hAnsi="Times New Roman" w:eastAsia="宋体" w:cs="Times New Roman"/>
                <w:sz w:val="21"/>
                <w:szCs w:val="21"/>
              </w:rPr>
            </w:pPr>
          </w:p>
        </w:tc>
        <w:tc>
          <w:tcPr>
            <w:tcW w:w="2596" w:type="pct"/>
            <w:tcBorders>
              <w:top w:val="single" w:color="000000" w:sz="4" w:space="0"/>
              <w:bottom w:val="single" w:color="000000" w:sz="4" w:space="0"/>
              <w:tl2br w:val="nil"/>
              <w:tr2bl w:val="nil"/>
            </w:tcBorders>
            <w:vAlign w:val="center"/>
          </w:tcPr>
          <w:p w14:paraId="7F4A89F4">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对于含高浓度VOCs的废气，宜优先采用冷凝回收、吸附回收技术进行回收利用，并辅助以其他治理技术实现达标排放。</w:t>
            </w:r>
          </w:p>
        </w:tc>
        <w:tc>
          <w:tcPr>
            <w:tcW w:w="1403" w:type="pct"/>
            <w:vMerge w:val="continue"/>
            <w:tcBorders>
              <w:right w:val="single" w:color="000000" w:sz="4" w:space="0"/>
              <w:tl2br w:val="nil"/>
              <w:tr2bl w:val="nil"/>
            </w:tcBorders>
            <w:vAlign w:val="center"/>
          </w:tcPr>
          <w:p w14:paraId="2F719CC5">
            <w:pPr>
              <w:widowControl/>
              <w:spacing w:line="240" w:lineRule="auto"/>
              <w:ind w:firstLine="0" w:firstLineChars="0"/>
              <w:jc w:val="center"/>
              <w:rPr>
                <w:rFonts w:hint="default" w:ascii="Times New Roman" w:hAnsi="Times New Roman" w:eastAsia="宋体" w:cs="Times New Roman"/>
                <w:sz w:val="21"/>
                <w:szCs w:val="21"/>
              </w:rPr>
            </w:pPr>
          </w:p>
        </w:tc>
        <w:tc>
          <w:tcPr>
            <w:tcW w:w="350" w:type="pct"/>
            <w:vMerge w:val="continue"/>
            <w:tcBorders>
              <w:left w:val="single" w:color="000000" w:sz="4" w:space="0"/>
              <w:tl2br w:val="nil"/>
              <w:tr2bl w:val="nil"/>
            </w:tcBorders>
            <w:vAlign w:val="center"/>
          </w:tcPr>
          <w:p w14:paraId="23CF3EBA">
            <w:pPr>
              <w:widowControl/>
              <w:spacing w:line="240" w:lineRule="auto"/>
              <w:ind w:firstLine="0" w:firstLineChars="0"/>
              <w:jc w:val="center"/>
              <w:rPr>
                <w:rFonts w:hint="default" w:ascii="Times New Roman" w:hAnsi="Times New Roman" w:eastAsia="宋体" w:cs="Times New Roman"/>
                <w:sz w:val="21"/>
                <w:szCs w:val="21"/>
              </w:rPr>
            </w:pPr>
          </w:p>
        </w:tc>
      </w:tr>
      <w:tr w14:paraId="098158DA">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jc w:val="center"/>
        </w:trPr>
        <w:tc>
          <w:tcPr>
            <w:tcW w:w="649" w:type="pct"/>
            <w:vMerge w:val="continue"/>
            <w:tcBorders>
              <w:tl2br w:val="nil"/>
              <w:tr2bl w:val="nil"/>
            </w:tcBorders>
            <w:vAlign w:val="center"/>
          </w:tcPr>
          <w:p w14:paraId="0C75B45F">
            <w:pPr>
              <w:widowControl/>
              <w:spacing w:line="240" w:lineRule="auto"/>
              <w:ind w:firstLine="0" w:firstLineChars="0"/>
              <w:jc w:val="center"/>
              <w:rPr>
                <w:rFonts w:hint="default" w:ascii="Times New Roman" w:hAnsi="Times New Roman" w:eastAsia="宋体" w:cs="Times New Roman"/>
                <w:sz w:val="21"/>
                <w:szCs w:val="21"/>
              </w:rPr>
            </w:pPr>
          </w:p>
        </w:tc>
        <w:tc>
          <w:tcPr>
            <w:tcW w:w="2596" w:type="pct"/>
            <w:tcBorders>
              <w:top w:val="single" w:color="000000" w:sz="4" w:space="0"/>
              <w:bottom w:val="single" w:color="000000" w:sz="4" w:space="0"/>
              <w:tl2br w:val="nil"/>
              <w:tr2bl w:val="nil"/>
            </w:tcBorders>
            <w:vAlign w:val="center"/>
          </w:tcPr>
          <w:p w14:paraId="6220FC69">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对于含中等浓度VOCs的废气，可采用吸附技术回收有机溶剂，或采用催化燃烧和热力焚烧技术净化后达标排放。当采用催化燃烧和热力焚烧技术进行净化时，应进行余热回收利用。</w:t>
            </w:r>
          </w:p>
        </w:tc>
        <w:tc>
          <w:tcPr>
            <w:tcW w:w="1403" w:type="pct"/>
            <w:vMerge w:val="continue"/>
            <w:tcBorders>
              <w:right w:val="single" w:color="000000" w:sz="4" w:space="0"/>
              <w:tl2br w:val="nil"/>
              <w:tr2bl w:val="nil"/>
            </w:tcBorders>
            <w:vAlign w:val="center"/>
          </w:tcPr>
          <w:p w14:paraId="6DB85667">
            <w:pPr>
              <w:widowControl/>
              <w:spacing w:line="240" w:lineRule="auto"/>
              <w:ind w:firstLine="0" w:firstLineChars="0"/>
              <w:jc w:val="center"/>
              <w:rPr>
                <w:rFonts w:hint="default" w:ascii="Times New Roman" w:hAnsi="Times New Roman" w:eastAsia="宋体" w:cs="Times New Roman"/>
                <w:sz w:val="21"/>
                <w:szCs w:val="21"/>
              </w:rPr>
            </w:pPr>
          </w:p>
        </w:tc>
        <w:tc>
          <w:tcPr>
            <w:tcW w:w="350" w:type="pct"/>
            <w:vMerge w:val="continue"/>
            <w:tcBorders>
              <w:left w:val="single" w:color="000000" w:sz="4" w:space="0"/>
              <w:tl2br w:val="nil"/>
              <w:tr2bl w:val="nil"/>
            </w:tcBorders>
            <w:vAlign w:val="center"/>
          </w:tcPr>
          <w:p w14:paraId="7D40067B">
            <w:pPr>
              <w:widowControl/>
              <w:spacing w:line="240" w:lineRule="auto"/>
              <w:ind w:firstLine="0" w:firstLineChars="0"/>
              <w:jc w:val="center"/>
              <w:rPr>
                <w:rFonts w:hint="default" w:ascii="Times New Roman" w:hAnsi="Times New Roman" w:eastAsia="宋体" w:cs="Times New Roman"/>
                <w:sz w:val="21"/>
                <w:szCs w:val="21"/>
              </w:rPr>
            </w:pPr>
          </w:p>
        </w:tc>
      </w:tr>
      <w:tr w14:paraId="233D776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jc w:val="center"/>
        </w:trPr>
        <w:tc>
          <w:tcPr>
            <w:tcW w:w="649" w:type="pct"/>
            <w:vMerge w:val="continue"/>
            <w:tcBorders>
              <w:tl2br w:val="nil"/>
              <w:tr2bl w:val="nil"/>
            </w:tcBorders>
            <w:vAlign w:val="center"/>
          </w:tcPr>
          <w:p w14:paraId="5FA49174">
            <w:pPr>
              <w:widowControl/>
              <w:spacing w:line="240" w:lineRule="auto"/>
              <w:ind w:firstLine="0" w:firstLineChars="0"/>
              <w:jc w:val="center"/>
              <w:rPr>
                <w:rFonts w:hint="default" w:ascii="Times New Roman" w:hAnsi="Times New Roman" w:eastAsia="宋体" w:cs="Times New Roman"/>
                <w:sz w:val="21"/>
                <w:szCs w:val="21"/>
              </w:rPr>
            </w:pPr>
          </w:p>
        </w:tc>
        <w:tc>
          <w:tcPr>
            <w:tcW w:w="2596" w:type="pct"/>
            <w:tcBorders>
              <w:top w:val="single" w:color="000000" w:sz="4" w:space="0"/>
              <w:bottom w:val="single" w:color="000000" w:sz="4" w:space="0"/>
              <w:tl2br w:val="nil"/>
              <w:tr2bl w:val="nil"/>
            </w:tcBorders>
            <w:vAlign w:val="center"/>
          </w:tcPr>
          <w:p w14:paraId="6254EF2A">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于含低浓度VOCs的废气，有回收价值时可采用吸附技术、吸收技术对有机溶剂回收后达标排放;不宜回收时，可采用吸附浓缩燃烧技术、生物技术、吸收技术、等离子体技术或紫外光高级氧化技术等净化后达标排放。</w:t>
            </w:r>
          </w:p>
        </w:tc>
        <w:tc>
          <w:tcPr>
            <w:tcW w:w="1403" w:type="pct"/>
            <w:vMerge w:val="continue"/>
            <w:tcBorders>
              <w:right w:val="single" w:color="000000" w:sz="4" w:space="0"/>
              <w:tl2br w:val="nil"/>
              <w:tr2bl w:val="nil"/>
            </w:tcBorders>
            <w:vAlign w:val="center"/>
          </w:tcPr>
          <w:p w14:paraId="460BFE78">
            <w:pPr>
              <w:widowControl/>
              <w:spacing w:line="240" w:lineRule="auto"/>
              <w:ind w:firstLine="0" w:firstLineChars="0"/>
              <w:jc w:val="center"/>
              <w:rPr>
                <w:rFonts w:hint="default" w:ascii="Times New Roman" w:hAnsi="Times New Roman" w:eastAsia="宋体" w:cs="Times New Roman"/>
                <w:sz w:val="21"/>
                <w:szCs w:val="21"/>
              </w:rPr>
            </w:pPr>
          </w:p>
        </w:tc>
        <w:tc>
          <w:tcPr>
            <w:tcW w:w="350" w:type="pct"/>
            <w:vMerge w:val="continue"/>
            <w:tcBorders>
              <w:left w:val="single" w:color="000000" w:sz="4" w:space="0"/>
              <w:tl2br w:val="nil"/>
              <w:tr2bl w:val="nil"/>
            </w:tcBorders>
            <w:vAlign w:val="center"/>
          </w:tcPr>
          <w:p w14:paraId="32E9E5E6">
            <w:pPr>
              <w:widowControl/>
              <w:spacing w:line="240" w:lineRule="auto"/>
              <w:ind w:firstLine="0" w:firstLineChars="0"/>
              <w:jc w:val="center"/>
              <w:rPr>
                <w:rFonts w:hint="default" w:ascii="Times New Roman" w:hAnsi="Times New Roman" w:eastAsia="宋体" w:cs="Times New Roman"/>
                <w:sz w:val="21"/>
                <w:szCs w:val="21"/>
              </w:rPr>
            </w:pPr>
          </w:p>
        </w:tc>
      </w:tr>
      <w:tr w14:paraId="0B448437">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jc w:val="center"/>
        </w:trPr>
        <w:tc>
          <w:tcPr>
            <w:tcW w:w="649" w:type="pct"/>
            <w:vMerge w:val="continue"/>
            <w:tcBorders>
              <w:tl2br w:val="nil"/>
              <w:tr2bl w:val="nil"/>
            </w:tcBorders>
            <w:vAlign w:val="center"/>
          </w:tcPr>
          <w:p w14:paraId="1D29A158">
            <w:pPr>
              <w:widowControl/>
              <w:spacing w:line="240" w:lineRule="auto"/>
              <w:ind w:firstLine="0" w:firstLineChars="0"/>
              <w:jc w:val="center"/>
              <w:rPr>
                <w:rFonts w:hint="default" w:ascii="Times New Roman" w:hAnsi="Times New Roman" w:eastAsia="宋体" w:cs="Times New Roman"/>
                <w:sz w:val="21"/>
                <w:szCs w:val="21"/>
              </w:rPr>
            </w:pPr>
          </w:p>
        </w:tc>
        <w:tc>
          <w:tcPr>
            <w:tcW w:w="2596" w:type="pct"/>
            <w:tcBorders>
              <w:top w:val="single" w:color="000000" w:sz="4" w:space="0"/>
              <w:bottom w:val="single" w:color="000000" w:sz="4" w:space="0"/>
              <w:tl2br w:val="nil"/>
              <w:tr2bl w:val="nil"/>
            </w:tcBorders>
            <w:vAlign w:val="center"/>
          </w:tcPr>
          <w:p w14:paraId="173D096A">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含有有机卤素成分VOCs的废气，宜采用非焚烧技术处理。</w:t>
            </w:r>
          </w:p>
        </w:tc>
        <w:tc>
          <w:tcPr>
            <w:tcW w:w="1403" w:type="pct"/>
            <w:vMerge w:val="continue"/>
            <w:tcBorders>
              <w:right w:val="single" w:color="000000" w:sz="4" w:space="0"/>
              <w:tl2br w:val="nil"/>
              <w:tr2bl w:val="nil"/>
            </w:tcBorders>
            <w:vAlign w:val="center"/>
          </w:tcPr>
          <w:p w14:paraId="69F7EB0B">
            <w:pPr>
              <w:widowControl/>
              <w:spacing w:line="240" w:lineRule="auto"/>
              <w:ind w:firstLine="0" w:firstLineChars="0"/>
              <w:jc w:val="center"/>
              <w:rPr>
                <w:rFonts w:hint="default" w:ascii="Times New Roman" w:hAnsi="Times New Roman" w:eastAsia="宋体" w:cs="Times New Roman"/>
                <w:sz w:val="21"/>
                <w:szCs w:val="21"/>
              </w:rPr>
            </w:pPr>
          </w:p>
        </w:tc>
        <w:tc>
          <w:tcPr>
            <w:tcW w:w="350" w:type="pct"/>
            <w:vMerge w:val="continue"/>
            <w:tcBorders>
              <w:left w:val="single" w:color="000000" w:sz="4" w:space="0"/>
              <w:tl2br w:val="nil"/>
              <w:tr2bl w:val="nil"/>
            </w:tcBorders>
            <w:vAlign w:val="center"/>
          </w:tcPr>
          <w:p w14:paraId="56F53C68">
            <w:pPr>
              <w:widowControl/>
              <w:spacing w:line="240" w:lineRule="auto"/>
              <w:ind w:firstLine="0" w:firstLineChars="0"/>
              <w:jc w:val="center"/>
              <w:rPr>
                <w:rFonts w:hint="default" w:ascii="Times New Roman" w:hAnsi="Times New Roman" w:eastAsia="宋体" w:cs="Times New Roman"/>
                <w:sz w:val="21"/>
                <w:szCs w:val="21"/>
              </w:rPr>
            </w:pPr>
          </w:p>
        </w:tc>
      </w:tr>
      <w:tr w14:paraId="7487C664">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jc w:val="center"/>
        </w:trPr>
        <w:tc>
          <w:tcPr>
            <w:tcW w:w="649" w:type="pct"/>
            <w:vMerge w:val="continue"/>
            <w:tcBorders>
              <w:tl2br w:val="nil"/>
              <w:tr2bl w:val="nil"/>
            </w:tcBorders>
            <w:vAlign w:val="center"/>
          </w:tcPr>
          <w:p w14:paraId="38B0D552">
            <w:pPr>
              <w:widowControl/>
              <w:spacing w:line="240" w:lineRule="auto"/>
              <w:ind w:firstLine="0" w:firstLineChars="0"/>
              <w:jc w:val="center"/>
              <w:rPr>
                <w:rFonts w:hint="default" w:ascii="Times New Roman" w:hAnsi="Times New Roman" w:eastAsia="宋体" w:cs="Times New Roman"/>
                <w:sz w:val="21"/>
                <w:szCs w:val="21"/>
              </w:rPr>
            </w:pPr>
          </w:p>
        </w:tc>
        <w:tc>
          <w:tcPr>
            <w:tcW w:w="2596" w:type="pct"/>
            <w:tcBorders>
              <w:top w:val="single" w:color="000000" w:sz="4" w:space="0"/>
              <w:bottom w:val="single" w:color="000000" w:sz="4" w:space="0"/>
              <w:tl2br w:val="nil"/>
              <w:tr2bl w:val="nil"/>
            </w:tcBorders>
            <w:vAlign w:val="center"/>
          </w:tcPr>
          <w:p w14:paraId="5C5A09CF">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恶臭气体污染源可采用生物技术、等离子体技术、吸附技术、吸收技术、紫外光高级氧化技术或组合技术等进行净化。净化后的恶臭气体除满足达标排放的要求外，还应采取高空排放等措施，避免产生扰民问题。</w:t>
            </w:r>
          </w:p>
        </w:tc>
        <w:tc>
          <w:tcPr>
            <w:tcW w:w="1403" w:type="pct"/>
            <w:vMerge w:val="continue"/>
            <w:tcBorders>
              <w:right w:val="single" w:color="000000" w:sz="4" w:space="0"/>
              <w:tl2br w:val="nil"/>
              <w:tr2bl w:val="nil"/>
            </w:tcBorders>
            <w:vAlign w:val="center"/>
          </w:tcPr>
          <w:p w14:paraId="22FCCF34">
            <w:pPr>
              <w:widowControl/>
              <w:spacing w:line="240" w:lineRule="auto"/>
              <w:ind w:firstLine="0" w:firstLineChars="0"/>
              <w:jc w:val="center"/>
              <w:rPr>
                <w:rFonts w:hint="default" w:ascii="Times New Roman" w:hAnsi="Times New Roman" w:eastAsia="宋体" w:cs="Times New Roman"/>
                <w:sz w:val="21"/>
                <w:szCs w:val="21"/>
              </w:rPr>
            </w:pPr>
          </w:p>
        </w:tc>
        <w:tc>
          <w:tcPr>
            <w:tcW w:w="350" w:type="pct"/>
            <w:vMerge w:val="continue"/>
            <w:tcBorders>
              <w:left w:val="single" w:color="000000" w:sz="4" w:space="0"/>
              <w:tl2br w:val="nil"/>
              <w:tr2bl w:val="nil"/>
            </w:tcBorders>
            <w:vAlign w:val="center"/>
          </w:tcPr>
          <w:p w14:paraId="6A2B2774">
            <w:pPr>
              <w:widowControl/>
              <w:spacing w:line="240" w:lineRule="auto"/>
              <w:ind w:firstLine="0" w:firstLineChars="0"/>
              <w:jc w:val="center"/>
              <w:rPr>
                <w:rFonts w:hint="default" w:ascii="Times New Roman" w:hAnsi="Times New Roman" w:eastAsia="宋体" w:cs="Times New Roman"/>
                <w:sz w:val="21"/>
                <w:szCs w:val="21"/>
              </w:rPr>
            </w:pPr>
          </w:p>
        </w:tc>
      </w:tr>
      <w:tr w14:paraId="37B8727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844" w:hRule="atLeast"/>
          <w:jc w:val="center"/>
        </w:trPr>
        <w:tc>
          <w:tcPr>
            <w:tcW w:w="649" w:type="pct"/>
            <w:vMerge w:val="continue"/>
            <w:tcBorders>
              <w:tl2br w:val="nil"/>
              <w:tr2bl w:val="nil"/>
            </w:tcBorders>
            <w:vAlign w:val="center"/>
          </w:tcPr>
          <w:p w14:paraId="766984E9">
            <w:pPr>
              <w:widowControl/>
              <w:spacing w:line="240" w:lineRule="auto"/>
              <w:ind w:firstLine="0" w:firstLineChars="0"/>
              <w:jc w:val="center"/>
              <w:rPr>
                <w:rFonts w:hint="default" w:ascii="Times New Roman" w:hAnsi="Times New Roman" w:eastAsia="宋体" w:cs="Times New Roman"/>
                <w:sz w:val="21"/>
                <w:szCs w:val="21"/>
              </w:rPr>
            </w:pPr>
          </w:p>
        </w:tc>
        <w:tc>
          <w:tcPr>
            <w:tcW w:w="2596" w:type="pct"/>
            <w:tcBorders>
              <w:top w:val="single" w:color="000000" w:sz="4" w:space="0"/>
              <w:bottom w:val="single" w:color="000000" w:sz="4" w:space="0"/>
              <w:tl2br w:val="nil"/>
              <w:tr2bl w:val="nil"/>
            </w:tcBorders>
            <w:vAlign w:val="center"/>
          </w:tcPr>
          <w:p w14:paraId="63F3B553">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严格控制VOCs处理过程中产生的二次污染对于催化燃烧和热力焚烧过程中产生的含硫、氮、氯等无机废气，以及吸附、吸收、冷凝、生物等治理过程中所产生的含有机物废水，应处理后达标排放。</w:t>
            </w:r>
          </w:p>
        </w:tc>
        <w:tc>
          <w:tcPr>
            <w:tcW w:w="1403" w:type="pct"/>
            <w:vMerge w:val="continue"/>
            <w:tcBorders>
              <w:bottom w:val="single" w:color="000000" w:sz="4" w:space="0"/>
              <w:right w:val="single" w:color="000000" w:sz="4" w:space="0"/>
              <w:tl2br w:val="nil"/>
              <w:tr2bl w:val="nil"/>
            </w:tcBorders>
            <w:vAlign w:val="center"/>
          </w:tcPr>
          <w:p w14:paraId="269475A3">
            <w:pPr>
              <w:widowControl/>
              <w:spacing w:line="240" w:lineRule="auto"/>
              <w:ind w:firstLine="0" w:firstLineChars="0"/>
              <w:jc w:val="center"/>
              <w:rPr>
                <w:rFonts w:hint="default" w:ascii="Times New Roman" w:hAnsi="Times New Roman" w:eastAsia="宋体" w:cs="Times New Roman"/>
                <w:sz w:val="21"/>
                <w:szCs w:val="21"/>
              </w:rPr>
            </w:pPr>
          </w:p>
        </w:tc>
        <w:tc>
          <w:tcPr>
            <w:tcW w:w="350" w:type="pct"/>
            <w:vMerge w:val="continue"/>
            <w:tcBorders>
              <w:left w:val="single" w:color="000000" w:sz="4" w:space="0"/>
              <w:tl2br w:val="nil"/>
              <w:tr2bl w:val="nil"/>
            </w:tcBorders>
            <w:vAlign w:val="center"/>
          </w:tcPr>
          <w:p w14:paraId="22826EE7">
            <w:pPr>
              <w:widowControl/>
              <w:spacing w:line="240" w:lineRule="auto"/>
              <w:ind w:firstLine="0" w:firstLineChars="0"/>
              <w:jc w:val="center"/>
              <w:rPr>
                <w:rFonts w:hint="default" w:ascii="Times New Roman" w:hAnsi="Times New Roman" w:eastAsia="宋体" w:cs="Times New Roman"/>
                <w:sz w:val="21"/>
                <w:szCs w:val="21"/>
              </w:rPr>
            </w:pPr>
          </w:p>
        </w:tc>
      </w:tr>
      <w:tr w14:paraId="70E85F2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jc w:val="center"/>
        </w:trPr>
        <w:tc>
          <w:tcPr>
            <w:tcW w:w="649" w:type="pct"/>
            <w:vMerge w:val="continue"/>
            <w:tcBorders>
              <w:tl2br w:val="nil"/>
              <w:tr2bl w:val="nil"/>
            </w:tcBorders>
            <w:vAlign w:val="center"/>
          </w:tcPr>
          <w:p w14:paraId="15291172">
            <w:pPr>
              <w:widowControl/>
              <w:spacing w:line="240" w:lineRule="auto"/>
              <w:ind w:firstLine="0" w:firstLineChars="0"/>
              <w:jc w:val="center"/>
              <w:rPr>
                <w:rFonts w:hint="default" w:ascii="Times New Roman" w:hAnsi="Times New Roman" w:eastAsia="宋体" w:cs="Times New Roman"/>
                <w:sz w:val="21"/>
                <w:szCs w:val="21"/>
              </w:rPr>
            </w:pPr>
          </w:p>
        </w:tc>
        <w:tc>
          <w:tcPr>
            <w:tcW w:w="2596" w:type="pct"/>
            <w:tcBorders>
              <w:top w:val="single" w:color="000000" w:sz="4" w:space="0"/>
              <w:bottom w:val="single" w:color="000000" w:sz="4" w:space="0"/>
              <w:tl2br w:val="nil"/>
              <w:tr2bl w:val="nil"/>
            </w:tcBorders>
            <w:vAlign w:val="center"/>
          </w:tcPr>
          <w:p w14:paraId="25D77590">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对于不能再生的过滤材料、吸附剂及催化剂等净化材料，应按照国家固体废物管理的相关规定处理处置。</w:t>
            </w:r>
          </w:p>
        </w:tc>
        <w:tc>
          <w:tcPr>
            <w:tcW w:w="1403" w:type="pct"/>
            <w:tcBorders>
              <w:top w:val="single" w:color="000000" w:sz="4" w:space="0"/>
              <w:bottom w:val="single" w:color="000000" w:sz="4" w:space="0"/>
              <w:right w:val="single" w:color="000000" w:sz="4" w:space="0"/>
              <w:tl2br w:val="nil"/>
              <w:tr2bl w:val="nil"/>
            </w:tcBorders>
            <w:vAlign w:val="center"/>
          </w:tcPr>
          <w:p w14:paraId="7CA844D4">
            <w:pPr>
              <w:widowControl/>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废活性炭交由有资质单位处理处置。</w:t>
            </w:r>
          </w:p>
        </w:tc>
        <w:tc>
          <w:tcPr>
            <w:tcW w:w="350" w:type="pct"/>
            <w:vMerge w:val="continue"/>
            <w:tcBorders>
              <w:left w:val="single" w:color="000000" w:sz="4" w:space="0"/>
              <w:bottom w:val="single" w:color="000000" w:sz="4" w:space="0"/>
              <w:tl2br w:val="nil"/>
              <w:tr2bl w:val="nil"/>
            </w:tcBorders>
            <w:vAlign w:val="center"/>
          </w:tcPr>
          <w:p w14:paraId="0E59C39F">
            <w:pPr>
              <w:widowControl/>
              <w:spacing w:line="240" w:lineRule="auto"/>
              <w:ind w:firstLine="0" w:firstLineChars="0"/>
              <w:jc w:val="center"/>
              <w:rPr>
                <w:rFonts w:hint="default" w:ascii="Times New Roman" w:hAnsi="Times New Roman" w:eastAsia="宋体" w:cs="Times New Roman"/>
                <w:sz w:val="21"/>
                <w:szCs w:val="21"/>
              </w:rPr>
            </w:pPr>
          </w:p>
        </w:tc>
      </w:tr>
      <w:tr w14:paraId="6F342CA4">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jc w:val="center"/>
        </w:trPr>
        <w:tc>
          <w:tcPr>
            <w:tcW w:w="649" w:type="pct"/>
            <w:vMerge w:val="restart"/>
            <w:tcBorders>
              <w:tl2br w:val="nil"/>
              <w:tr2bl w:val="nil"/>
            </w:tcBorders>
            <w:vAlign w:val="center"/>
          </w:tcPr>
          <w:p w14:paraId="050FBBC7">
            <w:pPr>
              <w:widowControl/>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四、运行与监测</w:t>
            </w:r>
          </w:p>
        </w:tc>
        <w:tc>
          <w:tcPr>
            <w:tcW w:w="2596" w:type="pct"/>
            <w:tcBorders>
              <w:top w:val="single" w:color="000000" w:sz="4" w:space="0"/>
              <w:bottom w:val="single" w:color="000000" w:sz="4" w:space="0"/>
              <w:tl2br w:val="nil"/>
              <w:tr2bl w:val="nil"/>
            </w:tcBorders>
            <w:vAlign w:val="center"/>
          </w:tcPr>
          <w:p w14:paraId="7296BBA5">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鼓励企业自行开展VOCs监测，并及时主动向当地环保行政主管部门报送监测结果。</w:t>
            </w:r>
          </w:p>
        </w:tc>
        <w:tc>
          <w:tcPr>
            <w:tcW w:w="1403" w:type="pct"/>
            <w:tcBorders>
              <w:top w:val="single" w:color="000000" w:sz="4" w:space="0"/>
              <w:bottom w:val="single" w:color="000000" w:sz="4" w:space="0"/>
              <w:right w:val="single" w:color="000000" w:sz="4" w:space="0"/>
              <w:tl2br w:val="nil"/>
              <w:tr2bl w:val="nil"/>
            </w:tcBorders>
            <w:vAlign w:val="center"/>
          </w:tcPr>
          <w:p w14:paraId="008261C7">
            <w:pPr>
              <w:widowControl/>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投产后企业按照规范开展定期监测。</w:t>
            </w:r>
          </w:p>
        </w:tc>
        <w:tc>
          <w:tcPr>
            <w:tcW w:w="350" w:type="pct"/>
            <w:tcBorders>
              <w:top w:val="single" w:color="000000" w:sz="4" w:space="0"/>
              <w:left w:val="single" w:color="000000" w:sz="4" w:space="0"/>
              <w:bottom w:val="single" w:color="000000" w:sz="4" w:space="0"/>
              <w:tl2br w:val="nil"/>
              <w:tr2bl w:val="nil"/>
            </w:tcBorders>
            <w:vAlign w:val="center"/>
          </w:tcPr>
          <w:p w14:paraId="20978278">
            <w:pPr>
              <w:widowControl/>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符合</w:t>
            </w:r>
          </w:p>
        </w:tc>
      </w:tr>
      <w:tr w14:paraId="4998026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jc w:val="center"/>
        </w:trPr>
        <w:tc>
          <w:tcPr>
            <w:tcW w:w="649" w:type="pct"/>
            <w:vMerge w:val="continue"/>
            <w:tcBorders>
              <w:tl2br w:val="nil"/>
              <w:tr2bl w:val="nil"/>
            </w:tcBorders>
            <w:vAlign w:val="center"/>
          </w:tcPr>
          <w:p w14:paraId="0402C94B">
            <w:pPr>
              <w:widowControl/>
              <w:spacing w:line="240" w:lineRule="auto"/>
              <w:ind w:firstLine="0" w:firstLineChars="0"/>
              <w:jc w:val="center"/>
              <w:rPr>
                <w:rFonts w:hint="default" w:ascii="Times New Roman" w:hAnsi="Times New Roman" w:eastAsia="宋体" w:cs="Times New Roman"/>
                <w:sz w:val="21"/>
                <w:szCs w:val="21"/>
              </w:rPr>
            </w:pPr>
          </w:p>
        </w:tc>
        <w:tc>
          <w:tcPr>
            <w:tcW w:w="2596" w:type="pct"/>
            <w:tcBorders>
              <w:top w:val="single" w:color="000000" w:sz="4" w:space="0"/>
              <w:bottom w:val="single" w:color="000000" w:sz="4" w:space="0"/>
              <w:tl2br w:val="nil"/>
              <w:tr2bl w:val="nil"/>
            </w:tcBorders>
            <w:vAlign w:val="center"/>
          </w:tcPr>
          <w:p w14:paraId="68E1F67C">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企业应建立健全VOCs治理设施的运行维护规程和台账等日常管理制度，并根据工艺要求定期对各类设备、电气、自控仪表等进行检修维护，确保设施的稳定运行。</w:t>
            </w:r>
          </w:p>
        </w:tc>
        <w:tc>
          <w:tcPr>
            <w:tcW w:w="1403" w:type="pct"/>
            <w:tcBorders>
              <w:top w:val="single" w:color="000000" w:sz="4" w:space="0"/>
              <w:bottom w:val="single" w:color="000000" w:sz="4" w:space="0"/>
              <w:right w:val="single" w:color="000000" w:sz="4" w:space="0"/>
              <w:tl2br w:val="nil"/>
              <w:tr2bl w:val="nil"/>
            </w:tcBorders>
            <w:vAlign w:val="center"/>
          </w:tcPr>
          <w:p w14:paraId="6DB28B41">
            <w:pPr>
              <w:widowControl/>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rPr>
              <w:t>建立健全VOCs治理设施的运行维护规程和台帐等日常管理制度，定期对各类设备、电气、自控仪表等进行检修维护，确保设施的稳定运行。</w:t>
            </w:r>
          </w:p>
        </w:tc>
        <w:tc>
          <w:tcPr>
            <w:tcW w:w="350" w:type="pct"/>
            <w:tcBorders>
              <w:top w:val="single" w:color="000000" w:sz="4" w:space="0"/>
              <w:left w:val="single" w:color="000000" w:sz="4" w:space="0"/>
              <w:bottom w:val="single" w:color="000000" w:sz="4" w:space="0"/>
              <w:tl2br w:val="nil"/>
              <w:tr2bl w:val="nil"/>
            </w:tcBorders>
            <w:vAlign w:val="center"/>
          </w:tcPr>
          <w:p w14:paraId="509DC134">
            <w:pPr>
              <w:widowControl/>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符合</w:t>
            </w:r>
          </w:p>
        </w:tc>
      </w:tr>
      <w:tr w14:paraId="2B88A09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jc w:val="center"/>
        </w:trPr>
        <w:tc>
          <w:tcPr>
            <w:tcW w:w="649" w:type="pct"/>
            <w:vMerge w:val="continue"/>
            <w:tcBorders>
              <w:tl2br w:val="nil"/>
              <w:tr2bl w:val="nil"/>
            </w:tcBorders>
            <w:vAlign w:val="center"/>
          </w:tcPr>
          <w:p w14:paraId="7B9B9AB6">
            <w:pPr>
              <w:widowControl/>
              <w:spacing w:line="240" w:lineRule="auto"/>
              <w:ind w:firstLine="0" w:firstLineChars="0"/>
              <w:jc w:val="center"/>
              <w:rPr>
                <w:rFonts w:hint="default" w:ascii="Times New Roman" w:hAnsi="Times New Roman" w:eastAsia="宋体" w:cs="Times New Roman"/>
                <w:sz w:val="21"/>
                <w:szCs w:val="21"/>
              </w:rPr>
            </w:pPr>
          </w:p>
        </w:tc>
        <w:tc>
          <w:tcPr>
            <w:tcW w:w="2596" w:type="pct"/>
            <w:tcBorders>
              <w:top w:val="single" w:color="000000" w:sz="4" w:space="0"/>
              <w:tl2br w:val="nil"/>
              <w:tr2bl w:val="nil"/>
            </w:tcBorders>
            <w:vAlign w:val="center"/>
          </w:tcPr>
          <w:p w14:paraId="3324D0FB">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采用吸附回收(浓缩)、催化燃烧、热力焚烧、等离子体等方法进行末端治理时，应编制本单位事故火灾、爆炸等应急救援预案，配备应急救援人员和器材,并开展应急演练。</w:t>
            </w:r>
          </w:p>
        </w:tc>
        <w:tc>
          <w:tcPr>
            <w:tcW w:w="1403" w:type="pct"/>
            <w:tcBorders>
              <w:top w:val="single" w:color="000000" w:sz="4" w:space="0"/>
              <w:right w:val="single" w:color="000000" w:sz="4" w:space="0"/>
              <w:tl2br w:val="nil"/>
              <w:tr2bl w:val="nil"/>
            </w:tcBorders>
            <w:vAlign w:val="center"/>
          </w:tcPr>
          <w:p w14:paraId="625E043F">
            <w:pPr>
              <w:widowControl/>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企业按规范编制应急预案，配备应急救援人员和器材,并开展应急演练</w:t>
            </w:r>
            <w:r>
              <w:rPr>
                <w:rFonts w:hint="eastAsia" w:ascii="Times New Roman" w:hAnsi="Times New Roman" w:eastAsia="宋体" w:cs="Times New Roman"/>
                <w:sz w:val="21"/>
                <w:szCs w:val="21"/>
                <w:lang w:val="en-US" w:eastAsia="zh-CN"/>
              </w:rPr>
              <w:t>。</w:t>
            </w:r>
          </w:p>
        </w:tc>
        <w:tc>
          <w:tcPr>
            <w:tcW w:w="350" w:type="pct"/>
            <w:tcBorders>
              <w:top w:val="single" w:color="000000" w:sz="4" w:space="0"/>
              <w:left w:val="single" w:color="000000" w:sz="4" w:space="0"/>
              <w:tl2br w:val="nil"/>
              <w:tr2bl w:val="nil"/>
            </w:tcBorders>
            <w:vAlign w:val="center"/>
          </w:tcPr>
          <w:p w14:paraId="3BC46AED">
            <w:pPr>
              <w:widowControl/>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符合</w:t>
            </w:r>
          </w:p>
        </w:tc>
      </w:tr>
    </w:tbl>
    <w:p w14:paraId="0D27CBC2">
      <w:pPr>
        <w:keepNext w:val="0"/>
        <w:keepLines w:val="0"/>
        <w:pageBreakBefore w:val="0"/>
        <w:wordWrap/>
        <w:overflowPunct/>
        <w:topLinePunct w:val="0"/>
        <w:bidi w:val="0"/>
        <w:spacing w:line="360" w:lineRule="auto"/>
        <w:ind w:left="0" w:right="0" w:firstLine="480" w:firstLineChars="200"/>
        <w:jc w:val="both"/>
        <w:outlineLvl w:val="9"/>
        <w:rPr>
          <w:rFonts w:hint="eastAsia" w:ascii="Times New Roman" w:hAnsi="Times New Roman" w:eastAsia="宋体" w:cs="Times New Roman"/>
          <w:color w:val="auto"/>
          <w:spacing w:val="0"/>
          <w:position w:val="0"/>
          <w:sz w:val="24"/>
          <w:szCs w:val="24"/>
          <w:lang w:val="en-US" w:eastAsia="zh-CN"/>
        </w:rPr>
      </w:pPr>
      <w:r>
        <w:rPr>
          <w:rFonts w:hint="eastAsia" w:ascii="Times New Roman" w:hAnsi="Times New Roman" w:eastAsia="宋体" w:cs="Times New Roman"/>
          <w:color w:val="auto"/>
          <w:spacing w:val="0"/>
          <w:position w:val="0"/>
          <w:sz w:val="24"/>
          <w:szCs w:val="24"/>
          <w:lang w:val="en-US" w:eastAsia="zh-CN"/>
        </w:rPr>
        <w:t>在采取以上措施后，本项目符合《大气污染防治行动计划》（国发[2013]37号）、《重点行业挥发性有机物综合治理方案》（环大气[2019]53）、《黑龙江省大气污染防治行动计划实施细则》（黑政发〔2014〕1号）、《黑龙江省重点行业挥发性有机物综合治理行动方案》（黑环发[2019]153号）、《挥发性有机物（VOCs）污染防治技术政策》、《国务院关于印发〈空气质量持续改善行动计划〉的通知》（国发[2023]24号）、</w:t>
      </w:r>
      <w:r>
        <w:rPr>
          <w:rFonts w:hint="default" w:ascii="Times New Roman" w:hAnsi="Times New Roman" w:eastAsia="宋体" w:cs="Times New Roman"/>
          <w:color w:val="auto"/>
          <w:spacing w:val="0"/>
          <w:position w:val="0"/>
          <w:sz w:val="24"/>
          <w:szCs w:val="24"/>
          <w:lang w:val="en-US" w:eastAsia="zh-CN"/>
        </w:rPr>
        <w:t>《</w:t>
      </w:r>
      <w:r>
        <w:rPr>
          <w:rFonts w:hint="eastAsia" w:ascii="Times New Roman" w:hAnsi="Times New Roman" w:eastAsia="宋体" w:cs="Times New Roman"/>
          <w:color w:val="auto"/>
          <w:spacing w:val="0"/>
          <w:position w:val="0"/>
          <w:sz w:val="24"/>
          <w:szCs w:val="24"/>
          <w:lang w:val="en-US" w:eastAsia="zh-CN"/>
        </w:rPr>
        <w:t>黑龙江省空气质量持续改善行动计划实施方案</w:t>
      </w:r>
      <w:r>
        <w:rPr>
          <w:rFonts w:hint="default" w:ascii="Times New Roman" w:hAnsi="Times New Roman" w:eastAsia="宋体" w:cs="Times New Roman"/>
          <w:color w:val="auto"/>
          <w:spacing w:val="0"/>
          <w:position w:val="0"/>
          <w:sz w:val="24"/>
          <w:szCs w:val="24"/>
          <w:lang w:val="en-US" w:eastAsia="zh-CN"/>
        </w:rPr>
        <w:t>》（</w:t>
      </w:r>
      <w:r>
        <w:rPr>
          <w:rFonts w:hint="eastAsia" w:ascii="Times New Roman" w:hAnsi="Times New Roman" w:eastAsia="宋体" w:cs="Times New Roman"/>
          <w:color w:val="auto"/>
          <w:spacing w:val="0"/>
          <w:position w:val="0"/>
          <w:sz w:val="24"/>
          <w:szCs w:val="24"/>
          <w:lang w:val="en-US" w:eastAsia="zh-CN"/>
        </w:rPr>
        <w:t>黑政发[2023]19号</w:t>
      </w:r>
      <w:r>
        <w:rPr>
          <w:rFonts w:hint="default" w:ascii="Times New Roman" w:hAnsi="Times New Roman" w:eastAsia="宋体" w:cs="Times New Roman"/>
          <w:color w:val="auto"/>
          <w:spacing w:val="0"/>
          <w:position w:val="0"/>
          <w:sz w:val="24"/>
          <w:szCs w:val="24"/>
          <w:lang w:val="en-US" w:eastAsia="zh-CN"/>
        </w:rPr>
        <w:t>）、《黑龙江省工业炉窑大气污染综合治理方案的通知》（黑环发〔2019〕144号</w:t>
      </w:r>
      <w:r>
        <w:rPr>
          <w:rFonts w:hint="eastAsia" w:ascii="Times New Roman" w:hAnsi="Times New Roman" w:eastAsia="宋体" w:cs="Times New Roman"/>
          <w:color w:val="auto"/>
          <w:spacing w:val="0"/>
          <w:position w:val="0"/>
          <w:sz w:val="24"/>
          <w:szCs w:val="24"/>
          <w:lang w:val="en-US" w:eastAsia="zh-CN"/>
        </w:rPr>
        <w:t>、</w:t>
      </w:r>
      <w:r>
        <w:rPr>
          <w:rFonts w:hint="default" w:ascii="Times New Roman" w:hAnsi="Times New Roman" w:eastAsia="宋体" w:cs="Times New Roman"/>
          <w:color w:val="auto"/>
          <w:spacing w:val="0"/>
          <w:position w:val="0"/>
          <w:sz w:val="24"/>
          <w:szCs w:val="24"/>
          <w:lang w:val="en-US" w:eastAsia="zh-CN"/>
        </w:rPr>
        <w:t>《哈尔滨市大气环境质量限期达标规划（2020-2027年）》</w:t>
      </w:r>
      <w:r>
        <w:rPr>
          <w:rFonts w:hint="eastAsia" w:ascii="Times New Roman" w:hAnsi="Times New Roman" w:eastAsia="宋体" w:cs="Times New Roman"/>
          <w:color w:val="auto"/>
          <w:spacing w:val="0"/>
          <w:position w:val="0"/>
          <w:sz w:val="24"/>
          <w:szCs w:val="24"/>
          <w:lang w:val="en-US" w:eastAsia="zh-CN"/>
        </w:rPr>
        <w:t>要求。</w:t>
      </w:r>
    </w:p>
    <w:p w14:paraId="28246E9A">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jc w:val="left"/>
        <w:textAlignment w:val="baseline"/>
        <w:outlineLvl w:val="3"/>
        <w:rPr>
          <w:rFonts w:hint="eastAsia" w:ascii="Times New Roman" w:hAnsi="Times New Roman" w:cs="Times New Roman"/>
          <w:b/>
          <w:bCs/>
          <w:color w:val="auto"/>
          <w:sz w:val="24"/>
          <w:lang w:val="en-US" w:eastAsia="zh-CN"/>
        </w:rPr>
      </w:pPr>
      <w:r>
        <w:rPr>
          <w:rFonts w:hint="eastAsia" w:ascii="Times New Roman" w:hAnsi="Times New Roman" w:cs="Times New Roman"/>
          <w:b/>
          <w:bCs/>
          <w:color w:val="auto"/>
          <w:sz w:val="24"/>
          <w:lang w:val="en-US" w:eastAsia="zh-CN"/>
        </w:rPr>
        <w:t>1.4.2.2与“水污染防治政策”符合性判定</w:t>
      </w:r>
    </w:p>
    <w:p w14:paraId="4068CD7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outlineLvl w:val="9"/>
        <w:rPr>
          <w:rFonts w:hint="eastAsia" w:ascii="Times New Roman" w:hAnsi="Times New Roman" w:eastAsia="宋体" w:cs="Times New Roman"/>
          <w:color w:val="auto"/>
          <w:spacing w:val="0"/>
          <w:position w:val="0"/>
          <w:sz w:val="24"/>
          <w:szCs w:val="24"/>
          <w:lang w:val="en-US" w:eastAsia="zh-CN"/>
        </w:rPr>
      </w:pPr>
      <w:r>
        <w:rPr>
          <w:rFonts w:hint="eastAsia" w:ascii="Times New Roman" w:hAnsi="Times New Roman" w:eastAsia="宋体" w:cs="Times New Roman"/>
          <w:color w:val="auto"/>
          <w:spacing w:val="0"/>
          <w:position w:val="0"/>
          <w:sz w:val="24"/>
          <w:szCs w:val="24"/>
          <w:lang w:val="en-US" w:eastAsia="zh-CN"/>
        </w:rPr>
        <w:t>根据《水污染防治行动计划》（国发[2015]17号）、《黑龙江省水污染防治实施方案》（黑政发[2016]3号）、《黑龙江省水污染防治条例》及《哈尔滨市水污染防治工作方案》（哈政发[2016]9号），本项目与“水污染防治政策”相关要求符合性见表1.4-4。</w:t>
      </w:r>
    </w:p>
    <w:p w14:paraId="035D5F33">
      <w:pPr>
        <w:widowControl/>
        <w:spacing w:line="240" w:lineRule="auto"/>
        <w:ind w:firstLine="0" w:firstLineChars="0"/>
        <w:jc w:val="center"/>
        <w:rPr>
          <w:rFonts w:hint="eastAsia"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rPr>
        <w:t>表</w:t>
      </w:r>
      <w:r>
        <w:rPr>
          <w:rFonts w:hint="eastAsia" w:ascii="Times New Roman" w:hAnsi="Times New Roman" w:eastAsia="宋体" w:cs="Times New Roman"/>
          <w:b/>
          <w:bCs/>
          <w:color w:val="auto"/>
          <w:sz w:val="24"/>
          <w:szCs w:val="24"/>
        </w:rPr>
        <w:t>1.4-</w:t>
      </w:r>
      <w:r>
        <w:rPr>
          <w:rFonts w:hint="eastAsia" w:ascii="Times New Roman" w:hAnsi="Times New Roman" w:eastAsia="宋体" w:cs="Times New Roman"/>
          <w:b/>
          <w:bCs/>
          <w:color w:val="auto"/>
          <w:sz w:val="24"/>
          <w:szCs w:val="24"/>
          <w:lang w:val="en-US" w:eastAsia="zh-CN"/>
        </w:rPr>
        <w:t>4</w:t>
      </w:r>
      <w:r>
        <w:rPr>
          <w:rFonts w:hint="eastAsia" w:ascii="Times New Roman" w:hAnsi="Times New Roman" w:eastAsia="宋体" w:cs="Times New Roman"/>
          <w:b/>
          <w:bCs/>
          <w:color w:val="auto"/>
          <w:sz w:val="24"/>
          <w:szCs w:val="24"/>
        </w:rPr>
        <w:t xml:space="preserve">  本项目与“</w:t>
      </w:r>
      <w:r>
        <w:rPr>
          <w:rFonts w:hint="eastAsia" w:ascii="Times New Roman" w:hAnsi="Times New Roman" w:cs="Times New Roman"/>
          <w:b/>
          <w:bCs/>
          <w:color w:val="auto"/>
          <w:sz w:val="24"/>
          <w:lang w:val="en-US" w:eastAsia="zh-CN"/>
        </w:rPr>
        <w:t>水污染防治政策</w:t>
      </w:r>
      <w:r>
        <w:rPr>
          <w:rFonts w:hint="eastAsia" w:ascii="Times New Roman" w:hAnsi="Times New Roman" w:eastAsia="宋体" w:cs="Times New Roman"/>
          <w:b/>
          <w:bCs/>
          <w:color w:val="auto"/>
          <w:sz w:val="24"/>
          <w:szCs w:val="24"/>
        </w:rPr>
        <w:t>”相关要求符合性</w:t>
      </w:r>
      <w:r>
        <w:rPr>
          <w:rFonts w:hint="eastAsia" w:ascii="Times New Roman" w:hAnsi="Times New Roman" w:eastAsia="宋体" w:cs="Times New Roman"/>
          <w:b/>
          <w:bCs/>
          <w:color w:val="auto"/>
          <w:sz w:val="24"/>
          <w:szCs w:val="24"/>
          <w:lang w:val="en-US" w:eastAsia="zh-CN"/>
        </w:rPr>
        <w:t>分析</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7"/>
        <w:gridCol w:w="463"/>
        <w:gridCol w:w="1236"/>
        <w:gridCol w:w="4965"/>
        <w:gridCol w:w="2196"/>
      </w:tblGrid>
      <w:tr w14:paraId="6BAA3E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tblHeader/>
          <w:jc w:val="center"/>
        </w:trPr>
        <w:tc>
          <w:tcPr>
            <w:tcW w:w="427" w:type="dxa"/>
            <w:tcBorders>
              <w:tl2br w:val="nil"/>
              <w:tr2bl w:val="nil"/>
            </w:tcBorders>
            <w:vAlign w:val="center"/>
          </w:tcPr>
          <w:p w14:paraId="67DD9C5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序号</w:t>
            </w:r>
          </w:p>
        </w:tc>
        <w:tc>
          <w:tcPr>
            <w:tcW w:w="1699" w:type="dxa"/>
            <w:gridSpan w:val="2"/>
            <w:tcBorders>
              <w:tl2br w:val="nil"/>
              <w:tr2bl w:val="nil"/>
            </w:tcBorders>
            <w:vAlign w:val="center"/>
          </w:tcPr>
          <w:p w14:paraId="7BD1253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类别</w:t>
            </w:r>
          </w:p>
        </w:tc>
        <w:tc>
          <w:tcPr>
            <w:tcW w:w="4965" w:type="dxa"/>
            <w:tcBorders>
              <w:tl2br w:val="nil"/>
              <w:tr2bl w:val="nil"/>
            </w:tcBorders>
            <w:vAlign w:val="center"/>
          </w:tcPr>
          <w:p w14:paraId="627E55D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w:t>
            </w:r>
            <w:r>
              <w:rPr>
                <w:rFonts w:hint="default" w:ascii="Times New Roman" w:hAnsi="Times New Roman" w:eastAsia="宋体" w:cs="Times New Roman"/>
                <w:b/>
                <w:sz w:val="21"/>
                <w:szCs w:val="21"/>
                <w:lang w:val="en-US" w:eastAsia="zh-CN"/>
              </w:rPr>
              <w:t>水污染防治政策</w:t>
            </w:r>
            <w:r>
              <w:rPr>
                <w:rFonts w:hint="default" w:ascii="Times New Roman" w:hAnsi="Times New Roman" w:eastAsia="宋体" w:cs="Times New Roman"/>
                <w:b/>
                <w:sz w:val="21"/>
                <w:szCs w:val="21"/>
              </w:rPr>
              <w:t>”的要求</w:t>
            </w:r>
          </w:p>
        </w:tc>
        <w:tc>
          <w:tcPr>
            <w:tcW w:w="2196" w:type="dxa"/>
            <w:tcBorders>
              <w:tl2br w:val="nil"/>
              <w:tr2bl w:val="nil"/>
            </w:tcBorders>
            <w:vAlign w:val="center"/>
          </w:tcPr>
          <w:p w14:paraId="5D15233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本项目符合性</w:t>
            </w:r>
          </w:p>
        </w:tc>
      </w:tr>
      <w:tr w14:paraId="1CA7D6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7" w:type="dxa"/>
            <w:tcBorders>
              <w:tl2br w:val="nil"/>
              <w:tr2bl w:val="nil"/>
            </w:tcBorders>
            <w:vAlign w:val="center"/>
          </w:tcPr>
          <w:p w14:paraId="215D186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463" w:type="dxa"/>
            <w:tcBorders>
              <w:tl2br w:val="nil"/>
              <w:tr2bl w:val="nil"/>
            </w:tcBorders>
            <w:vAlign w:val="center"/>
          </w:tcPr>
          <w:p w14:paraId="51EA35F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国家</w:t>
            </w:r>
          </w:p>
        </w:tc>
        <w:tc>
          <w:tcPr>
            <w:tcW w:w="1236" w:type="dxa"/>
            <w:tcBorders>
              <w:tl2br w:val="nil"/>
              <w:tr2bl w:val="nil"/>
            </w:tcBorders>
            <w:vAlign w:val="center"/>
          </w:tcPr>
          <w:p w14:paraId="67489EA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《水污染防治行动计划》</w:t>
            </w:r>
          </w:p>
        </w:tc>
        <w:tc>
          <w:tcPr>
            <w:tcW w:w="4965" w:type="dxa"/>
            <w:tcBorders>
              <w:tl2br w:val="nil"/>
              <w:tr2bl w:val="nil"/>
            </w:tcBorders>
            <w:vAlign w:val="center"/>
          </w:tcPr>
          <w:p w14:paraId="37E85C2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（1）狠抓工业污染防治。</w:t>
            </w:r>
          </w:p>
          <w:p w14:paraId="2E5D0FC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2</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集中治理工业集聚区水污染。强化经济技术开发区、高新技术产业开发区、出口加工区等工业集聚区污染治理。集聚区内工业废水必须经预处理达到集中处理要求，方可进入污水集中处理设施。新建、升级工业集</w:t>
            </w:r>
            <w:r>
              <w:rPr>
                <w:rFonts w:hint="default" w:ascii="Times New Roman" w:hAnsi="Times New Roman" w:eastAsia="宋体" w:cs="Times New Roman"/>
                <w:color w:val="auto"/>
                <w:sz w:val="21"/>
                <w:szCs w:val="21"/>
                <w:lang w:val="en-US" w:eastAsia="zh-CN"/>
              </w:rPr>
              <w:t>聚区应同步规划、建设污水、垃圾集中处理等污染治理设施。</w:t>
            </w:r>
          </w:p>
        </w:tc>
        <w:tc>
          <w:tcPr>
            <w:tcW w:w="2196" w:type="dxa"/>
            <w:vMerge w:val="restart"/>
            <w:tcBorders>
              <w:tl2br w:val="nil"/>
              <w:tr2bl w:val="nil"/>
            </w:tcBorders>
            <w:vAlign w:val="center"/>
          </w:tcPr>
          <w:p w14:paraId="48F5F4E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lang w:val="en-US" w:eastAsia="zh-CN"/>
              </w:rPr>
              <w:t>生活污水与冷却塔循环冷却废水排入市政污水管网，由污水管网排入牛家满族镇污水处理厂。</w:t>
            </w:r>
            <w:r>
              <w:rPr>
                <w:rFonts w:hint="default" w:ascii="Times New Roman" w:hAnsi="Times New Roman" w:eastAsia="宋体" w:cs="Times New Roman"/>
                <w:color w:val="auto"/>
                <w:sz w:val="21"/>
                <w:szCs w:val="21"/>
              </w:rPr>
              <w:t>厂区采取分区防渗的措施，</w:t>
            </w:r>
            <w:r>
              <w:rPr>
                <w:rFonts w:hint="default" w:ascii="Times New Roman" w:hAnsi="Times New Roman" w:cs="Times New Roman"/>
                <w:color w:val="auto"/>
                <w:lang w:val="en-US" w:eastAsia="zh-CN"/>
              </w:rPr>
              <w:t>本项目</w:t>
            </w:r>
            <w:r>
              <w:rPr>
                <w:rFonts w:hint="eastAsia" w:eastAsia="宋体" w:cs="Times New Roman"/>
                <w:color w:val="auto"/>
                <w:sz w:val="21"/>
                <w:szCs w:val="21"/>
                <w:lang w:val="en-US" w:eastAsia="zh-CN"/>
              </w:rPr>
              <w:t>油品储存区、</w:t>
            </w:r>
            <w:r>
              <w:rPr>
                <w:rFonts w:hint="default" w:ascii="Times New Roman" w:hAnsi="Times New Roman" w:cs="Times New Roman"/>
                <w:color w:val="auto"/>
                <w:lang w:val="en-US" w:eastAsia="zh-CN"/>
              </w:rPr>
              <w:t>油漆库、调漆室、喷涂区、水帘喷漆循环水池、危险废物贮存库为重点防渗区，厂房内其余区域为一般防渗区，办公楼、门卫室、宿舍楼</w:t>
            </w:r>
            <w:r>
              <w:rPr>
                <w:rFonts w:hint="default" w:ascii="Times New Roman" w:hAnsi="Times New Roman" w:cs="Times New Roman"/>
                <w:color w:val="auto"/>
              </w:rPr>
              <w:t>及厂内道路</w:t>
            </w:r>
            <w:r>
              <w:rPr>
                <w:rFonts w:hint="default" w:ascii="Times New Roman" w:hAnsi="Times New Roman" w:cs="Times New Roman"/>
                <w:color w:val="auto"/>
                <w:lang w:eastAsia="zh-CN"/>
              </w:rPr>
              <w:t>为</w:t>
            </w:r>
            <w:r>
              <w:rPr>
                <w:rFonts w:hint="default" w:ascii="Times New Roman" w:hAnsi="Times New Roman" w:cs="Times New Roman"/>
                <w:color w:val="auto"/>
              </w:rPr>
              <w:t>简单防渗区</w:t>
            </w:r>
            <w:r>
              <w:rPr>
                <w:rFonts w:hint="default" w:ascii="Times New Roman" w:hAnsi="Times New Roman" w:cs="Times New Roman"/>
                <w:color w:val="auto"/>
                <w:lang w:eastAsia="zh-CN"/>
              </w:rPr>
              <w:t>。根据地下水流向，厂区所在地下游设置1个地下水环境跟踪监测井</w:t>
            </w:r>
            <w:r>
              <w:rPr>
                <w:rFonts w:hint="default" w:ascii="Times New Roman" w:hAnsi="Times New Roman" w:cs="Times New Roman"/>
                <w:color w:val="auto"/>
              </w:rPr>
              <w:t>，定期对监测井进行监测，</w:t>
            </w:r>
            <w:r>
              <w:rPr>
                <w:rFonts w:hint="default" w:ascii="Times New Roman" w:hAnsi="Times New Roman" w:cs="Times New Roman"/>
                <w:color w:val="auto"/>
                <w:lang w:val="zh-CN"/>
              </w:rPr>
              <w:t>如果渗漏，能够及时发现并采取相应的措施。</w:t>
            </w:r>
          </w:p>
          <w:p w14:paraId="282D708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符合国家、省市“</w:t>
            </w:r>
            <w:r>
              <w:rPr>
                <w:rFonts w:hint="default" w:ascii="Times New Roman" w:hAnsi="Times New Roman" w:eastAsia="宋体" w:cs="Times New Roman"/>
                <w:color w:val="auto"/>
                <w:sz w:val="21"/>
                <w:szCs w:val="21"/>
                <w:lang w:val="en-US" w:eastAsia="zh-CN"/>
              </w:rPr>
              <w:t>水污染防治政策</w:t>
            </w:r>
            <w:r>
              <w:rPr>
                <w:rFonts w:hint="default" w:ascii="Times New Roman" w:hAnsi="Times New Roman" w:eastAsia="宋体" w:cs="Times New Roman"/>
                <w:color w:val="auto"/>
                <w:sz w:val="21"/>
                <w:szCs w:val="21"/>
              </w:rPr>
              <w:t>”的相关要求。</w:t>
            </w:r>
          </w:p>
        </w:tc>
      </w:tr>
      <w:tr w14:paraId="23C378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7" w:type="dxa"/>
            <w:vMerge w:val="restart"/>
            <w:tcBorders>
              <w:tl2br w:val="nil"/>
              <w:tr2bl w:val="nil"/>
            </w:tcBorders>
            <w:vAlign w:val="center"/>
          </w:tcPr>
          <w:p w14:paraId="1261DB8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463" w:type="dxa"/>
            <w:vMerge w:val="restart"/>
            <w:tcBorders>
              <w:tl2br w:val="nil"/>
              <w:tr2bl w:val="nil"/>
            </w:tcBorders>
            <w:vAlign w:val="center"/>
          </w:tcPr>
          <w:p w14:paraId="6A1421C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黑龙江省</w:t>
            </w:r>
          </w:p>
        </w:tc>
        <w:tc>
          <w:tcPr>
            <w:tcW w:w="1236" w:type="dxa"/>
            <w:tcBorders>
              <w:tl2br w:val="nil"/>
              <w:tr2bl w:val="nil"/>
            </w:tcBorders>
            <w:vAlign w:val="center"/>
          </w:tcPr>
          <w:p w14:paraId="6EF5967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《黑龙江省水污染防治实施方案》</w:t>
            </w:r>
          </w:p>
        </w:tc>
        <w:tc>
          <w:tcPr>
            <w:tcW w:w="4965" w:type="dxa"/>
            <w:tcBorders>
              <w:tl2br w:val="nil"/>
              <w:tr2bl w:val="nil"/>
            </w:tcBorders>
            <w:vAlign w:val="center"/>
          </w:tcPr>
          <w:p w14:paraId="27E2F08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（1）狠抓工业污染防治。</w:t>
            </w:r>
          </w:p>
          <w:p w14:paraId="011788A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2</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集中治理工业集聚区水污染。强化经济技术开发区、高新技术产业开发区、保税区出口加工区等工业集聚区的污染治理。工业集聚区开发建设应依法进行规划环境影响评价。工业集聚区内工业废水必须经预处理达到集中处理要求后，方可进入污水集中处理设施。</w:t>
            </w:r>
          </w:p>
          <w:p w14:paraId="58BD94F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3</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防治地下水污染。严格控制工业废水排放和废渣堆存，加强生活污水、垃圾集中收集处理。</w:t>
            </w:r>
          </w:p>
        </w:tc>
        <w:tc>
          <w:tcPr>
            <w:tcW w:w="2196" w:type="dxa"/>
            <w:vMerge w:val="continue"/>
            <w:tcBorders>
              <w:tl2br w:val="nil"/>
              <w:tr2bl w:val="nil"/>
            </w:tcBorders>
            <w:vAlign w:val="center"/>
          </w:tcPr>
          <w:p w14:paraId="3DD0821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rPr>
            </w:pPr>
          </w:p>
        </w:tc>
      </w:tr>
      <w:tr w14:paraId="593B08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tcBorders>
              <w:tl2br w:val="nil"/>
              <w:tr2bl w:val="nil"/>
            </w:tcBorders>
            <w:vAlign w:val="center"/>
          </w:tcPr>
          <w:p w14:paraId="6E008CB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p>
        </w:tc>
        <w:tc>
          <w:tcPr>
            <w:tcW w:w="463" w:type="dxa"/>
            <w:vMerge w:val="continue"/>
            <w:tcBorders>
              <w:tl2br w:val="nil"/>
              <w:tr2bl w:val="nil"/>
            </w:tcBorders>
            <w:vAlign w:val="center"/>
          </w:tcPr>
          <w:p w14:paraId="48DFA86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p>
        </w:tc>
        <w:tc>
          <w:tcPr>
            <w:tcW w:w="1236" w:type="dxa"/>
            <w:tcBorders>
              <w:tl2br w:val="nil"/>
              <w:tr2bl w:val="nil"/>
            </w:tcBorders>
            <w:vAlign w:val="center"/>
          </w:tcPr>
          <w:p w14:paraId="5F0311F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《黑龙江省水污染防治条例》</w:t>
            </w:r>
          </w:p>
        </w:tc>
        <w:tc>
          <w:tcPr>
            <w:tcW w:w="4965" w:type="dxa"/>
            <w:tcBorders>
              <w:tl2br w:val="nil"/>
              <w:tr2bl w:val="nil"/>
            </w:tcBorders>
            <w:vAlign w:val="center"/>
          </w:tcPr>
          <w:p w14:paraId="3759A1A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新建、改建、扩建直接或者间接向水体排放污染物的建设项目和其他水上设施，应当依法进行环境影响评价，并符合国家、省、市（地）有关生态保护红线、环境质量底线、资源利用上线和生态环境准入清单的要求。</w:t>
            </w:r>
          </w:p>
          <w:p w14:paraId="5F60DCC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（2）依照法律规定实行排污许可管理的企业事业单位和其他生产经营者，应当依照《排污许可管理条例》规定申请取得排污许可证，按照排污许可证要求排放污染物；未取得排污许可证的，不得排放污染物。</w:t>
            </w:r>
          </w:p>
          <w:p w14:paraId="69DB300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实行排污许可管理的企业事业单位和其他生产经营者应当按照排污许可证要求和有关标准规范，自行监测排放的水污染物，保存原始监测记录，建立环境管理台账。原始监测记录、环境管理台账保存期限不少于五年。</w:t>
            </w:r>
          </w:p>
          <w:p w14:paraId="358BCB3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排放工业废水的企业应当采取有效措施，收集和处理产生的全部废水，防止污染环境。含有毒有害水污染物的工业废水应当分类收集和处理，不得稀释排放。</w:t>
            </w:r>
          </w:p>
        </w:tc>
        <w:tc>
          <w:tcPr>
            <w:tcW w:w="2196" w:type="dxa"/>
            <w:vMerge w:val="continue"/>
            <w:tcBorders>
              <w:tl2br w:val="nil"/>
              <w:tr2bl w:val="nil"/>
            </w:tcBorders>
            <w:vAlign w:val="center"/>
          </w:tcPr>
          <w:p w14:paraId="2E17041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p>
        </w:tc>
      </w:tr>
      <w:tr w14:paraId="1A706C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tcBorders>
              <w:tl2br w:val="nil"/>
              <w:tr2bl w:val="nil"/>
            </w:tcBorders>
            <w:vAlign w:val="center"/>
          </w:tcPr>
          <w:p w14:paraId="0630F57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463" w:type="dxa"/>
            <w:tcBorders>
              <w:tl2br w:val="nil"/>
              <w:tr2bl w:val="nil"/>
            </w:tcBorders>
            <w:vAlign w:val="center"/>
          </w:tcPr>
          <w:p w14:paraId="2F7D6F1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哈尔滨市</w:t>
            </w:r>
          </w:p>
        </w:tc>
        <w:tc>
          <w:tcPr>
            <w:tcW w:w="1236" w:type="dxa"/>
            <w:tcBorders>
              <w:tl2br w:val="nil"/>
              <w:tr2bl w:val="nil"/>
            </w:tcBorders>
            <w:vAlign w:val="center"/>
          </w:tcPr>
          <w:p w14:paraId="1BB5459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《哈尔滨市水污染防治工作方案》</w:t>
            </w:r>
          </w:p>
        </w:tc>
        <w:tc>
          <w:tcPr>
            <w:tcW w:w="4965" w:type="dxa"/>
            <w:tcBorders>
              <w:tl2br w:val="nil"/>
              <w:tr2bl w:val="nil"/>
            </w:tcBorders>
            <w:vAlign w:val="center"/>
          </w:tcPr>
          <w:p w14:paraId="7DC1C11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1</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集中治理工业集聚区水污染。强化经济技术开发区、高新技术产业开发区、保税区、出口加工区等工业集聚区的污染治理。工业集聚区内的工业废水必须经预处理达到集中处理要求后，方可进入污水集中处理设施。</w:t>
            </w:r>
          </w:p>
        </w:tc>
        <w:tc>
          <w:tcPr>
            <w:tcW w:w="2196" w:type="dxa"/>
            <w:vMerge w:val="continue"/>
            <w:tcBorders>
              <w:tl2br w:val="nil"/>
              <w:tr2bl w:val="nil"/>
            </w:tcBorders>
            <w:vAlign w:val="center"/>
          </w:tcPr>
          <w:p w14:paraId="497EBC3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p>
        </w:tc>
      </w:tr>
    </w:tbl>
    <w:p w14:paraId="65A17F92">
      <w:pPr>
        <w:keepNext w:val="0"/>
        <w:keepLines w:val="0"/>
        <w:pageBreakBefore w:val="0"/>
        <w:wordWrap/>
        <w:overflowPunct/>
        <w:topLinePunct w:val="0"/>
        <w:bidi w:val="0"/>
        <w:spacing w:line="360" w:lineRule="auto"/>
        <w:ind w:left="0" w:right="0" w:firstLine="480" w:firstLineChars="200"/>
        <w:jc w:val="both"/>
        <w:outlineLvl w:val="9"/>
        <w:rPr>
          <w:rFonts w:hint="eastAsia" w:ascii="Times New Roman" w:hAnsi="Times New Roman" w:eastAsia="宋体" w:cs="Times New Roman"/>
          <w:color w:val="auto"/>
          <w:spacing w:val="0"/>
          <w:position w:val="0"/>
          <w:sz w:val="24"/>
          <w:szCs w:val="24"/>
          <w:lang w:val="en-US" w:eastAsia="zh-CN"/>
        </w:rPr>
      </w:pPr>
      <w:r>
        <w:rPr>
          <w:rFonts w:hint="eastAsia" w:ascii="Times New Roman" w:hAnsi="Times New Roman" w:eastAsia="宋体" w:cs="Times New Roman"/>
          <w:color w:val="auto"/>
          <w:spacing w:val="0"/>
          <w:position w:val="0"/>
          <w:sz w:val="24"/>
          <w:szCs w:val="24"/>
          <w:lang w:val="en-US" w:eastAsia="zh-CN"/>
        </w:rPr>
        <w:t>在采取以上措施后，本项目符合《水污染防治行动计划》（国发[2015]17号）、《黑龙江省水污染防治实施方案》（黑政发[2016]3号）、《黑龙江省水污染防治条例》及《哈尔滨市水污染防治工作方案》（哈政发[2016]9号）相关要求。</w:t>
      </w:r>
    </w:p>
    <w:p w14:paraId="3DB3BBAD">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jc w:val="left"/>
        <w:textAlignment w:val="baseline"/>
        <w:outlineLvl w:val="3"/>
        <w:rPr>
          <w:rFonts w:hint="eastAsia" w:ascii="Times New Roman" w:hAnsi="Times New Roman" w:cs="Times New Roman"/>
          <w:b/>
          <w:bCs/>
          <w:color w:val="auto"/>
          <w:sz w:val="24"/>
          <w:lang w:val="en-US" w:eastAsia="zh-CN"/>
        </w:rPr>
      </w:pPr>
      <w:r>
        <w:rPr>
          <w:rFonts w:hint="eastAsia" w:ascii="Times New Roman" w:hAnsi="Times New Roman" w:cs="Times New Roman"/>
          <w:b/>
          <w:bCs/>
          <w:color w:val="auto"/>
          <w:sz w:val="24"/>
          <w:lang w:val="en-US" w:eastAsia="zh-CN"/>
        </w:rPr>
        <w:t>1.4.2.3与“土壤污染防治政策”符合性判定</w:t>
      </w:r>
    </w:p>
    <w:p w14:paraId="2CD91A9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outlineLvl w:val="9"/>
        <w:rPr>
          <w:rFonts w:hint="eastAsia" w:ascii="Times New Roman" w:hAnsi="Times New Roman" w:eastAsia="宋体" w:cs="Times New Roman"/>
          <w:color w:val="auto"/>
          <w:spacing w:val="0"/>
          <w:position w:val="0"/>
          <w:sz w:val="24"/>
          <w:szCs w:val="24"/>
          <w:lang w:val="en-US" w:eastAsia="zh-CN"/>
        </w:rPr>
      </w:pPr>
      <w:r>
        <w:rPr>
          <w:rFonts w:hint="eastAsia" w:ascii="Times New Roman" w:hAnsi="Times New Roman" w:eastAsia="宋体" w:cs="Times New Roman"/>
          <w:color w:val="auto"/>
          <w:spacing w:val="0"/>
          <w:position w:val="0"/>
          <w:sz w:val="24"/>
          <w:szCs w:val="24"/>
          <w:lang w:val="en-US" w:eastAsia="zh-CN"/>
        </w:rPr>
        <w:t>根据《土壤污染防治行动计划》（国发[2016]31号）、《黑龙江省土壤污染防治实施方案》（黑政发[2016]46号）及《哈尔滨市“十四五”土壤、地下水和农村生态环境保护规划》（哈环规〔2023〕1号），本项目与“土壤污染防治政策”相关要求符合性详见表1.4-5。</w:t>
      </w:r>
    </w:p>
    <w:p w14:paraId="39AEB01D">
      <w:pPr>
        <w:widowControl/>
        <w:spacing w:line="240" w:lineRule="auto"/>
        <w:ind w:firstLine="0" w:firstLineChars="0"/>
        <w:jc w:val="center"/>
        <w:rPr>
          <w:rFonts w:hint="eastAsia"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rPr>
        <w:t>表</w:t>
      </w:r>
      <w:r>
        <w:rPr>
          <w:rFonts w:hint="eastAsia" w:ascii="Times New Roman" w:hAnsi="Times New Roman" w:eastAsia="宋体" w:cs="Times New Roman"/>
          <w:b/>
          <w:bCs/>
          <w:color w:val="auto"/>
          <w:sz w:val="24"/>
          <w:szCs w:val="24"/>
        </w:rPr>
        <w:t>1.4-</w:t>
      </w:r>
      <w:r>
        <w:rPr>
          <w:rFonts w:hint="eastAsia" w:ascii="Times New Roman" w:hAnsi="Times New Roman" w:eastAsia="宋体" w:cs="Times New Roman"/>
          <w:b/>
          <w:bCs/>
          <w:color w:val="auto"/>
          <w:sz w:val="24"/>
          <w:szCs w:val="24"/>
          <w:lang w:val="en-US" w:eastAsia="zh-CN"/>
        </w:rPr>
        <w:t>5</w:t>
      </w:r>
      <w:r>
        <w:rPr>
          <w:rFonts w:hint="eastAsia" w:ascii="Times New Roman" w:hAnsi="Times New Roman" w:eastAsia="宋体" w:cs="Times New Roman"/>
          <w:b/>
          <w:bCs/>
          <w:color w:val="auto"/>
          <w:sz w:val="24"/>
          <w:szCs w:val="24"/>
        </w:rPr>
        <w:t xml:space="preserve">  本项目与“</w:t>
      </w:r>
      <w:r>
        <w:rPr>
          <w:rFonts w:hint="eastAsia" w:ascii="Times New Roman" w:hAnsi="Times New Roman" w:eastAsia="宋体" w:cs="Times New Roman"/>
          <w:b/>
          <w:bCs/>
          <w:color w:val="auto"/>
          <w:sz w:val="24"/>
          <w:szCs w:val="24"/>
          <w:lang w:val="en-US" w:eastAsia="zh-CN"/>
        </w:rPr>
        <w:t>土壤污染防治政策</w:t>
      </w:r>
      <w:r>
        <w:rPr>
          <w:rFonts w:hint="eastAsia" w:ascii="Times New Roman" w:hAnsi="Times New Roman" w:eastAsia="宋体" w:cs="Times New Roman"/>
          <w:b/>
          <w:bCs/>
          <w:color w:val="auto"/>
          <w:sz w:val="24"/>
          <w:szCs w:val="24"/>
        </w:rPr>
        <w:t>”相关要求符合性</w:t>
      </w:r>
      <w:r>
        <w:rPr>
          <w:rFonts w:hint="eastAsia" w:ascii="Times New Roman" w:hAnsi="Times New Roman" w:eastAsia="宋体" w:cs="Times New Roman"/>
          <w:b/>
          <w:bCs/>
          <w:color w:val="auto"/>
          <w:sz w:val="24"/>
          <w:szCs w:val="24"/>
          <w:lang w:val="en-US" w:eastAsia="zh-CN"/>
        </w:rPr>
        <w:t>分析</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fixed"/>
        <w:tblCellMar>
          <w:top w:w="0" w:type="dxa"/>
          <w:left w:w="108" w:type="dxa"/>
          <w:bottom w:w="0" w:type="dxa"/>
          <w:right w:w="108" w:type="dxa"/>
        </w:tblCellMar>
      </w:tblPr>
      <w:tblGrid>
        <w:gridCol w:w="427"/>
        <w:gridCol w:w="463"/>
        <w:gridCol w:w="6797"/>
        <w:gridCol w:w="1600"/>
      </w:tblGrid>
      <w:tr w14:paraId="467270C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blHeader/>
          <w:jc w:val="center"/>
        </w:trPr>
        <w:tc>
          <w:tcPr>
            <w:tcW w:w="392" w:type="dxa"/>
            <w:tcBorders>
              <w:tl2br w:val="nil"/>
              <w:tr2bl w:val="nil"/>
            </w:tcBorders>
            <w:vAlign w:val="center"/>
          </w:tcPr>
          <w:p w14:paraId="30A407EC">
            <w:pPr>
              <w:widowControl/>
              <w:spacing w:line="240" w:lineRule="auto"/>
              <w:ind w:firstLine="0" w:firstLineChars="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序号</w:t>
            </w:r>
          </w:p>
        </w:tc>
        <w:tc>
          <w:tcPr>
            <w:tcW w:w="425" w:type="dxa"/>
            <w:tcBorders>
              <w:tl2br w:val="nil"/>
              <w:tr2bl w:val="nil"/>
            </w:tcBorders>
            <w:vAlign w:val="center"/>
          </w:tcPr>
          <w:p w14:paraId="5281BE0C">
            <w:pPr>
              <w:widowControl/>
              <w:spacing w:line="240" w:lineRule="auto"/>
              <w:ind w:firstLine="0" w:firstLineChars="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类别</w:t>
            </w:r>
          </w:p>
        </w:tc>
        <w:tc>
          <w:tcPr>
            <w:tcW w:w="6237" w:type="dxa"/>
            <w:tcBorders>
              <w:tl2br w:val="nil"/>
              <w:tr2bl w:val="nil"/>
            </w:tcBorders>
            <w:vAlign w:val="center"/>
          </w:tcPr>
          <w:p w14:paraId="70DABB2B">
            <w:pPr>
              <w:widowControl/>
              <w:spacing w:line="240" w:lineRule="auto"/>
              <w:ind w:firstLine="0" w:firstLineChars="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w:t>
            </w:r>
            <w:r>
              <w:rPr>
                <w:rFonts w:hint="default" w:ascii="Times New Roman" w:hAnsi="Times New Roman" w:eastAsia="宋体" w:cs="Times New Roman"/>
                <w:b/>
                <w:sz w:val="21"/>
                <w:szCs w:val="21"/>
                <w:lang w:val="en-US" w:eastAsia="zh-CN"/>
              </w:rPr>
              <w:t>土壤污染防治政策</w:t>
            </w:r>
            <w:r>
              <w:rPr>
                <w:rFonts w:hint="default" w:ascii="Times New Roman" w:hAnsi="Times New Roman" w:eastAsia="宋体" w:cs="Times New Roman"/>
                <w:b/>
                <w:sz w:val="21"/>
                <w:szCs w:val="21"/>
              </w:rPr>
              <w:t>”的要求</w:t>
            </w:r>
          </w:p>
        </w:tc>
        <w:tc>
          <w:tcPr>
            <w:tcW w:w="1468" w:type="dxa"/>
            <w:tcBorders>
              <w:tl2br w:val="nil"/>
              <w:tr2bl w:val="nil"/>
            </w:tcBorders>
            <w:vAlign w:val="center"/>
          </w:tcPr>
          <w:p w14:paraId="0FEF2BEA">
            <w:pPr>
              <w:widowControl/>
              <w:spacing w:line="240" w:lineRule="auto"/>
              <w:ind w:firstLine="0" w:firstLineChars="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本项目符合性</w:t>
            </w:r>
          </w:p>
        </w:tc>
      </w:tr>
      <w:tr w14:paraId="2D1E472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jc w:val="center"/>
        </w:trPr>
        <w:tc>
          <w:tcPr>
            <w:tcW w:w="392" w:type="dxa"/>
            <w:tcBorders>
              <w:tl2br w:val="nil"/>
              <w:tr2bl w:val="nil"/>
            </w:tcBorders>
            <w:vAlign w:val="center"/>
          </w:tcPr>
          <w:p w14:paraId="19F3D86D">
            <w:pPr>
              <w:widowControl/>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425" w:type="dxa"/>
            <w:tcBorders>
              <w:tl2br w:val="nil"/>
              <w:tr2bl w:val="nil"/>
            </w:tcBorders>
            <w:vAlign w:val="center"/>
          </w:tcPr>
          <w:p w14:paraId="7DF2505F">
            <w:pPr>
              <w:widowControl/>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国家</w:t>
            </w:r>
          </w:p>
        </w:tc>
        <w:tc>
          <w:tcPr>
            <w:tcW w:w="6237" w:type="dxa"/>
            <w:tcBorders>
              <w:tl2br w:val="nil"/>
              <w:tr2bl w:val="nil"/>
            </w:tcBorders>
            <w:vAlign w:val="center"/>
          </w:tcPr>
          <w:p w14:paraId="09BA6F7F">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（1）开展土壤污染调查，掌握土壤环境质量状况。深入开展土壤环境质量调查。</w:t>
            </w:r>
          </w:p>
          <w:p w14:paraId="3FD419A5">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推进土壤污染防治立法，建立健全法规标准体系。全面强化监管执法。明确监管重点。重点监测土壤中镉、汞、砷、铅、铬等重金属和多环芳烃、石油烃等有机污染物，重点监管有色金属矿采选、有色金属冶炼、石油开采、石油加工、化工、焦化、电镀、制革等行业，以及产粮（油）大县、地级以上城市建成区等区域。加大执法力度。将土壤污染防治作为环境执法的重要内容，充分利用环境监管网格，加强土壤环境日常监管执法。严厉打击非法排放有毒有害污染物、违法违规存放危险化学品、非法处置危险废物、不正常使用污染治理设施、监测数据弄虚作假等环境违法行为。</w:t>
            </w:r>
          </w:p>
          <w:p w14:paraId="04E57A93">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强化未污染土壤保护，严控新增土壤污染。强化空间布局管控。结合区域功能定位和土壤污染防治需要，科学布局生活垃圾处理、危险废物处置、废旧资源再生利用等设施和场所，合理确定畜禽养殖布局和规模。</w:t>
            </w:r>
          </w:p>
        </w:tc>
        <w:tc>
          <w:tcPr>
            <w:tcW w:w="1468" w:type="dxa"/>
            <w:vMerge w:val="restart"/>
            <w:tcBorders>
              <w:tl2br w:val="nil"/>
              <w:tr2bl w:val="nil"/>
            </w:tcBorders>
            <w:vAlign w:val="center"/>
          </w:tcPr>
          <w:p w14:paraId="50CBFF75">
            <w:pPr>
              <w:widowControl/>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color w:val="auto"/>
                <w:sz w:val="21"/>
                <w:szCs w:val="21"/>
              </w:rPr>
              <w:t>本项目根据土壤类型和土地利用情况，对项目厂内外进行土壤检测</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本项目厂界内土壤满足《土壤环境质量 建设用地土壤污染风险管控标准（试行）》（GB36600-2018）表1中第二类用地筛选值指标，评价范围内居民点满足《土壤环境质量 建设用地土壤污染风险管控标准（试行）》（GB36600-2018）表1中第一类用地筛选值指标，评价范围内耕地满足《土壤环境质量 农用地土壤污染风险管控标准（试行）》（GB15618-2018）表1农用地土壤污染风险筛选值要求。本项目</w:t>
            </w:r>
            <w:r>
              <w:rPr>
                <w:rFonts w:hint="default" w:ascii="Times New Roman" w:hAnsi="Times New Roman" w:eastAsia="宋体" w:cs="Times New Roman"/>
                <w:color w:val="auto"/>
                <w:sz w:val="21"/>
                <w:szCs w:val="21"/>
              </w:rPr>
              <w:t>采取严格的防渗、密闭</w:t>
            </w:r>
            <w:r>
              <w:rPr>
                <w:rFonts w:hint="eastAsia" w:ascii="Times New Roman" w:hAnsi="Times New Roman" w:eastAsia="宋体" w:cs="Times New Roman"/>
                <w:color w:val="auto"/>
                <w:sz w:val="21"/>
                <w:szCs w:val="21"/>
                <w:lang w:val="en-US" w:eastAsia="zh-CN"/>
              </w:rPr>
              <w:t>等</w:t>
            </w:r>
            <w:r>
              <w:rPr>
                <w:rFonts w:hint="default" w:ascii="Times New Roman" w:hAnsi="Times New Roman" w:eastAsia="宋体" w:cs="Times New Roman"/>
                <w:color w:val="auto"/>
                <w:sz w:val="21"/>
                <w:szCs w:val="21"/>
              </w:rPr>
              <w:t>措施，最大程度减少了项目大气沉降、垂直入渗及地表漫流对周边土壤的影响，符合国家、省</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市“</w:t>
            </w:r>
            <w:r>
              <w:rPr>
                <w:rFonts w:hint="default" w:ascii="Times New Roman" w:hAnsi="Times New Roman" w:eastAsia="宋体" w:cs="Times New Roman"/>
                <w:color w:val="auto"/>
                <w:sz w:val="21"/>
                <w:szCs w:val="21"/>
                <w:lang w:val="en-US" w:eastAsia="zh-CN"/>
              </w:rPr>
              <w:t>土壤污染防治政策</w:t>
            </w:r>
            <w:r>
              <w:rPr>
                <w:rFonts w:hint="default" w:ascii="Times New Roman" w:hAnsi="Times New Roman" w:eastAsia="宋体" w:cs="Times New Roman"/>
                <w:color w:val="auto"/>
                <w:sz w:val="21"/>
                <w:szCs w:val="21"/>
              </w:rPr>
              <w:t>”的相关要求。</w:t>
            </w:r>
          </w:p>
        </w:tc>
      </w:tr>
      <w:tr w14:paraId="2721808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jc w:val="center"/>
        </w:trPr>
        <w:tc>
          <w:tcPr>
            <w:tcW w:w="392" w:type="dxa"/>
            <w:tcBorders>
              <w:tl2br w:val="nil"/>
              <w:tr2bl w:val="nil"/>
            </w:tcBorders>
            <w:vAlign w:val="center"/>
          </w:tcPr>
          <w:p w14:paraId="6CA22846">
            <w:pPr>
              <w:widowControl/>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425" w:type="dxa"/>
            <w:tcBorders>
              <w:tl2br w:val="nil"/>
              <w:tr2bl w:val="nil"/>
            </w:tcBorders>
            <w:vAlign w:val="center"/>
          </w:tcPr>
          <w:p w14:paraId="31CB5531">
            <w:pPr>
              <w:widowControl/>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黑龙江省</w:t>
            </w:r>
          </w:p>
        </w:tc>
        <w:tc>
          <w:tcPr>
            <w:tcW w:w="6237" w:type="dxa"/>
            <w:tcBorders>
              <w:tl2br w:val="nil"/>
              <w:tr2bl w:val="nil"/>
            </w:tcBorders>
            <w:vAlign w:val="center"/>
          </w:tcPr>
          <w:p w14:paraId="158F294D">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（1）开展土壤污染调查，掌握土壤环境质量状况。深入开展土壤环境质量调查。</w:t>
            </w:r>
          </w:p>
          <w:p w14:paraId="1127A037">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建立健全法规规章制度和标准体系，强化环境监管。明确监管重点。重点监测土壤中镉、汞、砷、铅、铬等重金属和多环芳烃、石油烃等有机污染物。重点监管有色金属矿采选、有色金属冶炼、石油开采、石油加工、化工、焦化、电镀、制革等行业，以及产粮(油)大县、市级以上城市建成区等区域。加大执法力度。将土壤污染防治作为环境执法的重要内容，充分利用环境监管网格，加强土壤环境日常监管执法。严厉打击非法排放有毒有害污染物、违法违规存放危险化学品、非法运输危险化学品和危险废物及有毒有害物质、非法处置危险废物、非正常使用污染治理设施、监测数据弄虚作假等环境违法行为。</w:t>
            </w:r>
          </w:p>
          <w:p w14:paraId="7A6EA949">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强化未污染土壤保护，严控新增土壤污染。强化空间布局管控。结合区域功能定位和土壤污染防治需要，科学布局生活垃圾处理、危险废物处置、废旧资源再生利用等设施和场所，合理确定畜禽养殖布局和规模。</w:t>
            </w:r>
          </w:p>
        </w:tc>
        <w:tc>
          <w:tcPr>
            <w:tcW w:w="1468" w:type="dxa"/>
            <w:vMerge w:val="continue"/>
            <w:tcBorders>
              <w:tl2br w:val="nil"/>
              <w:tr2bl w:val="nil"/>
            </w:tcBorders>
            <w:vAlign w:val="center"/>
          </w:tcPr>
          <w:p w14:paraId="74CAF437">
            <w:pPr>
              <w:widowControl/>
              <w:spacing w:line="240" w:lineRule="auto"/>
              <w:ind w:firstLine="0" w:firstLineChars="0"/>
              <w:jc w:val="center"/>
              <w:rPr>
                <w:rFonts w:hint="default" w:ascii="Times New Roman" w:hAnsi="Times New Roman" w:eastAsia="宋体" w:cs="Times New Roman"/>
                <w:sz w:val="21"/>
                <w:szCs w:val="21"/>
              </w:rPr>
            </w:pPr>
          </w:p>
        </w:tc>
      </w:tr>
      <w:tr w14:paraId="2257D28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jc w:val="center"/>
        </w:trPr>
        <w:tc>
          <w:tcPr>
            <w:tcW w:w="392" w:type="dxa"/>
            <w:tcBorders>
              <w:tl2br w:val="nil"/>
              <w:tr2bl w:val="nil"/>
            </w:tcBorders>
            <w:vAlign w:val="center"/>
          </w:tcPr>
          <w:p w14:paraId="7B960D17">
            <w:pPr>
              <w:widowControl/>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425" w:type="dxa"/>
            <w:tcBorders>
              <w:tl2br w:val="nil"/>
              <w:tr2bl w:val="nil"/>
            </w:tcBorders>
            <w:vAlign w:val="center"/>
          </w:tcPr>
          <w:p w14:paraId="5A10AABD">
            <w:pPr>
              <w:widowControl/>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哈尔滨市</w:t>
            </w:r>
          </w:p>
        </w:tc>
        <w:tc>
          <w:tcPr>
            <w:tcW w:w="6237" w:type="dxa"/>
            <w:tcBorders>
              <w:tl2br w:val="nil"/>
              <w:tr2bl w:val="nil"/>
            </w:tcBorders>
            <w:vAlign w:val="center"/>
          </w:tcPr>
          <w:p w14:paraId="39172BC5">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（1）开展土壤污染调查，掌握土壤环境质量状况。深入开展土壤环境质量调查。</w:t>
            </w:r>
          </w:p>
          <w:p w14:paraId="35E9B6B6">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明确监管重点。重点监测土壤中镉、汞、砷、铅、铬等重金属和多环芳烃、石油烃等有机污染物。重点监管有色金属矿采选、有色金属冶炼、石油开采、石油加工、化工、焦化、电镀、制革等行业，以及产粮(油)大县、地级以上城市建成区等区域。加大执法力度。将土壤污染防治作为环境执法的重要内容，充分利用环境监管网格，加强土壤环境日常监管执法。严厉打击非法排放有毒有害污染物、违法违规存放危险化学品、非法运输危险化学品和危险废物及有毒有害物质、非法处置危险废物、非正常使用污染治理设施:监测数据弄虚作假等环境违法行为。</w:t>
            </w:r>
          </w:p>
          <w:p w14:paraId="39987782">
            <w:pPr>
              <w:widowControl/>
              <w:spacing w:line="240" w:lineRule="auto"/>
              <w:ind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强化未污染土壤保护，严控新增土壤污染。强化空间布局管控。加强规划区划和建设项目布局论证，严格执行相关行业企业布局选址要求。鼓励工业企业集聚发展，提高土地节约集约利用水平，减少土壤污染。禁止在居民区、学校、医疗和养老机构等周边新建有色金属冶炼、焦化等行业企业；结合推进新型城镇化、产业结构调整和化解过剩产能等，有序搬迁或依法关闭对土壤造成严重污染的现有企业。结合区域功能定位和土壤污染防治需要，科学布局生活垃圾处理、危险废物处置、废旧资源再生利用等设施和场所，按集约化、产业化、利于监管原则，推进再生资源产业园区建设，合理确定畜禽养殖布局和规模。</w:t>
            </w:r>
          </w:p>
        </w:tc>
        <w:tc>
          <w:tcPr>
            <w:tcW w:w="1468" w:type="dxa"/>
            <w:vMerge w:val="continue"/>
            <w:tcBorders>
              <w:tl2br w:val="nil"/>
              <w:tr2bl w:val="nil"/>
            </w:tcBorders>
            <w:vAlign w:val="center"/>
          </w:tcPr>
          <w:p w14:paraId="19A47785">
            <w:pPr>
              <w:widowControl/>
              <w:spacing w:line="240" w:lineRule="auto"/>
              <w:ind w:firstLine="0" w:firstLineChars="0"/>
              <w:jc w:val="center"/>
              <w:rPr>
                <w:rFonts w:hint="default" w:ascii="Times New Roman" w:hAnsi="Times New Roman" w:eastAsia="宋体" w:cs="Times New Roman"/>
                <w:sz w:val="21"/>
                <w:szCs w:val="21"/>
              </w:rPr>
            </w:pPr>
          </w:p>
        </w:tc>
      </w:tr>
    </w:tbl>
    <w:p w14:paraId="61BEC47F">
      <w:pPr>
        <w:keepNext w:val="0"/>
        <w:keepLines w:val="0"/>
        <w:pageBreakBefore w:val="0"/>
        <w:wordWrap/>
        <w:overflowPunct/>
        <w:topLinePunct w:val="0"/>
        <w:bidi w:val="0"/>
        <w:spacing w:line="360" w:lineRule="auto"/>
        <w:ind w:left="0" w:right="0" w:firstLine="480" w:firstLineChars="200"/>
        <w:jc w:val="both"/>
        <w:outlineLvl w:val="9"/>
        <w:rPr>
          <w:rFonts w:hint="eastAsia" w:ascii="Times New Roman" w:hAnsi="Times New Roman" w:eastAsia="宋体" w:cs="Times New Roman"/>
          <w:color w:val="auto"/>
          <w:spacing w:val="0"/>
          <w:position w:val="0"/>
          <w:sz w:val="24"/>
          <w:szCs w:val="24"/>
          <w:lang w:val="en-US" w:eastAsia="zh-CN"/>
        </w:rPr>
      </w:pPr>
      <w:r>
        <w:rPr>
          <w:rFonts w:hint="eastAsia" w:ascii="Times New Roman" w:hAnsi="Times New Roman" w:eastAsia="宋体" w:cs="Times New Roman"/>
          <w:color w:val="auto"/>
          <w:spacing w:val="0"/>
          <w:position w:val="0"/>
          <w:sz w:val="24"/>
          <w:szCs w:val="24"/>
          <w:lang w:val="en-US" w:eastAsia="zh-CN"/>
        </w:rPr>
        <w:t>由上表可知，本项目符合《土壤污染防治行动计划》（国发[2016]31号）、《黑龙江省土壤污染防治实施方案》（黑政发[2016]46号）及《哈尔滨市“十四五”土壤、地下水和农村生态环境保护规划》（哈环规〔2023〕1号）相关要求。</w:t>
      </w:r>
    </w:p>
    <w:p w14:paraId="4AD64763">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jc w:val="left"/>
        <w:textAlignment w:val="baseline"/>
        <w:outlineLvl w:val="3"/>
        <w:rPr>
          <w:rFonts w:hint="eastAsia" w:ascii="Times New Roman" w:hAnsi="Times New Roman" w:cs="Times New Roman"/>
          <w:b/>
          <w:bCs/>
          <w:color w:val="auto"/>
          <w:sz w:val="24"/>
          <w:lang w:val="en-US" w:eastAsia="zh-CN"/>
        </w:rPr>
      </w:pPr>
      <w:r>
        <w:rPr>
          <w:rFonts w:hint="eastAsia" w:ascii="Times New Roman" w:hAnsi="Times New Roman" w:cs="Times New Roman"/>
          <w:b/>
          <w:bCs/>
          <w:color w:val="auto"/>
          <w:sz w:val="24"/>
          <w:lang w:val="en-US" w:eastAsia="zh-CN"/>
        </w:rPr>
        <w:t>1.4.2.4与《黑龙江省“十四五”生态环境保护规划》符合性分析</w:t>
      </w:r>
    </w:p>
    <w:p w14:paraId="42FCE0C0">
      <w:pPr>
        <w:keepNext w:val="0"/>
        <w:keepLines w:val="0"/>
        <w:pageBreakBefore w:val="0"/>
        <w:wordWrap/>
        <w:overflowPunct/>
        <w:topLinePunct w:val="0"/>
        <w:bidi w:val="0"/>
        <w:spacing w:line="360" w:lineRule="auto"/>
        <w:ind w:left="0" w:right="0" w:firstLine="480" w:firstLineChars="200"/>
        <w:jc w:val="both"/>
        <w:outlineLvl w:val="9"/>
        <w:rPr>
          <w:rFonts w:hint="eastAsia" w:ascii="Times New Roman" w:hAnsi="Times New Roman" w:eastAsia="宋体" w:cs="Times New Roman"/>
          <w:color w:val="auto"/>
          <w:spacing w:val="0"/>
          <w:position w:val="0"/>
          <w:sz w:val="24"/>
          <w:szCs w:val="24"/>
          <w:lang w:val="en-US" w:eastAsia="zh-CN"/>
        </w:rPr>
      </w:pPr>
      <w:r>
        <w:rPr>
          <w:rFonts w:hint="eastAsia" w:ascii="Times New Roman" w:hAnsi="Times New Roman" w:eastAsia="宋体" w:cs="Times New Roman"/>
          <w:color w:val="auto"/>
          <w:spacing w:val="0"/>
          <w:position w:val="0"/>
          <w:sz w:val="24"/>
          <w:szCs w:val="24"/>
          <w:lang w:val="en-US" w:eastAsia="zh-CN"/>
        </w:rPr>
        <w:t>本项目与《黑龙江省“十四五”生态环境保护规划》（黑政规[2021]18号）符合性分析见表1.4-6。</w:t>
      </w:r>
    </w:p>
    <w:p w14:paraId="728E9046">
      <w:pPr>
        <w:widowControl/>
        <w:spacing w:line="240" w:lineRule="auto"/>
        <w:ind w:firstLine="0" w:firstLineChars="0"/>
        <w:jc w:val="center"/>
        <w:rPr>
          <w:rFonts w:hint="eastAsia"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rPr>
        <w:t>表1</w:t>
      </w:r>
      <w:r>
        <w:rPr>
          <w:rFonts w:hint="eastAsia" w:ascii="Times New Roman" w:hAnsi="Times New Roman" w:eastAsia="宋体" w:cs="Times New Roman"/>
          <w:b/>
          <w:bCs/>
          <w:color w:val="auto"/>
          <w:sz w:val="24"/>
          <w:szCs w:val="24"/>
          <w:lang w:val="en-US" w:eastAsia="zh-CN"/>
        </w:rPr>
        <w:t>-</w:t>
      </w:r>
      <w:r>
        <w:rPr>
          <w:rFonts w:hint="eastAsia" w:ascii="Times New Roman" w:hAnsi="Times New Roman" w:eastAsia="宋体" w:cs="Times New Roman"/>
          <w:b/>
          <w:bCs/>
          <w:color w:val="auto"/>
          <w:sz w:val="24"/>
          <w:szCs w:val="24"/>
        </w:rPr>
        <w:t>4-</w:t>
      </w:r>
      <w:r>
        <w:rPr>
          <w:rFonts w:hint="eastAsia" w:ascii="Times New Roman" w:hAnsi="Times New Roman" w:eastAsia="宋体" w:cs="Times New Roman"/>
          <w:b/>
          <w:bCs/>
          <w:color w:val="auto"/>
          <w:sz w:val="24"/>
          <w:szCs w:val="24"/>
          <w:lang w:val="en-US" w:eastAsia="zh-CN"/>
        </w:rPr>
        <w:t>6</w:t>
      </w:r>
      <w:r>
        <w:rPr>
          <w:rFonts w:hint="eastAsia" w:ascii="Times New Roman" w:hAnsi="Times New Roman" w:eastAsia="宋体" w:cs="Times New Roman"/>
          <w:b/>
          <w:bCs/>
          <w:color w:val="auto"/>
          <w:sz w:val="24"/>
          <w:szCs w:val="24"/>
        </w:rPr>
        <w:t xml:space="preserve">  本项目与《</w:t>
      </w:r>
      <w:r>
        <w:rPr>
          <w:rFonts w:hint="eastAsia" w:ascii="Times New Roman" w:hAnsi="Times New Roman" w:eastAsia="宋体" w:cs="Times New Roman"/>
          <w:b/>
          <w:bCs/>
          <w:color w:val="auto"/>
          <w:sz w:val="24"/>
          <w:szCs w:val="24"/>
          <w:lang w:val="en-US" w:eastAsia="zh-CN"/>
        </w:rPr>
        <w:t>黑龙江省“十四五”生态环境保护规划</w:t>
      </w:r>
      <w:r>
        <w:rPr>
          <w:rFonts w:hint="eastAsia" w:ascii="Times New Roman" w:hAnsi="Times New Roman" w:eastAsia="宋体" w:cs="Times New Roman"/>
          <w:b/>
          <w:bCs/>
          <w:color w:val="auto"/>
          <w:sz w:val="24"/>
          <w:szCs w:val="24"/>
        </w:rPr>
        <w:t>》符合性分析一览表</w:t>
      </w:r>
    </w:p>
    <w:tbl>
      <w:tblPr>
        <w:tblStyle w:val="23"/>
        <w:tblW w:w="91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33"/>
        <w:gridCol w:w="3732"/>
        <w:gridCol w:w="839"/>
      </w:tblGrid>
      <w:tr w14:paraId="4CCF1E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4533" w:type="dxa"/>
            <w:tcBorders>
              <w:tl2br w:val="nil"/>
              <w:tr2bl w:val="nil"/>
            </w:tcBorders>
            <w:noWrap w:val="0"/>
            <w:vAlign w:val="center"/>
          </w:tcPr>
          <w:p w14:paraId="014391FD">
            <w:pPr>
              <w:pStyle w:val="75"/>
              <w:widowControl w:val="0"/>
              <w:bidi w:val="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具体要求</w:t>
            </w:r>
          </w:p>
        </w:tc>
        <w:tc>
          <w:tcPr>
            <w:tcW w:w="3732" w:type="dxa"/>
            <w:tcBorders>
              <w:tl2br w:val="nil"/>
              <w:tr2bl w:val="nil"/>
            </w:tcBorders>
            <w:noWrap w:val="0"/>
            <w:vAlign w:val="center"/>
          </w:tcPr>
          <w:p w14:paraId="1ACBE070">
            <w:pPr>
              <w:pStyle w:val="75"/>
              <w:widowControl w:val="0"/>
              <w:bidi w:val="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项目情况</w:t>
            </w:r>
          </w:p>
        </w:tc>
        <w:tc>
          <w:tcPr>
            <w:tcW w:w="839" w:type="dxa"/>
            <w:tcBorders>
              <w:tl2br w:val="nil"/>
              <w:tr2bl w:val="nil"/>
            </w:tcBorders>
            <w:noWrap w:val="0"/>
            <w:vAlign w:val="center"/>
          </w:tcPr>
          <w:p w14:paraId="22395EEB">
            <w:pPr>
              <w:pStyle w:val="75"/>
              <w:widowControl w:val="0"/>
              <w:bidi w:val="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符合性</w:t>
            </w:r>
          </w:p>
        </w:tc>
      </w:tr>
      <w:tr w14:paraId="08CB21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3" w:type="dxa"/>
            <w:tcBorders>
              <w:tl2br w:val="nil"/>
              <w:tr2bl w:val="nil"/>
            </w:tcBorders>
            <w:noWrap w:val="0"/>
            <w:vAlign w:val="center"/>
          </w:tcPr>
          <w:p w14:paraId="0CCCDB39">
            <w:pPr>
              <w:pStyle w:val="75"/>
              <w:widowControl w:val="0"/>
              <w:bidi w:val="0"/>
              <w:jc w:val="both"/>
              <w:rPr>
                <w:rFonts w:hint="eastAsia" w:ascii="Times New Roman" w:hAnsi="Times New Roman" w:eastAsia="宋体" w:cs="Times New Roman"/>
                <w:color w:val="auto"/>
                <w:sz w:val="21"/>
                <w:szCs w:val="21"/>
                <w:highlight w:val="none"/>
              </w:rPr>
            </w:pPr>
            <w:r>
              <w:rPr>
                <w:rFonts w:hint="default" w:ascii="Times New Roman" w:hAnsi="Times New Roman" w:cs="Times New Roman"/>
                <w:color w:val="auto"/>
              </w:rPr>
              <w:t>开展VOCs（挥发性有机物）全过程综合整治。持续开展石化、化工、包装印刷、工业涂装等重点行业VOCs全过程综合整治。</w:t>
            </w:r>
          </w:p>
        </w:tc>
        <w:tc>
          <w:tcPr>
            <w:tcW w:w="3732" w:type="dxa"/>
            <w:tcBorders>
              <w:tl2br w:val="nil"/>
              <w:tr2bl w:val="nil"/>
            </w:tcBorders>
            <w:noWrap w:val="0"/>
            <w:vAlign w:val="center"/>
          </w:tcPr>
          <w:p w14:paraId="087EDE32">
            <w:pPr>
              <w:pStyle w:val="75"/>
              <w:widowControl w:val="0"/>
              <w:bidi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项目在每台注塑机出口设置集气罩对注塑废气进行收集，然后汇入一套“四级活性炭”装置处理后，尾气通过一根15m高排气筒(DA001)排放；喷涂废气（调漆废气、喷漆废气、流平废气、烘干废气）、管路和喷枪清洗废气与丝印废气经水帘式漆雾净化+沸石转轮吸附+RTO焚烧装置处理后经一根22.5m高排气筒（DA002）排放</w:t>
            </w:r>
            <w:r>
              <w:rPr>
                <w:rFonts w:hint="eastAsia"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配胶、喷胶及烘干</w:t>
            </w:r>
            <w:r>
              <w:rPr>
                <w:rFonts w:hint="default" w:ascii="Times New Roman" w:hAnsi="Times New Roman" w:eastAsia="宋体" w:cs="Times New Roman"/>
                <w:color w:val="auto"/>
                <w:sz w:val="21"/>
                <w:szCs w:val="21"/>
                <w:lang w:val="en-US" w:eastAsia="zh-CN"/>
              </w:rPr>
              <w:t>废气、发泡废气收集后经四级活性炭吸附装置处理后于1根15m高排气筒（DA004）排放</w:t>
            </w:r>
            <w:r>
              <w:rPr>
                <w:rFonts w:hint="eastAsia" w:eastAsia="宋体" w:cs="Times New Roman"/>
                <w:color w:val="auto"/>
                <w:sz w:val="21"/>
                <w:szCs w:val="21"/>
                <w:lang w:val="en-US" w:eastAsia="zh-CN"/>
              </w:rPr>
              <w:t>；危险废物贮存库密闭贮存危险废物，及时转运，挥发出极少量的有机废气，在厂区内无组织排放。</w:t>
            </w:r>
          </w:p>
        </w:tc>
        <w:tc>
          <w:tcPr>
            <w:tcW w:w="839" w:type="dxa"/>
            <w:tcBorders>
              <w:tl2br w:val="nil"/>
              <w:tr2bl w:val="nil"/>
            </w:tcBorders>
            <w:noWrap w:val="0"/>
            <w:vAlign w:val="center"/>
          </w:tcPr>
          <w:p w14:paraId="25EBCCA6">
            <w:pPr>
              <w:pStyle w:val="75"/>
              <w:widowControl w:val="0"/>
              <w:bidi w:val="0"/>
              <w:jc w:val="both"/>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符合</w:t>
            </w:r>
          </w:p>
        </w:tc>
      </w:tr>
      <w:tr w14:paraId="24AA5C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3" w:type="dxa"/>
            <w:tcBorders>
              <w:tl2br w:val="nil"/>
              <w:tr2bl w:val="nil"/>
            </w:tcBorders>
            <w:noWrap w:val="0"/>
            <w:vAlign w:val="center"/>
          </w:tcPr>
          <w:p w14:paraId="534A47FB">
            <w:pPr>
              <w:pStyle w:val="75"/>
              <w:widowControl w:val="0"/>
              <w:bidi w:val="0"/>
              <w:spacing w:line="240" w:lineRule="auto"/>
              <w:jc w:val="both"/>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建立地下水生态环境管理体系。针对国家地下水环境质量考核点位，因地制宜制定地下水环境质量达标方案。推动地下水环境分区管理，推进地级及以上城市开展地下水污染防治重点区划定，建立地下水污染重点监管单位名录，依法纳入排污许可管理，加强防渗、地下水环境监测、执法检查。探索建设地下水污染防治试验区。</w:t>
            </w:r>
          </w:p>
        </w:tc>
        <w:tc>
          <w:tcPr>
            <w:tcW w:w="3732" w:type="dxa"/>
            <w:tcBorders>
              <w:tl2br w:val="nil"/>
              <w:tr2bl w:val="nil"/>
            </w:tcBorders>
            <w:noWrap w:val="0"/>
            <w:vAlign w:val="center"/>
          </w:tcPr>
          <w:p w14:paraId="232A3CD9">
            <w:pPr>
              <w:widowControl w:val="0"/>
              <w:adjustRightInd w:val="0"/>
              <w:snapToGrid w:val="0"/>
              <w:spacing w:line="240" w:lineRule="auto"/>
              <w:ind w:left="0" w:leftChars="0" w:firstLine="0" w:firstLineChars="0"/>
              <w:rPr>
                <w:rFonts w:hint="eastAsia" w:ascii="Times New Roman" w:hAnsi="Times New Roman" w:eastAsia="宋体" w:cs="Times New Roman"/>
                <w:color w:val="auto"/>
                <w:sz w:val="21"/>
                <w:szCs w:val="21"/>
                <w:highlight w:val="none"/>
              </w:rPr>
            </w:pPr>
            <w:r>
              <w:rPr>
                <w:rFonts w:hint="default" w:ascii="Times New Roman" w:hAnsi="Times New Roman" w:cs="Times New Roman"/>
                <w:color w:val="auto"/>
                <w:lang w:val="en-US" w:eastAsia="zh-CN"/>
              </w:rPr>
              <w:t>本项目油品储存区、油漆库、调漆室、喷涂区、水帘喷漆循环水池、危险废物贮存库为重点防渗区，厂房内其余区域为一般防渗区，办公楼、门卫室、宿舍楼</w:t>
            </w:r>
            <w:r>
              <w:rPr>
                <w:rFonts w:hint="default" w:ascii="Times New Roman" w:hAnsi="Times New Roman" w:cs="Times New Roman"/>
                <w:color w:val="auto"/>
              </w:rPr>
              <w:t>及厂内道路</w:t>
            </w:r>
            <w:r>
              <w:rPr>
                <w:rFonts w:hint="default" w:ascii="Times New Roman" w:hAnsi="Times New Roman" w:cs="Times New Roman"/>
                <w:color w:val="auto"/>
                <w:lang w:eastAsia="zh-CN"/>
              </w:rPr>
              <w:t>为</w:t>
            </w:r>
            <w:r>
              <w:rPr>
                <w:rFonts w:hint="default" w:ascii="Times New Roman" w:hAnsi="Times New Roman" w:cs="Times New Roman"/>
                <w:color w:val="auto"/>
              </w:rPr>
              <w:t>简单防渗区</w:t>
            </w:r>
            <w:r>
              <w:rPr>
                <w:rFonts w:hint="default" w:ascii="Times New Roman" w:hAnsi="Times New Roman" w:cs="Times New Roman"/>
                <w:color w:val="auto"/>
                <w:lang w:eastAsia="zh-CN"/>
              </w:rPr>
              <w:t>。根据地下水流向，厂区所在地下游设置1个地下水环境跟踪监测井</w:t>
            </w:r>
            <w:r>
              <w:rPr>
                <w:rFonts w:hint="default" w:ascii="Times New Roman" w:hAnsi="Times New Roman" w:cs="Times New Roman"/>
                <w:color w:val="auto"/>
              </w:rPr>
              <w:t>，定期对监测井进行监测，</w:t>
            </w:r>
            <w:r>
              <w:rPr>
                <w:rFonts w:hint="default" w:ascii="Times New Roman" w:hAnsi="Times New Roman" w:cs="Times New Roman"/>
                <w:color w:val="auto"/>
                <w:lang w:val="zh-CN"/>
              </w:rPr>
              <w:t>如果渗漏，能够及时发现并采取相应的措施。</w:t>
            </w:r>
          </w:p>
        </w:tc>
        <w:tc>
          <w:tcPr>
            <w:tcW w:w="839" w:type="dxa"/>
            <w:tcBorders>
              <w:tl2br w:val="nil"/>
              <w:tr2bl w:val="nil"/>
            </w:tcBorders>
            <w:noWrap w:val="0"/>
            <w:vAlign w:val="center"/>
          </w:tcPr>
          <w:p w14:paraId="5201ED11">
            <w:pPr>
              <w:pStyle w:val="75"/>
              <w:widowControl w:val="0"/>
              <w:bidi w:val="0"/>
              <w:jc w:val="both"/>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符合</w:t>
            </w:r>
          </w:p>
        </w:tc>
      </w:tr>
      <w:tr w14:paraId="52F5B2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3" w:type="dxa"/>
            <w:tcBorders>
              <w:tl2br w:val="nil"/>
              <w:tr2bl w:val="nil"/>
            </w:tcBorders>
            <w:noWrap w:val="0"/>
            <w:vAlign w:val="center"/>
          </w:tcPr>
          <w:p w14:paraId="3F1349F8">
            <w:pPr>
              <w:pStyle w:val="75"/>
              <w:widowControl w:val="0"/>
              <w:bidi w:val="0"/>
              <w:spacing w:line="240" w:lineRule="auto"/>
              <w:jc w:val="both"/>
              <w:rPr>
                <w:rFonts w:hint="eastAsia" w:ascii="Times New Roman" w:hAnsi="Times New Roman" w:eastAsia="宋体" w:cs="Times New Roman"/>
                <w:color w:val="auto"/>
                <w:sz w:val="21"/>
                <w:szCs w:val="21"/>
                <w:highlight w:val="none"/>
              </w:rPr>
            </w:pPr>
            <w:r>
              <w:rPr>
                <w:rFonts w:hint="default" w:ascii="Times New Roman" w:hAnsi="Times New Roman" w:cs="Times New Roman"/>
                <w:color w:val="auto"/>
              </w:rPr>
              <w:t>加强空间布局管控。将土壤和地下水环境管理纳入国土空间规划，根据土壤污染的环境风险，合理确定土地用途。永久基本农田集中区禁止规划建设可能造成土壤污染的建设项目。对涉有毒有害物质可能造成土壤污染的建设项目，依法进行环境影响评价，按规划提出并落实防腐蚀、防渗漏、防遗撒等土壤污染防治具体措施。</w:t>
            </w:r>
          </w:p>
        </w:tc>
        <w:tc>
          <w:tcPr>
            <w:tcW w:w="3732" w:type="dxa"/>
            <w:tcBorders>
              <w:tl2br w:val="nil"/>
              <w:tr2bl w:val="nil"/>
            </w:tcBorders>
            <w:noWrap w:val="0"/>
            <w:vAlign w:val="center"/>
          </w:tcPr>
          <w:p w14:paraId="0B94AD64">
            <w:pPr>
              <w:pStyle w:val="75"/>
              <w:widowControl w:val="0"/>
              <w:bidi w:val="0"/>
              <w:spacing w:line="240" w:lineRule="auto"/>
              <w:jc w:val="both"/>
              <w:rPr>
                <w:rFonts w:hint="default" w:ascii="Times New Roman" w:hAnsi="Times New Roman" w:eastAsia="宋体" w:cs="Times New Roman"/>
                <w:color w:val="auto"/>
                <w:sz w:val="21"/>
                <w:szCs w:val="21"/>
                <w:highlight w:val="none"/>
                <w:lang w:val="en-US"/>
              </w:rPr>
            </w:pPr>
            <w:r>
              <w:rPr>
                <w:rFonts w:hint="default" w:ascii="Times New Roman" w:hAnsi="Times New Roman" w:cs="Times New Roman"/>
                <w:color w:val="auto"/>
                <w:lang w:val="en-US" w:eastAsia="zh-CN"/>
              </w:rPr>
              <w:t>本项目油品储存区、油漆库、调漆室、喷涂区、水帘喷漆循环水池、危险废物贮存库为重点防渗区，厂房内其余区域为一般防渗区，办公楼、门卫室、宿舍楼</w:t>
            </w:r>
            <w:r>
              <w:rPr>
                <w:rFonts w:hint="default" w:ascii="Times New Roman" w:hAnsi="Times New Roman" w:cs="Times New Roman"/>
                <w:color w:val="auto"/>
              </w:rPr>
              <w:t>及厂内道路</w:t>
            </w:r>
            <w:r>
              <w:rPr>
                <w:rFonts w:hint="default" w:ascii="Times New Roman" w:hAnsi="Times New Roman" w:cs="Times New Roman"/>
                <w:color w:val="auto"/>
                <w:lang w:eastAsia="zh-CN"/>
              </w:rPr>
              <w:t>为</w:t>
            </w:r>
            <w:r>
              <w:rPr>
                <w:rFonts w:hint="default" w:ascii="Times New Roman" w:hAnsi="Times New Roman" w:cs="Times New Roman"/>
                <w:color w:val="auto"/>
              </w:rPr>
              <w:t>简单防渗区</w:t>
            </w:r>
            <w:r>
              <w:rPr>
                <w:rFonts w:hint="default" w:ascii="Times New Roman" w:hAnsi="Times New Roman" w:cs="Times New Roman"/>
                <w:color w:val="auto"/>
                <w:lang w:eastAsia="zh-CN"/>
              </w:rPr>
              <w:t>。对项目区设置土壤监测点，组织专业人员定期对土壤进行监测</w:t>
            </w:r>
            <w:r>
              <w:rPr>
                <w:rFonts w:hint="eastAsia" w:ascii="Times New Roman" w:hAnsi="Times New Roman" w:cs="Times New Roman"/>
                <w:color w:val="auto"/>
                <w:lang w:eastAsia="zh-CN"/>
              </w:rPr>
              <w:t>。</w:t>
            </w:r>
          </w:p>
        </w:tc>
        <w:tc>
          <w:tcPr>
            <w:tcW w:w="839" w:type="dxa"/>
            <w:tcBorders>
              <w:tl2br w:val="nil"/>
              <w:tr2bl w:val="nil"/>
            </w:tcBorders>
            <w:noWrap w:val="0"/>
            <w:vAlign w:val="center"/>
          </w:tcPr>
          <w:p w14:paraId="2099C846">
            <w:pPr>
              <w:pStyle w:val="75"/>
              <w:widowControl w:val="0"/>
              <w:bidi w:val="0"/>
              <w:jc w:val="both"/>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符合</w:t>
            </w:r>
          </w:p>
        </w:tc>
      </w:tr>
      <w:tr w14:paraId="4BF764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3" w:type="dxa"/>
            <w:tcBorders>
              <w:tl2br w:val="nil"/>
              <w:tr2bl w:val="nil"/>
            </w:tcBorders>
            <w:noWrap w:val="0"/>
            <w:vAlign w:val="center"/>
          </w:tcPr>
          <w:p w14:paraId="0B72C833">
            <w:pPr>
              <w:pStyle w:val="75"/>
              <w:widowControl w:val="0"/>
              <w:bidi w:val="0"/>
              <w:jc w:val="both"/>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强化危险废物环境监管。建立危险废物重点监管清单，强化危险废物全过程监管。健全危险废物收运体系，开展废铅蓄电池收集贮存转运试点，加强小微企业和工业园区等危险废物收集转运能力。开展危险废物规范化环境管理评估，提升危险废物环境监管能力和信息化监管水平，依法严厉打击危险废物环境违法犯罪行为。</w:t>
            </w:r>
          </w:p>
        </w:tc>
        <w:tc>
          <w:tcPr>
            <w:tcW w:w="3732" w:type="dxa"/>
            <w:tcBorders>
              <w:tl2br w:val="nil"/>
              <w:tr2bl w:val="nil"/>
            </w:tcBorders>
            <w:noWrap w:val="0"/>
            <w:vAlign w:val="center"/>
          </w:tcPr>
          <w:p w14:paraId="5ECDC510">
            <w:pPr>
              <w:pStyle w:val="75"/>
              <w:widowControl w:val="0"/>
              <w:bidi w:val="0"/>
              <w:jc w:val="both"/>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本项目产生的危险废物，在厂内</w:t>
            </w:r>
            <w:r>
              <w:rPr>
                <w:rFonts w:hint="eastAsia" w:ascii="Times New Roman" w:hAnsi="Times New Roman" w:eastAsia="宋体" w:cs="Times New Roman"/>
                <w:color w:val="auto"/>
                <w:sz w:val="21"/>
                <w:szCs w:val="21"/>
                <w:highlight w:val="none"/>
                <w:lang w:eastAsia="zh-CN"/>
              </w:rPr>
              <w:t>危险废物贮存库</w:t>
            </w:r>
            <w:r>
              <w:rPr>
                <w:rFonts w:hint="eastAsia" w:ascii="Times New Roman" w:hAnsi="Times New Roman" w:eastAsia="宋体" w:cs="Times New Roman"/>
                <w:color w:val="auto"/>
                <w:sz w:val="21"/>
                <w:szCs w:val="21"/>
                <w:highlight w:val="none"/>
              </w:rPr>
              <w:t>暂存，</w:t>
            </w:r>
            <w:r>
              <w:rPr>
                <w:rFonts w:hint="eastAsia" w:ascii="Times New Roman" w:hAnsi="Times New Roman" w:cs="Times New Roman"/>
                <w:snapToGrid w:val="0"/>
                <w:color w:val="auto"/>
                <w:sz w:val="21"/>
                <w:szCs w:val="21"/>
              </w:rPr>
              <w:t>定期委托</w:t>
            </w:r>
            <w:r>
              <w:rPr>
                <w:rFonts w:hint="eastAsia" w:ascii="Times New Roman" w:hAnsi="Times New Roman" w:eastAsia="宋体" w:cs="Times New Roman"/>
                <w:snapToGrid w:val="0"/>
                <w:color w:val="auto"/>
                <w:sz w:val="21"/>
                <w:szCs w:val="21"/>
                <w:lang w:val="en-US" w:eastAsia="zh-CN"/>
              </w:rPr>
              <w:t>有资质单位</w:t>
            </w:r>
            <w:r>
              <w:rPr>
                <w:rFonts w:hint="eastAsia" w:ascii="Times New Roman" w:hAnsi="Times New Roman" w:cs="Times New Roman"/>
                <w:snapToGrid w:val="0"/>
                <w:color w:val="auto"/>
                <w:sz w:val="21"/>
                <w:szCs w:val="21"/>
              </w:rPr>
              <w:t>进行处置</w:t>
            </w:r>
            <w:r>
              <w:rPr>
                <w:rFonts w:hint="eastAsia" w:ascii="Times New Roman" w:hAnsi="Times New Roman" w:eastAsia="宋体" w:cs="Times New Roman"/>
                <w:snapToGrid w:val="0"/>
                <w:color w:val="auto"/>
                <w:sz w:val="21"/>
                <w:szCs w:val="21"/>
                <w:lang w:eastAsia="zh-CN"/>
              </w:rPr>
              <w:t>。</w:t>
            </w:r>
          </w:p>
        </w:tc>
        <w:tc>
          <w:tcPr>
            <w:tcW w:w="839" w:type="dxa"/>
            <w:tcBorders>
              <w:tl2br w:val="nil"/>
              <w:tr2bl w:val="nil"/>
            </w:tcBorders>
            <w:noWrap w:val="0"/>
            <w:vAlign w:val="center"/>
          </w:tcPr>
          <w:p w14:paraId="00C5F525">
            <w:pPr>
              <w:pStyle w:val="75"/>
              <w:widowControl w:val="0"/>
              <w:bidi w:val="0"/>
              <w:jc w:val="both"/>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符合</w:t>
            </w:r>
          </w:p>
        </w:tc>
      </w:tr>
      <w:tr w14:paraId="6F1082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3" w:type="dxa"/>
            <w:tcBorders>
              <w:tl2br w:val="nil"/>
              <w:tr2bl w:val="nil"/>
            </w:tcBorders>
            <w:noWrap w:val="0"/>
            <w:vAlign w:val="center"/>
          </w:tcPr>
          <w:p w14:paraId="029E8174">
            <w:pPr>
              <w:pStyle w:val="75"/>
              <w:widowControl w:val="0"/>
              <w:bidi w:val="0"/>
              <w:jc w:val="both"/>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加强环境风险源头防控。压实企业环境安全主体责任，开展环境风险企业突发事件生态环境风险隐患排查治理，完善重大环境风险源企业及环境风险敏感企业名录。开展重点流域、化工园区、涉危涉重企业及集中式饮用水水源地环境风险评估调查，实施分类分级动态管控。</w:t>
            </w:r>
          </w:p>
        </w:tc>
        <w:tc>
          <w:tcPr>
            <w:tcW w:w="3732" w:type="dxa"/>
            <w:tcBorders>
              <w:tl2br w:val="nil"/>
              <w:tr2bl w:val="nil"/>
            </w:tcBorders>
            <w:noWrap w:val="0"/>
            <w:vAlign w:val="center"/>
          </w:tcPr>
          <w:p w14:paraId="49F60310">
            <w:pPr>
              <w:pStyle w:val="75"/>
              <w:widowControl w:val="0"/>
              <w:bidi w:val="0"/>
              <w:jc w:val="both"/>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本项目营运期间，将采取合理的环境风险防范措施，制订环境应急预案，定期开展环境应急预案演练</w:t>
            </w:r>
            <w:r>
              <w:rPr>
                <w:rFonts w:hint="eastAsia" w:ascii="Times New Roman" w:hAnsi="Times New Roman" w:eastAsia="宋体" w:cs="Times New Roman"/>
                <w:color w:val="auto"/>
                <w:sz w:val="21"/>
                <w:szCs w:val="21"/>
                <w:highlight w:val="none"/>
                <w:lang w:eastAsia="zh-CN"/>
              </w:rPr>
              <w:t>。</w:t>
            </w:r>
          </w:p>
        </w:tc>
        <w:tc>
          <w:tcPr>
            <w:tcW w:w="839" w:type="dxa"/>
            <w:tcBorders>
              <w:tl2br w:val="nil"/>
              <w:tr2bl w:val="nil"/>
            </w:tcBorders>
            <w:noWrap w:val="0"/>
            <w:vAlign w:val="center"/>
          </w:tcPr>
          <w:p w14:paraId="57FD701E">
            <w:pPr>
              <w:pStyle w:val="75"/>
              <w:widowControl w:val="0"/>
              <w:bidi w:val="0"/>
              <w:jc w:val="both"/>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符合</w:t>
            </w:r>
          </w:p>
        </w:tc>
      </w:tr>
    </w:tbl>
    <w:p w14:paraId="1F90668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因此，本项目建设符合《黑龙江省“十四五”生态环境保护规划》。</w:t>
      </w:r>
    </w:p>
    <w:p w14:paraId="574DA40A">
      <w:pPr>
        <w:pStyle w:val="5"/>
        <w:keepNext/>
        <w:keepLines w:val="0"/>
        <w:pageBreakBefore w:val="0"/>
        <w:widowControl w:val="0"/>
        <w:kinsoku/>
        <w:wordWrap/>
        <w:overflowPunct/>
        <w:topLinePunct w:val="0"/>
        <w:autoSpaceDE/>
        <w:autoSpaceDN/>
        <w:bidi w:val="0"/>
        <w:adjustRightInd/>
        <w:snapToGrid/>
        <w:spacing w:before="0" w:after="0"/>
        <w:textAlignment w:val="auto"/>
        <w:rPr>
          <w:rFonts w:hint="eastAsia" w:ascii="Times New Roman" w:hAnsi="Times New Roman" w:eastAsia="Arial" w:cs="Times New Roman"/>
          <w:b/>
          <w:bCs/>
          <w:snapToGrid w:val="0"/>
          <w:color w:val="auto"/>
          <w:kern w:val="0"/>
          <w:sz w:val="24"/>
          <w:szCs w:val="21"/>
          <w:lang w:val="en-US" w:eastAsia="zh-CN" w:bidi="ar-SA"/>
        </w:rPr>
      </w:pPr>
      <w:r>
        <w:rPr>
          <w:rFonts w:hint="eastAsia" w:ascii="Times New Roman" w:hAnsi="Times New Roman" w:eastAsia="Arial" w:cs="Times New Roman"/>
          <w:b/>
          <w:bCs/>
          <w:snapToGrid w:val="0"/>
          <w:color w:val="auto"/>
          <w:kern w:val="0"/>
          <w:sz w:val="24"/>
          <w:szCs w:val="21"/>
          <w:lang w:val="en-US" w:eastAsia="zh-CN" w:bidi="ar-SA"/>
        </w:rPr>
        <w:t>1.4.2.5与《哈尔滨市生态环境保护“十四五”规划》符合性分析</w:t>
      </w:r>
    </w:p>
    <w:p w14:paraId="49B6F9B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规划指出：</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二十</w:t>
      </w:r>
      <w:r>
        <w:rPr>
          <w:rFonts w:hint="eastAsia" w:ascii="Times New Roman" w:hAnsi="Times New Roman" w:cs="Times New Roman"/>
          <w:color w:val="auto"/>
          <w:sz w:val="24"/>
          <w:szCs w:val="24"/>
          <w:highlight w:val="none"/>
          <w:lang w:val="en-US" w:eastAsia="zh-CN"/>
        </w:rPr>
        <w:t xml:space="preserve">六 </w:t>
      </w:r>
      <w:r>
        <w:rPr>
          <w:rFonts w:hint="default" w:ascii="Times New Roman" w:hAnsi="Times New Roman" w:cs="Times New Roman"/>
          <w:color w:val="auto"/>
          <w:sz w:val="24"/>
          <w:szCs w:val="24"/>
          <w:highlight w:val="none"/>
          <w:lang w:val="en-US" w:eastAsia="zh-CN"/>
        </w:rPr>
        <w:t>推动清洁能源发展</w:t>
      </w:r>
      <w:r>
        <w:rPr>
          <w:rFonts w:hint="eastAsia" w:ascii="Times New Roman" w:hAnsi="Times New Roman"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lang w:val="en-US" w:eastAsia="zh-CN"/>
        </w:rPr>
        <w:t>大力发展太阳能、风能、氢能、天然气、生物质能等清洁能源，有序发展抽水蓄能，增加清洁电力比例。</w:t>
      </w:r>
      <w:r>
        <w:rPr>
          <w:rFonts w:hint="eastAsia" w:ascii="Times New Roman" w:hAnsi="Times New Roman" w:cs="Times New Roman"/>
          <w:color w:val="auto"/>
          <w:sz w:val="24"/>
          <w:szCs w:val="24"/>
          <w:highlight w:val="none"/>
          <w:lang w:val="en-US" w:eastAsia="zh-CN"/>
        </w:rPr>
        <w:t xml:space="preserve">”“四十五 </w:t>
      </w:r>
      <w:r>
        <w:rPr>
          <w:rFonts w:hint="default" w:ascii="Times New Roman" w:hAnsi="Times New Roman" w:cs="Times New Roman"/>
          <w:color w:val="auto"/>
          <w:sz w:val="24"/>
          <w:szCs w:val="24"/>
          <w:highlight w:val="none"/>
          <w:lang w:val="en-US" w:eastAsia="zh-CN"/>
        </w:rPr>
        <w:t>严格排污许可证管理</w:t>
      </w:r>
      <w:r>
        <w:rPr>
          <w:rFonts w:hint="eastAsia" w:ascii="Times New Roman" w:hAnsi="Times New Roman"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lang w:val="en-US" w:eastAsia="zh-CN"/>
        </w:rPr>
        <w:t>全面规范环评、总量、事中事后管理等污染防治行为，监管工业废水处理设施稳定达标运行。强化工业园区规划环评，按照功能定位严格项目准入，鼓励园区废水达到预处理标准进入城镇污水处理厂深度处理或回用。实施工业企业分类整治，符合搬迁条件的分批分类迁入工业园区，符合原址改造条件的进行技术升级、产业转型，废水达到行业排放标准后进入城镇污水处理厂处理；依法关停或取缔产能落后、散乱污、综合治理不达标、严重环境违法企业。</w:t>
      </w:r>
      <w:r>
        <w:rPr>
          <w:rFonts w:hint="eastAsia" w:ascii="Times New Roman" w:hAnsi="Times New Roman" w:cs="Times New Roman"/>
          <w:color w:val="auto"/>
          <w:sz w:val="24"/>
          <w:szCs w:val="24"/>
          <w:highlight w:val="none"/>
          <w:lang w:val="en-US" w:eastAsia="zh-CN"/>
        </w:rPr>
        <w:t>”</w:t>
      </w:r>
    </w:p>
    <w:p w14:paraId="11CC3C7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本项目</w:t>
      </w:r>
      <w:r>
        <w:rPr>
          <w:rFonts w:hint="eastAsia" w:ascii="Times New Roman" w:hAnsi="Times New Roman" w:eastAsia="宋体" w:cs="Times New Roman"/>
          <w:color w:val="auto"/>
          <w:spacing w:val="0"/>
          <w:position w:val="0"/>
          <w:sz w:val="24"/>
          <w:szCs w:val="24"/>
          <w:lang w:val="en-US" w:eastAsia="zh-CN"/>
        </w:rPr>
        <w:t>生活取暖</w:t>
      </w:r>
      <w:r>
        <w:rPr>
          <w:rFonts w:hint="default" w:ascii="Times New Roman" w:hAnsi="Times New Roman" w:eastAsia="宋体" w:cs="Times New Roman"/>
          <w:color w:val="auto"/>
          <w:spacing w:val="0"/>
          <w:position w:val="0"/>
          <w:sz w:val="24"/>
          <w:szCs w:val="24"/>
          <w:lang w:val="en-US" w:eastAsia="zh-CN"/>
        </w:rPr>
        <w:t>采用电暖气，</w:t>
      </w:r>
      <w:r>
        <w:rPr>
          <w:rFonts w:hint="eastAsia" w:ascii="Times New Roman" w:hAnsi="Times New Roman" w:eastAsia="宋体" w:cs="Times New Roman"/>
          <w:color w:val="auto"/>
          <w:spacing w:val="0"/>
          <w:position w:val="0"/>
          <w:sz w:val="24"/>
          <w:szCs w:val="24"/>
          <w:lang w:val="en-US" w:eastAsia="zh-CN"/>
        </w:rPr>
        <w:t>用水为市政供水，</w:t>
      </w:r>
      <w:r>
        <w:rPr>
          <w:rFonts w:hint="default" w:ascii="Times New Roman" w:hAnsi="Times New Roman" w:eastAsia="宋体" w:cs="Times New Roman"/>
          <w:color w:val="auto"/>
          <w:spacing w:val="0"/>
          <w:position w:val="0"/>
          <w:sz w:val="24"/>
          <w:szCs w:val="24"/>
          <w:lang w:val="en-US" w:eastAsia="zh-CN"/>
        </w:rPr>
        <w:t>生产</w:t>
      </w:r>
      <w:r>
        <w:rPr>
          <w:rFonts w:hint="eastAsia" w:ascii="Times New Roman" w:hAnsi="Times New Roman" w:eastAsia="宋体" w:cs="Times New Roman"/>
          <w:color w:val="auto"/>
          <w:spacing w:val="0"/>
          <w:position w:val="0"/>
          <w:sz w:val="24"/>
          <w:szCs w:val="24"/>
          <w:lang w:val="en-US" w:eastAsia="zh-CN"/>
        </w:rPr>
        <w:t>用热为</w:t>
      </w:r>
      <w:r>
        <w:rPr>
          <w:rFonts w:hint="default" w:ascii="Times New Roman" w:hAnsi="Times New Roman" w:eastAsia="宋体" w:cs="Times New Roman"/>
          <w:color w:val="auto"/>
          <w:spacing w:val="0"/>
          <w:position w:val="0"/>
          <w:sz w:val="24"/>
          <w:szCs w:val="24"/>
          <w:lang w:val="en-US" w:eastAsia="zh-CN"/>
        </w:rPr>
        <w:t>天然气及电</w:t>
      </w:r>
      <w:r>
        <w:rPr>
          <w:rFonts w:hint="eastAsia" w:ascii="Times New Roman" w:hAnsi="Times New Roman" w:eastAsia="宋体" w:cs="Times New Roman"/>
          <w:color w:val="auto"/>
          <w:spacing w:val="0"/>
          <w:position w:val="0"/>
          <w:sz w:val="24"/>
          <w:szCs w:val="24"/>
          <w:lang w:val="en-US" w:eastAsia="zh-CN"/>
        </w:rPr>
        <w:t>。本项目生活污水与冷却塔循环冷却废水达到《污水综合排放标准》（GB8978-1996）三级标准后排入五常市牛家满族镇污水处理厂。经五常市牛家满族镇污水处理厂处理达标后，排入拉林河。</w:t>
      </w:r>
      <w:r>
        <w:rPr>
          <w:rFonts w:hint="eastAsia" w:ascii="Times New Roman" w:hAnsi="Times New Roman" w:cs="Times New Roman"/>
          <w:color w:val="auto"/>
          <w:sz w:val="24"/>
          <w:szCs w:val="24"/>
          <w:highlight w:val="none"/>
          <w:lang w:val="en-US" w:eastAsia="zh-CN"/>
        </w:rPr>
        <w:t>因此，本项目建设符合《哈尔滨市生态环境保护“十四五”规划》。</w:t>
      </w:r>
    </w:p>
    <w:p w14:paraId="7C447093">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default" w:ascii="Times New Roman" w:hAnsi="Times New Roman" w:eastAsia="宋体" w:cs="Times New Roman"/>
          <w:b/>
          <w:bCs/>
          <w:color w:val="auto"/>
          <w:spacing w:val="0"/>
          <w:position w:val="0"/>
          <w:sz w:val="30"/>
          <w:szCs w:val="30"/>
          <w:lang w:val="en-US" w:eastAsia="zh-CN"/>
        </w:rPr>
        <w:t>1.4.</w:t>
      </w:r>
      <w:r>
        <w:rPr>
          <w:rFonts w:hint="eastAsia" w:ascii="Times New Roman" w:hAnsi="Times New Roman" w:eastAsia="宋体" w:cs="Times New Roman"/>
          <w:b/>
          <w:bCs/>
          <w:color w:val="auto"/>
          <w:spacing w:val="0"/>
          <w:position w:val="0"/>
          <w:sz w:val="30"/>
          <w:szCs w:val="30"/>
          <w:lang w:val="en-US" w:eastAsia="zh-CN"/>
        </w:rPr>
        <w:t>3</w:t>
      </w:r>
      <w:r>
        <w:rPr>
          <w:rFonts w:hint="default" w:ascii="Times New Roman" w:hAnsi="Times New Roman" w:eastAsia="宋体" w:cs="Times New Roman"/>
          <w:b/>
          <w:bCs/>
          <w:color w:val="auto"/>
          <w:spacing w:val="0"/>
          <w:position w:val="0"/>
          <w:sz w:val="30"/>
          <w:szCs w:val="30"/>
          <w:lang w:val="en-US" w:eastAsia="zh-CN"/>
        </w:rPr>
        <w:t>与“</w:t>
      </w:r>
      <w:r>
        <w:rPr>
          <w:rFonts w:hint="eastAsia" w:ascii="Times New Roman" w:hAnsi="Times New Roman" w:eastAsia="宋体" w:cs="Times New Roman"/>
          <w:b/>
          <w:bCs/>
          <w:color w:val="auto"/>
          <w:spacing w:val="0"/>
          <w:position w:val="0"/>
          <w:sz w:val="30"/>
          <w:szCs w:val="30"/>
          <w:lang w:val="en-US" w:eastAsia="zh-CN"/>
        </w:rPr>
        <w:t>生态环境分区管控</w:t>
      </w:r>
      <w:r>
        <w:rPr>
          <w:rFonts w:hint="default" w:ascii="Times New Roman" w:hAnsi="Times New Roman" w:eastAsia="宋体" w:cs="Times New Roman"/>
          <w:b/>
          <w:bCs/>
          <w:color w:val="auto"/>
          <w:spacing w:val="0"/>
          <w:position w:val="0"/>
          <w:sz w:val="30"/>
          <w:szCs w:val="30"/>
          <w:lang w:val="en-US" w:eastAsia="zh-CN"/>
        </w:rPr>
        <w:t>”符合性分析</w:t>
      </w:r>
    </w:p>
    <w:p w14:paraId="0CE67505">
      <w:pPr>
        <w:keepNext w:val="0"/>
        <w:keepLines w:val="0"/>
        <w:pageBreakBefore w:val="0"/>
        <w:widowControl w:val="0"/>
        <w:shd w:val="clear" w:color="auto" w:fill="auto"/>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cs="Times New Roman"/>
          <w:b/>
          <w:bCs/>
          <w:color w:val="auto"/>
          <w:sz w:val="24"/>
          <w:szCs w:val="24"/>
          <w:highlight w:val="none"/>
          <w:lang w:val="en-US" w:eastAsia="zh-CN"/>
        </w:rPr>
      </w:pPr>
      <w:r>
        <w:rPr>
          <w:rFonts w:hint="default" w:ascii="Times New Roman" w:hAnsi="Times New Roman" w:cs="Times New Roman"/>
          <w:color w:val="auto"/>
          <w:sz w:val="24"/>
          <w:szCs w:val="24"/>
          <w:highlight w:val="none"/>
        </w:rPr>
        <w:t>根据《黑龙江省人民政府关于实施“三线一单”生态环境分区管控的意见》（黑政发[2020]14号）</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《哈尔滨市人民政府关于“三线一单”生态环境分区管控的意见》（哈政规[2021]7号）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本项目位于</w:t>
      </w:r>
      <w:r>
        <w:rPr>
          <w:rFonts w:hint="eastAsia" w:ascii="Times New Roman" w:hAnsi="Times New Roman" w:eastAsia="宋体" w:cs="Times New Roman"/>
          <w:b w:val="0"/>
          <w:bCs w:val="0"/>
          <w:color w:val="auto"/>
          <w:sz w:val="24"/>
          <w:szCs w:val="24"/>
          <w:highlight w:val="none"/>
          <w:lang w:val="en-US" w:eastAsia="zh-CN"/>
        </w:rPr>
        <w:t>五常市城镇空间</w:t>
      </w:r>
      <w:r>
        <w:rPr>
          <w:rFonts w:hint="default" w:ascii="Times New Roman" w:hAnsi="Times New Roman" w:eastAsia="宋体" w:cs="Times New Roman"/>
          <w:b w:val="0"/>
          <w:bCs w:val="0"/>
          <w:color w:val="auto"/>
          <w:sz w:val="24"/>
          <w:szCs w:val="24"/>
          <w:highlight w:val="none"/>
          <w:lang w:val="en-US" w:eastAsia="zh-CN"/>
        </w:rPr>
        <w:t>，位于重点管控单元（</w:t>
      </w:r>
      <w:r>
        <w:rPr>
          <w:rFonts w:hint="default" w:ascii="Times New Roman" w:hAnsi="Times New Roman" w:eastAsia="宋体" w:cs="Times New Roman"/>
          <w:b w:val="0"/>
          <w:bCs w:val="0"/>
          <w:color w:val="auto"/>
          <w:sz w:val="24"/>
          <w:szCs w:val="24"/>
          <w:highlight w:val="none"/>
          <w:lang w:eastAsia="zh-CN"/>
        </w:rPr>
        <w:t>环境管控单元编码：ZH23018420002</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根据黑龙江省生态环境分区管控数据应用平台查询结果，本项目“生态环境分区管控”符合性分析如下：</w:t>
      </w:r>
    </w:p>
    <w:p w14:paraId="6B8DE8FF">
      <w:pPr>
        <w:keepNext w:val="0"/>
        <w:keepLines w:val="0"/>
        <w:pageBreakBefore w:val="0"/>
        <w:widowControl w:val="0"/>
        <w:numPr>
          <w:ilvl w:val="0"/>
          <w:numId w:val="14"/>
        </w:numPr>
        <w:shd w:val="clear" w:color="auto" w:fill="auto"/>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“一图”</w:t>
      </w:r>
    </w:p>
    <w:p w14:paraId="5734C3D8">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baseline"/>
        <w:rPr>
          <w:rFonts w:hint="default"/>
          <w:lang w:val="en-US" w:eastAsia="zh-CN"/>
        </w:rPr>
      </w:pPr>
      <w:r>
        <w:rPr>
          <w:rFonts w:hint="eastAsia" w:ascii="Times New Roman" w:hAnsi="Times New Roman" w:eastAsia="Arial" w:cs="Times New Roman"/>
          <w:snapToGrid w:val="0"/>
          <w:color w:val="auto"/>
          <w:kern w:val="0"/>
          <w:sz w:val="24"/>
          <w:szCs w:val="24"/>
          <w:highlight w:val="none"/>
          <w:lang w:val="en-US" w:eastAsia="zh-CN" w:bidi="ar-SA"/>
        </w:rPr>
        <w:t>根据《</w:t>
      </w:r>
      <w:r>
        <w:rPr>
          <w:rFonts w:hint="default" w:ascii="Times New Roman" w:hAnsi="Times New Roman" w:eastAsia="Arial" w:cs="Times New Roman"/>
          <w:snapToGrid w:val="0"/>
          <w:color w:val="auto"/>
          <w:kern w:val="0"/>
          <w:sz w:val="24"/>
          <w:szCs w:val="24"/>
          <w:highlight w:val="none"/>
          <w:lang w:val="en-US" w:eastAsia="zh-CN" w:bidi="ar-SA"/>
        </w:rPr>
        <w:t>黑龙江天时利精密科技有限公司新建</w:t>
      </w:r>
      <w:r>
        <w:rPr>
          <w:rFonts w:hint="eastAsia" w:ascii="Times New Roman" w:hAnsi="Times New Roman" w:eastAsia="Arial" w:cs="Times New Roman"/>
          <w:snapToGrid w:val="0"/>
          <w:color w:val="auto"/>
          <w:kern w:val="0"/>
          <w:sz w:val="24"/>
          <w:szCs w:val="24"/>
          <w:highlight w:val="none"/>
          <w:lang w:val="en-US" w:eastAsia="zh-CN" w:bidi="ar-SA"/>
        </w:rPr>
        <w:t>项目生态环境分区管控分析报告》，本项目与环境管控单元叠加图如下：</w:t>
      </w:r>
    </w:p>
    <w:p w14:paraId="41EC00F6">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outlineLvl w:val="9"/>
        <w:rPr>
          <w:rFonts w:hint="eastAsia" w:ascii="Times New Roman" w:hAnsi="Times New Roman" w:eastAsia="宋体" w:cs="Times New Roman"/>
          <w:color w:val="FF0000"/>
          <w:spacing w:val="0"/>
          <w:position w:val="0"/>
          <w:sz w:val="24"/>
          <w:szCs w:val="24"/>
          <w:lang w:val="en-US" w:eastAsia="zh-CN"/>
        </w:rPr>
      </w:pPr>
      <w:r>
        <w:drawing>
          <wp:inline distT="0" distB="0" distL="114300" distR="114300">
            <wp:extent cx="5752465" cy="3080385"/>
            <wp:effectExtent l="0" t="0" r="635" b="5715"/>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24"/>
                    <a:stretch>
                      <a:fillRect/>
                    </a:stretch>
                  </pic:blipFill>
                  <pic:spPr>
                    <a:xfrm>
                      <a:off x="0" y="0"/>
                      <a:ext cx="5752465" cy="3080385"/>
                    </a:xfrm>
                    <a:prstGeom prst="rect">
                      <a:avLst/>
                    </a:prstGeom>
                    <a:noFill/>
                    <a:ln>
                      <a:noFill/>
                    </a:ln>
                  </pic:spPr>
                </pic:pic>
              </a:graphicData>
            </a:graphic>
          </wp:inline>
        </w:drawing>
      </w:r>
    </w:p>
    <w:p w14:paraId="2A4DAE40">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outlineLvl w:val="9"/>
        <w:rPr>
          <w:rFonts w:hint="eastAsia" w:ascii="Times New Roman" w:hAnsi="Times New Roman" w:eastAsia="宋体" w:cs="Times New Roman"/>
          <w:color w:val="FF0000"/>
          <w:spacing w:val="0"/>
          <w:position w:val="0"/>
          <w:sz w:val="24"/>
          <w:szCs w:val="24"/>
          <w:lang w:val="en-US" w:eastAsia="zh-CN"/>
        </w:rPr>
      </w:pPr>
      <w:r>
        <w:drawing>
          <wp:inline distT="0" distB="0" distL="114300" distR="114300">
            <wp:extent cx="5758815" cy="3054985"/>
            <wp:effectExtent l="0" t="0" r="13335" b="12065"/>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25"/>
                    <a:stretch>
                      <a:fillRect/>
                    </a:stretch>
                  </pic:blipFill>
                  <pic:spPr>
                    <a:xfrm>
                      <a:off x="0" y="0"/>
                      <a:ext cx="5758815" cy="3054985"/>
                    </a:xfrm>
                    <a:prstGeom prst="rect">
                      <a:avLst/>
                    </a:prstGeom>
                    <a:noFill/>
                    <a:ln>
                      <a:noFill/>
                    </a:ln>
                  </pic:spPr>
                </pic:pic>
              </a:graphicData>
            </a:graphic>
          </wp:inline>
        </w:drawing>
      </w:r>
    </w:p>
    <w:p w14:paraId="637F233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pacing w:val="0"/>
          <w:position w:val="0"/>
          <w:sz w:val="24"/>
          <w:szCs w:val="24"/>
          <w:lang w:val="en-US" w:eastAsia="zh-CN"/>
        </w:rPr>
      </w:pPr>
      <w:r>
        <w:rPr>
          <w:rFonts w:hint="eastAsia" w:ascii="Times New Roman" w:hAnsi="Times New Roman" w:eastAsia="宋体" w:cs="Times New Roman"/>
          <w:b/>
          <w:bCs/>
          <w:color w:val="auto"/>
          <w:spacing w:val="0"/>
          <w:position w:val="0"/>
          <w:sz w:val="24"/>
          <w:szCs w:val="24"/>
          <w:lang w:val="en-US" w:eastAsia="zh-CN"/>
        </w:rPr>
        <w:t>图1.4-1    本项目与环境管控单元叠加图</w:t>
      </w:r>
    </w:p>
    <w:p w14:paraId="25E94249">
      <w:pPr>
        <w:keepNext w:val="0"/>
        <w:keepLines w:val="0"/>
        <w:pageBreakBefore w:val="0"/>
        <w:widowControl w:val="0"/>
        <w:numPr>
          <w:ilvl w:val="0"/>
          <w:numId w:val="14"/>
        </w:numPr>
        <w:shd w:val="clear" w:color="auto" w:fill="auto"/>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“一表”</w:t>
      </w:r>
    </w:p>
    <w:p w14:paraId="6F2911DD">
      <w:pPr>
        <w:keepNext w:val="0"/>
        <w:keepLines w:val="0"/>
        <w:pageBreakBefore w:val="0"/>
        <w:widowControl w:val="0"/>
        <w:shd w:val="clear" w:color="auto" w:fill="auto"/>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val="en-US" w:eastAsia="zh-CN"/>
        </w:rPr>
        <w:t>（一）</w:t>
      </w:r>
      <w:r>
        <w:rPr>
          <w:rFonts w:hint="default" w:ascii="Times New Roman" w:hAnsi="Times New Roman" w:cs="Times New Roman"/>
          <w:color w:val="auto"/>
          <w:sz w:val="24"/>
          <w:szCs w:val="24"/>
          <w:highlight w:val="none"/>
        </w:rPr>
        <w:t>生态保护红线符合性分析</w:t>
      </w:r>
    </w:p>
    <w:p w14:paraId="689D2A0C">
      <w:pPr>
        <w:keepNext w:val="0"/>
        <w:keepLines w:val="0"/>
        <w:pageBreakBefore w:val="0"/>
        <w:widowControl w:val="0"/>
        <w:shd w:val="clear" w:color="auto" w:fill="auto"/>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本项目位于</w:t>
      </w:r>
      <w:r>
        <w:rPr>
          <w:rFonts w:hint="default" w:ascii="Times New Roman" w:hAnsi="Times New Roman" w:eastAsia="宋体" w:cs="Times New Roman"/>
          <w:color w:val="auto"/>
          <w:spacing w:val="0"/>
          <w:position w:val="0"/>
          <w:sz w:val="24"/>
          <w:lang w:val="en-US" w:eastAsia="zh-CN"/>
        </w:rPr>
        <w:t>黑龙江</w:t>
      </w:r>
      <w:r>
        <w:rPr>
          <w:rFonts w:hint="eastAsia" w:ascii="Times New Roman" w:hAnsi="Times New Roman" w:eastAsia="宋体" w:cs="Times New Roman"/>
          <w:color w:val="auto"/>
          <w:spacing w:val="0"/>
          <w:position w:val="0"/>
          <w:sz w:val="24"/>
          <w:lang w:val="en-US" w:eastAsia="zh-CN"/>
        </w:rPr>
        <w:t>省哈尔滨市</w:t>
      </w:r>
      <w:r>
        <w:rPr>
          <w:rFonts w:hint="default" w:ascii="Times New Roman" w:hAnsi="Times New Roman" w:eastAsia="宋体" w:cs="Times New Roman"/>
          <w:color w:val="auto"/>
          <w:spacing w:val="0"/>
          <w:position w:val="0"/>
          <w:sz w:val="24"/>
          <w:lang w:val="en-US" w:eastAsia="zh-CN"/>
        </w:rPr>
        <w:t>五常市牛家工业园区宁波路13号，</w:t>
      </w:r>
      <w:r>
        <w:rPr>
          <w:rFonts w:hint="eastAsia" w:ascii="Times New Roman" w:hAnsi="Times New Roman" w:cs="Times New Roman"/>
          <w:color w:val="auto"/>
          <w:sz w:val="24"/>
          <w:szCs w:val="24"/>
          <w:highlight w:val="none"/>
          <w:lang w:val="en-US" w:eastAsia="zh-CN"/>
        </w:rPr>
        <w:t>本项目厂址</w:t>
      </w:r>
      <w:r>
        <w:rPr>
          <w:rFonts w:hint="default" w:ascii="Times New Roman" w:hAnsi="Times New Roman" w:cs="Times New Roman"/>
          <w:color w:val="auto"/>
          <w:sz w:val="24"/>
          <w:szCs w:val="24"/>
          <w:highlight w:val="none"/>
        </w:rPr>
        <w:t>不涉及</w:t>
      </w:r>
      <w:r>
        <w:rPr>
          <w:rFonts w:hint="eastAsia" w:ascii="Times New Roman" w:hAnsi="Times New Roman" w:cs="Times New Roman"/>
          <w:color w:val="auto"/>
          <w:sz w:val="24"/>
          <w:szCs w:val="24"/>
          <w:highlight w:val="none"/>
          <w:lang w:eastAsia="zh-CN"/>
        </w:rPr>
        <w:t>自然</w:t>
      </w:r>
      <w:r>
        <w:rPr>
          <w:rFonts w:hint="default" w:ascii="Times New Roman" w:hAnsi="Times New Roman" w:cs="Times New Roman"/>
          <w:color w:val="auto"/>
          <w:sz w:val="24"/>
          <w:szCs w:val="24"/>
          <w:highlight w:val="none"/>
        </w:rPr>
        <w:t>保护区、</w:t>
      </w:r>
      <w:r>
        <w:rPr>
          <w:rFonts w:hint="default" w:ascii="Times New Roman" w:hAnsi="Times New Roman" w:cs="Times New Roman"/>
          <w:color w:val="auto"/>
          <w:sz w:val="24"/>
          <w:szCs w:val="24"/>
          <w:highlight w:val="none"/>
          <w:lang w:val="en-US" w:eastAsia="zh-CN"/>
        </w:rPr>
        <w:t>地质公园</w:t>
      </w:r>
      <w:r>
        <w:rPr>
          <w:rFonts w:hint="default" w:ascii="Times New Roman" w:hAnsi="Times New Roman" w:cs="Times New Roman"/>
          <w:color w:val="auto"/>
          <w:sz w:val="24"/>
          <w:szCs w:val="24"/>
          <w:highlight w:val="none"/>
        </w:rPr>
        <w:t>、风景名胜区、</w:t>
      </w:r>
      <w:r>
        <w:rPr>
          <w:rFonts w:hint="default" w:ascii="Times New Roman" w:hAnsi="Times New Roman" w:cs="Times New Roman"/>
          <w:color w:val="auto"/>
          <w:sz w:val="24"/>
          <w:szCs w:val="24"/>
          <w:highlight w:val="none"/>
          <w:lang w:val="en-US" w:eastAsia="zh-CN"/>
        </w:rPr>
        <w:t>森林公园</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水产种质资源保护区、饮用水水源保护区、湿地公园</w:t>
      </w:r>
      <w:r>
        <w:rPr>
          <w:rFonts w:hint="default" w:ascii="Times New Roman" w:hAnsi="Times New Roman" w:cs="Times New Roman"/>
          <w:color w:val="auto"/>
          <w:sz w:val="24"/>
          <w:szCs w:val="24"/>
          <w:highlight w:val="none"/>
        </w:rPr>
        <w:t>和</w:t>
      </w:r>
      <w:r>
        <w:rPr>
          <w:rFonts w:hint="default" w:ascii="Times New Roman" w:hAnsi="Times New Roman" w:cs="Times New Roman"/>
          <w:color w:val="auto"/>
          <w:sz w:val="24"/>
          <w:szCs w:val="24"/>
          <w:highlight w:val="none"/>
          <w:lang w:val="en-US" w:eastAsia="zh-CN"/>
        </w:rPr>
        <w:t>一级国家级公益生态林</w:t>
      </w:r>
      <w:r>
        <w:rPr>
          <w:rFonts w:hint="default" w:ascii="Times New Roman" w:hAnsi="Times New Roman" w:cs="Times New Roman"/>
          <w:color w:val="auto"/>
          <w:sz w:val="24"/>
          <w:szCs w:val="24"/>
          <w:highlight w:val="none"/>
        </w:rPr>
        <w:t>等</w:t>
      </w:r>
      <w:r>
        <w:rPr>
          <w:rFonts w:hint="default" w:ascii="Times New Roman" w:hAnsi="Times New Roman" w:cs="Times New Roman"/>
          <w:color w:val="auto"/>
          <w:sz w:val="24"/>
          <w:szCs w:val="24"/>
          <w:highlight w:val="none"/>
          <w:lang w:val="en-US" w:eastAsia="zh-CN"/>
        </w:rPr>
        <w:t>生态保护红线区域</w:t>
      </w:r>
      <w:r>
        <w:rPr>
          <w:rFonts w:hint="default" w:ascii="Times New Roman" w:hAnsi="Times New Roman" w:cs="Times New Roman"/>
          <w:color w:val="auto"/>
          <w:sz w:val="24"/>
          <w:szCs w:val="24"/>
          <w:highlight w:val="none"/>
        </w:rPr>
        <w:t>。本项目</w:t>
      </w:r>
      <w:r>
        <w:rPr>
          <w:rFonts w:hint="default" w:ascii="Times New Roman" w:hAnsi="Times New Roman" w:cs="Times New Roman"/>
          <w:color w:val="auto"/>
          <w:sz w:val="24"/>
          <w:szCs w:val="24"/>
          <w:highlight w:val="none"/>
          <w:lang w:val="en-US" w:eastAsia="zh-CN"/>
        </w:rPr>
        <w:t>选址</w:t>
      </w:r>
      <w:r>
        <w:rPr>
          <w:rFonts w:hint="default" w:ascii="Times New Roman" w:hAnsi="Times New Roman" w:cs="Times New Roman"/>
          <w:color w:val="auto"/>
          <w:sz w:val="24"/>
          <w:szCs w:val="24"/>
          <w:highlight w:val="none"/>
        </w:rPr>
        <w:t>符合“三线一单”中生态保护红线的</w:t>
      </w:r>
      <w:r>
        <w:rPr>
          <w:rFonts w:hint="default" w:ascii="Times New Roman" w:hAnsi="Times New Roman" w:cs="Times New Roman"/>
          <w:color w:val="auto"/>
          <w:sz w:val="24"/>
          <w:szCs w:val="24"/>
          <w:highlight w:val="none"/>
          <w:lang w:val="en-US" w:eastAsia="zh-CN"/>
        </w:rPr>
        <w:t>相关</w:t>
      </w:r>
      <w:r>
        <w:rPr>
          <w:rFonts w:hint="default" w:ascii="Times New Roman" w:hAnsi="Times New Roman" w:cs="Times New Roman"/>
          <w:color w:val="auto"/>
          <w:sz w:val="24"/>
          <w:szCs w:val="24"/>
          <w:highlight w:val="none"/>
        </w:rPr>
        <w:t>要求</w:t>
      </w:r>
      <w:r>
        <w:rPr>
          <w:rFonts w:hint="default" w:ascii="Times New Roman" w:hAnsi="Times New Roman" w:cs="Times New Roman"/>
          <w:color w:val="auto"/>
          <w:sz w:val="24"/>
          <w:szCs w:val="24"/>
          <w:highlight w:val="none"/>
          <w:lang w:eastAsia="zh-CN"/>
        </w:rPr>
        <w:t>。</w:t>
      </w:r>
    </w:p>
    <w:p w14:paraId="1C01A03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pacing w:val="0"/>
          <w:position w:val="0"/>
          <w:sz w:val="24"/>
          <w:szCs w:val="24"/>
          <w:lang w:eastAsia="zh-CN"/>
        </w:rPr>
      </w:pPr>
      <w:r>
        <w:rPr>
          <w:rFonts w:hint="eastAsia" w:ascii="Times New Roman" w:hAnsi="Times New Roman" w:eastAsia="宋体" w:cs="Times New Roman"/>
          <w:color w:val="auto"/>
          <w:spacing w:val="0"/>
          <w:position w:val="0"/>
          <w:sz w:val="24"/>
          <w:szCs w:val="24"/>
          <w:lang w:eastAsia="zh-CN"/>
        </w:rPr>
        <w:t>（</w:t>
      </w:r>
      <w:r>
        <w:rPr>
          <w:rFonts w:hint="eastAsia" w:ascii="Times New Roman" w:hAnsi="Times New Roman" w:eastAsia="宋体" w:cs="Times New Roman"/>
          <w:color w:val="auto"/>
          <w:spacing w:val="0"/>
          <w:position w:val="0"/>
          <w:sz w:val="24"/>
          <w:szCs w:val="24"/>
          <w:lang w:val="en-US" w:eastAsia="zh-CN"/>
        </w:rPr>
        <w:t>二</w:t>
      </w:r>
      <w:r>
        <w:rPr>
          <w:rFonts w:hint="eastAsia" w:ascii="Times New Roman" w:hAnsi="Times New Roman" w:eastAsia="宋体" w:cs="Times New Roman"/>
          <w:color w:val="auto"/>
          <w:spacing w:val="0"/>
          <w:position w:val="0"/>
          <w:sz w:val="24"/>
          <w:szCs w:val="24"/>
          <w:lang w:eastAsia="zh-CN"/>
        </w:rPr>
        <w:t>）环境质量底线符合性分析</w:t>
      </w:r>
    </w:p>
    <w:p w14:paraId="132475B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pacing w:val="0"/>
          <w:position w:val="0"/>
          <w:sz w:val="24"/>
          <w:szCs w:val="24"/>
        </w:rPr>
      </w:pPr>
      <w:r>
        <w:rPr>
          <w:rFonts w:hint="default" w:ascii="Times New Roman" w:hAnsi="Times New Roman" w:eastAsia="宋体" w:cs="Times New Roman"/>
          <w:color w:val="auto"/>
          <w:spacing w:val="0"/>
          <w:position w:val="0"/>
          <w:sz w:val="24"/>
          <w:szCs w:val="24"/>
          <w:lang w:val="en-US" w:eastAsia="zh-CN"/>
        </w:rPr>
        <w:t>项目区域大气环境、水环境、声环境质量现状能够满足相应的标准要求。工程运行后排放的各类污染物经过本评价提出的环保措施处理后可以稳定达标排放，</w:t>
      </w:r>
      <w:r>
        <w:rPr>
          <w:rFonts w:hint="default" w:ascii="Times New Roman" w:hAnsi="Times New Roman" w:eastAsia="宋体" w:cs="Times New Roman"/>
          <w:color w:val="auto"/>
          <w:spacing w:val="0"/>
          <w:position w:val="0"/>
          <w:sz w:val="24"/>
          <w:szCs w:val="24"/>
        </w:rPr>
        <w:t>本项目符合区域环境质量底线要求，且在采取本环评提出的相关防治措施后，污染物排放对环境影响较小，评价范围内能维持目前环境质量现状，不使区域环境质量底线发生变化。</w:t>
      </w:r>
    </w:p>
    <w:p w14:paraId="2A3A630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color w:val="auto"/>
          <w:spacing w:val="0"/>
          <w:position w:val="0"/>
          <w:sz w:val="24"/>
          <w:szCs w:val="24"/>
        </w:rPr>
      </w:pPr>
      <w:r>
        <w:rPr>
          <w:rFonts w:hint="eastAsia" w:ascii="Times New Roman" w:hAnsi="Times New Roman" w:eastAsia="宋体" w:cs="Times New Roman"/>
          <w:color w:val="auto"/>
          <w:spacing w:val="0"/>
          <w:position w:val="0"/>
          <w:sz w:val="24"/>
          <w:szCs w:val="24"/>
          <w:lang w:val="en-US" w:eastAsia="zh-CN"/>
        </w:rPr>
        <w:t>（三）</w:t>
      </w:r>
      <w:r>
        <w:rPr>
          <w:rFonts w:hint="default" w:ascii="Times New Roman" w:hAnsi="Times New Roman" w:eastAsia="宋体" w:cs="Times New Roman"/>
          <w:color w:val="auto"/>
          <w:spacing w:val="0"/>
          <w:position w:val="0"/>
          <w:sz w:val="24"/>
          <w:szCs w:val="24"/>
        </w:rPr>
        <w:t>资源利用上线符合性分析</w:t>
      </w:r>
    </w:p>
    <w:p w14:paraId="31872AD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pacing w:val="0"/>
          <w:position w:val="0"/>
          <w:sz w:val="24"/>
          <w:szCs w:val="24"/>
        </w:rPr>
      </w:pPr>
      <w:r>
        <w:rPr>
          <w:rFonts w:hint="default" w:ascii="Times New Roman" w:hAnsi="Times New Roman" w:eastAsia="宋体" w:cs="Times New Roman"/>
          <w:color w:val="auto"/>
          <w:spacing w:val="0"/>
          <w:position w:val="0"/>
          <w:sz w:val="24"/>
          <w:szCs w:val="24"/>
          <w:lang w:val="en-US" w:eastAsia="zh-CN"/>
        </w:rPr>
        <w:t>（1）</w:t>
      </w:r>
      <w:r>
        <w:rPr>
          <w:rFonts w:hint="default" w:ascii="Times New Roman" w:hAnsi="Times New Roman" w:eastAsia="宋体" w:cs="Times New Roman"/>
          <w:color w:val="auto"/>
          <w:spacing w:val="0"/>
          <w:position w:val="0"/>
          <w:sz w:val="24"/>
          <w:szCs w:val="24"/>
        </w:rPr>
        <w:t>资源利用上线相关要求</w:t>
      </w:r>
    </w:p>
    <w:p w14:paraId="692CA27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①能源利用上线</w:t>
      </w:r>
    </w:p>
    <w:p w14:paraId="40394F5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煤炭消费上线预测以碳排放相关指标数据为基础，结合各市（地）能源结构、能源消费总量、污染物排放及减排潜力情况、大气环境质量现状及目标，充分考虑达标城市抓好经济发展、保障民生工程的需求，确定哈尔滨市目标年煤炭消费上线。</w:t>
      </w:r>
    </w:p>
    <w:p w14:paraId="4FC896D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②水资源利用上线</w:t>
      </w:r>
    </w:p>
    <w:p w14:paraId="454C61E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根据黑龙江省最严格水资源管理制度“三条红线”控制指标和《中共黑龙江省委办公厅 黑龙江省人民政府办公厅关于加强地下水管理和保护工作的意见》（黑办发〔2018〕52 号），根据黑区域环评办[2019]4号关于印发《黑龙江省区域空间生态环境评价技术方案》的通知的要求，“评价现状水资源承载状况，对水资源承载负荷超过承载能力或接近承载能力的地区，划定为重点管控区”，将哈尔滨市区的南岗区部分地区和香坊区部分地区划为地下水开采重点管控区；通河县、尚志市、延寿县和方正县划定为重点管控区；其他市县区为一般管控区。其中：方正县、尚志市和延寿县为地下水临界超载、通河县为地下水严重超载。</w:t>
      </w:r>
    </w:p>
    <w:p w14:paraId="71D4DF5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③土地资源利用上线</w:t>
      </w:r>
    </w:p>
    <w:p w14:paraId="6638B5A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根据《黑龙江省国土规划（2016-2030年）》《黑龙江省主体功能区规划》的要求，围绕国土空间总体布局，全面推进国土集聚开发、分类保护和综合整治。</w:t>
      </w:r>
    </w:p>
    <w:p w14:paraId="111C1940">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符合性分析</w:t>
      </w:r>
    </w:p>
    <w:p w14:paraId="56D66CC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本项目不属于地下水开采重点管控区；本项目生产及供暖均不使用高污染燃料，使用电</w:t>
      </w:r>
      <w:r>
        <w:rPr>
          <w:rFonts w:hint="eastAsia" w:ascii="Times New Roman" w:hAnsi="Times New Roman" w:eastAsia="宋体" w:cs="Times New Roman"/>
          <w:color w:val="auto"/>
          <w:spacing w:val="0"/>
          <w:position w:val="0"/>
          <w:sz w:val="24"/>
          <w:szCs w:val="24"/>
          <w:lang w:val="en-US" w:eastAsia="zh-CN"/>
        </w:rPr>
        <w:t>及天然气</w:t>
      </w:r>
      <w:r>
        <w:rPr>
          <w:rFonts w:hint="default" w:ascii="Times New Roman" w:hAnsi="Times New Roman" w:eastAsia="宋体" w:cs="Times New Roman"/>
          <w:color w:val="auto"/>
          <w:spacing w:val="0"/>
          <w:position w:val="0"/>
          <w:sz w:val="24"/>
          <w:szCs w:val="24"/>
          <w:lang w:val="en-US" w:eastAsia="zh-CN"/>
        </w:rPr>
        <w:t>，属于清洁能源。本项目供水由市政自来水提供，不属于高水耗，高能耗行业。本项目租赁现</w:t>
      </w:r>
      <w:r>
        <w:rPr>
          <w:rFonts w:hint="eastAsia" w:ascii="Times New Roman" w:hAnsi="Times New Roman" w:eastAsia="宋体" w:cs="Times New Roman"/>
          <w:color w:val="auto"/>
          <w:spacing w:val="0"/>
          <w:position w:val="0"/>
          <w:sz w:val="24"/>
          <w:szCs w:val="24"/>
          <w:lang w:val="en-US" w:eastAsia="zh-CN"/>
        </w:rPr>
        <w:t>有土地及厂房</w:t>
      </w:r>
      <w:r>
        <w:rPr>
          <w:rFonts w:hint="default" w:ascii="Times New Roman" w:hAnsi="Times New Roman" w:eastAsia="宋体" w:cs="Times New Roman"/>
          <w:color w:val="auto"/>
          <w:spacing w:val="0"/>
          <w:position w:val="0"/>
          <w:sz w:val="24"/>
          <w:szCs w:val="24"/>
          <w:lang w:val="en-US" w:eastAsia="zh-CN"/>
        </w:rPr>
        <w:t>进行建设，用地性质为</w:t>
      </w:r>
      <w:r>
        <w:rPr>
          <w:rFonts w:hint="eastAsia" w:ascii="Times New Roman" w:hAnsi="Times New Roman" w:eastAsia="宋体" w:cs="Times New Roman"/>
          <w:color w:val="auto"/>
          <w:spacing w:val="0"/>
          <w:position w:val="0"/>
          <w:sz w:val="24"/>
          <w:szCs w:val="24"/>
          <w:lang w:val="en-US" w:eastAsia="zh-CN"/>
        </w:rPr>
        <w:t>工业</w:t>
      </w:r>
      <w:r>
        <w:rPr>
          <w:rFonts w:hint="default" w:ascii="Times New Roman" w:hAnsi="Times New Roman" w:eastAsia="宋体" w:cs="Times New Roman"/>
          <w:color w:val="auto"/>
          <w:spacing w:val="0"/>
          <w:position w:val="0"/>
          <w:sz w:val="24"/>
          <w:szCs w:val="24"/>
          <w:lang w:val="en-US" w:eastAsia="zh-CN"/>
        </w:rPr>
        <w:t>用地，不占用基本农田和黑土地。综上，本项目符合哈尔滨市能源、水资源、土地资源等资源利用上线要求。</w:t>
      </w:r>
    </w:p>
    <w:p w14:paraId="666B0A8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color w:val="auto"/>
          <w:spacing w:val="0"/>
          <w:position w:val="0"/>
          <w:sz w:val="24"/>
          <w:szCs w:val="24"/>
          <w:lang w:val="en-US" w:eastAsia="zh-CN"/>
        </w:rPr>
      </w:pPr>
      <w:r>
        <w:rPr>
          <w:rFonts w:hint="eastAsia" w:ascii="Times New Roman" w:hAnsi="Times New Roman" w:eastAsia="宋体" w:cs="Times New Roman"/>
          <w:color w:val="auto"/>
          <w:spacing w:val="0"/>
          <w:position w:val="0"/>
          <w:sz w:val="24"/>
          <w:szCs w:val="24"/>
          <w:lang w:val="en-US" w:eastAsia="zh-CN"/>
        </w:rPr>
        <w:t>（四）</w:t>
      </w:r>
      <w:r>
        <w:rPr>
          <w:rFonts w:hint="default" w:ascii="Times New Roman" w:hAnsi="Times New Roman" w:eastAsia="宋体" w:cs="Times New Roman"/>
          <w:color w:val="auto"/>
          <w:spacing w:val="0"/>
          <w:position w:val="0"/>
          <w:sz w:val="24"/>
          <w:szCs w:val="24"/>
          <w:lang w:val="en-US" w:eastAsia="zh-CN"/>
        </w:rPr>
        <w:t>生态环境准入清单</w:t>
      </w:r>
    </w:p>
    <w:p w14:paraId="03D69B2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对照《哈尔滨市生态环境准入清单（2023年版）》，本项目与哈尔滨市五常市城镇空间生态环境管控要求符合性分析见表1</w:t>
      </w:r>
      <w:r>
        <w:rPr>
          <w:rFonts w:hint="eastAsia" w:ascii="Times New Roman" w:hAnsi="Times New Roman" w:eastAsia="宋体" w:cs="Times New Roman"/>
          <w:color w:val="auto"/>
          <w:spacing w:val="0"/>
          <w:position w:val="0"/>
          <w:sz w:val="24"/>
          <w:szCs w:val="24"/>
          <w:lang w:val="en-US" w:eastAsia="zh-CN"/>
        </w:rPr>
        <w:t>.</w:t>
      </w:r>
      <w:r>
        <w:rPr>
          <w:rFonts w:hint="default" w:ascii="Times New Roman" w:hAnsi="Times New Roman" w:eastAsia="宋体" w:cs="Times New Roman"/>
          <w:color w:val="auto"/>
          <w:spacing w:val="0"/>
          <w:position w:val="0"/>
          <w:sz w:val="24"/>
          <w:szCs w:val="24"/>
          <w:lang w:val="en-US" w:eastAsia="zh-CN"/>
        </w:rPr>
        <w:t>4-</w:t>
      </w:r>
      <w:r>
        <w:rPr>
          <w:rFonts w:hint="eastAsia" w:ascii="Times New Roman" w:hAnsi="Times New Roman" w:eastAsia="宋体" w:cs="Times New Roman"/>
          <w:color w:val="auto"/>
          <w:spacing w:val="0"/>
          <w:position w:val="0"/>
          <w:sz w:val="24"/>
          <w:szCs w:val="24"/>
          <w:lang w:val="en-US" w:eastAsia="zh-CN"/>
        </w:rPr>
        <w:t>7</w:t>
      </w:r>
      <w:r>
        <w:rPr>
          <w:rFonts w:hint="default" w:ascii="Times New Roman" w:hAnsi="Times New Roman" w:eastAsia="宋体" w:cs="Times New Roman"/>
          <w:color w:val="auto"/>
          <w:spacing w:val="0"/>
          <w:position w:val="0"/>
          <w:sz w:val="24"/>
          <w:szCs w:val="24"/>
          <w:lang w:val="en-US" w:eastAsia="zh-CN"/>
        </w:rPr>
        <w:t>。本项目按要求采取生态环境保护措施后，符合其管控单元准入要求。</w:t>
      </w:r>
    </w:p>
    <w:p w14:paraId="2139D6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position w:val="0"/>
          <w:sz w:val="24"/>
          <w:szCs w:val="24"/>
        </w:rPr>
      </w:pPr>
    </w:p>
    <w:p w14:paraId="5279DD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position w:val="0"/>
          <w:sz w:val="24"/>
          <w:szCs w:val="24"/>
        </w:rPr>
      </w:pPr>
    </w:p>
    <w:p w14:paraId="4692C2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position w:val="0"/>
          <w:sz w:val="24"/>
          <w:szCs w:val="24"/>
        </w:rPr>
      </w:pPr>
    </w:p>
    <w:p w14:paraId="63F35A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position w:val="0"/>
          <w:sz w:val="24"/>
          <w:szCs w:val="24"/>
        </w:rPr>
      </w:pPr>
      <w:r>
        <w:rPr>
          <w:rFonts w:hint="default" w:ascii="Times New Roman" w:hAnsi="Times New Roman" w:eastAsia="宋体" w:cs="Times New Roman"/>
          <w:b/>
          <w:bCs/>
          <w:color w:val="auto"/>
          <w:spacing w:val="0"/>
          <w:position w:val="0"/>
          <w:sz w:val="24"/>
          <w:szCs w:val="24"/>
        </w:rPr>
        <w:t>表1</w:t>
      </w:r>
      <w:r>
        <w:rPr>
          <w:rFonts w:hint="default" w:ascii="Times New Roman" w:hAnsi="Times New Roman" w:eastAsia="宋体" w:cs="Times New Roman"/>
          <w:b/>
          <w:bCs/>
          <w:color w:val="auto"/>
          <w:spacing w:val="0"/>
          <w:position w:val="0"/>
          <w:sz w:val="24"/>
          <w:szCs w:val="24"/>
          <w:lang w:val="en-US" w:eastAsia="zh-CN"/>
        </w:rPr>
        <w:t>.</w:t>
      </w:r>
      <w:r>
        <w:rPr>
          <w:rFonts w:hint="default" w:ascii="Times New Roman" w:hAnsi="Times New Roman" w:eastAsia="宋体" w:cs="Times New Roman"/>
          <w:b/>
          <w:bCs/>
          <w:color w:val="auto"/>
          <w:spacing w:val="0"/>
          <w:position w:val="0"/>
          <w:sz w:val="24"/>
          <w:szCs w:val="24"/>
        </w:rPr>
        <w:t>4-</w:t>
      </w:r>
      <w:r>
        <w:rPr>
          <w:rFonts w:hint="eastAsia" w:ascii="Times New Roman" w:hAnsi="Times New Roman" w:eastAsia="宋体" w:cs="Times New Roman"/>
          <w:b/>
          <w:bCs/>
          <w:color w:val="auto"/>
          <w:spacing w:val="0"/>
          <w:position w:val="0"/>
          <w:sz w:val="24"/>
          <w:szCs w:val="24"/>
          <w:lang w:val="en-US" w:eastAsia="zh-CN"/>
        </w:rPr>
        <w:t>7</w:t>
      </w:r>
      <w:r>
        <w:rPr>
          <w:rFonts w:hint="default" w:ascii="Times New Roman" w:hAnsi="Times New Roman" w:eastAsia="宋体" w:cs="Times New Roman"/>
          <w:b/>
          <w:bCs/>
          <w:color w:val="auto"/>
          <w:spacing w:val="0"/>
          <w:position w:val="0"/>
          <w:sz w:val="24"/>
          <w:szCs w:val="24"/>
        </w:rPr>
        <w:t xml:space="preserve">  生态环境准入清单符合性分析</w:t>
      </w:r>
    </w:p>
    <w:tbl>
      <w:tblPr>
        <w:tblStyle w:val="22"/>
        <w:tblW w:w="499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2"/>
        <w:gridCol w:w="1091"/>
        <w:gridCol w:w="915"/>
        <w:gridCol w:w="4215"/>
        <w:gridCol w:w="1986"/>
      </w:tblGrid>
      <w:tr w14:paraId="705C5C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2" w:type="pct"/>
            <w:tcBorders>
              <w:tl2br w:val="nil"/>
              <w:tr2bl w:val="nil"/>
            </w:tcBorders>
            <w:vAlign w:val="center"/>
          </w:tcPr>
          <w:p w14:paraId="4BEA4533">
            <w:pPr>
              <w:pStyle w:val="34"/>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环境管控单元名称</w:t>
            </w:r>
          </w:p>
        </w:tc>
        <w:tc>
          <w:tcPr>
            <w:tcW w:w="588" w:type="pct"/>
            <w:tcBorders>
              <w:tl2br w:val="nil"/>
              <w:tr2bl w:val="nil"/>
            </w:tcBorders>
            <w:vAlign w:val="center"/>
          </w:tcPr>
          <w:p w14:paraId="5DBC13CF">
            <w:pPr>
              <w:pStyle w:val="34"/>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管控单元类别</w:t>
            </w:r>
          </w:p>
        </w:tc>
        <w:tc>
          <w:tcPr>
            <w:tcW w:w="2767" w:type="pct"/>
            <w:gridSpan w:val="2"/>
            <w:tcBorders>
              <w:tl2br w:val="nil"/>
              <w:tr2bl w:val="nil"/>
            </w:tcBorders>
            <w:vAlign w:val="center"/>
          </w:tcPr>
          <w:p w14:paraId="0681F959">
            <w:pPr>
              <w:pStyle w:val="34"/>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管控要求</w:t>
            </w:r>
          </w:p>
        </w:tc>
        <w:tc>
          <w:tcPr>
            <w:tcW w:w="1071" w:type="pct"/>
            <w:tcBorders>
              <w:tl2br w:val="nil"/>
              <w:tr2bl w:val="nil"/>
            </w:tcBorders>
            <w:vAlign w:val="center"/>
          </w:tcPr>
          <w:p w14:paraId="05FE7EDE">
            <w:pPr>
              <w:pStyle w:val="34"/>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符合性</w:t>
            </w:r>
          </w:p>
        </w:tc>
      </w:tr>
      <w:tr w14:paraId="7599B1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72" w:type="pct"/>
            <w:vMerge w:val="restart"/>
            <w:tcBorders>
              <w:tl2br w:val="nil"/>
              <w:tr2bl w:val="nil"/>
            </w:tcBorders>
            <w:vAlign w:val="center"/>
          </w:tcPr>
          <w:p w14:paraId="03C33117">
            <w:pPr>
              <w:pStyle w:val="34"/>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五常市城镇空间</w:t>
            </w:r>
            <w:r>
              <w:rPr>
                <w:rFonts w:hint="default" w:ascii="Times New Roman" w:hAnsi="Times New Roman" w:eastAsia="宋体" w:cs="Times New Roman"/>
                <w:color w:val="auto"/>
                <w:sz w:val="21"/>
                <w:szCs w:val="21"/>
                <w:highlight w:val="none"/>
                <w:lang w:eastAsia="zh-CN"/>
              </w:rPr>
              <w:t>（ZH23018420002）</w:t>
            </w:r>
          </w:p>
        </w:tc>
        <w:tc>
          <w:tcPr>
            <w:tcW w:w="588" w:type="pct"/>
            <w:vMerge w:val="restart"/>
            <w:tcBorders>
              <w:tl2br w:val="nil"/>
              <w:tr2bl w:val="nil"/>
            </w:tcBorders>
            <w:vAlign w:val="center"/>
          </w:tcPr>
          <w:p w14:paraId="6BA19633">
            <w:pPr>
              <w:pStyle w:val="34"/>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重点管控单元</w:t>
            </w:r>
          </w:p>
        </w:tc>
        <w:tc>
          <w:tcPr>
            <w:tcW w:w="493" w:type="pct"/>
            <w:tcBorders>
              <w:tl2br w:val="nil"/>
              <w:tr2bl w:val="nil"/>
            </w:tcBorders>
            <w:vAlign w:val="center"/>
          </w:tcPr>
          <w:p w14:paraId="27947F59">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空间布局约束</w:t>
            </w:r>
          </w:p>
        </w:tc>
        <w:tc>
          <w:tcPr>
            <w:tcW w:w="2273" w:type="pct"/>
            <w:tcBorders>
              <w:tl2br w:val="nil"/>
              <w:tr2bl w:val="nil"/>
            </w:tcBorders>
            <w:vAlign w:val="center"/>
          </w:tcPr>
          <w:p w14:paraId="58C2E067">
            <w:pPr>
              <w:keepNext w:val="0"/>
              <w:keepLines w:val="0"/>
              <w:pageBreakBefore w:val="0"/>
              <w:tabs>
                <w:tab w:val="left" w:pos="265"/>
              </w:tabs>
              <w:kinsoku/>
              <w:overflowPunct/>
              <w:topLinePunct w:val="0"/>
              <w:autoSpaceDE w:val="0"/>
              <w:autoSpaceDN w:val="0"/>
              <w:bidi w:val="0"/>
              <w:spacing w:before="1" w:beforeLines="0" w:line="240" w:lineRule="auto"/>
              <w:ind w:right="96"/>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执行要求</w:t>
            </w:r>
            <w:r>
              <w:rPr>
                <w:rFonts w:hint="default" w:ascii="Times New Roman" w:hAnsi="Times New Roman" w:eastAsia="宋体" w:cs="Times New Roman"/>
                <w:color w:val="auto"/>
                <w:highlight w:val="none"/>
                <w:lang w:eastAsia="zh-CN"/>
              </w:rPr>
              <w:t>：</w:t>
            </w:r>
          </w:p>
          <w:p w14:paraId="76F280E1">
            <w:pPr>
              <w:keepNext w:val="0"/>
              <w:keepLines w:val="0"/>
              <w:pageBreakBefore w:val="0"/>
              <w:tabs>
                <w:tab w:val="left" w:pos="265"/>
              </w:tabs>
              <w:kinsoku/>
              <w:overflowPunct/>
              <w:topLinePunct w:val="0"/>
              <w:autoSpaceDE w:val="0"/>
              <w:autoSpaceDN w:val="0"/>
              <w:bidi w:val="0"/>
              <w:spacing w:before="1" w:beforeLines="0" w:line="240" w:lineRule="auto"/>
              <w:ind w:right="96"/>
              <w:textAlignment w:val="auto"/>
              <w:rPr>
                <w:rFonts w:hint="default" w:ascii="Times New Roman" w:hAnsi="Times New Roman" w:eastAsia="宋体" w:cs="Times New Roman"/>
                <w:color w:val="auto"/>
                <w:spacing w:val="-3"/>
                <w:kern w:val="0"/>
                <w:szCs w:val="21"/>
                <w:highlight w:val="none"/>
                <w:lang w:val="zh-CN"/>
              </w:rPr>
            </w:pPr>
            <w:r>
              <w:rPr>
                <w:rFonts w:hint="default" w:ascii="Times New Roman" w:hAnsi="Times New Roman" w:eastAsia="宋体" w:cs="Times New Roman"/>
                <w:color w:val="auto"/>
                <w:spacing w:val="-3"/>
                <w:kern w:val="0"/>
                <w:szCs w:val="21"/>
                <w:highlight w:val="none"/>
                <w:lang w:val="zh-CN"/>
              </w:rPr>
              <w:t>1.严禁在人口密集区新建危险化学品生产项目，城镇人口密集区危险化学品生产企业应搬迁改造。</w:t>
            </w:r>
          </w:p>
          <w:p w14:paraId="7715C09D">
            <w:pPr>
              <w:tabs>
                <w:tab w:val="left" w:pos="312"/>
              </w:tabs>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kern w:val="0"/>
                <w:szCs w:val="21"/>
                <w:highlight w:val="none"/>
                <w:lang w:val="zh-CN"/>
              </w:rPr>
              <w:t>2.禁止在城镇居民区、文化教育科学研究区等人口集中区域建设畜禽养殖场、养殖小区。</w:t>
            </w:r>
          </w:p>
        </w:tc>
        <w:tc>
          <w:tcPr>
            <w:tcW w:w="1071" w:type="pct"/>
            <w:tcBorders>
              <w:tl2br w:val="nil"/>
              <w:tr2bl w:val="nil"/>
            </w:tcBorders>
            <w:vAlign w:val="center"/>
          </w:tcPr>
          <w:p w14:paraId="70D37F2B">
            <w:pPr>
              <w:pStyle w:val="34"/>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本项目为</w:t>
            </w:r>
            <w:r>
              <w:rPr>
                <w:rFonts w:hint="default" w:ascii="Times New Roman" w:hAnsi="Times New Roman" w:eastAsia="宋体" w:cs="Times New Roman"/>
                <w:color w:val="auto"/>
                <w:sz w:val="21"/>
                <w:szCs w:val="21"/>
                <w:highlight w:val="none"/>
                <w:lang w:val="en-US" w:eastAsia="zh-CN"/>
              </w:rPr>
              <w:t>汽车零部件及配件制造</w:t>
            </w:r>
            <w:r>
              <w:rPr>
                <w:rFonts w:hint="eastAsia" w:ascii="Times New Roman" w:hAnsi="Times New Roman" w:eastAsia="宋体" w:cs="Times New Roman"/>
                <w:color w:val="auto"/>
                <w:sz w:val="21"/>
                <w:szCs w:val="21"/>
                <w:highlight w:val="none"/>
                <w:lang w:val="en-US" w:eastAsia="zh-CN"/>
              </w:rPr>
              <w:t>项目</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不属于</w:t>
            </w:r>
            <w:r>
              <w:rPr>
                <w:rFonts w:hint="default" w:ascii="Times New Roman" w:hAnsi="Times New Roman" w:eastAsia="宋体" w:cs="Times New Roman"/>
                <w:color w:val="auto"/>
                <w:sz w:val="21"/>
                <w:szCs w:val="21"/>
                <w:highlight w:val="none"/>
                <w:lang w:val="en-US" w:eastAsia="zh-CN"/>
              </w:rPr>
              <w:t>危险化学品生产</w:t>
            </w:r>
            <w:r>
              <w:rPr>
                <w:rFonts w:hint="default" w:ascii="Times New Roman" w:hAnsi="Times New Roman" w:eastAsia="宋体" w:cs="Times New Roman"/>
                <w:color w:val="auto"/>
                <w:sz w:val="21"/>
                <w:szCs w:val="21"/>
                <w:highlight w:val="none"/>
                <w:lang w:eastAsia="zh-CN"/>
              </w:rPr>
              <w:t>项目，</w:t>
            </w:r>
            <w:r>
              <w:rPr>
                <w:rFonts w:hint="default" w:ascii="Times New Roman" w:hAnsi="Times New Roman" w:eastAsia="宋体" w:cs="Times New Roman"/>
                <w:color w:val="auto"/>
                <w:sz w:val="21"/>
                <w:szCs w:val="21"/>
                <w:highlight w:val="none"/>
              </w:rPr>
              <w:t>不属于畜禽养殖场、养殖小区。</w:t>
            </w:r>
            <w:r>
              <w:rPr>
                <w:rFonts w:hint="eastAsia" w:ascii="Times New Roman" w:hAnsi="Times New Roman" w:eastAsia="宋体" w:cs="Times New Roman"/>
                <w:color w:val="auto"/>
                <w:sz w:val="21"/>
                <w:szCs w:val="21"/>
                <w:highlight w:val="none"/>
                <w:lang w:val="en-US" w:eastAsia="zh-CN"/>
              </w:rPr>
              <w:t>符合空间布局约束要求。</w:t>
            </w:r>
          </w:p>
        </w:tc>
      </w:tr>
      <w:tr w14:paraId="3217C3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572" w:type="pct"/>
            <w:vMerge w:val="continue"/>
            <w:tcBorders>
              <w:tl2br w:val="nil"/>
              <w:tr2bl w:val="nil"/>
            </w:tcBorders>
            <w:vAlign w:val="center"/>
          </w:tcPr>
          <w:p w14:paraId="4D9FCC52">
            <w:pPr>
              <w:pStyle w:val="34"/>
              <w:rPr>
                <w:rFonts w:hint="default" w:ascii="Times New Roman" w:hAnsi="Times New Roman" w:eastAsia="宋体" w:cs="Times New Roman"/>
                <w:color w:val="auto"/>
                <w:sz w:val="21"/>
                <w:szCs w:val="21"/>
                <w:highlight w:val="none"/>
              </w:rPr>
            </w:pPr>
          </w:p>
        </w:tc>
        <w:tc>
          <w:tcPr>
            <w:tcW w:w="588" w:type="pct"/>
            <w:vMerge w:val="continue"/>
            <w:tcBorders>
              <w:tl2br w:val="nil"/>
              <w:tr2bl w:val="nil"/>
            </w:tcBorders>
            <w:vAlign w:val="center"/>
          </w:tcPr>
          <w:p w14:paraId="5E697731">
            <w:pPr>
              <w:pStyle w:val="34"/>
              <w:rPr>
                <w:rFonts w:hint="default" w:ascii="Times New Roman" w:hAnsi="Times New Roman" w:eastAsia="宋体" w:cs="Times New Roman"/>
                <w:color w:val="auto"/>
                <w:sz w:val="21"/>
                <w:szCs w:val="21"/>
                <w:highlight w:val="none"/>
              </w:rPr>
            </w:pPr>
          </w:p>
        </w:tc>
        <w:tc>
          <w:tcPr>
            <w:tcW w:w="493" w:type="pct"/>
            <w:tcBorders>
              <w:tl2br w:val="nil"/>
              <w:tr2bl w:val="nil"/>
            </w:tcBorders>
            <w:vAlign w:val="center"/>
          </w:tcPr>
          <w:p w14:paraId="52B21DED">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污染物排放管控</w:t>
            </w:r>
          </w:p>
        </w:tc>
        <w:tc>
          <w:tcPr>
            <w:tcW w:w="2273" w:type="pct"/>
            <w:tcBorders>
              <w:tl2br w:val="nil"/>
              <w:tr2bl w:val="nil"/>
            </w:tcBorders>
            <w:vAlign w:val="center"/>
          </w:tcPr>
          <w:p w14:paraId="1F355645">
            <w:pPr>
              <w:spacing w:beforeLine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一、</w:t>
            </w:r>
            <w:r>
              <w:rPr>
                <w:rFonts w:hint="default" w:ascii="Times New Roman" w:hAnsi="Times New Roman" w:eastAsia="宋体" w:cs="Times New Roman"/>
                <w:color w:val="auto"/>
                <w:sz w:val="21"/>
                <w:szCs w:val="21"/>
                <w:highlight w:val="none"/>
              </w:rPr>
              <w:t>区域内新建、改扩建项目废气污染物二氧化硫、氮氧化物和细颗粒物排放总量应1.5倍减量置换。</w:t>
            </w:r>
          </w:p>
          <w:p w14:paraId="41D16908">
            <w:pPr>
              <w:spacing w:beforeLine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1"/>
                <w:szCs w:val="21"/>
                <w:highlight w:val="none"/>
                <w:lang w:val="en-US" w:eastAsia="zh-CN"/>
              </w:rPr>
              <w:t>二、</w:t>
            </w:r>
            <w:r>
              <w:rPr>
                <w:rFonts w:hint="default" w:ascii="Times New Roman" w:hAnsi="Times New Roman" w:eastAsia="宋体" w:cs="Times New Roman"/>
                <w:color w:val="auto"/>
                <w:highlight w:val="none"/>
              </w:rPr>
              <w:t>执行要求</w:t>
            </w:r>
            <w:r>
              <w:rPr>
                <w:rFonts w:hint="default" w:ascii="Times New Roman" w:hAnsi="Times New Roman" w:eastAsia="宋体" w:cs="Times New Roman"/>
                <w:color w:val="auto"/>
                <w:highlight w:val="none"/>
                <w:lang w:eastAsia="zh-CN"/>
              </w:rPr>
              <w:t>：</w:t>
            </w:r>
          </w:p>
          <w:p w14:paraId="00169E5F">
            <w:pPr>
              <w:spacing w:beforeLine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kern w:val="0"/>
                <w:szCs w:val="21"/>
                <w:highlight w:val="none"/>
                <w:lang w:val="zh-CN"/>
              </w:rPr>
              <w:t>加快65t／h以上燃煤锅炉（含电力）超低排放改造。</w:t>
            </w:r>
          </w:p>
        </w:tc>
        <w:tc>
          <w:tcPr>
            <w:tcW w:w="1071" w:type="pct"/>
            <w:tcBorders>
              <w:tl2br w:val="nil"/>
              <w:tr2bl w:val="nil"/>
            </w:tcBorders>
            <w:vAlign w:val="center"/>
          </w:tcPr>
          <w:p w14:paraId="0B1AE6E0">
            <w:pPr>
              <w:pStyle w:val="34"/>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snapToGrid w:val="0"/>
                <w:color w:val="auto"/>
                <w:sz w:val="21"/>
                <w:szCs w:val="24"/>
                <w:lang w:val="en-US" w:eastAsia="zh-CN"/>
              </w:rPr>
              <w:t>本项目</w:t>
            </w:r>
            <w:r>
              <w:rPr>
                <w:rFonts w:hint="eastAsia" w:ascii="Times New Roman" w:hAnsi="Times New Roman" w:eastAsia="宋体" w:cs="Times New Roman"/>
                <w:color w:val="auto"/>
                <w:highlight w:val="none"/>
              </w:rPr>
              <w:t>二氧化硫、</w:t>
            </w:r>
            <w:r>
              <w:rPr>
                <w:rFonts w:hint="eastAsia" w:ascii="Times New Roman" w:hAnsi="Times New Roman" w:eastAsia="宋体" w:cs="Times New Roman"/>
                <w:color w:val="auto"/>
                <w:highlight w:val="none"/>
                <w:lang w:eastAsia="zh-CN"/>
              </w:rPr>
              <w:t>氮氧</w:t>
            </w:r>
            <w:r>
              <w:rPr>
                <w:rFonts w:hint="eastAsia" w:ascii="Times New Roman" w:hAnsi="Times New Roman" w:eastAsia="宋体" w:cs="Times New Roman"/>
                <w:color w:val="auto"/>
                <w:highlight w:val="none"/>
              </w:rPr>
              <w:t>化物和细颗粒物排放总量</w:t>
            </w:r>
            <w:r>
              <w:rPr>
                <w:rFonts w:hint="eastAsia" w:ascii="Times New Roman" w:hAnsi="Times New Roman"/>
                <w:snapToGrid w:val="0"/>
                <w:color w:val="auto"/>
                <w:sz w:val="21"/>
                <w:szCs w:val="24"/>
                <w:lang w:val="en-US" w:eastAsia="zh-CN"/>
              </w:rPr>
              <w:t>由当地生态环境局统一调配。符合污染物排放管控要求。</w:t>
            </w:r>
          </w:p>
        </w:tc>
      </w:tr>
      <w:tr w14:paraId="2EA13D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572" w:type="pct"/>
            <w:vMerge w:val="continue"/>
            <w:tcBorders>
              <w:tl2br w:val="nil"/>
              <w:tr2bl w:val="nil"/>
            </w:tcBorders>
            <w:vAlign w:val="center"/>
          </w:tcPr>
          <w:p w14:paraId="15165ECB">
            <w:pPr>
              <w:pStyle w:val="34"/>
              <w:rPr>
                <w:rFonts w:hint="default" w:ascii="Times New Roman" w:hAnsi="Times New Roman" w:eastAsia="宋体" w:cs="Times New Roman"/>
                <w:color w:val="auto"/>
                <w:sz w:val="21"/>
                <w:szCs w:val="21"/>
                <w:highlight w:val="none"/>
              </w:rPr>
            </w:pPr>
          </w:p>
        </w:tc>
        <w:tc>
          <w:tcPr>
            <w:tcW w:w="588" w:type="pct"/>
            <w:vMerge w:val="continue"/>
            <w:tcBorders>
              <w:tl2br w:val="nil"/>
              <w:tr2bl w:val="nil"/>
            </w:tcBorders>
            <w:vAlign w:val="center"/>
          </w:tcPr>
          <w:p w14:paraId="76C78957">
            <w:pPr>
              <w:pStyle w:val="34"/>
              <w:rPr>
                <w:rFonts w:hint="default" w:ascii="Times New Roman" w:hAnsi="Times New Roman" w:eastAsia="宋体" w:cs="Times New Roman"/>
                <w:color w:val="auto"/>
                <w:sz w:val="21"/>
                <w:szCs w:val="21"/>
                <w:highlight w:val="none"/>
              </w:rPr>
            </w:pPr>
          </w:p>
        </w:tc>
        <w:tc>
          <w:tcPr>
            <w:tcW w:w="493" w:type="pct"/>
            <w:tcBorders>
              <w:tl2br w:val="nil"/>
              <w:tr2bl w:val="nil"/>
            </w:tcBorders>
            <w:vAlign w:val="center"/>
          </w:tcPr>
          <w:p w14:paraId="75577CFB">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环境风险防控</w:t>
            </w:r>
          </w:p>
        </w:tc>
        <w:tc>
          <w:tcPr>
            <w:tcW w:w="2273" w:type="pct"/>
            <w:tcBorders>
              <w:tl2br w:val="nil"/>
              <w:tr2bl w:val="nil"/>
            </w:tcBorders>
            <w:vAlign w:val="center"/>
          </w:tcPr>
          <w:p w14:paraId="04EA2A02">
            <w:pPr>
              <w:widowControl/>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highlight w:val="none"/>
              </w:rPr>
              <w:t>执行要求</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spacing w:val="-3"/>
                <w:kern w:val="0"/>
                <w:szCs w:val="21"/>
                <w:highlight w:val="none"/>
                <w:lang w:val="zh-CN"/>
              </w:rPr>
              <w:t>化工园区与城市建成区、人员密集场所、重要设施、敏感目标等应当保持规定的安全距离，相对封闭，不应保留常住居民，非关联企业和产业要逐步搬迁或退出，妥善防范化解“邻避”问题。严禁在松花江干流及一级支流沿岸</w:t>
            </w:r>
            <w:r>
              <w:rPr>
                <w:rFonts w:hint="default" w:ascii="Times New Roman" w:hAnsi="Times New Roman" w:eastAsia="宋体" w:cs="Times New Roman"/>
                <w:color w:val="auto"/>
                <w:spacing w:val="-3"/>
                <w:kern w:val="0"/>
                <w:szCs w:val="21"/>
                <w:highlight w:val="none"/>
                <w:lang w:val="en-US"/>
              </w:rPr>
              <w:t>1公里范围内布局化工园区。</w:t>
            </w:r>
          </w:p>
        </w:tc>
        <w:tc>
          <w:tcPr>
            <w:tcW w:w="1071" w:type="pct"/>
            <w:tcBorders>
              <w:tl2br w:val="nil"/>
              <w:tr2bl w:val="nil"/>
            </w:tcBorders>
            <w:vAlign w:val="center"/>
          </w:tcPr>
          <w:p w14:paraId="6642F00F">
            <w:pPr>
              <w:pStyle w:val="34"/>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本项目位于黑龙江省哈尔滨市五常市牛家工业园区宁波路13号</w:t>
            </w:r>
            <w:r>
              <w:rPr>
                <w:rFonts w:hint="eastAsia" w:ascii="Times New Roman" w:hAnsi="Times New Roman" w:eastAsia="宋体" w:cs="Times New Roman"/>
                <w:color w:val="auto"/>
                <w:sz w:val="21"/>
                <w:szCs w:val="21"/>
                <w:highlight w:val="none"/>
                <w:lang w:val="en-US" w:eastAsia="zh-CN"/>
              </w:rPr>
              <w:t>，不属于化工园区。</w:t>
            </w:r>
          </w:p>
        </w:tc>
      </w:tr>
      <w:tr w14:paraId="46FF34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572" w:type="pct"/>
            <w:vMerge w:val="continue"/>
            <w:tcBorders>
              <w:tl2br w:val="nil"/>
              <w:tr2bl w:val="nil"/>
            </w:tcBorders>
            <w:vAlign w:val="center"/>
          </w:tcPr>
          <w:p w14:paraId="3292F5EE">
            <w:pPr>
              <w:pStyle w:val="34"/>
              <w:rPr>
                <w:rFonts w:hint="default" w:ascii="Times New Roman" w:hAnsi="Times New Roman" w:eastAsia="宋体" w:cs="Times New Roman"/>
                <w:color w:val="auto"/>
                <w:sz w:val="21"/>
                <w:szCs w:val="21"/>
                <w:highlight w:val="none"/>
              </w:rPr>
            </w:pPr>
          </w:p>
        </w:tc>
        <w:tc>
          <w:tcPr>
            <w:tcW w:w="588" w:type="pct"/>
            <w:vMerge w:val="continue"/>
            <w:tcBorders>
              <w:tl2br w:val="nil"/>
              <w:tr2bl w:val="nil"/>
            </w:tcBorders>
            <w:vAlign w:val="center"/>
          </w:tcPr>
          <w:p w14:paraId="186A0B2F">
            <w:pPr>
              <w:pStyle w:val="34"/>
              <w:rPr>
                <w:rFonts w:hint="default" w:ascii="Times New Roman" w:hAnsi="Times New Roman" w:eastAsia="宋体" w:cs="Times New Roman"/>
                <w:color w:val="auto"/>
                <w:sz w:val="21"/>
                <w:szCs w:val="21"/>
                <w:highlight w:val="none"/>
              </w:rPr>
            </w:pPr>
          </w:p>
        </w:tc>
        <w:tc>
          <w:tcPr>
            <w:tcW w:w="493" w:type="pct"/>
            <w:tcBorders>
              <w:tl2br w:val="nil"/>
              <w:tr2bl w:val="nil"/>
            </w:tcBorders>
            <w:vAlign w:val="center"/>
          </w:tcPr>
          <w:p w14:paraId="384B94A2">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资源利用效率要求</w:t>
            </w:r>
          </w:p>
        </w:tc>
        <w:tc>
          <w:tcPr>
            <w:tcW w:w="2273" w:type="pct"/>
            <w:tcBorders>
              <w:tl2br w:val="nil"/>
              <w:tr2bl w:val="nil"/>
            </w:tcBorders>
            <w:vAlign w:val="center"/>
          </w:tcPr>
          <w:p w14:paraId="4EBD6740">
            <w:pPr>
              <w:keepNext w:val="0"/>
              <w:keepLines w:val="0"/>
              <w:pageBreakBefore w:val="0"/>
              <w:kinsoku/>
              <w:overflowPunct/>
              <w:topLinePunct w:val="0"/>
              <w:autoSpaceDE/>
              <w:autoSpaceDN/>
              <w:bidi w:val="0"/>
              <w:spacing w:before="0" w:beforeLines="0" w:line="240" w:lineRule="auto"/>
              <w:ind w:right="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1"/>
                <w:szCs w:val="21"/>
                <w:highlight w:val="none"/>
                <w:lang w:val="en-US" w:eastAsia="zh-CN"/>
              </w:rPr>
              <w:t>一、</w:t>
            </w:r>
            <w:r>
              <w:rPr>
                <w:rFonts w:hint="default" w:ascii="Times New Roman" w:hAnsi="Times New Roman" w:eastAsia="宋体" w:cs="Times New Roman"/>
                <w:color w:val="auto"/>
                <w:highlight w:val="none"/>
              </w:rPr>
              <w:t>执行要求</w:t>
            </w:r>
            <w:r>
              <w:rPr>
                <w:rFonts w:hint="default" w:ascii="Times New Roman" w:hAnsi="Times New Roman" w:eastAsia="宋体" w:cs="Times New Roman"/>
                <w:color w:val="auto"/>
                <w:highlight w:val="none"/>
                <w:lang w:eastAsia="zh-CN"/>
              </w:rPr>
              <w:t>：</w:t>
            </w:r>
          </w:p>
          <w:p w14:paraId="1737B2CE">
            <w:pPr>
              <w:keepNext w:val="0"/>
              <w:keepLines w:val="0"/>
              <w:pageBreakBefore w:val="0"/>
              <w:kinsoku/>
              <w:overflowPunct/>
              <w:topLinePunct w:val="0"/>
              <w:autoSpaceDE/>
              <w:autoSpaceDN/>
              <w:bidi w:val="0"/>
              <w:spacing w:before="0" w:beforeLines="0" w:line="240" w:lineRule="auto"/>
              <w:ind w:right="0"/>
              <w:textAlignment w:val="auto"/>
              <w:rPr>
                <w:rFonts w:hint="default" w:ascii="Times New Roman" w:hAnsi="Times New Roman" w:eastAsia="宋体" w:cs="Times New Roman"/>
                <w:color w:val="auto"/>
                <w:spacing w:val="-3"/>
                <w:kern w:val="0"/>
                <w:szCs w:val="21"/>
                <w:highlight w:val="none"/>
                <w:lang w:val="zh-CN"/>
              </w:rPr>
            </w:pPr>
            <w:r>
              <w:rPr>
                <w:rFonts w:hint="default" w:ascii="Times New Roman" w:hAnsi="Times New Roman" w:eastAsia="宋体" w:cs="Times New Roman"/>
                <w:color w:val="auto"/>
                <w:spacing w:val="-3"/>
                <w:kern w:val="0"/>
                <w:szCs w:val="21"/>
                <w:highlight w:val="none"/>
                <w:lang w:val="zh-CN"/>
              </w:rPr>
              <w:t>1.推进污水再生利用设施建设。</w:t>
            </w:r>
          </w:p>
          <w:p w14:paraId="5ACA1B99">
            <w:pP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pacing w:val="-3"/>
                <w:kern w:val="0"/>
                <w:szCs w:val="21"/>
                <w:highlight w:val="none"/>
                <w:lang w:val="zh-CN"/>
              </w:rPr>
              <w:t>2.公共建筑必须采用节水器具，限期淘汰公共建筑中不符合节水标准的水嘴、便器水箱等生活用水器具。</w:t>
            </w:r>
          </w:p>
          <w:p w14:paraId="4CF4089F">
            <w:pPr>
              <w:numPr>
                <w:ilvl w:val="0"/>
                <w:numId w:val="0"/>
              </w:numP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二、</w:t>
            </w:r>
            <w:r>
              <w:rPr>
                <w:rFonts w:hint="default" w:ascii="Times New Roman" w:hAnsi="Times New Roman" w:eastAsia="宋体" w:cs="Times New Roman"/>
                <w:b w:val="0"/>
                <w:bCs w:val="0"/>
                <w:color w:val="auto"/>
                <w:sz w:val="21"/>
                <w:szCs w:val="21"/>
                <w:highlight w:val="none"/>
              </w:rPr>
              <w:t>高污染燃料禁燃区</w:t>
            </w:r>
            <w:r>
              <w:rPr>
                <w:rFonts w:hint="default" w:ascii="Times New Roman" w:hAnsi="Times New Roman" w:eastAsia="宋体" w:cs="Times New Roman"/>
                <w:b w:val="0"/>
                <w:bCs w:val="0"/>
                <w:color w:val="auto"/>
                <w:sz w:val="21"/>
                <w:szCs w:val="21"/>
                <w:highlight w:val="none"/>
                <w:lang w:eastAsia="zh-CN"/>
              </w:rPr>
              <w:t>同时</w:t>
            </w:r>
            <w:r>
              <w:rPr>
                <w:rFonts w:hint="default" w:ascii="Times New Roman" w:hAnsi="Times New Roman" w:eastAsia="宋体" w:cs="Times New Roman"/>
                <w:color w:val="auto"/>
                <w:highlight w:val="none"/>
              </w:rPr>
              <w:t>执行</w:t>
            </w:r>
            <w:r>
              <w:rPr>
                <w:rFonts w:hint="default" w:ascii="Times New Roman" w:hAnsi="Times New Roman" w:eastAsia="宋体" w:cs="Times New Roman"/>
                <w:color w:val="auto"/>
                <w:highlight w:val="none"/>
                <w:lang w:eastAsia="zh-CN"/>
              </w:rPr>
              <w:t>：</w:t>
            </w:r>
          </w:p>
          <w:p w14:paraId="2E7BEDAB">
            <w:pPr>
              <w:keepNext w:val="0"/>
              <w:keepLines w:val="0"/>
              <w:pageBreakBefore w:val="0"/>
              <w:tabs>
                <w:tab w:val="left" w:pos="265"/>
              </w:tabs>
              <w:kinsoku/>
              <w:overflowPunct/>
              <w:topLinePunct w:val="0"/>
              <w:autoSpaceDE w:val="0"/>
              <w:autoSpaceDN w:val="0"/>
              <w:bidi w:val="0"/>
              <w:spacing w:before="1" w:beforeLines="0" w:line="240" w:lineRule="auto"/>
              <w:ind w:right="96"/>
              <w:textAlignment w:val="auto"/>
              <w:rPr>
                <w:rFonts w:hint="default" w:ascii="Times New Roman" w:hAnsi="Times New Roman" w:eastAsia="宋体" w:cs="Times New Roman"/>
                <w:color w:val="auto"/>
                <w:spacing w:val="-3"/>
                <w:kern w:val="0"/>
                <w:szCs w:val="21"/>
                <w:highlight w:val="none"/>
                <w:lang w:val="zh-CN"/>
              </w:rPr>
            </w:pPr>
            <w:r>
              <w:rPr>
                <w:rFonts w:hint="default" w:ascii="Times New Roman" w:hAnsi="Times New Roman" w:eastAsia="宋体" w:cs="Times New Roman"/>
                <w:color w:val="auto"/>
                <w:spacing w:val="-3"/>
                <w:kern w:val="0"/>
                <w:szCs w:val="21"/>
                <w:highlight w:val="none"/>
                <w:lang w:val="en-US"/>
              </w:rPr>
              <w:t>1.</w:t>
            </w:r>
            <w:r>
              <w:rPr>
                <w:rFonts w:hint="default" w:ascii="Times New Roman" w:hAnsi="Times New Roman" w:eastAsia="宋体" w:cs="Times New Roman"/>
                <w:color w:val="auto"/>
                <w:spacing w:val="-3"/>
                <w:kern w:val="0"/>
                <w:szCs w:val="21"/>
                <w:highlight w:val="none"/>
                <w:lang w:val="zh-CN"/>
              </w:rPr>
              <w:t>在禁燃区内，禁止销售、燃用高污染燃料；禁止新建、扩建燃用高污染燃料的设施，已建成的，应当在城市人民政府规定的期限内改用天然气、页岩气、液化石油气、电或者其他清洁能源。</w:t>
            </w:r>
          </w:p>
          <w:p w14:paraId="7636B77B">
            <w:pPr>
              <w:numPr>
                <w:ilvl w:val="0"/>
                <w:numId w:val="0"/>
              </w:numPr>
              <w:ind w:left="0" w:lef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kern w:val="0"/>
                <w:szCs w:val="21"/>
                <w:highlight w:val="none"/>
                <w:lang w:val="en-US"/>
              </w:rPr>
              <w:t>2.</w:t>
            </w:r>
            <w:r>
              <w:rPr>
                <w:rFonts w:hint="default" w:ascii="Times New Roman" w:hAnsi="Times New Roman" w:eastAsia="宋体" w:cs="Times New Roman"/>
                <w:color w:val="auto"/>
                <w:spacing w:val="-3"/>
                <w:kern w:val="0"/>
                <w:szCs w:val="21"/>
                <w:highlight w:val="none"/>
                <w:lang w:val="zh-CN"/>
              </w:rPr>
              <w:t>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1071" w:type="pct"/>
            <w:tcBorders>
              <w:tl2br w:val="nil"/>
              <w:tr2bl w:val="nil"/>
            </w:tcBorders>
            <w:vAlign w:val="center"/>
          </w:tcPr>
          <w:p w14:paraId="3AD156DB">
            <w:pPr>
              <w:pStyle w:val="34"/>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本项目生产及供暖均不使用高污染燃料，使用电及天然气，属于清洁能源。符合资源利用效率要求。</w:t>
            </w:r>
          </w:p>
        </w:tc>
      </w:tr>
    </w:tbl>
    <w:p w14:paraId="4E3BD169">
      <w:pPr>
        <w:keepNext w:val="0"/>
        <w:keepLines w:val="0"/>
        <w:pageBreakBefore w:val="0"/>
        <w:widowControl w:val="0"/>
        <w:numPr>
          <w:ilvl w:val="0"/>
          <w:numId w:val="14"/>
        </w:numPr>
        <w:shd w:val="clear" w:color="auto" w:fill="auto"/>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“一说明”</w:t>
      </w:r>
    </w:p>
    <w:p w14:paraId="0F158148">
      <w:pPr>
        <w:keepNext w:val="0"/>
        <w:keepLines w:val="0"/>
        <w:pageBreakBefore w:val="0"/>
        <w:wordWrap/>
        <w:overflowPunct/>
        <w:topLinePunct w:val="0"/>
        <w:autoSpaceDE w:val="0"/>
        <w:autoSpaceDN w:val="0"/>
        <w:bidi w:val="0"/>
        <w:adjustRightInd w:val="0"/>
        <w:spacing w:line="360" w:lineRule="auto"/>
        <w:ind w:firstLine="480" w:firstLineChars="200"/>
        <w:textAlignment w:val="baseline"/>
        <w:rPr>
          <w:rFonts w:hint="eastAsia" w:ascii="Times New Roman" w:hAnsi="Times New Roman" w:eastAsia="宋体" w:cs="Times New Roman"/>
          <w:snapToGrid w:val="0"/>
          <w:color w:val="auto"/>
          <w:spacing w:val="0"/>
          <w:kern w:val="0"/>
          <w:position w:val="0"/>
          <w:sz w:val="24"/>
          <w:szCs w:val="21"/>
          <w:lang w:val="en-US" w:eastAsia="zh-CN" w:bidi="ar-SA"/>
        </w:rPr>
      </w:pPr>
      <w:r>
        <w:rPr>
          <w:rFonts w:hint="eastAsia" w:ascii="Times New Roman" w:hAnsi="Times New Roman" w:eastAsia="Arial" w:cs="Times New Roman"/>
          <w:snapToGrid w:val="0"/>
          <w:color w:val="auto"/>
          <w:kern w:val="0"/>
          <w:sz w:val="24"/>
          <w:szCs w:val="24"/>
          <w:highlight w:val="none"/>
          <w:lang w:val="en-US" w:eastAsia="zh-CN" w:bidi="ar-SA"/>
        </w:rPr>
        <w:t>根据《</w:t>
      </w:r>
      <w:r>
        <w:rPr>
          <w:rFonts w:hint="default" w:ascii="Times New Roman" w:hAnsi="Times New Roman" w:eastAsia="Arial" w:cs="Times New Roman"/>
          <w:snapToGrid w:val="0"/>
          <w:color w:val="auto"/>
          <w:kern w:val="0"/>
          <w:sz w:val="24"/>
          <w:szCs w:val="24"/>
          <w:highlight w:val="none"/>
          <w:lang w:val="en-US" w:eastAsia="zh-CN" w:bidi="ar-SA"/>
        </w:rPr>
        <w:t>黑龙江天时利精密科技有限公司新建</w:t>
      </w:r>
      <w:r>
        <w:rPr>
          <w:rFonts w:hint="eastAsia" w:ascii="Times New Roman" w:hAnsi="Times New Roman" w:eastAsia="Arial" w:cs="Times New Roman"/>
          <w:snapToGrid w:val="0"/>
          <w:color w:val="auto"/>
          <w:kern w:val="0"/>
          <w:sz w:val="24"/>
          <w:szCs w:val="24"/>
          <w:highlight w:val="none"/>
          <w:lang w:val="en-US" w:eastAsia="zh-CN" w:bidi="ar-SA"/>
        </w:rPr>
        <w:t>项目生态环境分区管控分析报告》</w:t>
      </w:r>
      <w:r>
        <w:rPr>
          <w:rFonts w:hint="eastAsia" w:ascii="Times New Roman" w:hAnsi="Times New Roman" w:cs="Times New Roman"/>
          <w:snapToGrid w:val="0"/>
          <w:color w:val="auto"/>
          <w:kern w:val="0"/>
          <w:sz w:val="24"/>
          <w:szCs w:val="24"/>
          <w:highlight w:val="none"/>
          <w:lang w:val="en-US" w:eastAsia="zh-CN" w:bidi="ar-SA"/>
        </w:rPr>
        <w:t>可知</w:t>
      </w:r>
      <w:r>
        <w:rPr>
          <w:rFonts w:hint="eastAsia" w:ascii="Times New Roman" w:hAnsi="Times New Roman" w:eastAsia="Arial" w:cs="Times New Roman"/>
          <w:snapToGrid w:val="0"/>
          <w:color w:val="auto"/>
          <w:kern w:val="0"/>
          <w:sz w:val="24"/>
          <w:szCs w:val="24"/>
          <w:highlight w:val="none"/>
          <w:lang w:val="en-US" w:eastAsia="zh-CN" w:bidi="ar-SA"/>
        </w:rPr>
        <w:t>，</w:t>
      </w:r>
      <w:r>
        <w:rPr>
          <w:rFonts w:hint="eastAsia" w:ascii="Times New Roman" w:hAnsi="Times New Roman" w:eastAsia="宋体" w:cs="Times New Roman"/>
          <w:snapToGrid w:val="0"/>
          <w:color w:val="auto"/>
          <w:spacing w:val="0"/>
          <w:kern w:val="0"/>
          <w:position w:val="0"/>
          <w:sz w:val="24"/>
          <w:szCs w:val="21"/>
          <w:lang w:val="en-US" w:eastAsia="zh-CN" w:bidi="ar-SA"/>
        </w:rPr>
        <w:t>与生态保护红线交集面积为0.00平方公里，占项目占地面积的0.00%。与自然保护地整合优化方案数据交集面积为0.00平方公里，占项目占地面积的0.00%。保护地涉及等类型。与自然保护地(现状管理数据)交集面积为0.00平方公里，占项目占地面积的0.00%。保护地涉及等类型。与饮用水水源保护区交集面积为0.00平方公里，占项目占地面积的0.00%。与国家级水产种质资源保护区交集面积为0.00平方公里，占项目占地面积的0.00%。与环境管控单元优先保护单元交集面积为0.00平方公里，占项目占地面积的0.00%；与重点管控单元交集面积为0.04平方公里，占项目占地面积的100.00%；一般管控单元交集面积为0.00平方公里，占项目占地面积的0.00%。与地下水环境优先保护区交集面积为0.00平方公里，占项目占地面积的0.00%；与地下水环境重点管控区交集面积为0.00平方公里，占项目占地面积的0.00%，与地下水环境一般管控区交集面积为0.04平方公里，占项目占地面积的100.00%。</w:t>
      </w:r>
    </w:p>
    <w:p w14:paraId="16F4BD9B">
      <w:pPr>
        <w:keepNext w:val="0"/>
        <w:keepLines w:val="0"/>
        <w:pageBreakBefore w:val="0"/>
        <w:wordWrap/>
        <w:overflowPunct/>
        <w:topLinePunct w:val="0"/>
        <w:autoSpaceDE w:val="0"/>
        <w:autoSpaceDN w:val="0"/>
        <w:bidi w:val="0"/>
        <w:adjustRightInd w:val="0"/>
        <w:spacing w:line="360" w:lineRule="auto"/>
        <w:ind w:firstLine="480" w:firstLineChars="200"/>
        <w:textAlignment w:val="baseline"/>
        <w:rPr>
          <w:rFonts w:hint="eastAsia"/>
          <w:lang w:val="en-US" w:eastAsia="zh-CN"/>
        </w:rPr>
      </w:pPr>
      <w:r>
        <w:rPr>
          <w:rFonts w:hint="eastAsia" w:ascii="Times New Roman" w:hAnsi="Times New Roman" w:eastAsia="宋体" w:cs="Times New Roman"/>
          <w:snapToGrid w:val="0"/>
          <w:color w:val="auto"/>
          <w:spacing w:val="0"/>
          <w:kern w:val="0"/>
          <w:position w:val="0"/>
          <w:sz w:val="24"/>
          <w:szCs w:val="21"/>
          <w:lang w:val="en-US" w:eastAsia="zh-CN" w:bidi="ar-SA"/>
        </w:rPr>
        <w:t>经分析，本项目的建设不涉及生态保护红线，不会突破资源利用上线，不会降低区域环境质量底线，本项目满足生态环境准入清单要求，与“</w:t>
      </w:r>
      <w:r>
        <w:rPr>
          <w:rFonts w:hint="default" w:ascii="Times New Roman" w:hAnsi="Times New Roman" w:eastAsia="宋体" w:cs="Times New Roman"/>
          <w:snapToGrid w:val="0"/>
          <w:color w:val="auto"/>
          <w:spacing w:val="0"/>
          <w:kern w:val="0"/>
          <w:position w:val="0"/>
          <w:sz w:val="24"/>
          <w:szCs w:val="21"/>
          <w:lang w:val="en-US" w:eastAsia="zh-CN" w:bidi="ar-SA"/>
        </w:rPr>
        <w:t>生态环境分区管控</w:t>
      </w:r>
      <w:r>
        <w:rPr>
          <w:rFonts w:hint="eastAsia" w:ascii="Times New Roman" w:hAnsi="Times New Roman" w:eastAsia="宋体" w:cs="Times New Roman"/>
          <w:snapToGrid w:val="0"/>
          <w:color w:val="auto"/>
          <w:spacing w:val="0"/>
          <w:kern w:val="0"/>
          <w:position w:val="0"/>
          <w:sz w:val="24"/>
          <w:szCs w:val="21"/>
          <w:lang w:val="en-US" w:eastAsia="zh-CN" w:bidi="ar-SA"/>
        </w:rPr>
        <w:t>”要求相符。</w:t>
      </w:r>
    </w:p>
    <w:p w14:paraId="31318C52">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highlight w:val="none"/>
          <w:lang w:val="en-US" w:eastAsia="zh-CN"/>
        </w:rPr>
      </w:pPr>
      <w:r>
        <w:rPr>
          <w:rFonts w:hint="default" w:ascii="Times New Roman" w:hAnsi="Times New Roman" w:eastAsia="宋体" w:cs="Times New Roman"/>
          <w:b/>
          <w:bCs/>
          <w:color w:val="auto"/>
          <w:spacing w:val="0"/>
          <w:position w:val="0"/>
          <w:sz w:val="30"/>
          <w:szCs w:val="30"/>
          <w:highlight w:val="none"/>
          <w:lang w:val="en-US" w:eastAsia="zh-CN"/>
        </w:rPr>
        <w:t>1.4.</w:t>
      </w:r>
      <w:r>
        <w:rPr>
          <w:rFonts w:hint="eastAsia" w:ascii="Times New Roman" w:hAnsi="Times New Roman" w:eastAsia="宋体" w:cs="Times New Roman"/>
          <w:b/>
          <w:bCs/>
          <w:color w:val="auto"/>
          <w:spacing w:val="0"/>
          <w:position w:val="0"/>
          <w:sz w:val="30"/>
          <w:szCs w:val="30"/>
          <w:highlight w:val="none"/>
          <w:lang w:val="en-US" w:eastAsia="zh-CN"/>
        </w:rPr>
        <w:t>4选址合理性</w:t>
      </w:r>
      <w:r>
        <w:rPr>
          <w:rFonts w:hint="default" w:ascii="Times New Roman" w:hAnsi="Times New Roman" w:eastAsia="宋体" w:cs="Times New Roman"/>
          <w:b/>
          <w:bCs/>
          <w:color w:val="auto"/>
          <w:spacing w:val="0"/>
          <w:position w:val="0"/>
          <w:sz w:val="30"/>
          <w:szCs w:val="30"/>
          <w:highlight w:val="none"/>
          <w:lang w:val="en-US" w:eastAsia="zh-CN"/>
        </w:rPr>
        <w:t>分析</w:t>
      </w:r>
    </w:p>
    <w:p w14:paraId="59417CAD">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项目所属位置行政管辖权属于黑龙江五常经济开发区</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但项目位置不在《哈尔滨牛家工业示范基地总体规划》(2014年)范围内，</w:t>
      </w:r>
      <w:r>
        <w:rPr>
          <w:rFonts w:hint="eastAsia" w:ascii="Times New Roman" w:hAnsi="Times New Roman" w:eastAsia="宋体" w:cs="Times New Roman"/>
          <w:snapToGrid w:val="0"/>
          <w:color w:val="auto"/>
          <w:kern w:val="0"/>
          <w:sz w:val="24"/>
          <w:szCs w:val="24"/>
          <w:lang w:val="en-US" w:eastAsia="zh-CN" w:bidi="ar"/>
        </w:rPr>
        <w:t>本项目与</w:t>
      </w:r>
      <w:r>
        <w:rPr>
          <w:rFonts w:hint="default" w:ascii="Times New Roman" w:hAnsi="Times New Roman" w:eastAsia="宋体" w:cs="Times New Roman"/>
          <w:snapToGrid w:val="0"/>
          <w:color w:val="auto"/>
          <w:kern w:val="0"/>
          <w:sz w:val="24"/>
          <w:szCs w:val="24"/>
          <w:lang w:val="en-US" w:eastAsia="zh-CN" w:bidi="ar"/>
        </w:rPr>
        <w:t>牛家工业示范基地位置关系见附图5。</w:t>
      </w:r>
    </w:p>
    <w:p w14:paraId="1722C1BD">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本项目位于黑龙江五常经济开发区，</w:t>
      </w:r>
      <w:r>
        <w:rPr>
          <w:rFonts w:hint="eastAsia" w:ascii="Times New Roman" w:hAnsi="Times New Roman" w:eastAsia="宋体" w:cs="Times New Roman"/>
          <w:snapToGrid w:val="0"/>
          <w:color w:val="auto"/>
          <w:kern w:val="0"/>
          <w:sz w:val="24"/>
          <w:szCs w:val="24"/>
          <w:lang w:val="en-US" w:eastAsia="zh-CN" w:bidi="ar"/>
        </w:rPr>
        <w:t>项目</w:t>
      </w:r>
      <w:r>
        <w:rPr>
          <w:rFonts w:hint="eastAsia" w:ascii="Times New Roman" w:hAnsi="Times New Roman" w:eastAsia="宋体" w:cs="Times New Roman"/>
          <w:color w:val="auto"/>
          <w:spacing w:val="0"/>
          <w:position w:val="0"/>
          <w:sz w:val="24"/>
          <w:lang w:val="en-US" w:eastAsia="zh-CN"/>
        </w:rPr>
        <w:t>购买哈尔滨乐金华奥斯知音门窗有限公司的土地及厂房进行建设</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厂区用地性质为工业用地，厂区</w:t>
      </w:r>
      <w:r>
        <w:rPr>
          <w:rFonts w:hint="eastAsia" w:ascii="Times New Roman" w:hAnsi="Times New Roman" w:eastAsia="宋体" w:cs="Times New Roman"/>
          <w:snapToGrid w:val="0"/>
          <w:color w:val="auto"/>
          <w:kern w:val="0"/>
          <w:sz w:val="24"/>
          <w:szCs w:val="24"/>
          <w:lang w:val="en-US" w:eastAsia="zh-CN" w:bidi="ar"/>
        </w:rPr>
        <w:t>东</w:t>
      </w:r>
      <w:r>
        <w:rPr>
          <w:rFonts w:hint="default" w:ascii="Times New Roman" w:hAnsi="Times New Roman" w:eastAsia="宋体" w:cs="Times New Roman"/>
          <w:snapToGrid w:val="0"/>
          <w:color w:val="auto"/>
          <w:kern w:val="0"/>
          <w:sz w:val="24"/>
          <w:szCs w:val="24"/>
          <w:lang w:val="en-US" w:eastAsia="zh-CN" w:bidi="ar"/>
        </w:rPr>
        <w:t>北侧为</w:t>
      </w:r>
      <w:r>
        <w:rPr>
          <w:rFonts w:hint="eastAsia" w:ascii="Times New Roman" w:hAnsi="Times New Roman" w:eastAsia="宋体" w:cs="Times New Roman"/>
          <w:snapToGrid w:val="0"/>
          <w:color w:val="auto"/>
          <w:kern w:val="0"/>
          <w:sz w:val="24"/>
          <w:szCs w:val="24"/>
          <w:lang w:val="en-US" w:eastAsia="zh-CN" w:bidi="ar"/>
        </w:rPr>
        <w:t>哈尔滨振飞科技工业有限公司</w:t>
      </w:r>
      <w:r>
        <w:rPr>
          <w:rFonts w:hint="default" w:ascii="Times New Roman" w:hAnsi="Times New Roman" w:eastAsia="宋体" w:cs="Times New Roman"/>
          <w:snapToGrid w:val="0"/>
          <w:color w:val="auto"/>
          <w:kern w:val="0"/>
          <w:sz w:val="24"/>
          <w:szCs w:val="24"/>
          <w:lang w:val="en-US" w:eastAsia="zh-CN" w:bidi="ar"/>
        </w:rPr>
        <w:t>，东</w:t>
      </w:r>
      <w:r>
        <w:rPr>
          <w:rFonts w:hint="eastAsia" w:ascii="Times New Roman" w:hAnsi="Times New Roman" w:eastAsia="宋体" w:cs="Times New Roman"/>
          <w:snapToGrid w:val="0"/>
          <w:color w:val="auto"/>
          <w:kern w:val="0"/>
          <w:sz w:val="24"/>
          <w:szCs w:val="24"/>
          <w:lang w:val="en-US" w:eastAsia="zh-CN" w:bidi="ar"/>
        </w:rPr>
        <w:t>南</w:t>
      </w:r>
      <w:r>
        <w:rPr>
          <w:rFonts w:hint="default" w:ascii="Times New Roman" w:hAnsi="Times New Roman" w:eastAsia="宋体" w:cs="Times New Roman"/>
          <w:snapToGrid w:val="0"/>
          <w:color w:val="auto"/>
          <w:kern w:val="0"/>
          <w:sz w:val="24"/>
          <w:szCs w:val="24"/>
          <w:lang w:val="en-US" w:eastAsia="zh-CN" w:bidi="ar"/>
        </w:rPr>
        <w:t>侧</w:t>
      </w:r>
      <w:r>
        <w:rPr>
          <w:rFonts w:hint="eastAsia" w:ascii="Times New Roman" w:hAnsi="Times New Roman" w:eastAsia="宋体" w:cs="Times New Roman"/>
          <w:snapToGrid w:val="0"/>
          <w:color w:val="auto"/>
          <w:kern w:val="0"/>
          <w:sz w:val="24"/>
          <w:szCs w:val="24"/>
          <w:lang w:val="en-US" w:eastAsia="zh-CN" w:bidi="ar"/>
        </w:rPr>
        <w:t>隔宁波街（支路）</w:t>
      </w:r>
      <w:r>
        <w:rPr>
          <w:rFonts w:hint="default" w:ascii="Times New Roman" w:hAnsi="Times New Roman" w:eastAsia="宋体" w:cs="Times New Roman"/>
          <w:snapToGrid w:val="0"/>
          <w:color w:val="auto"/>
          <w:kern w:val="0"/>
          <w:sz w:val="24"/>
          <w:szCs w:val="24"/>
          <w:lang w:val="en-US" w:eastAsia="zh-CN" w:bidi="ar"/>
        </w:rPr>
        <w:t>为</w:t>
      </w:r>
      <w:r>
        <w:rPr>
          <w:rFonts w:hint="eastAsia" w:ascii="Times New Roman" w:hAnsi="Times New Roman" w:eastAsia="宋体" w:cs="Times New Roman"/>
          <w:snapToGrid w:val="0"/>
          <w:color w:val="auto"/>
          <w:kern w:val="0"/>
          <w:sz w:val="24"/>
          <w:szCs w:val="24"/>
          <w:lang w:val="en-US" w:eastAsia="zh-CN" w:bidi="ar"/>
        </w:rPr>
        <w:t>耕地</w:t>
      </w:r>
      <w:r>
        <w:rPr>
          <w:rFonts w:hint="default" w:ascii="Times New Roman" w:hAnsi="Times New Roman" w:eastAsia="宋体" w:cs="Times New Roman"/>
          <w:snapToGrid w:val="0"/>
          <w:color w:val="auto"/>
          <w:kern w:val="0"/>
          <w:sz w:val="24"/>
          <w:szCs w:val="24"/>
          <w:lang w:val="en-US" w:eastAsia="zh-CN" w:bidi="ar"/>
        </w:rPr>
        <w:t>，</w:t>
      </w:r>
      <w:r>
        <w:rPr>
          <w:rFonts w:hint="eastAsia" w:ascii="Times New Roman" w:hAnsi="Times New Roman" w:eastAsia="宋体" w:cs="Times New Roman"/>
          <w:snapToGrid w:val="0"/>
          <w:color w:val="auto"/>
          <w:kern w:val="0"/>
          <w:sz w:val="24"/>
          <w:szCs w:val="24"/>
          <w:lang w:val="en-US" w:eastAsia="zh-CN" w:bidi="ar"/>
        </w:rPr>
        <w:t>西</w:t>
      </w:r>
      <w:r>
        <w:rPr>
          <w:rFonts w:hint="default" w:ascii="Times New Roman" w:hAnsi="Times New Roman" w:eastAsia="宋体" w:cs="Times New Roman"/>
          <w:snapToGrid w:val="0"/>
          <w:color w:val="auto"/>
          <w:kern w:val="0"/>
          <w:sz w:val="24"/>
          <w:szCs w:val="24"/>
          <w:lang w:val="en-US" w:eastAsia="zh-CN" w:bidi="ar"/>
        </w:rPr>
        <w:t>南侧隔</w:t>
      </w:r>
      <w:r>
        <w:rPr>
          <w:rFonts w:hint="eastAsia" w:ascii="Times New Roman" w:hAnsi="Times New Roman" w:eastAsia="宋体" w:cs="Times New Roman"/>
          <w:snapToGrid w:val="0"/>
          <w:color w:val="auto"/>
          <w:kern w:val="0"/>
          <w:sz w:val="24"/>
          <w:szCs w:val="24"/>
          <w:lang w:val="en-US" w:eastAsia="zh-CN" w:bidi="ar"/>
        </w:rPr>
        <w:t>滨南路</w:t>
      </w:r>
      <w:r>
        <w:rPr>
          <w:rFonts w:hint="default" w:ascii="Times New Roman" w:hAnsi="Times New Roman" w:eastAsia="宋体" w:cs="Times New Roman"/>
          <w:snapToGrid w:val="0"/>
          <w:color w:val="auto"/>
          <w:kern w:val="0"/>
          <w:sz w:val="24"/>
          <w:szCs w:val="24"/>
          <w:lang w:val="en-US" w:eastAsia="zh-CN" w:bidi="ar"/>
        </w:rPr>
        <w:t>（支路）为</w:t>
      </w:r>
      <w:r>
        <w:rPr>
          <w:rFonts w:hint="eastAsia" w:ascii="Times New Roman" w:hAnsi="Times New Roman" w:eastAsia="宋体" w:cs="Times New Roman"/>
          <w:snapToGrid w:val="0"/>
          <w:color w:val="auto"/>
          <w:kern w:val="0"/>
          <w:sz w:val="24"/>
          <w:szCs w:val="24"/>
          <w:lang w:val="en-US" w:eastAsia="zh-CN" w:bidi="ar"/>
        </w:rPr>
        <w:t>耕地</w:t>
      </w:r>
      <w:r>
        <w:rPr>
          <w:rFonts w:hint="default" w:ascii="Times New Roman" w:hAnsi="Times New Roman" w:eastAsia="宋体" w:cs="Times New Roman"/>
          <w:snapToGrid w:val="0"/>
          <w:color w:val="auto"/>
          <w:kern w:val="0"/>
          <w:sz w:val="24"/>
          <w:szCs w:val="24"/>
          <w:lang w:val="en-US" w:eastAsia="zh-CN" w:bidi="ar"/>
        </w:rPr>
        <w:t>，西</w:t>
      </w:r>
      <w:r>
        <w:rPr>
          <w:rFonts w:hint="eastAsia" w:ascii="Times New Roman" w:hAnsi="Times New Roman" w:eastAsia="宋体" w:cs="Times New Roman"/>
          <w:snapToGrid w:val="0"/>
          <w:color w:val="auto"/>
          <w:kern w:val="0"/>
          <w:sz w:val="24"/>
          <w:szCs w:val="24"/>
          <w:lang w:val="en-US" w:eastAsia="zh-CN" w:bidi="ar"/>
        </w:rPr>
        <w:t>北</w:t>
      </w:r>
      <w:r>
        <w:rPr>
          <w:rFonts w:hint="default" w:ascii="Times New Roman" w:hAnsi="Times New Roman" w:eastAsia="宋体" w:cs="Times New Roman"/>
          <w:snapToGrid w:val="0"/>
          <w:color w:val="auto"/>
          <w:kern w:val="0"/>
          <w:sz w:val="24"/>
          <w:szCs w:val="24"/>
          <w:lang w:val="en-US" w:eastAsia="zh-CN" w:bidi="ar"/>
        </w:rPr>
        <w:t>侧为</w:t>
      </w:r>
      <w:r>
        <w:rPr>
          <w:rFonts w:hint="eastAsia" w:ascii="Times New Roman" w:hAnsi="Times New Roman" w:eastAsia="宋体" w:cs="Times New Roman"/>
          <w:snapToGrid w:val="0"/>
          <w:color w:val="auto"/>
          <w:kern w:val="0"/>
          <w:sz w:val="24"/>
          <w:szCs w:val="24"/>
          <w:lang w:val="en-US" w:eastAsia="zh-CN" w:bidi="ar"/>
        </w:rPr>
        <w:t>黑龙江浩鑫科技发展有限公司</w:t>
      </w:r>
      <w:r>
        <w:rPr>
          <w:rFonts w:hint="default" w:ascii="Times New Roman" w:hAnsi="Times New Roman" w:eastAsia="宋体" w:cs="Times New Roman"/>
          <w:snapToGrid w:val="0"/>
          <w:color w:val="auto"/>
          <w:kern w:val="0"/>
          <w:sz w:val="24"/>
          <w:szCs w:val="24"/>
          <w:lang w:val="en-US" w:eastAsia="zh-CN" w:bidi="ar"/>
        </w:rPr>
        <w:t>，距项目最近的环境敏感点为东</w:t>
      </w:r>
      <w:r>
        <w:rPr>
          <w:rFonts w:hint="eastAsia" w:ascii="Times New Roman" w:hAnsi="Times New Roman" w:eastAsia="宋体" w:cs="Times New Roman"/>
          <w:snapToGrid w:val="0"/>
          <w:color w:val="auto"/>
          <w:kern w:val="0"/>
          <w:sz w:val="24"/>
          <w:szCs w:val="24"/>
          <w:lang w:val="en-US" w:eastAsia="zh-CN" w:bidi="ar"/>
        </w:rPr>
        <w:t>南</w:t>
      </w:r>
      <w:r>
        <w:rPr>
          <w:rFonts w:hint="default" w:ascii="Times New Roman" w:hAnsi="Times New Roman" w:eastAsia="宋体" w:cs="Times New Roman"/>
          <w:snapToGrid w:val="0"/>
          <w:color w:val="auto"/>
          <w:kern w:val="0"/>
          <w:sz w:val="24"/>
          <w:szCs w:val="24"/>
          <w:lang w:val="en-US" w:eastAsia="zh-CN" w:bidi="ar"/>
        </w:rPr>
        <w:t>侧</w:t>
      </w:r>
      <w:r>
        <w:rPr>
          <w:rFonts w:hint="eastAsia" w:ascii="Times New Roman" w:hAnsi="Times New Roman" w:eastAsia="宋体" w:cs="Times New Roman"/>
          <w:snapToGrid w:val="0"/>
          <w:color w:val="auto"/>
          <w:kern w:val="0"/>
          <w:sz w:val="24"/>
          <w:szCs w:val="24"/>
          <w:lang w:val="en-US" w:eastAsia="zh-CN" w:bidi="ar"/>
        </w:rPr>
        <w:t>190</w:t>
      </w:r>
      <w:r>
        <w:rPr>
          <w:rFonts w:hint="default" w:ascii="Times New Roman" w:hAnsi="Times New Roman" w:eastAsia="宋体" w:cs="Times New Roman"/>
          <w:snapToGrid w:val="0"/>
          <w:color w:val="auto"/>
          <w:kern w:val="0"/>
          <w:sz w:val="24"/>
          <w:szCs w:val="24"/>
          <w:lang w:val="en-US" w:eastAsia="zh-CN" w:bidi="ar"/>
        </w:rPr>
        <w:t>m处的</w:t>
      </w:r>
      <w:r>
        <w:rPr>
          <w:rFonts w:hint="eastAsia" w:ascii="Times New Roman" w:hAnsi="Times New Roman" w:eastAsia="宋体" w:cs="Times New Roman"/>
          <w:snapToGrid w:val="0"/>
          <w:color w:val="auto"/>
          <w:kern w:val="0"/>
          <w:sz w:val="24"/>
          <w:szCs w:val="24"/>
          <w:lang w:val="en-US" w:eastAsia="zh-CN" w:bidi="ar"/>
        </w:rPr>
        <w:t>张达屯</w:t>
      </w:r>
      <w:r>
        <w:rPr>
          <w:rFonts w:hint="default" w:ascii="Times New Roman" w:hAnsi="Times New Roman" w:eastAsia="宋体" w:cs="Times New Roman"/>
          <w:snapToGrid w:val="0"/>
          <w:color w:val="auto"/>
          <w:kern w:val="0"/>
          <w:sz w:val="24"/>
          <w:szCs w:val="24"/>
          <w:lang w:val="en-US" w:eastAsia="zh-CN" w:bidi="ar"/>
        </w:rPr>
        <w:t>。本各项污染物在采取有效治理措施后，污染物均能达标排放，污染物排放较少，污染较轻，故本项目建成后对周围环境影响可接受。</w:t>
      </w:r>
    </w:p>
    <w:p w14:paraId="2AF77955">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综合分析，本项目选址从环境角度分析是可接受的，选址是合理的。</w:t>
      </w:r>
    </w:p>
    <w:p w14:paraId="2FA723C2">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0"/>
          <w:position w:val="0"/>
          <w:sz w:val="32"/>
          <w:szCs w:val="32"/>
          <w:lang w:eastAsia="zh-CN"/>
        </w:rPr>
      </w:pPr>
      <w:bookmarkStart w:id="6" w:name="_Toc18958"/>
      <w:r>
        <w:rPr>
          <w:rFonts w:hint="default" w:ascii="Times New Roman" w:hAnsi="Times New Roman" w:eastAsia="微软雅黑" w:cs="Times New Roman"/>
          <w:color w:val="auto"/>
          <w:spacing w:val="0"/>
          <w:position w:val="0"/>
          <w:sz w:val="32"/>
          <w:szCs w:val="32"/>
          <w:lang w:eastAsia="zh-CN"/>
        </w:rPr>
        <w:t>1.5</w:t>
      </w:r>
      <w:r>
        <w:rPr>
          <w:rFonts w:hint="default" w:ascii="Times New Roman" w:hAnsi="Times New Roman" w:eastAsia="微软雅黑" w:cs="Times New Roman"/>
          <w:color w:val="auto"/>
          <w:spacing w:val="0"/>
          <w:position w:val="0"/>
          <w:sz w:val="32"/>
          <w:szCs w:val="32"/>
          <w:lang w:val="en-US" w:eastAsia="zh-CN"/>
        </w:rPr>
        <w:t xml:space="preserve"> </w:t>
      </w:r>
      <w:r>
        <w:rPr>
          <w:rFonts w:hint="default" w:ascii="Times New Roman" w:hAnsi="Times New Roman" w:eastAsia="微软雅黑" w:cs="Times New Roman"/>
          <w:color w:val="auto"/>
          <w:spacing w:val="0"/>
          <w:position w:val="0"/>
          <w:sz w:val="32"/>
          <w:szCs w:val="32"/>
          <w:lang w:eastAsia="zh-CN"/>
        </w:rPr>
        <w:t>关注的主要环境问题及环境影响</w:t>
      </w:r>
      <w:bookmarkEnd w:id="6"/>
    </w:p>
    <w:p w14:paraId="5E5D5E92">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通过对项目建设情况、所在区域的环境特点、环境质量现状监测数据以及水文地质调查等基础资料进行分析，确定此次环评关注的主要环境问题有:</w:t>
      </w:r>
    </w:p>
    <w:p w14:paraId="7227C019">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(1)与产业政策、规划的相符性以及选址的合理性。</w:t>
      </w:r>
    </w:p>
    <w:p w14:paraId="01688CC0">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(2)区域环境质量现状。</w:t>
      </w:r>
    </w:p>
    <w:p w14:paraId="07C02A10">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(3)项目运营期间废气、废水、噪声和固废等污染物产生、排放情况，通过预测分析对周边环境的影响。</w:t>
      </w:r>
    </w:p>
    <w:p w14:paraId="429C6F39">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(4)项目采取的污染防治措施是否能稳定达标、技术可行。</w:t>
      </w:r>
    </w:p>
    <w:p w14:paraId="5A275D9F">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(5)项目运营及物料暂存过程中可能发生的环境风险事故对周边环境造成的影响。</w:t>
      </w:r>
    </w:p>
    <w:p w14:paraId="0FD534EE">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0"/>
          <w:position w:val="0"/>
          <w:sz w:val="32"/>
          <w:szCs w:val="32"/>
          <w:lang w:eastAsia="zh-CN"/>
        </w:rPr>
      </w:pPr>
      <w:bookmarkStart w:id="7" w:name="_Toc27867"/>
      <w:r>
        <w:rPr>
          <w:rFonts w:hint="default" w:ascii="Times New Roman" w:hAnsi="Times New Roman" w:eastAsia="微软雅黑" w:cs="Times New Roman"/>
          <w:color w:val="auto"/>
          <w:spacing w:val="0"/>
          <w:position w:val="0"/>
          <w:sz w:val="32"/>
          <w:szCs w:val="32"/>
          <w:lang w:eastAsia="zh-CN"/>
        </w:rPr>
        <w:t>1.6</w:t>
      </w:r>
      <w:r>
        <w:rPr>
          <w:rFonts w:hint="default" w:ascii="Times New Roman" w:hAnsi="Times New Roman" w:eastAsia="微软雅黑" w:cs="Times New Roman"/>
          <w:color w:val="auto"/>
          <w:spacing w:val="0"/>
          <w:position w:val="0"/>
          <w:sz w:val="32"/>
          <w:szCs w:val="32"/>
          <w:lang w:val="en-US" w:eastAsia="zh-CN"/>
        </w:rPr>
        <w:t xml:space="preserve"> </w:t>
      </w:r>
      <w:r>
        <w:rPr>
          <w:rFonts w:hint="default" w:ascii="Times New Roman" w:hAnsi="Times New Roman" w:eastAsia="微软雅黑" w:cs="Times New Roman"/>
          <w:color w:val="auto"/>
          <w:spacing w:val="0"/>
          <w:position w:val="0"/>
          <w:sz w:val="32"/>
          <w:szCs w:val="32"/>
          <w:lang w:eastAsia="zh-CN"/>
        </w:rPr>
        <w:t>环境影响评价的主要结论</w:t>
      </w:r>
      <w:bookmarkEnd w:id="7"/>
    </w:p>
    <w:p w14:paraId="12ED407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pacing w:val="0"/>
          <w:w w:val="100"/>
          <w:position w:val="0"/>
          <w:sz w:val="24"/>
          <w:szCs w:val="24"/>
        </w:rPr>
      </w:pPr>
      <w:r>
        <w:rPr>
          <w:rFonts w:hint="eastAsia" w:ascii="Times New Roman" w:hAnsi="Times New Roman" w:eastAsia="宋体" w:cs="Times New Roman"/>
          <w:color w:val="auto"/>
          <w:spacing w:val="0"/>
          <w:w w:val="100"/>
          <w:position w:val="0"/>
          <w:sz w:val="24"/>
          <w:szCs w:val="24"/>
          <w:lang w:eastAsia="zh-CN"/>
        </w:rPr>
        <w:t>黑龙江天时利精密科技有限公司新建项目</w:t>
      </w:r>
      <w:r>
        <w:rPr>
          <w:rFonts w:hint="default" w:ascii="Times New Roman" w:hAnsi="Times New Roman" w:eastAsia="宋体" w:cs="Times New Roman"/>
          <w:color w:val="auto"/>
          <w:spacing w:val="0"/>
          <w:w w:val="100"/>
          <w:position w:val="0"/>
          <w:sz w:val="24"/>
          <w:szCs w:val="24"/>
        </w:rPr>
        <w:t>符合国家相关产业政策、符合</w:t>
      </w:r>
      <w:r>
        <w:rPr>
          <w:rFonts w:hint="default" w:ascii="Times New Roman" w:hAnsi="Times New Roman" w:eastAsia="宋体" w:cs="Times New Roman"/>
          <w:color w:val="auto"/>
          <w:spacing w:val="0"/>
          <w:w w:val="100"/>
          <w:position w:val="0"/>
          <w:sz w:val="24"/>
          <w:szCs w:val="24"/>
          <w:lang w:eastAsia="zh-CN"/>
        </w:rPr>
        <w:t>相关</w:t>
      </w:r>
      <w:r>
        <w:rPr>
          <w:rFonts w:hint="default" w:ascii="Times New Roman" w:hAnsi="Times New Roman" w:eastAsia="宋体" w:cs="Times New Roman"/>
          <w:color w:val="auto"/>
          <w:spacing w:val="-1"/>
          <w:sz w:val="24"/>
          <w:szCs w:val="24"/>
          <w:lang w:val="en-US" w:eastAsia="zh-CN"/>
        </w:rPr>
        <w:t>法律法规、政策、规划</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lang w:val="en-US" w:eastAsia="zh-CN"/>
        </w:rPr>
        <w:t>项目不占用基本农田保护区、自然保护区、饮用水水源保护区等用地，符合</w:t>
      </w:r>
      <w:r>
        <w:rPr>
          <w:rFonts w:hint="eastAsia" w:ascii="Times New Roman" w:hAnsi="Times New Roman" w:eastAsia="宋体" w:cs="Times New Roman"/>
          <w:color w:val="auto"/>
          <w:spacing w:val="0"/>
          <w:w w:val="100"/>
          <w:position w:val="0"/>
          <w:sz w:val="24"/>
          <w:szCs w:val="24"/>
          <w:lang w:val="en-US" w:eastAsia="zh-CN"/>
        </w:rPr>
        <w:t>哈尔滨</w:t>
      </w:r>
      <w:r>
        <w:rPr>
          <w:rFonts w:hint="default" w:ascii="Times New Roman" w:hAnsi="Times New Roman" w:eastAsia="宋体" w:cs="Times New Roman"/>
          <w:color w:val="auto"/>
          <w:spacing w:val="0"/>
          <w:w w:val="100"/>
          <w:position w:val="0"/>
          <w:sz w:val="24"/>
          <w:szCs w:val="24"/>
          <w:lang w:val="en-US" w:eastAsia="zh-CN"/>
        </w:rPr>
        <w:t>市的相关环境保护规划。建设项目应严格执行“三同时”规定，落实本报告书中所提出的环保措施</w:t>
      </w:r>
      <w:r>
        <w:rPr>
          <w:rFonts w:hint="eastAsia" w:ascii="Times New Roman" w:hAnsi="Times New Roman" w:eastAsia="宋体" w:cs="Times New Roman"/>
          <w:color w:val="auto"/>
          <w:spacing w:val="0"/>
          <w:w w:val="100"/>
          <w:position w:val="0"/>
          <w:sz w:val="24"/>
          <w:szCs w:val="24"/>
          <w:lang w:val="en-US" w:eastAsia="zh-CN"/>
        </w:rPr>
        <w:t>，</w:t>
      </w:r>
      <w:r>
        <w:rPr>
          <w:rFonts w:hint="default" w:ascii="Times New Roman" w:hAnsi="Times New Roman" w:eastAsia="宋体" w:cs="Times New Roman"/>
          <w:color w:val="auto"/>
          <w:spacing w:val="0"/>
          <w:w w:val="100"/>
          <w:position w:val="0"/>
          <w:sz w:val="24"/>
          <w:szCs w:val="24"/>
          <w:lang w:eastAsia="zh-CN"/>
        </w:rPr>
        <w:t>实现污染物达标排放，</w:t>
      </w:r>
      <w:r>
        <w:rPr>
          <w:rFonts w:hint="default" w:ascii="Times New Roman" w:hAnsi="Times New Roman" w:eastAsia="宋体" w:cs="Times New Roman"/>
          <w:color w:val="auto"/>
          <w:spacing w:val="0"/>
          <w:w w:val="100"/>
          <w:position w:val="0"/>
          <w:sz w:val="24"/>
          <w:szCs w:val="24"/>
        </w:rPr>
        <w:t>落实环境风险防范对策措施，强化环境管理和污染源监测制度。在贯彻落实本报告书</w:t>
      </w:r>
      <w:r>
        <w:rPr>
          <w:rFonts w:hint="default" w:ascii="Times New Roman" w:hAnsi="Times New Roman" w:eastAsia="宋体" w:cs="Times New Roman"/>
          <w:color w:val="auto"/>
          <w:spacing w:val="0"/>
          <w:w w:val="100"/>
          <w:position w:val="0"/>
          <w:sz w:val="24"/>
          <w:szCs w:val="24"/>
          <w:lang w:eastAsia="zh-CN"/>
        </w:rPr>
        <w:t>中</w:t>
      </w:r>
      <w:r>
        <w:rPr>
          <w:rFonts w:hint="default" w:ascii="Times New Roman" w:hAnsi="Times New Roman" w:eastAsia="宋体" w:cs="Times New Roman"/>
          <w:color w:val="auto"/>
          <w:spacing w:val="0"/>
          <w:w w:val="100"/>
          <w:position w:val="0"/>
          <w:sz w:val="24"/>
          <w:szCs w:val="24"/>
        </w:rPr>
        <w:t>各项环境保护措施、加强管理的前提下，本项目的建设不会改变区域环境功能属性，对周边环境的影响是可接受的。从环保角度而言，本项目的建设</w:t>
      </w:r>
      <w:r>
        <w:rPr>
          <w:rFonts w:hint="default" w:ascii="Times New Roman" w:hAnsi="Times New Roman" w:eastAsia="宋体" w:cs="Times New Roman"/>
          <w:color w:val="auto"/>
          <w:spacing w:val="0"/>
          <w:w w:val="100"/>
          <w:position w:val="0"/>
          <w:sz w:val="24"/>
          <w:szCs w:val="24"/>
          <w:lang w:eastAsia="zh-CN"/>
        </w:rPr>
        <w:t>是</w:t>
      </w:r>
      <w:r>
        <w:rPr>
          <w:rFonts w:hint="default" w:ascii="Times New Roman" w:hAnsi="Times New Roman" w:eastAsia="宋体" w:cs="Times New Roman"/>
          <w:color w:val="auto"/>
          <w:spacing w:val="0"/>
          <w:w w:val="100"/>
          <w:position w:val="0"/>
          <w:sz w:val="24"/>
          <w:szCs w:val="24"/>
        </w:rPr>
        <w:t>可行</w:t>
      </w:r>
      <w:r>
        <w:rPr>
          <w:rFonts w:hint="default" w:ascii="Times New Roman" w:hAnsi="Times New Roman" w:eastAsia="宋体" w:cs="Times New Roman"/>
          <w:color w:val="auto"/>
          <w:spacing w:val="0"/>
          <w:w w:val="100"/>
          <w:position w:val="0"/>
          <w:sz w:val="24"/>
          <w:szCs w:val="24"/>
          <w:lang w:eastAsia="zh-CN"/>
        </w:rPr>
        <w:t>的</w:t>
      </w:r>
      <w:r>
        <w:rPr>
          <w:rFonts w:hint="default" w:ascii="Times New Roman" w:hAnsi="Times New Roman" w:eastAsia="宋体" w:cs="Times New Roman"/>
          <w:color w:val="auto"/>
          <w:spacing w:val="0"/>
          <w:w w:val="100"/>
          <w:position w:val="0"/>
          <w:sz w:val="24"/>
          <w:szCs w:val="24"/>
        </w:rPr>
        <w:t>。</w:t>
      </w:r>
    </w:p>
    <w:p w14:paraId="22AE7222">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color w:val="FF0000"/>
          <w:spacing w:val="-2"/>
          <w:sz w:val="24"/>
          <w:szCs w:val="24"/>
        </w:rPr>
        <w:sectPr>
          <w:headerReference r:id="rId9" w:type="default"/>
          <w:footerReference r:id="rId10" w:type="default"/>
          <w:pgSz w:w="11906" w:h="16839"/>
          <w:pgMar w:top="1133" w:right="1417" w:bottom="1134" w:left="1418" w:header="897" w:footer="1090" w:gutter="0"/>
          <w:pgBorders>
            <w:top w:val="none" w:sz="0" w:space="0"/>
            <w:left w:val="none" w:sz="0" w:space="0"/>
            <w:bottom w:val="none" w:sz="0" w:space="0"/>
            <w:right w:val="none" w:sz="0" w:space="0"/>
          </w:pgBorders>
          <w:pgNumType w:fmt="decimal" w:start="1"/>
          <w:cols w:space="720" w:num="1"/>
        </w:sectPr>
      </w:pPr>
    </w:p>
    <w:p w14:paraId="0A834FA0">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0"/>
        <w:rPr>
          <w:rFonts w:hint="default" w:ascii="Times New Roman" w:hAnsi="Times New Roman" w:eastAsia="微软雅黑" w:cs="Times New Roman"/>
          <w:b w:val="0"/>
          <w:bCs w:val="0"/>
          <w:color w:val="auto"/>
          <w:spacing w:val="0"/>
          <w:position w:val="0"/>
          <w:sz w:val="36"/>
          <w:szCs w:val="36"/>
        </w:rPr>
      </w:pPr>
      <w:bookmarkStart w:id="8" w:name="_Toc4503"/>
      <w:r>
        <w:rPr>
          <w:rFonts w:hint="default" w:ascii="Times New Roman" w:hAnsi="Times New Roman" w:eastAsia="微软雅黑" w:cs="Times New Roman"/>
          <w:b w:val="0"/>
          <w:bCs w:val="0"/>
          <w:color w:val="auto"/>
          <w:spacing w:val="0"/>
          <w:position w:val="0"/>
          <w:sz w:val="36"/>
          <w:szCs w:val="36"/>
        </w:rPr>
        <w:t>2</w:t>
      </w:r>
      <w:r>
        <w:rPr>
          <w:rFonts w:hint="default" w:ascii="Times New Roman" w:hAnsi="Times New Roman" w:eastAsia="微软雅黑" w:cs="Times New Roman"/>
          <w:b w:val="0"/>
          <w:bCs w:val="0"/>
          <w:color w:val="auto"/>
          <w:spacing w:val="0"/>
          <w:position w:val="0"/>
          <w:sz w:val="36"/>
          <w:szCs w:val="36"/>
          <w:lang w:val="en-US" w:eastAsia="zh-CN"/>
        </w:rPr>
        <w:t xml:space="preserve"> </w:t>
      </w:r>
      <w:r>
        <w:rPr>
          <w:rFonts w:hint="default" w:ascii="Times New Roman" w:hAnsi="Times New Roman" w:eastAsia="微软雅黑" w:cs="Times New Roman"/>
          <w:b w:val="0"/>
          <w:bCs w:val="0"/>
          <w:color w:val="auto"/>
          <w:spacing w:val="0"/>
          <w:position w:val="0"/>
          <w:sz w:val="36"/>
          <w:szCs w:val="36"/>
        </w:rPr>
        <w:t>总则</w:t>
      </w:r>
      <w:bookmarkEnd w:id="8"/>
    </w:p>
    <w:p w14:paraId="2910676A">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0"/>
          <w:position w:val="0"/>
          <w:sz w:val="32"/>
          <w:szCs w:val="32"/>
          <w:lang w:eastAsia="zh-CN"/>
        </w:rPr>
      </w:pPr>
      <w:bookmarkStart w:id="9" w:name="_Toc15724"/>
      <w:r>
        <w:rPr>
          <w:rFonts w:hint="default" w:ascii="Times New Roman" w:hAnsi="Times New Roman" w:eastAsia="微软雅黑" w:cs="Times New Roman"/>
          <w:color w:val="auto"/>
          <w:spacing w:val="0"/>
          <w:position w:val="0"/>
          <w:sz w:val="32"/>
          <w:szCs w:val="32"/>
          <w:lang w:eastAsia="zh-CN"/>
        </w:rPr>
        <w:t>2.1</w:t>
      </w:r>
      <w:r>
        <w:rPr>
          <w:rFonts w:hint="default" w:ascii="Times New Roman" w:hAnsi="Times New Roman" w:eastAsia="微软雅黑" w:cs="Times New Roman"/>
          <w:color w:val="auto"/>
          <w:spacing w:val="0"/>
          <w:position w:val="0"/>
          <w:sz w:val="32"/>
          <w:szCs w:val="32"/>
          <w:lang w:val="en-US" w:eastAsia="zh-CN"/>
        </w:rPr>
        <w:t xml:space="preserve"> </w:t>
      </w:r>
      <w:r>
        <w:rPr>
          <w:rFonts w:hint="default" w:ascii="Times New Roman" w:hAnsi="Times New Roman" w:eastAsia="微软雅黑" w:cs="Times New Roman"/>
          <w:color w:val="auto"/>
          <w:spacing w:val="0"/>
          <w:position w:val="0"/>
          <w:sz w:val="32"/>
          <w:szCs w:val="32"/>
          <w:lang w:eastAsia="zh-CN"/>
        </w:rPr>
        <w:t>编制依据</w:t>
      </w:r>
      <w:bookmarkEnd w:id="9"/>
    </w:p>
    <w:p w14:paraId="147D5572">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default" w:ascii="Times New Roman" w:hAnsi="Times New Roman" w:eastAsia="宋体" w:cs="Times New Roman"/>
          <w:b/>
          <w:bCs/>
          <w:color w:val="auto"/>
          <w:spacing w:val="0"/>
          <w:position w:val="0"/>
          <w:sz w:val="30"/>
          <w:szCs w:val="30"/>
          <w:lang w:val="en-US" w:eastAsia="zh-CN"/>
        </w:rPr>
        <w:t>2.1.1法律法规</w:t>
      </w:r>
    </w:p>
    <w:p w14:paraId="070962F1">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lang w:val="en-US" w:eastAsia="zh-CN"/>
        </w:rPr>
        <w:t>1</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《中华人民共和国环境保护法》</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2015年1月1日实施</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w:t>
      </w:r>
    </w:p>
    <w:p w14:paraId="4F376259">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lang w:val="en-US" w:eastAsia="zh-CN"/>
        </w:rPr>
        <w:t>2</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《中华人民共和国大气污染防治法》</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2018年10月26日修订</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w:t>
      </w:r>
    </w:p>
    <w:p w14:paraId="0F2E4D7D">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lang w:val="en-US" w:eastAsia="zh-CN"/>
        </w:rPr>
        <w:t>3</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《中华人民共和国水污染防治法》</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2018年1月1日实施</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w:t>
      </w:r>
    </w:p>
    <w:p w14:paraId="744C0636">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lang w:val="en-US" w:eastAsia="zh-CN"/>
        </w:rPr>
        <w:t>4</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《中华人民共和国噪声污染防治法》</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2022年6月5日实施</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w:t>
      </w:r>
    </w:p>
    <w:p w14:paraId="1275E869">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lang w:val="en-US" w:eastAsia="zh-CN"/>
        </w:rPr>
        <w:t>5</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《中华人民共和国固体废物污染环境防治法》</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2020年9月1日修订</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w:t>
      </w:r>
    </w:p>
    <w:p w14:paraId="189D3395">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lang w:val="en-US" w:eastAsia="zh-CN"/>
        </w:rPr>
        <w:t>6</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《中华人民共和国土壤污染防治法》</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2019年1月1日施行</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w:t>
      </w:r>
    </w:p>
    <w:p w14:paraId="04F0FB07">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lang w:val="en-US" w:eastAsia="zh-CN"/>
        </w:rPr>
        <w:t>7</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《中华人民共和国循环经济促进法》</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2018年10月26日修订</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w:t>
      </w:r>
    </w:p>
    <w:p w14:paraId="64A68DAB">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lang w:val="en-US" w:eastAsia="zh-CN"/>
        </w:rPr>
        <w:t>8</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《中华人民共和国节约能源法》</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2018年10月26日修订</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w:t>
      </w:r>
    </w:p>
    <w:p w14:paraId="09168B8D">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lang w:val="en-US" w:eastAsia="zh-CN"/>
        </w:rPr>
        <w:t>9</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《中华人民共和国环境影响评价法》</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2018年12月29日修订</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w:t>
      </w:r>
    </w:p>
    <w:p w14:paraId="4256F5D9">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lang w:val="en-US" w:eastAsia="zh-CN"/>
        </w:rPr>
        <w:t>10</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《中华人民共和国土地管理法》</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2020年1月1日实施</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w:t>
      </w:r>
    </w:p>
    <w:p w14:paraId="2216B6EC">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lang w:val="en-US" w:eastAsia="zh-CN"/>
        </w:rPr>
        <w:t>11</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《中华人民共和国水法》</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2016年7月2日修订</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w:t>
      </w:r>
    </w:p>
    <w:p w14:paraId="0775BE26">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lang w:eastAsia="zh-CN"/>
        </w:rPr>
      </w:pP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lang w:val="en-US" w:eastAsia="zh-CN"/>
        </w:rPr>
        <w:t>12</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《中华人民共和国水土保持法》</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2011年3月1日实施</w:t>
      </w:r>
      <w:r>
        <w:rPr>
          <w:rFonts w:hint="default" w:ascii="Times New Roman" w:hAnsi="Times New Roman" w:eastAsia="宋体" w:cs="Times New Roman"/>
          <w:color w:val="auto"/>
          <w:spacing w:val="0"/>
          <w:w w:val="100"/>
          <w:position w:val="0"/>
          <w:sz w:val="24"/>
          <w:szCs w:val="24"/>
          <w:lang w:eastAsia="zh-CN"/>
        </w:rPr>
        <w:t>）；</w:t>
      </w:r>
    </w:p>
    <w:p w14:paraId="7EB1E6E3">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lang w:eastAsia="zh-CN"/>
        </w:rPr>
      </w:pP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lang w:val="en-US" w:eastAsia="zh-CN"/>
        </w:rPr>
        <w:t>13</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《建设项目环境保护管理条例》</w:t>
      </w:r>
      <w:r>
        <w:rPr>
          <w:rFonts w:hint="default"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lang w:val="en-US" w:eastAsia="zh-CN"/>
        </w:rPr>
        <w:t>国务院令第682号</w:t>
      </w:r>
      <w:r>
        <w:rPr>
          <w:rFonts w:hint="default" w:ascii="Times New Roman" w:hAnsi="Times New Roman" w:eastAsia="宋体" w:cs="Times New Roman"/>
          <w:color w:val="auto"/>
          <w:spacing w:val="0"/>
          <w:w w:val="100"/>
          <w:position w:val="0"/>
          <w:sz w:val="24"/>
          <w:szCs w:val="24"/>
          <w:lang w:eastAsia="zh-CN"/>
        </w:rPr>
        <w:t>）。</w:t>
      </w:r>
    </w:p>
    <w:p w14:paraId="6281A1CB">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eastAsia" w:ascii="Times New Roman" w:hAnsi="Times New Roman" w:eastAsia="宋体" w:cs="Times New Roman"/>
          <w:b/>
          <w:bCs/>
          <w:color w:val="auto"/>
          <w:spacing w:val="0"/>
          <w:position w:val="0"/>
          <w:sz w:val="30"/>
          <w:szCs w:val="30"/>
          <w:lang w:val="en-US" w:eastAsia="zh-CN"/>
        </w:rPr>
        <w:t>2.1.2国家有关</w:t>
      </w:r>
      <w:r>
        <w:rPr>
          <w:rFonts w:hint="default" w:ascii="Times New Roman" w:hAnsi="Times New Roman" w:eastAsia="宋体" w:cs="Times New Roman"/>
          <w:b/>
          <w:bCs/>
          <w:color w:val="auto"/>
          <w:spacing w:val="0"/>
          <w:position w:val="0"/>
          <w:sz w:val="30"/>
          <w:szCs w:val="30"/>
          <w:lang w:val="en-US" w:eastAsia="zh-CN"/>
        </w:rPr>
        <w:t>部门规章</w:t>
      </w:r>
      <w:r>
        <w:rPr>
          <w:rFonts w:hint="eastAsia" w:ascii="Times New Roman" w:hAnsi="Times New Roman" w:eastAsia="宋体" w:cs="Times New Roman"/>
          <w:b/>
          <w:bCs/>
          <w:color w:val="auto"/>
          <w:spacing w:val="0"/>
          <w:position w:val="0"/>
          <w:sz w:val="30"/>
          <w:szCs w:val="30"/>
          <w:lang w:val="en-US" w:eastAsia="zh-CN"/>
        </w:rPr>
        <w:t>及政策</w:t>
      </w:r>
    </w:p>
    <w:p w14:paraId="091A1A8B">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lang w:val="en-US" w:eastAsia="zh-CN"/>
        </w:rPr>
        <w:t>1</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《建设项目环境影响评价分类管理名录</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2021年版</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w:t>
      </w: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lang w:val="en-US" w:eastAsia="zh-CN"/>
        </w:rPr>
        <w:t>生态环境部令第16号</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w:t>
      </w:r>
    </w:p>
    <w:p w14:paraId="621E2F88">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lang w:val="en-US" w:eastAsia="zh-CN"/>
        </w:rPr>
        <w:t>2</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《关于进一步加强环境影响评价管理防范环境风险的通知》</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环发</w:t>
      </w:r>
      <w:r>
        <w:rPr>
          <w:rFonts w:hint="eastAsia" w:ascii="Times New Roman" w:hAnsi="Times New Roman" w:eastAsia="宋体" w:cs="Times New Roman"/>
          <w:color w:val="auto"/>
          <w:spacing w:val="0"/>
          <w:w w:val="100"/>
          <w:position w:val="0"/>
          <w:sz w:val="24"/>
          <w:szCs w:val="24"/>
          <w:lang w:eastAsia="zh-CN"/>
        </w:rPr>
        <w:t>〔2012〕77号）</w:t>
      </w:r>
      <w:r>
        <w:rPr>
          <w:rFonts w:hint="default" w:ascii="Times New Roman" w:hAnsi="Times New Roman" w:eastAsia="宋体" w:cs="Times New Roman"/>
          <w:color w:val="auto"/>
          <w:spacing w:val="0"/>
          <w:w w:val="100"/>
          <w:position w:val="0"/>
          <w:sz w:val="24"/>
          <w:szCs w:val="24"/>
        </w:rPr>
        <w:t>；</w:t>
      </w:r>
    </w:p>
    <w:p w14:paraId="1EE1869E">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lang w:val="en-US" w:eastAsia="zh-CN"/>
        </w:rPr>
        <w:t>3</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《建设项目环境影响评价政府信息公开指南</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试行</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环办</w:t>
      </w:r>
      <w:r>
        <w:rPr>
          <w:rFonts w:hint="eastAsia" w:ascii="Times New Roman" w:hAnsi="Times New Roman" w:eastAsia="宋体" w:cs="Times New Roman"/>
          <w:color w:val="auto"/>
          <w:spacing w:val="0"/>
          <w:w w:val="100"/>
          <w:position w:val="0"/>
          <w:sz w:val="24"/>
          <w:szCs w:val="24"/>
          <w:lang w:eastAsia="zh-CN"/>
        </w:rPr>
        <w:t>〔2013〕103号）</w:t>
      </w:r>
      <w:r>
        <w:rPr>
          <w:rFonts w:hint="default" w:ascii="Times New Roman" w:hAnsi="Times New Roman" w:eastAsia="宋体" w:cs="Times New Roman"/>
          <w:color w:val="auto"/>
          <w:spacing w:val="0"/>
          <w:w w:val="100"/>
          <w:position w:val="0"/>
          <w:sz w:val="24"/>
          <w:szCs w:val="24"/>
        </w:rPr>
        <w:t>；</w:t>
      </w:r>
    </w:p>
    <w:p w14:paraId="5992D146">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lang w:val="en-US" w:eastAsia="zh-CN"/>
        </w:rPr>
        <w:t>4</w:t>
      </w:r>
      <w:r>
        <w:rPr>
          <w:rFonts w:hint="eastAsia" w:ascii="Times New Roman" w:hAnsi="Times New Roman" w:eastAsia="宋体" w:cs="Times New Roman"/>
          <w:color w:val="auto"/>
          <w:spacing w:val="0"/>
          <w:w w:val="100"/>
          <w:position w:val="0"/>
          <w:sz w:val="24"/>
          <w:szCs w:val="24"/>
          <w:lang w:eastAsia="zh-CN"/>
        </w:rPr>
        <w:t>）《产业结构调整指导目录（2024年本）》（</w:t>
      </w:r>
      <w:r>
        <w:rPr>
          <w:rFonts w:hint="eastAsia" w:ascii="Times New Roman" w:hAnsi="Times New Roman" w:eastAsia="宋体" w:cs="Times New Roman"/>
          <w:color w:val="auto"/>
          <w:spacing w:val="0"/>
          <w:w w:val="100"/>
          <w:position w:val="0"/>
          <w:sz w:val="24"/>
          <w:szCs w:val="24"/>
          <w:lang w:val="en-US" w:eastAsia="zh-CN"/>
        </w:rPr>
        <w:t>国家发展和改革委员会令第7号</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w:t>
      </w:r>
    </w:p>
    <w:p w14:paraId="69F3A540">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lang w:val="en-US" w:eastAsia="zh-CN"/>
        </w:rPr>
        <w:t>5</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《关于落实大气污染防治行动计划严格环境影响评价准入的通知》</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环办</w:t>
      </w:r>
      <w:r>
        <w:rPr>
          <w:rFonts w:hint="eastAsia" w:ascii="Times New Roman" w:hAnsi="Times New Roman" w:eastAsia="宋体" w:cs="Times New Roman"/>
          <w:color w:val="auto"/>
          <w:spacing w:val="0"/>
          <w:w w:val="100"/>
          <w:position w:val="0"/>
          <w:sz w:val="24"/>
          <w:szCs w:val="24"/>
          <w:lang w:eastAsia="zh-CN"/>
        </w:rPr>
        <w:t>〔2014〕30号）</w:t>
      </w:r>
      <w:r>
        <w:rPr>
          <w:rFonts w:hint="default" w:ascii="Times New Roman" w:hAnsi="Times New Roman" w:eastAsia="宋体" w:cs="Times New Roman"/>
          <w:color w:val="auto"/>
          <w:spacing w:val="0"/>
          <w:w w:val="100"/>
          <w:position w:val="0"/>
          <w:sz w:val="24"/>
          <w:szCs w:val="24"/>
        </w:rPr>
        <w:t>；</w:t>
      </w:r>
    </w:p>
    <w:p w14:paraId="6E4271A5">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lang w:val="en-US" w:eastAsia="zh-CN"/>
        </w:rPr>
        <w:t>6</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《国务院关于加强环境保护重点工作的意见》</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国发</w:t>
      </w:r>
      <w:r>
        <w:rPr>
          <w:rFonts w:hint="eastAsia" w:ascii="Times New Roman" w:hAnsi="Times New Roman" w:eastAsia="宋体" w:cs="Times New Roman"/>
          <w:color w:val="auto"/>
          <w:spacing w:val="0"/>
          <w:w w:val="100"/>
          <w:position w:val="0"/>
          <w:sz w:val="24"/>
          <w:szCs w:val="24"/>
          <w:lang w:eastAsia="zh-CN"/>
        </w:rPr>
        <w:t>〔2011〕35号）</w:t>
      </w:r>
      <w:r>
        <w:rPr>
          <w:rFonts w:hint="default" w:ascii="Times New Roman" w:hAnsi="Times New Roman" w:eastAsia="宋体" w:cs="Times New Roman"/>
          <w:color w:val="auto"/>
          <w:spacing w:val="0"/>
          <w:w w:val="100"/>
          <w:position w:val="0"/>
          <w:sz w:val="24"/>
          <w:szCs w:val="24"/>
        </w:rPr>
        <w:t>；</w:t>
      </w:r>
    </w:p>
    <w:p w14:paraId="74E0649F">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lang w:val="en-US" w:eastAsia="zh-CN"/>
        </w:rPr>
        <w:t>7</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《国务院关于印发大气污染防治行动计划的通知》</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国发</w:t>
      </w:r>
      <w:r>
        <w:rPr>
          <w:rFonts w:hint="eastAsia" w:ascii="Times New Roman" w:hAnsi="Times New Roman" w:eastAsia="宋体" w:cs="Times New Roman"/>
          <w:color w:val="auto"/>
          <w:spacing w:val="0"/>
          <w:w w:val="100"/>
          <w:position w:val="0"/>
          <w:sz w:val="24"/>
          <w:szCs w:val="24"/>
          <w:lang w:eastAsia="zh-CN"/>
        </w:rPr>
        <w:t>〔2013〕37号）</w:t>
      </w:r>
      <w:r>
        <w:rPr>
          <w:rFonts w:hint="default" w:ascii="Times New Roman" w:hAnsi="Times New Roman" w:eastAsia="宋体" w:cs="Times New Roman"/>
          <w:color w:val="auto"/>
          <w:spacing w:val="0"/>
          <w:w w:val="100"/>
          <w:position w:val="0"/>
          <w:sz w:val="24"/>
          <w:szCs w:val="24"/>
        </w:rPr>
        <w:t>；</w:t>
      </w:r>
    </w:p>
    <w:p w14:paraId="286296B8">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lang w:val="en-US" w:eastAsia="zh-CN"/>
        </w:rPr>
        <w:t>8</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《国务院关于印发水污染防治行动计划的通知》</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国发</w:t>
      </w:r>
      <w:r>
        <w:rPr>
          <w:rFonts w:hint="eastAsia" w:ascii="Times New Roman" w:hAnsi="Times New Roman" w:eastAsia="宋体" w:cs="Times New Roman"/>
          <w:color w:val="auto"/>
          <w:spacing w:val="0"/>
          <w:w w:val="100"/>
          <w:position w:val="0"/>
          <w:sz w:val="24"/>
          <w:szCs w:val="24"/>
          <w:lang w:eastAsia="zh-CN"/>
        </w:rPr>
        <w:t>〔2015〕17号）</w:t>
      </w:r>
      <w:r>
        <w:rPr>
          <w:rFonts w:hint="default" w:ascii="Times New Roman" w:hAnsi="Times New Roman" w:eastAsia="宋体" w:cs="Times New Roman"/>
          <w:color w:val="auto"/>
          <w:spacing w:val="0"/>
          <w:w w:val="100"/>
          <w:position w:val="0"/>
          <w:sz w:val="24"/>
          <w:szCs w:val="24"/>
        </w:rPr>
        <w:t>；</w:t>
      </w:r>
    </w:p>
    <w:p w14:paraId="123FD3DE">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lang w:val="en-US" w:eastAsia="zh-CN"/>
        </w:rPr>
        <w:t>9</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《国务院关于印发土壤污染防治行动计划的通知》</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国发</w:t>
      </w:r>
      <w:r>
        <w:rPr>
          <w:rFonts w:hint="eastAsia" w:ascii="Times New Roman" w:hAnsi="Times New Roman" w:eastAsia="宋体" w:cs="Times New Roman"/>
          <w:color w:val="auto"/>
          <w:spacing w:val="0"/>
          <w:w w:val="100"/>
          <w:position w:val="0"/>
          <w:sz w:val="24"/>
          <w:szCs w:val="24"/>
          <w:lang w:eastAsia="zh-CN"/>
        </w:rPr>
        <w:t>〔2016〕31号）</w:t>
      </w:r>
      <w:r>
        <w:rPr>
          <w:rFonts w:hint="default" w:ascii="Times New Roman" w:hAnsi="Times New Roman" w:eastAsia="宋体" w:cs="Times New Roman"/>
          <w:color w:val="auto"/>
          <w:spacing w:val="0"/>
          <w:w w:val="100"/>
          <w:position w:val="0"/>
          <w:sz w:val="24"/>
          <w:szCs w:val="24"/>
        </w:rPr>
        <w:t>；</w:t>
      </w:r>
    </w:p>
    <w:p w14:paraId="1118D42D">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1</w:t>
      </w:r>
      <w:r>
        <w:rPr>
          <w:rFonts w:hint="eastAsia" w:ascii="Times New Roman" w:hAnsi="Times New Roman" w:eastAsia="宋体" w:cs="Times New Roman"/>
          <w:color w:val="auto"/>
          <w:spacing w:val="0"/>
          <w:w w:val="100"/>
          <w:position w:val="0"/>
          <w:sz w:val="24"/>
          <w:szCs w:val="24"/>
          <w:lang w:val="en-US" w:eastAsia="zh-CN"/>
        </w:rPr>
        <w:t>0</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《全国重要江河湖泊水功能区划</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2011-2030年</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w:t>
      </w:r>
    </w:p>
    <w:p w14:paraId="21B8E9EC">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eastAsia="zh-CN"/>
        </w:rPr>
      </w:pP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1</w:t>
      </w:r>
      <w:r>
        <w:rPr>
          <w:rFonts w:hint="eastAsia" w:ascii="Times New Roman" w:hAnsi="Times New Roman" w:eastAsia="宋体" w:cs="Times New Roman"/>
          <w:color w:val="auto"/>
          <w:spacing w:val="0"/>
          <w:w w:val="100"/>
          <w:position w:val="0"/>
          <w:sz w:val="24"/>
          <w:szCs w:val="24"/>
          <w:lang w:val="en-US" w:eastAsia="zh-CN"/>
        </w:rPr>
        <w:t>1</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《中共中央国务院关于全面加强生态环境保护坚决打好污染防治攻坚战的意见》</w:t>
      </w:r>
      <w:r>
        <w:rPr>
          <w:rFonts w:hint="eastAsia" w:ascii="Times New Roman" w:hAnsi="Times New Roman" w:eastAsia="宋体" w:cs="Times New Roman"/>
          <w:color w:val="auto"/>
          <w:spacing w:val="0"/>
          <w:w w:val="100"/>
          <w:position w:val="0"/>
          <w:sz w:val="24"/>
          <w:szCs w:val="24"/>
          <w:lang w:eastAsia="zh-CN"/>
        </w:rPr>
        <w:t>；</w:t>
      </w:r>
    </w:p>
    <w:p w14:paraId="26711E5D">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1</w:t>
      </w:r>
      <w:r>
        <w:rPr>
          <w:rFonts w:hint="eastAsia" w:ascii="Times New Roman" w:hAnsi="Times New Roman" w:eastAsia="宋体" w:cs="Times New Roman"/>
          <w:color w:val="auto"/>
          <w:spacing w:val="0"/>
          <w:w w:val="100"/>
          <w:position w:val="0"/>
          <w:sz w:val="24"/>
          <w:szCs w:val="24"/>
          <w:lang w:val="en-US" w:eastAsia="zh-CN"/>
        </w:rPr>
        <w:t>2</w:t>
      </w: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《环境影响评价公众参与办法》（生态环境部令第4号）；</w:t>
      </w:r>
    </w:p>
    <w:p w14:paraId="74710629">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rPr>
      </w:pP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1</w:t>
      </w:r>
      <w:r>
        <w:rPr>
          <w:rFonts w:hint="eastAsia" w:ascii="Times New Roman" w:hAnsi="Times New Roman" w:eastAsia="宋体" w:cs="Times New Roman"/>
          <w:color w:val="auto"/>
          <w:spacing w:val="0"/>
          <w:w w:val="100"/>
          <w:position w:val="0"/>
          <w:sz w:val="24"/>
          <w:szCs w:val="24"/>
          <w:lang w:val="en-US" w:eastAsia="zh-CN"/>
        </w:rPr>
        <w:t>3</w:t>
      </w: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lang w:val="en-US" w:eastAsia="zh-CN"/>
        </w:rPr>
        <w:t>《危险化学品安全管理条例》（国务院令645号）；</w:t>
      </w:r>
    </w:p>
    <w:p w14:paraId="0317B347">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eastAsia="zh-CN"/>
        </w:rPr>
      </w:pPr>
      <w:r>
        <w:rPr>
          <w:rFonts w:hint="eastAsia" w:ascii="Times New Roman" w:hAnsi="Times New Roman" w:eastAsia="宋体" w:cs="Times New Roman"/>
          <w:color w:val="auto"/>
          <w:spacing w:val="0"/>
          <w:w w:val="100"/>
          <w:position w:val="0"/>
          <w:sz w:val="24"/>
          <w:szCs w:val="24"/>
          <w:lang w:eastAsia="zh-CN"/>
        </w:rPr>
        <w:t>（</w:t>
      </w:r>
      <w:r>
        <w:rPr>
          <w:rFonts w:hint="default" w:ascii="Times New Roman" w:hAnsi="Times New Roman" w:eastAsia="宋体" w:cs="Times New Roman"/>
          <w:color w:val="auto"/>
          <w:spacing w:val="0"/>
          <w:w w:val="100"/>
          <w:position w:val="0"/>
          <w:sz w:val="24"/>
          <w:szCs w:val="24"/>
        </w:rPr>
        <w:t>1</w:t>
      </w:r>
      <w:r>
        <w:rPr>
          <w:rFonts w:hint="eastAsia" w:ascii="Times New Roman" w:hAnsi="Times New Roman" w:eastAsia="宋体" w:cs="Times New Roman"/>
          <w:color w:val="auto"/>
          <w:spacing w:val="0"/>
          <w:w w:val="100"/>
          <w:position w:val="0"/>
          <w:sz w:val="24"/>
          <w:szCs w:val="24"/>
          <w:lang w:val="en-US" w:eastAsia="zh-CN"/>
        </w:rPr>
        <w:t>4</w:t>
      </w: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lang w:val="en-US" w:eastAsia="zh-CN"/>
        </w:rPr>
        <w:t>《危险废物转移管理办法》</w:t>
      </w:r>
      <w:r>
        <w:rPr>
          <w:rFonts w:hint="default" w:ascii="Times New Roman" w:hAnsi="Times New Roman" w:eastAsia="宋体" w:cs="Times New Roman"/>
          <w:color w:val="auto"/>
          <w:spacing w:val="0"/>
          <w:w w:val="100"/>
          <w:position w:val="0"/>
          <w:sz w:val="24"/>
          <w:szCs w:val="24"/>
        </w:rPr>
        <w:t>（</w:t>
      </w:r>
      <w:r>
        <w:rPr>
          <w:rFonts w:hint="eastAsia" w:ascii="Times New Roman" w:hAnsi="Times New Roman" w:eastAsia="宋体" w:cs="Times New Roman"/>
          <w:color w:val="auto"/>
          <w:spacing w:val="0"/>
          <w:w w:val="100"/>
          <w:position w:val="0"/>
          <w:sz w:val="24"/>
          <w:szCs w:val="24"/>
        </w:rPr>
        <w:t>生态环境部  公安部  交通运输部</w:t>
      </w:r>
      <w:r>
        <w:rPr>
          <w:rFonts w:hint="eastAsia" w:ascii="Times New Roman" w:hAnsi="Times New Roman" w:eastAsia="宋体" w:cs="Times New Roman"/>
          <w:color w:val="auto"/>
          <w:spacing w:val="0"/>
          <w:w w:val="100"/>
          <w:position w:val="0"/>
          <w:sz w:val="24"/>
          <w:szCs w:val="24"/>
          <w:lang w:val="en-US" w:eastAsia="zh-CN"/>
        </w:rPr>
        <w:t xml:space="preserve">  </w:t>
      </w:r>
      <w:r>
        <w:rPr>
          <w:rFonts w:hint="default" w:ascii="Times New Roman" w:hAnsi="Times New Roman" w:eastAsia="宋体" w:cs="Times New Roman"/>
          <w:color w:val="auto"/>
          <w:spacing w:val="0"/>
          <w:w w:val="100"/>
          <w:position w:val="0"/>
          <w:sz w:val="24"/>
          <w:szCs w:val="24"/>
        </w:rPr>
        <w:t>部令第</w:t>
      </w:r>
      <w:r>
        <w:rPr>
          <w:rFonts w:hint="eastAsia" w:ascii="Times New Roman" w:hAnsi="Times New Roman" w:eastAsia="宋体" w:cs="Times New Roman"/>
          <w:color w:val="auto"/>
          <w:spacing w:val="0"/>
          <w:w w:val="100"/>
          <w:position w:val="0"/>
          <w:sz w:val="24"/>
          <w:szCs w:val="24"/>
          <w:lang w:val="en-US" w:eastAsia="zh-CN"/>
        </w:rPr>
        <w:t>23</w:t>
      </w:r>
      <w:r>
        <w:rPr>
          <w:rFonts w:hint="default" w:ascii="Times New Roman" w:hAnsi="Times New Roman" w:eastAsia="宋体" w:cs="Times New Roman"/>
          <w:color w:val="auto"/>
          <w:spacing w:val="0"/>
          <w:w w:val="100"/>
          <w:position w:val="0"/>
          <w:sz w:val="24"/>
          <w:szCs w:val="24"/>
        </w:rPr>
        <w:t>号）</w:t>
      </w:r>
      <w:r>
        <w:rPr>
          <w:rFonts w:hint="eastAsia" w:ascii="Times New Roman" w:hAnsi="Times New Roman" w:eastAsia="宋体" w:cs="Times New Roman"/>
          <w:color w:val="auto"/>
          <w:spacing w:val="0"/>
          <w:w w:val="100"/>
          <w:position w:val="0"/>
          <w:sz w:val="24"/>
          <w:szCs w:val="24"/>
          <w:lang w:eastAsia="zh-CN"/>
        </w:rPr>
        <w:t>；</w:t>
      </w:r>
    </w:p>
    <w:p w14:paraId="59CD92BE">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val="en-US" w:eastAsia="zh-CN"/>
        </w:rPr>
      </w:pP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rPr>
        <w:t>1</w:t>
      </w:r>
      <w:r>
        <w:rPr>
          <w:rFonts w:hint="eastAsia" w:ascii="Times New Roman" w:hAnsi="Times New Roman" w:eastAsia="宋体" w:cs="Times New Roman"/>
          <w:color w:val="auto"/>
          <w:spacing w:val="0"/>
          <w:w w:val="100"/>
          <w:position w:val="0"/>
          <w:sz w:val="24"/>
          <w:szCs w:val="24"/>
          <w:lang w:val="en-US" w:eastAsia="zh-CN"/>
        </w:rPr>
        <w:t>5</w:t>
      </w: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rPr>
        <w:t>《关于以改善环境质量为核心加强环境影响评价管理的通知》</w:t>
      </w: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rPr>
        <w:t>环环评</w:t>
      </w:r>
      <w:r>
        <w:rPr>
          <w:rFonts w:hint="eastAsia" w:ascii="Times New Roman" w:hAnsi="Times New Roman" w:eastAsia="宋体" w:cs="Times New Roman"/>
          <w:color w:val="auto"/>
          <w:spacing w:val="0"/>
          <w:w w:val="100"/>
          <w:position w:val="0"/>
          <w:sz w:val="24"/>
          <w:szCs w:val="24"/>
          <w:lang w:eastAsia="zh-CN"/>
        </w:rPr>
        <w:t>〔2016〕150号）</w:t>
      </w:r>
      <w:r>
        <w:rPr>
          <w:rFonts w:hint="eastAsia" w:ascii="Times New Roman" w:hAnsi="Times New Roman" w:eastAsia="宋体" w:cs="Times New Roman"/>
          <w:color w:val="auto"/>
          <w:spacing w:val="0"/>
          <w:w w:val="100"/>
          <w:position w:val="0"/>
          <w:sz w:val="24"/>
          <w:szCs w:val="24"/>
          <w:lang w:val="en-US" w:eastAsia="zh-CN"/>
        </w:rPr>
        <w:t>；</w:t>
      </w:r>
    </w:p>
    <w:p w14:paraId="3D700DCC">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eastAsia="zh-CN"/>
        </w:rPr>
      </w:pP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rPr>
        <w:t>1</w:t>
      </w:r>
      <w:r>
        <w:rPr>
          <w:rFonts w:hint="eastAsia" w:ascii="Times New Roman" w:hAnsi="Times New Roman" w:eastAsia="宋体" w:cs="Times New Roman"/>
          <w:color w:val="auto"/>
          <w:spacing w:val="0"/>
          <w:w w:val="100"/>
          <w:position w:val="0"/>
          <w:sz w:val="24"/>
          <w:szCs w:val="24"/>
          <w:lang w:val="en-US" w:eastAsia="zh-CN"/>
        </w:rPr>
        <w:t>6</w:t>
      </w: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rPr>
        <w:t>《关</w:t>
      </w:r>
      <w:r>
        <w:rPr>
          <w:rFonts w:hint="eastAsia" w:ascii="Times New Roman" w:hAnsi="Times New Roman" w:eastAsia="宋体" w:cs="Times New Roman"/>
          <w:color w:val="auto"/>
          <w:spacing w:val="0"/>
          <w:w w:val="100"/>
          <w:position w:val="0"/>
          <w:sz w:val="24"/>
          <w:szCs w:val="24"/>
          <w:lang w:eastAsia="zh-CN"/>
        </w:rPr>
        <w:t>于加</w:t>
      </w:r>
      <w:r>
        <w:rPr>
          <w:rFonts w:hint="eastAsia" w:ascii="Times New Roman" w:hAnsi="Times New Roman" w:eastAsia="宋体" w:cs="Times New Roman"/>
          <w:color w:val="auto"/>
          <w:spacing w:val="0"/>
          <w:w w:val="100"/>
          <w:position w:val="0"/>
          <w:sz w:val="24"/>
          <w:szCs w:val="24"/>
        </w:rPr>
        <w:t>强建设项目环境影响评价事中事后监管的实施方案》</w:t>
      </w: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rPr>
        <w:t>环环评</w:t>
      </w:r>
      <w:r>
        <w:rPr>
          <w:rFonts w:hint="eastAsia" w:ascii="Times New Roman" w:hAnsi="Times New Roman" w:eastAsia="宋体" w:cs="Times New Roman"/>
          <w:color w:val="auto"/>
          <w:spacing w:val="0"/>
          <w:w w:val="100"/>
          <w:position w:val="0"/>
          <w:sz w:val="24"/>
          <w:szCs w:val="24"/>
          <w:lang w:eastAsia="zh-CN"/>
        </w:rPr>
        <w:t>〔2018〕11号）；</w:t>
      </w:r>
    </w:p>
    <w:p w14:paraId="71B475B0">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eastAsia="zh-CN"/>
        </w:rPr>
      </w:pP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rPr>
        <w:t>1</w:t>
      </w:r>
      <w:r>
        <w:rPr>
          <w:rFonts w:hint="eastAsia" w:ascii="Times New Roman" w:hAnsi="Times New Roman" w:eastAsia="宋体" w:cs="Times New Roman"/>
          <w:color w:val="auto"/>
          <w:spacing w:val="0"/>
          <w:w w:val="100"/>
          <w:position w:val="0"/>
          <w:sz w:val="24"/>
          <w:szCs w:val="24"/>
          <w:lang w:val="en-US" w:eastAsia="zh-CN"/>
        </w:rPr>
        <w:t>7</w:t>
      </w: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rPr>
        <w:t>《关于做好环境影响评价制度与排污许可制衔接相关工作的通知》</w:t>
      </w: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rPr>
        <w:t>环办环评</w:t>
      </w:r>
      <w:r>
        <w:rPr>
          <w:rFonts w:hint="eastAsia" w:ascii="Times New Roman" w:hAnsi="Times New Roman" w:eastAsia="宋体" w:cs="Times New Roman"/>
          <w:color w:val="auto"/>
          <w:spacing w:val="0"/>
          <w:w w:val="100"/>
          <w:position w:val="0"/>
          <w:sz w:val="24"/>
          <w:szCs w:val="24"/>
          <w:lang w:eastAsia="zh-CN"/>
        </w:rPr>
        <w:t>〔2017〕84号）</w:t>
      </w:r>
      <w:r>
        <w:rPr>
          <w:rFonts w:hint="eastAsia" w:ascii="Times New Roman" w:hAnsi="Times New Roman" w:eastAsia="宋体" w:cs="Times New Roman"/>
          <w:color w:val="auto"/>
          <w:spacing w:val="0"/>
          <w:w w:val="100"/>
          <w:position w:val="0"/>
          <w:sz w:val="24"/>
          <w:szCs w:val="24"/>
          <w:lang w:val="en-US" w:eastAsia="zh-CN"/>
        </w:rPr>
        <w:t>；</w:t>
      </w:r>
    </w:p>
    <w:p w14:paraId="2372014E">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val="en-US" w:eastAsia="zh-CN"/>
        </w:rPr>
      </w:pPr>
      <w:r>
        <w:rPr>
          <w:rFonts w:hint="eastAsia" w:ascii="Times New Roman" w:hAnsi="Times New Roman" w:eastAsia="宋体" w:cs="Times New Roman"/>
          <w:color w:val="auto"/>
          <w:spacing w:val="0"/>
          <w:w w:val="100"/>
          <w:position w:val="0"/>
          <w:sz w:val="24"/>
          <w:szCs w:val="24"/>
          <w:lang w:val="en-US" w:eastAsia="zh-CN"/>
        </w:rPr>
        <w:t>（18）</w:t>
      </w:r>
      <w:r>
        <w:rPr>
          <w:rFonts w:hint="eastAsia" w:ascii="Times New Roman" w:hAnsi="Times New Roman" w:eastAsia="宋体" w:cs="Times New Roman"/>
          <w:color w:val="auto"/>
          <w:spacing w:val="0"/>
          <w:w w:val="100"/>
          <w:position w:val="0"/>
          <w:sz w:val="24"/>
          <w:szCs w:val="24"/>
        </w:rPr>
        <w:t>《排污许可管理办法</w:t>
      </w: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rPr>
        <w:t>试行</w:t>
      </w: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rPr>
        <w:t>》</w:t>
      </w: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rPr>
        <w:t>环境保护部令第48号</w:t>
      </w:r>
      <w:r>
        <w:rPr>
          <w:rFonts w:hint="eastAsia" w:ascii="Times New Roman" w:hAnsi="Times New Roman" w:eastAsia="宋体" w:cs="Times New Roman"/>
          <w:color w:val="auto"/>
          <w:spacing w:val="0"/>
          <w:w w:val="100"/>
          <w:position w:val="0"/>
          <w:sz w:val="24"/>
          <w:szCs w:val="24"/>
          <w:lang w:eastAsia="zh-CN"/>
        </w:rPr>
        <w:t>）；</w:t>
      </w:r>
    </w:p>
    <w:p w14:paraId="7413E6B4">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val="en-US" w:eastAsia="zh-CN"/>
        </w:rPr>
      </w:pPr>
      <w:r>
        <w:rPr>
          <w:rFonts w:hint="eastAsia" w:ascii="Times New Roman" w:hAnsi="Times New Roman" w:eastAsia="宋体" w:cs="Times New Roman"/>
          <w:color w:val="auto"/>
          <w:spacing w:val="0"/>
          <w:w w:val="100"/>
          <w:position w:val="0"/>
          <w:sz w:val="24"/>
          <w:szCs w:val="24"/>
          <w:lang w:val="en-US" w:eastAsia="zh-CN"/>
        </w:rPr>
        <w:t>（19）</w:t>
      </w:r>
      <w:r>
        <w:rPr>
          <w:rFonts w:hint="eastAsia" w:ascii="Times New Roman" w:hAnsi="Times New Roman" w:eastAsia="宋体" w:cs="Times New Roman"/>
          <w:color w:val="auto"/>
          <w:spacing w:val="0"/>
          <w:w w:val="100"/>
          <w:position w:val="0"/>
          <w:sz w:val="24"/>
          <w:szCs w:val="24"/>
        </w:rPr>
        <w:t>《关于切实加强环境影响评价监督管理工作的通知》</w:t>
      </w: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rPr>
        <w:t>环办</w:t>
      </w:r>
      <w:r>
        <w:rPr>
          <w:rFonts w:hint="eastAsia" w:ascii="Times New Roman" w:hAnsi="Times New Roman" w:eastAsia="宋体" w:cs="Times New Roman"/>
          <w:color w:val="auto"/>
          <w:spacing w:val="0"/>
          <w:w w:val="100"/>
          <w:position w:val="0"/>
          <w:sz w:val="24"/>
          <w:szCs w:val="24"/>
          <w:lang w:eastAsia="zh-CN"/>
        </w:rPr>
        <w:t>〔2013〕104号）；</w:t>
      </w:r>
    </w:p>
    <w:p w14:paraId="1AC60DA4">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eastAsia="zh-CN"/>
        </w:rPr>
      </w:pP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lang w:val="en-US" w:eastAsia="zh-CN"/>
        </w:rPr>
        <w:t>20</w:t>
      </w:r>
      <w:r>
        <w:rPr>
          <w:rFonts w:hint="eastAsia" w:ascii="Times New Roman" w:hAnsi="Times New Roman" w:eastAsia="宋体" w:cs="Times New Roman"/>
          <w:color w:val="auto"/>
          <w:spacing w:val="0"/>
          <w:w w:val="100"/>
          <w:position w:val="0"/>
          <w:sz w:val="24"/>
          <w:szCs w:val="24"/>
          <w:lang w:eastAsia="zh-CN"/>
        </w:rPr>
        <w:t>）</w:t>
      </w:r>
      <w:r>
        <w:rPr>
          <w:rFonts w:hint="eastAsia" w:ascii="Times New Roman" w:hAnsi="Times New Roman" w:eastAsia="宋体" w:cs="Times New Roman"/>
          <w:color w:val="auto"/>
          <w:spacing w:val="0"/>
          <w:w w:val="100"/>
          <w:position w:val="0"/>
          <w:sz w:val="24"/>
          <w:szCs w:val="24"/>
          <w:lang w:val="en-US" w:eastAsia="zh-CN"/>
        </w:rPr>
        <w:t>《</w:t>
      </w:r>
      <w:r>
        <w:rPr>
          <w:rFonts w:hint="eastAsia" w:ascii="Times New Roman" w:hAnsi="Times New Roman" w:eastAsia="宋体" w:cs="Times New Roman"/>
          <w:color w:val="auto"/>
          <w:spacing w:val="0"/>
          <w:w w:val="100"/>
          <w:position w:val="0"/>
          <w:sz w:val="24"/>
          <w:szCs w:val="24"/>
        </w:rPr>
        <w:t>关于印发</w:t>
      </w:r>
      <w:r>
        <w:rPr>
          <w:rFonts w:hint="eastAsia" w:ascii="Times New Roman" w:hAnsi="Times New Roman" w:eastAsia="宋体" w:cs="Times New Roman"/>
          <w:color w:val="auto"/>
          <w:spacing w:val="0"/>
          <w:w w:val="100"/>
          <w:position w:val="0"/>
          <w:sz w:val="24"/>
          <w:szCs w:val="24"/>
          <w:lang w:val="en-US" w:eastAsia="zh-CN"/>
        </w:rPr>
        <w:t>&lt;</w:t>
      </w:r>
      <w:r>
        <w:rPr>
          <w:rFonts w:hint="eastAsia" w:ascii="Times New Roman" w:hAnsi="Times New Roman" w:eastAsia="宋体" w:cs="Times New Roman"/>
          <w:color w:val="auto"/>
          <w:spacing w:val="0"/>
          <w:w w:val="100"/>
          <w:position w:val="0"/>
          <w:sz w:val="24"/>
          <w:szCs w:val="24"/>
        </w:rPr>
        <w:t>土壤污染源头防控行动计划</w:t>
      </w:r>
      <w:r>
        <w:rPr>
          <w:rFonts w:hint="eastAsia" w:ascii="Times New Roman" w:hAnsi="Times New Roman" w:eastAsia="宋体" w:cs="Times New Roman"/>
          <w:color w:val="auto"/>
          <w:spacing w:val="0"/>
          <w:w w:val="100"/>
          <w:position w:val="0"/>
          <w:sz w:val="24"/>
          <w:szCs w:val="24"/>
          <w:lang w:val="en-US" w:eastAsia="zh-CN"/>
        </w:rPr>
        <w:t>&gt;</w:t>
      </w:r>
      <w:r>
        <w:rPr>
          <w:rFonts w:hint="eastAsia" w:ascii="Times New Roman" w:hAnsi="Times New Roman" w:eastAsia="宋体" w:cs="Times New Roman"/>
          <w:color w:val="auto"/>
          <w:spacing w:val="0"/>
          <w:w w:val="100"/>
          <w:position w:val="0"/>
          <w:sz w:val="24"/>
          <w:szCs w:val="24"/>
        </w:rPr>
        <w:t>的通知</w:t>
      </w:r>
      <w:r>
        <w:rPr>
          <w:rFonts w:hint="eastAsia" w:ascii="Times New Roman" w:hAnsi="Times New Roman" w:eastAsia="宋体" w:cs="Times New Roman"/>
          <w:color w:val="auto"/>
          <w:spacing w:val="0"/>
          <w:w w:val="100"/>
          <w:position w:val="0"/>
          <w:sz w:val="24"/>
          <w:szCs w:val="24"/>
          <w:lang w:val="en-US" w:eastAsia="zh-CN"/>
        </w:rPr>
        <w:t>》（环土壤〔2024〕80号）；</w:t>
      </w:r>
    </w:p>
    <w:p w14:paraId="5F44624C">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eastAsia="zh-CN"/>
        </w:rPr>
      </w:pPr>
      <w:r>
        <w:rPr>
          <w:rFonts w:hint="eastAsia" w:ascii="Times New Roman" w:hAnsi="Times New Roman" w:eastAsia="宋体" w:cs="Times New Roman"/>
          <w:color w:val="auto"/>
          <w:spacing w:val="0"/>
          <w:w w:val="100"/>
          <w:position w:val="0"/>
          <w:sz w:val="24"/>
          <w:szCs w:val="24"/>
          <w:lang w:val="en-US" w:eastAsia="zh-CN"/>
        </w:rPr>
        <w:t>（21）《关于印发&lt;重点行业挥发性有机物综合治理方案&gt;的通知》（环大气〔2019〕53号）。</w:t>
      </w:r>
    </w:p>
    <w:p w14:paraId="04D84725">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eastAsia" w:ascii="Times New Roman" w:hAnsi="Times New Roman" w:eastAsia="宋体" w:cs="Times New Roman"/>
          <w:b/>
          <w:bCs/>
          <w:color w:val="auto"/>
          <w:spacing w:val="0"/>
          <w:position w:val="0"/>
          <w:sz w:val="30"/>
          <w:szCs w:val="30"/>
          <w:lang w:val="en-US" w:eastAsia="zh-CN"/>
        </w:rPr>
        <w:t>2.1.3地方法规、规章及政策</w:t>
      </w:r>
    </w:p>
    <w:p w14:paraId="3A55DC7B">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w w:val="100"/>
          <w:position w:val="0"/>
          <w:sz w:val="24"/>
          <w:szCs w:val="24"/>
          <w:lang w:val="en-US" w:eastAsia="zh-CN"/>
        </w:rPr>
      </w:pPr>
      <w:r>
        <w:rPr>
          <w:rFonts w:hint="eastAsia" w:ascii="Times New Roman" w:hAnsi="Times New Roman" w:eastAsia="宋体" w:cs="Times New Roman"/>
          <w:color w:val="auto"/>
          <w:spacing w:val="0"/>
          <w:w w:val="100"/>
          <w:position w:val="0"/>
          <w:sz w:val="24"/>
          <w:szCs w:val="24"/>
          <w:lang w:val="en-US" w:eastAsia="zh-CN"/>
        </w:rPr>
        <w:t>（1）《黑龙江省水污染防治条例》（公告第13号）；</w:t>
      </w:r>
    </w:p>
    <w:p w14:paraId="1A63F694">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val="en-US" w:eastAsia="zh-CN"/>
        </w:rPr>
      </w:pPr>
      <w:r>
        <w:rPr>
          <w:rFonts w:hint="eastAsia" w:ascii="Times New Roman" w:hAnsi="Times New Roman" w:eastAsia="宋体" w:cs="Times New Roman"/>
          <w:color w:val="auto"/>
          <w:spacing w:val="0"/>
          <w:w w:val="100"/>
          <w:position w:val="0"/>
          <w:sz w:val="24"/>
          <w:szCs w:val="24"/>
          <w:lang w:val="en-US" w:eastAsia="zh-CN"/>
        </w:rPr>
        <w:t>（2）《黑龙江省国民经济和社会发展第十四个五年规划和二〇三五年远景目标纲要》（黑政发〔2021〕5号）；</w:t>
      </w:r>
    </w:p>
    <w:p w14:paraId="7DF2748A">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val="en-US" w:eastAsia="zh-CN"/>
        </w:rPr>
      </w:pPr>
      <w:r>
        <w:rPr>
          <w:rFonts w:hint="eastAsia" w:ascii="Times New Roman" w:hAnsi="Times New Roman" w:eastAsia="宋体" w:cs="Times New Roman"/>
          <w:color w:val="auto"/>
          <w:spacing w:val="0"/>
          <w:w w:val="100"/>
          <w:position w:val="0"/>
          <w:sz w:val="24"/>
          <w:szCs w:val="24"/>
          <w:lang w:val="en-US" w:eastAsia="zh-CN"/>
        </w:rPr>
        <w:t>（3）《黑龙江省“十四五”土壤地下水和农村生态环境保护规划》（黑政规〔2021〕19号）；</w:t>
      </w:r>
    </w:p>
    <w:p w14:paraId="708321F0">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val="en-US" w:eastAsia="zh-CN"/>
        </w:rPr>
      </w:pPr>
      <w:r>
        <w:rPr>
          <w:rFonts w:hint="eastAsia" w:ascii="Times New Roman" w:hAnsi="Times New Roman" w:eastAsia="宋体" w:cs="Times New Roman"/>
          <w:color w:val="auto"/>
          <w:spacing w:val="0"/>
          <w:w w:val="100"/>
          <w:position w:val="0"/>
          <w:sz w:val="24"/>
          <w:szCs w:val="24"/>
          <w:lang w:val="en-US" w:eastAsia="zh-CN"/>
        </w:rPr>
        <w:t>（4）《黑龙江省土壤污染防治行动实施方案》（黑政发〔2016〕46号）；</w:t>
      </w:r>
    </w:p>
    <w:p w14:paraId="379A7F73">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val="en-US" w:eastAsia="zh-CN"/>
        </w:rPr>
      </w:pPr>
      <w:r>
        <w:rPr>
          <w:rFonts w:hint="eastAsia" w:ascii="Times New Roman" w:hAnsi="Times New Roman" w:eastAsia="宋体" w:cs="Times New Roman"/>
          <w:color w:val="auto"/>
          <w:spacing w:val="0"/>
          <w:w w:val="100"/>
          <w:position w:val="0"/>
          <w:sz w:val="24"/>
          <w:szCs w:val="24"/>
          <w:lang w:val="en-US" w:eastAsia="zh-CN"/>
        </w:rPr>
        <w:t>（5）《黑龙江省水污染防治工作方案》（黑政发〔2016〕3号）；</w:t>
      </w:r>
    </w:p>
    <w:p w14:paraId="1312A590">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val="en-US" w:eastAsia="zh-CN"/>
        </w:rPr>
      </w:pPr>
      <w:r>
        <w:rPr>
          <w:rFonts w:hint="eastAsia" w:ascii="Times New Roman" w:hAnsi="Times New Roman" w:eastAsia="宋体" w:cs="Times New Roman"/>
          <w:color w:val="auto"/>
          <w:spacing w:val="0"/>
          <w:w w:val="100"/>
          <w:position w:val="0"/>
          <w:sz w:val="24"/>
          <w:szCs w:val="24"/>
          <w:lang w:val="en-US" w:eastAsia="zh-CN"/>
        </w:rPr>
        <w:t>（6）《黑龙江省重点行业挥发性有机物综合治理行动方案》（黑环发〔2019〕153号）；</w:t>
      </w:r>
    </w:p>
    <w:p w14:paraId="331DF183">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val="en-US" w:eastAsia="zh-CN"/>
        </w:rPr>
      </w:pPr>
      <w:r>
        <w:rPr>
          <w:rFonts w:hint="eastAsia" w:ascii="Times New Roman" w:hAnsi="Times New Roman" w:eastAsia="宋体" w:cs="Times New Roman"/>
          <w:color w:val="auto"/>
          <w:spacing w:val="0"/>
          <w:w w:val="100"/>
          <w:position w:val="0"/>
          <w:sz w:val="24"/>
          <w:szCs w:val="24"/>
          <w:lang w:val="en-US" w:eastAsia="zh-CN"/>
        </w:rPr>
        <w:t>（7）《黑龙江省人民政府关于实施“三线一单”生态环境分区管控的意见》（黑政发〔2020〕14号）；</w:t>
      </w:r>
    </w:p>
    <w:p w14:paraId="78571AEF">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val="en-US" w:eastAsia="zh-CN"/>
        </w:rPr>
      </w:pPr>
      <w:r>
        <w:rPr>
          <w:rFonts w:hint="eastAsia" w:ascii="Times New Roman" w:hAnsi="Times New Roman" w:eastAsia="宋体" w:cs="Times New Roman"/>
          <w:color w:val="auto"/>
          <w:spacing w:val="0"/>
          <w:w w:val="100"/>
          <w:position w:val="0"/>
          <w:sz w:val="24"/>
          <w:szCs w:val="24"/>
          <w:lang w:val="en-US" w:eastAsia="zh-CN"/>
        </w:rPr>
        <w:t>（8）《中共黑龙江省委办公厅 黑龙江省人民政府办公厅关于加强生态环境分区管控的实施意见》；</w:t>
      </w:r>
    </w:p>
    <w:p w14:paraId="45BFBB6C">
      <w:pPr>
        <w:pStyle w:val="13"/>
        <w:rPr>
          <w:rFonts w:hint="eastAsia"/>
          <w:lang w:val="en-US" w:eastAsia="zh-CN"/>
        </w:rPr>
      </w:pPr>
      <w:r>
        <w:rPr>
          <w:rFonts w:hint="eastAsia" w:ascii="Times New Roman" w:hAnsi="Times New Roman" w:eastAsia="宋体" w:cs="Times New Roman"/>
          <w:snapToGrid w:val="0"/>
          <w:color w:val="auto"/>
          <w:spacing w:val="0"/>
          <w:w w:val="100"/>
          <w:kern w:val="0"/>
          <w:position w:val="0"/>
          <w:sz w:val="24"/>
          <w:szCs w:val="24"/>
          <w:lang w:val="en-US" w:eastAsia="zh-CN" w:bidi="ar-SA"/>
        </w:rPr>
        <w:t>（9）《黑龙江省工业炉窑大气污染综合治理方案的通知》（黑环发〔2019〕144号；</w:t>
      </w:r>
    </w:p>
    <w:p w14:paraId="479AB88C">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val="en-US" w:eastAsia="zh-CN"/>
        </w:rPr>
      </w:pPr>
      <w:r>
        <w:rPr>
          <w:rFonts w:hint="eastAsia" w:ascii="Times New Roman" w:hAnsi="Times New Roman" w:eastAsia="宋体" w:cs="Times New Roman"/>
          <w:color w:val="auto"/>
          <w:spacing w:val="0"/>
          <w:w w:val="100"/>
          <w:position w:val="0"/>
          <w:sz w:val="24"/>
          <w:szCs w:val="24"/>
          <w:lang w:val="en-US" w:eastAsia="zh-CN"/>
        </w:rPr>
        <w:t>（10）《哈尔滨市国民经济和社会发展第十四个五年规划和二〇三五年远景目标纲要》（哈政发〔2021〕12号）；</w:t>
      </w:r>
    </w:p>
    <w:p w14:paraId="675E8214">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val="en-US" w:eastAsia="zh-CN"/>
        </w:rPr>
      </w:pPr>
      <w:r>
        <w:rPr>
          <w:rFonts w:hint="eastAsia" w:ascii="Times New Roman" w:hAnsi="Times New Roman" w:eastAsia="宋体" w:cs="Times New Roman"/>
          <w:color w:val="auto"/>
          <w:spacing w:val="0"/>
          <w:w w:val="100"/>
          <w:position w:val="0"/>
          <w:sz w:val="24"/>
          <w:szCs w:val="24"/>
          <w:lang w:val="en-US" w:eastAsia="zh-CN"/>
        </w:rPr>
        <w:t>（11）《哈尔滨市人民政府关于印发哈尔滨市土壤污染防治工作方案的通知》（哈政规〔2017〕35号）；</w:t>
      </w:r>
    </w:p>
    <w:p w14:paraId="3BFB617A">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val="en-US" w:eastAsia="zh-CN"/>
        </w:rPr>
      </w:pPr>
      <w:r>
        <w:rPr>
          <w:rFonts w:hint="eastAsia" w:ascii="Times New Roman" w:hAnsi="Times New Roman" w:eastAsia="宋体" w:cs="Times New Roman"/>
          <w:color w:val="auto"/>
          <w:spacing w:val="0"/>
          <w:w w:val="100"/>
          <w:position w:val="0"/>
          <w:sz w:val="24"/>
          <w:szCs w:val="24"/>
          <w:lang w:val="en-US" w:eastAsia="zh-CN"/>
        </w:rPr>
        <w:t>（12）《哈尔滨市生态环境保护“十四五”规划》（哈环发〔2021〕11号）；</w:t>
      </w:r>
    </w:p>
    <w:p w14:paraId="2B4A8D2E">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val="en-US" w:eastAsia="zh-CN"/>
        </w:rPr>
      </w:pPr>
      <w:r>
        <w:rPr>
          <w:rFonts w:hint="eastAsia" w:ascii="Times New Roman" w:hAnsi="Times New Roman" w:eastAsia="宋体" w:cs="Times New Roman"/>
          <w:color w:val="auto"/>
          <w:spacing w:val="0"/>
          <w:w w:val="100"/>
          <w:position w:val="0"/>
          <w:sz w:val="24"/>
          <w:szCs w:val="24"/>
          <w:lang w:val="en-US" w:eastAsia="zh-CN"/>
        </w:rPr>
        <w:t>（13）《哈尔滨市大气环境质量限期达标规划（2020-2027年）》哈环发〔2021〕23号；</w:t>
      </w:r>
    </w:p>
    <w:p w14:paraId="104B7FE9">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val="en-US" w:eastAsia="zh-CN"/>
        </w:rPr>
      </w:pPr>
      <w:r>
        <w:rPr>
          <w:rFonts w:hint="eastAsia" w:ascii="Times New Roman" w:hAnsi="Times New Roman" w:eastAsia="宋体" w:cs="Times New Roman"/>
          <w:color w:val="auto"/>
          <w:spacing w:val="0"/>
          <w:w w:val="100"/>
          <w:position w:val="0"/>
          <w:sz w:val="24"/>
          <w:szCs w:val="24"/>
          <w:lang w:val="en-US" w:eastAsia="zh-CN"/>
        </w:rPr>
        <w:t>（14）《哈尔滨市人民政府关于“三线一单”生态环境分区管控的意见》（哈政规〔2021〕7号，2021年6月18日）；</w:t>
      </w:r>
    </w:p>
    <w:p w14:paraId="63CA4EC4">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color w:val="auto"/>
          <w:spacing w:val="0"/>
          <w:w w:val="100"/>
          <w:position w:val="0"/>
          <w:sz w:val="24"/>
          <w:szCs w:val="24"/>
          <w:lang w:val="en-US" w:eastAsia="zh-CN"/>
        </w:rPr>
      </w:pPr>
      <w:r>
        <w:rPr>
          <w:rFonts w:hint="eastAsia" w:ascii="Times New Roman" w:hAnsi="Times New Roman" w:eastAsia="宋体" w:cs="Times New Roman"/>
          <w:color w:val="auto"/>
          <w:spacing w:val="0"/>
          <w:w w:val="100"/>
          <w:position w:val="0"/>
          <w:sz w:val="24"/>
          <w:szCs w:val="24"/>
          <w:lang w:val="en-US" w:eastAsia="zh-CN"/>
        </w:rPr>
        <w:t>（15）《哈尔滨市生态环境准入清单（2023年版）》。</w:t>
      </w:r>
    </w:p>
    <w:p w14:paraId="1C01AD1A">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default" w:ascii="Times New Roman" w:hAnsi="Times New Roman" w:eastAsia="宋体" w:cs="Times New Roman"/>
          <w:b/>
          <w:bCs/>
          <w:color w:val="auto"/>
          <w:spacing w:val="0"/>
          <w:position w:val="0"/>
          <w:sz w:val="30"/>
          <w:szCs w:val="30"/>
          <w:lang w:val="en-US" w:eastAsia="zh-CN"/>
        </w:rPr>
        <w:t>2.1.</w:t>
      </w:r>
      <w:r>
        <w:rPr>
          <w:rFonts w:hint="eastAsia" w:ascii="Times New Roman" w:hAnsi="Times New Roman" w:eastAsia="宋体" w:cs="Times New Roman"/>
          <w:b/>
          <w:bCs/>
          <w:color w:val="auto"/>
          <w:spacing w:val="0"/>
          <w:position w:val="0"/>
          <w:sz w:val="30"/>
          <w:szCs w:val="30"/>
          <w:lang w:val="en-US" w:eastAsia="zh-CN"/>
        </w:rPr>
        <w:t>4</w:t>
      </w:r>
      <w:r>
        <w:rPr>
          <w:rFonts w:hint="default" w:ascii="Times New Roman" w:hAnsi="Times New Roman" w:eastAsia="宋体" w:cs="Times New Roman"/>
          <w:b/>
          <w:bCs/>
          <w:color w:val="auto"/>
          <w:spacing w:val="0"/>
          <w:position w:val="0"/>
          <w:sz w:val="30"/>
          <w:szCs w:val="30"/>
          <w:lang w:val="en-US" w:eastAsia="zh-CN"/>
        </w:rPr>
        <w:t>技术导则及规范</w:t>
      </w:r>
    </w:p>
    <w:p w14:paraId="0F414833">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spacing w:val="0"/>
          <w:position w:val="0"/>
          <w:sz w:val="24"/>
          <w:szCs w:val="24"/>
          <w:lang w:eastAsia="zh-CN"/>
        </w:rPr>
      </w:pPr>
      <w:r>
        <w:rPr>
          <w:rFonts w:hint="default" w:ascii="Times New Roman" w:hAnsi="Times New Roman" w:eastAsia="宋体" w:cs="Times New Roman"/>
          <w:color w:val="auto"/>
          <w:spacing w:val="0"/>
          <w:position w:val="0"/>
          <w:sz w:val="24"/>
          <w:szCs w:val="24"/>
          <w:lang w:eastAsia="zh-CN"/>
        </w:rPr>
        <w:t>（1）《建设项目环境影响评价技术导则 总纲》（HJ2.1-2016）；</w:t>
      </w:r>
    </w:p>
    <w:p w14:paraId="303CEFDD">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spacing w:val="0"/>
          <w:position w:val="0"/>
          <w:sz w:val="24"/>
          <w:szCs w:val="24"/>
          <w:lang w:eastAsia="zh-CN"/>
        </w:rPr>
      </w:pPr>
      <w:r>
        <w:rPr>
          <w:rFonts w:hint="default" w:ascii="Times New Roman" w:hAnsi="Times New Roman" w:eastAsia="宋体" w:cs="Times New Roman"/>
          <w:color w:val="auto"/>
          <w:spacing w:val="0"/>
          <w:position w:val="0"/>
          <w:sz w:val="24"/>
          <w:szCs w:val="24"/>
          <w:lang w:eastAsia="zh-CN"/>
        </w:rPr>
        <w:t>（2）《环境影响评价技术导则 大气环境》（HJ2.2-2018）；</w:t>
      </w:r>
    </w:p>
    <w:p w14:paraId="0AC799ED">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spacing w:val="0"/>
          <w:position w:val="0"/>
          <w:sz w:val="24"/>
          <w:szCs w:val="24"/>
          <w:lang w:eastAsia="zh-CN"/>
        </w:rPr>
      </w:pPr>
      <w:r>
        <w:rPr>
          <w:rFonts w:hint="default" w:ascii="Times New Roman" w:hAnsi="Times New Roman" w:eastAsia="宋体" w:cs="Times New Roman"/>
          <w:color w:val="auto"/>
          <w:spacing w:val="0"/>
          <w:position w:val="0"/>
          <w:sz w:val="24"/>
          <w:szCs w:val="24"/>
          <w:lang w:eastAsia="zh-CN"/>
        </w:rPr>
        <w:t>（3）《环境影响评价技术导则 地表水环境》（HJ2.3-2018）；</w:t>
      </w:r>
    </w:p>
    <w:p w14:paraId="1D75AC18">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spacing w:val="0"/>
          <w:position w:val="0"/>
          <w:sz w:val="24"/>
          <w:szCs w:val="24"/>
          <w:lang w:eastAsia="zh-CN"/>
        </w:rPr>
      </w:pPr>
      <w:r>
        <w:rPr>
          <w:rFonts w:hint="default" w:ascii="Times New Roman" w:hAnsi="Times New Roman" w:eastAsia="宋体" w:cs="Times New Roman"/>
          <w:color w:val="auto"/>
          <w:spacing w:val="0"/>
          <w:position w:val="0"/>
          <w:sz w:val="24"/>
          <w:szCs w:val="24"/>
          <w:lang w:eastAsia="zh-CN"/>
        </w:rPr>
        <w:t>（4）《环境影响评价技术导则 声环境》（HJ2.4-2021）；</w:t>
      </w:r>
    </w:p>
    <w:p w14:paraId="1A9F0A18">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spacing w:val="0"/>
          <w:position w:val="0"/>
          <w:sz w:val="24"/>
          <w:szCs w:val="24"/>
          <w:lang w:eastAsia="zh-CN"/>
        </w:rPr>
      </w:pPr>
      <w:r>
        <w:rPr>
          <w:rFonts w:hint="default" w:ascii="Times New Roman" w:hAnsi="Times New Roman" w:eastAsia="宋体" w:cs="Times New Roman"/>
          <w:color w:val="auto"/>
          <w:spacing w:val="0"/>
          <w:position w:val="0"/>
          <w:sz w:val="24"/>
          <w:szCs w:val="24"/>
          <w:lang w:eastAsia="zh-CN"/>
        </w:rPr>
        <w:t>（5）《环境影响评价技术导则 生态环境》（HJ19-2022）；</w:t>
      </w:r>
    </w:p>
    <w:p w14:paraId="57627BE6">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spacing w:val="0"/>
          <w:position w:val="0"/>
          <w:sz w:val="24"/>
          <w:szCs w:val="24"/>
          <w:lang w:eastAsia="zh-CN"/>
        </w:rPr>
      </w:pPr>
      <w:r>
        <w:rPr>
          <w:rFonts w:hint="default" w:ascii="Times New Roman" w:hAnsi="Times New Roman" w:eastAsia="宋体" w:cs="Times New Roman"/>
          <w:color w:val="auto"/>
          <w:spacing w:val="0"/>
          <w:position w:val="0"/>
          <w:sz w:val="24"/>
          <w:szCs w:val="24"/>
          <w:lang w:eastAsia="zh-CN"/>
        </w:rPr>
        <w:t>（6）《环境影响评价技术导则 地下水环境》（HJ610-2016）；</w:t>
      </w:r>
    </w:p>
    <w:p w14:paraId="63B10E60">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spacing w:val="0"/>
          <w:position w:val="0"/>
          <w:sz w:val="24"/>
          <w:szCs w:val="24"/>
          <w:lang w:eastAsia="zh-CN"/>
        </w:rPr>
      </w:pPr>
      <w:r>
        <w:rPr>
          <w:rFonts w:hint="default" w:ascii="Times New Roman" w:hAnsi="Times New Roman" w:eastAsia="宋体" w:cs="Times New Roman"/>
          <w:color w:val="auto"/>
          <w:spacing w:val="0"/>
          <w:position w:val="0"/>
          <w:sz w:val="24"/>
          <w:szCs w:val="24"/>
          <w:lang w:eastAsia="zh-CN"/>
        </w:rPr>
        <w:t>（7）《环境影响评价技术导则 土壤环境（试行）》（HJ964-2018）；</w:t>
      </w:r>
    </w:p>
    <w:p w14:paraId="7EE03A97">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spacing w:val="0"/>
          <w:position w:val="0"/>
          <w:sz w:val="24"/>
          <w:szCs w:val="24"/>
          <w:lang w:eastAsia="zh-CN"/>
        </w:rPr>
      </w:pPr>
      <w:r>
        <w:rPr>
          <w:rFonts w:hint="default" w:ascii="Times New Roman" w:hAnsi="Times New Roman" w:eastAsia="宋体" w:cs="Times New Roman"/>
          <w:color w:val="auto"/>
          <w:spacing w:val="0"/>
          <w:position w:val="0"/>
          <w:sz w:val="24"/>
          <w:szCs w:val="24"/>
          <w:lang w:eastAsia="zh-CN"/>
        </w:rPr>
        <w:t>（8）《建设项目环境风险评价技术导则》（HJ169-2018）；</w:t>
      </w:r>
    </w:p>
    <w:p w14:paraId="589C5609">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spacing w:val="0"/>
          <w:position w:val="0"/>
          <w:sz w:val="24"/>
          <w:szCs w:val="24"/>
          <w:lang w:eastAsia="zh-CN"/>
        </w:rPr>
      </w:pPr>
      <w:r>
        <w:rPr>
          <w:rFonts w:hint="default" w:ascii="Times New Roman" w:hAnsi="Times New Roman" w:eastAsia="宋体" w:cs="Times New Roman"/>
          <w:color w:val="auto"/>
          <w:spacing w:val="0"/>
          <w:position w:val="0"/>
          <w:sz w:val="24"/>
          <w:szCs w:val="24"/>
          <w:lang w:eastAsia="zh-CN"/>
        </w:rPr>
        <w:t>（</w:t>
      </w:r>
      <w:r>
        <w:rPr>
          <w:rFonts w:hint="default" w:ascii="Times New Roman" w:hAnsi="Times New Roman" w:eastAsia="宋体" w:cs="Times New Roman"/>
          <w:color w:val="auto"/>
          <w:spacing w:val="0"/>
          <w:position w:val="0"/>
          <w:sz w:val="24"/>
          <w:szCs w:val="24"/>
          <w:lang w:val="en-US" w:eastAsia="zh-CN"/>
        </w:rPr>
        <w:t>9</w:t>
      </w:r>
      <w:r>
        <w:rPr>
          <w:rFonts w:hint="default" w:ascii="Times New Roman" w:hAnsi="Times New Roman" w:eastAsia="宋体" w:cs="Times New Roman"/>
          <w:color w:val="auto"/>
          <w:spacing w:val="0"/>
          <w:position w:val="0"/>
          <w:sz w:val="24"/>
          <w:szCs w:val="24"/>
          <w:lang w:eastAsia="zh-CN"/>
        </w:rPr>
        <w:t>）《国家危险废物名录（202</w:t>
      </w:r>
      <w:r>
        <w:rPr>
          <w:rFonts w:hint="default" w:ascii="Times New Roman" w:hAnsi="Times New Roman" w:eastAsia="宋体" w:cs="Times New Roman"/>
          <w:color w:val="auto"/>
          <w:spacing w:val="0"/>
          <w:position w:val="0"/>
          <w:sz w:val="24"/>
          <w:szCs w:val="24"/>
          <w:lang w:val="en-US" w:eastAsia="zh-CN"/>
        </w:rPr>
        <w:t>5</w:t>
      </w:r>
      <w:r>
        <w:rPr>
          <w:rFonts w:hint="default" w:ascii="Times New Roman" w:hAnsi="Times New Roman" w:eastAsia="宋体" w:cs="Times New Roman"/>
          <w:color w:val="auto"/>
          <w:spacing w:val="0"/>
          <w:position w:val="0"/>
          <w:sz w:val="24"/>
          <w:szCs w:val="24"/>
          <w:lang w:eastAsia="zh-CN"/>
        </w:rPr>
        <w:t>年版）》（</w:t>
      </w:r>
      <w:r>
        <w:rPr>
          <w:rFonts w:hint="default" w:ascii="Times New Roman" w:hAnsi="Times New Roman" w:eastAsia="宋体" w:cs="Times New Roman"/>
          <w:color w:val="auto"/>
          <w:spacing w:val="0"/>
          <w:position w:val="0"/>
          <w:sz w:val="24"/>
          <w:szCs w:val="24"/>
          <w:lang w:val="en-US" w:eastAsia="zh-CN"/>
        </w:rPr>
        <w:t>生态环境</w:t>
      </w:r>
      <w:r>
        <w:rPr>
          <w:rFonts w:hint="default" w:ascii="Times New Roman" w:hAnsi="Times New Roman" w:eastAsia="宋体" w:cs="Times New Roman"/>
          <w:color w:val="auto"/>
          <w:spacing w:val="0"/>
          <w:position w:val="0"/>
          <w:sz w:val="24"/>
          <w:szCs w:val="24"/>
          <w:lang w:eastAsia="zh-CN"/>
        </w:rPr>
        <w:t>部令 第</w:t>
      </w:r>
      <w:r>
        <w:rPr>
          <w:rFonts w:hint="default" w:ascii="Times New Roman" w:hAnsi="Times New Roman" w:eastAsia="宋体" w:cs="Times New Roman"/>
          <w:color w:val="auto"/>
          <w:spacing w:val="0"/>
          <w:position w:val="0"/>
          <w:sz w:val="24"/>
          <w:szCs w:val="24"/>
          <w:lang w:val="en-US" w:eastAsia="zh-CN"/>
        </w:rPr>
        <w:t>36</w:t>
      </w:r>
      <w:r>
        <w:rPr>
          <w:rFonts w:hint="default" w:ascii="Times New Roman" w:hAnsi="Times New Roman" w:eastAsia="宋体" w:cs="Times New Roman"/>
          <w:color w:val="auto"/>
          <w:spacing w:val="0"/>
          <w:position w:val="0"/>
          <w:sz w:val="24"/>
          <w:szCs w:val="24"/>
          <w:lang w:eastAsia="zh-CN"/>
        </w:rPr>
        <w:t>号）；</w:t>
      </w:r>
    </w:p>
    <w:p w14:paraId="56FE037C">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spacing w:val="0"/>
          <w:position w:val="0"/>
          <w:sz w:val="24"/>
          <w:szCs w:val="24"/>
          <w:lang w:eastAsia="zh-CN"/>
        </w:rPr>
      </w:pPr>
      <w:r>
        <w:rPr>
          <w:rFonts w:hint="default" w:ascii="Times New Roman" w:hAnsi="Times New Roman" w:eastAsia="宋体" w:cs="Times New Roman"/>
          <w:color w:val="auto"/>
          <w:spacing w:val="0"/>
          <w:position w:val="0"/>
          <w:sz w:val="24"/>
          <w:szCs w:val="24"/>
          <w:lang w:eastAsia="zh-CN"/>
        </w:rPr>
        <w:t>（</w:t>
      </w:r>
      <w:r>
        <w:rPr>
          <w:rFonts w:hint="default" w:ascii="Times New Roman" w:hAnsi="Times New Roman" w:eastAsia="宋体" w:cs="Times New Roman"/>
          <w:color w:val="auto"/>
          <w:spacing w:val="0"/>
          <w:position w:val="0"/>
          <w:sz w:val="24"/>
          <w:szCs w:val="24"/>
          <w:lang w:val="en-US" w:eastAsia="zh-CN"/>
        </w:rPr>
        <w:t>10</w:t>
      </w:r>
      <w:r>
        <w:rPr>
          <w:rFonts w:hint="default" w:ascii="Times New Roman" w:hAnsi="Times New Roman" w:eastAsia="宋体" w:cs="Times New Roman"/>
          <w:color w:val="auto"/>
          <w:spacing w:val="0"/>
          <w:position w:val="0"/>
          <w:sz w:val="24"/>
          <w:szCs w:val="24"/>
          <w:lang w:eastAsia="zh-CN"/>
        </w:rPr>
        <w:t>）《危险化学品重大危险源辨识》（GB18218-2018）；</w:t>
      </w:r>
    </w:p>
    <w:p w14:paraId="2A7624E8">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spacing w:val="0"/>
          <w:position w:val="0"/>
          <w:sz w:val="24"/>
          <w:szCs w:val="24"/>
          <w:lang w:eastAsia="zh-CN"/>
        </w:rPr>
      </w:pPr>
      <w:r>
        <w:rPr>
          <w:rFonts w:hint="default" w:ascii="Times New Roman" w:hAnsi="Times New Roman" w:eastAsia="宋体" w:cs="Times New Roman"/>
          <w:color w:val="auto"/>
          <w:spacing w:val="0"/>
          <w:position w:val="0"/>
          <w:sz w:val="24"/>
          <w:szCs w:val="24"/>
          <w:lang w:eastAsia="zh-CN"/>
        </w:rPr>
        <w:t>（</w:t>
      </w:r>
      <w:r>
        <w:rPr>
          <w:rFonts w:hint="default" w:ascii="Times New Roman" w:hAnsi="Times New Roman" w:eastAsia="宋体" w:cs="Times New Roman"/>
          <w:color w:val="auto"/>
          <w:spacing w:val="0"/>
          <w:position w:val="0"/>
          <w:sz w:val="24"/>
          <w:szCs w:val="24"/>
          <w:lang w:val="en-US" w:eastAsia="zh-CN"/>
        </w:rPr>
        <w:t>11</w:t>
      </w:r>
      <w:r>
        <w:rPr>
          <w:rFonts w:hint="default" w:ascii="Times New Roman" w:hAnsi="Times New Roman" w:eastAsia="宋体" w:cs="Times New Roman"/>
          <w:color w:val="auto"/>
          <w:spacing w:val="0"/>
          <w:position w:val="0"/>
          <w:sz w:val="24"/>
          <w:szCs w:val="24"/>
          <w:lang w:eastAsia="zh-CN"/>
        </w:rPr>
        <w:t>）</w:t>
      </w:r>
      <w:r>
        <w:rPr>
          <w:rFonts w:hint="default" w:ascii="Times New Roman" w:hAnsi="Times New Roman" w:eastAsia="宋体" w:cs="Times New Roman"/>
          <w:color w:val="auto"/>
          <w:spacing w:val="0"/>
          <w:position w:val="0"/>
          <w:sz w:val="24"/>
          <w:szCs w:val="24"/>
          <w:lang w:val="en-US" w:eastAsia="zh-CN"/>
        </w:rPr>
        <w:t>《排污许可证申请与核发技术规范 橡胶和塑料制品业》（HJ1122-2020）</w:t>
      </w:r>
      <w:r>
        <w:rPr>
          <w:rFonts w:hint="eastAsia" w:ascii="Times New Roman" w:hAnsi="Times New Roman" w:eastAsia="宋体" w:cs="Times New Roman"/>
          <w:color w:val="auto"/>
          <w:spacing w:val="0"/>
          <w:position w:val="0"/>
          <w:sz w:val="24"/>
          <w:szCs w:val="24"/>
          <w:lang w:val="en-US" w:eastAsia="zh-CN"/>
        </w:rPr>
        <w:t>；</w:t>
      </w:r>
    </w:p>
    <w:p w14:paraId="35489893">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spacing w:val="0"/>
          <w:position w:val="0"/>
          <w:sz w:val="24"/>
          <w:szCs w:val="24"/>
          <w:lang w:eastAsia="zh-CN"/>
        </w:rPr>
      </w:pPr>
      <w:r>
        <w:rPr>
          <w:rFonts w:hint="default" w:ascii="Times New Roman" w:hAnsi="Times New Roman" w:eastAsia="宋体" w:cs="Times New Roman"/>
          <w:color w:val="auto"/>
          <w:spacing w:val="0"/>
          <w:position w:val="0"/>
          <w:sz w:val="24"/>
          <w:szCs w:val="24"/>
          <w:lang w:eastAsia="zh-CN"/>
        </w:rPr>
        <w:t>（</w:t>
      </w:r>
      <w:r>
        <w:rPr>
          <w:rFonts w:hint="default" w:ascii="Times New Roman" w:hAnsi="Times New Roman" w:eastAsia="宋体" w:cs="Times New Roman"/>
          <w:color w:val="auto"/>
          <w:spacing w:val="0"/>
          <w:position w:val="0"/>
          <w:sz w:val="24"/>
          <w:szCs w:val="24"/>
          <w:lang w:val="en-US" w:eastAsia="zh-CN"/>
        </w:rPr>
        <w:t>12</w:t>
      </w:r>
      <w:r>
        <w:rPr>
          <w:rFonts w:hint="default" w:ascii="Times New Roman" w:hAnsi="Times New Roman" w:eastAsia="宋体" w:cs="Times New Roman"/>
          <w:color w:val="auto"/>
          <w:spacing w:val="0"/>
          <w:position w:val="0"/>
          <w:sz w:val="24"/>
          <w:szCs w:val="24"/>
          <w:lang w:eastAsia="zh-CN"/>
        </w:rPr>
        <w:t>）</w:t>
      </w:r>
      <w:r>
        <w:rPr>
          <w:rFonts w:hint="default" w:ascii="Times New Roman" w:hAnsi="Times New Roman" w:eastAsia="宋体" w:cs="Times New Roman"/>
          <w:color w:val="auto"/>
          <w:spacing w:val="0"/>
          <w:position w:val="0"/>
          <w:sz w:val="24"/>
          <w:szCs w:val="24"/>
          <w:lang w:val="en-US" w:eastAsia="zh-CN"/>
        </w:rPr>
        <w:t>《排污许可证申请与核发技术规范 汽车制造业》（HJ971—2018）；</w:t>
      </w:r>
    </w:p>
    <w:p w14:paraId="5F5C3393">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spacing w:val="0"/>
          <w:position w:val="0"/>
          <w:sz w:val="24"/>
          <w:szCs w:val="24"/>
          <w:lang w:eastAsia="zh-CN"/>
        </w:rPr>
      </w:pPr>
      <w:r>
        <w:rPr>
          <w:rFonts w:hint="default" w:ascii="Times New Roman" w:hAnsi="Times New Roman" w:eastAsia="宋体" w:cs="Times New Roman"/>
          <w:color w:val="auto"/>
          <w:spacing w:val="0"/>
          <w:position w:val="0"/>
          <w:sz w:val="24"/>
          <w:szCs w:val="24"/>
          <w:lang w:eastAsia="zh-CN"/>
        </w:rPr>
        <w:t>（</w:t>
      </w:r>
      <w:r>
        <w:rPr>
          <w:rFonts w:hint="default" w:ascii="Times New Roman" w:hAnsi="Times New Roman" w:eastAsia="宋体" w:cs="Times New Roman"/>
          <w:color w:val="auto"/>
          <w:spacing w:val="0"/>
          <w:position w:val="0"/>
          <w:sz w:val="24"/>
          <w:szCs w:val="24"/>
          <w:lang w:val="en-US" w:eastAsia="zh-CN"/>
        </w:rPr>
        <w:t>1</w:t>
      </w:r>
      <w:r>
        <w:rPr>
          <w:rFonts w:hint="eastAsia" w:ascii="Times New Roman" w:hAnsi="Times New Roman" w:eastAsia="宋体" w:cs="Times New Roman"/>
          <w:color w:val="auto"/>
          <w:spacing w:val="0"/>
          <w:position w:val="0"/>
          <w:sz w:val="24"/>
          <w:szCs w:val="24"/>
          <w:lang w:val="en-US" w:eastAsia="zh-CN"/>
        </w:rPr>
        <w:t>3</w:t>
      </w:r>
      <w:r>
        <w:rPr>
          <w:rFonts w:hint="default" w:ascii="Times New Roman" w:hAnsi="Times New Roman" w:eastAsia="宋体" w:cs="Times New Roman"/>
          <w:color w:val="auto"/>
          <w:spacing w:val="0"/>
          <w:position w:val="0"/>
          <w:sz w:val="24"/>
          <w:szCs w:val="24"/>
          <w:lang w:eastAsia="zh-CN"/>
        </w:rPr>
        <w:t>）《环境保护图形标志—排放口（源）》（GB15562.1-1995）；</w:t>
      </w:r>
    </w:p>
    <w:p w14:paraId="4E8C693D">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spacing w:val="0"/>
          <w:position w:val="0"/>
          <w:sz w:val="24"/>
          <w:szCs w:val="24"/>
          <w:lang w:eastAsia="zh-CN"/>
        </w:rPr>
      </w:pPr>
      <w:r>
        <w:rPr>
          <w:rFonts w:hint="default" w:ascii="Times New Roman" w:hAnsi="Times New Roman" w:eastAsia="宋体" w:cs="Times New Roman"/>
          <w:color w:val="auto"/>
          <w:spacing w:val="0"/>
          <w:position w:val="0"/>
          <w:sz w:val="24"/>
          <w:szCs w:val="24"/>
          <w:lang w:eastAsia="zh-CN"/>
        </w:rPr>
        <w:t>（</w:t>
      </w:r>
      <w:r>
        <w:rPr>
          <w:rFonts w:hint="default" w:ascii="Times New Roman" w:hAnsi="Times New Roman" w:eastAsia="宋体" w:cs="Times New Roman"/>
          <w:color w:val="auto"/>
          <w:spacing w:val="0"/>
          <w:position w:val="0"/>
          <w:sz w:val="24"/>
          <w:szCs w:val="24"/>
          <w:lang w:val="en-US" w:eastAsia="zh-CN"/>
        </w:rPr>
        <w:t>1</w:t>
      </w:r>
      <w:r>
        <w:rPr>
          <w:rFonts w:hint="eastAsia" w:ascii="Times New Roman" w:hAnsi="Times New Roman" w:eastAsia="宋体" w:cs="Times New Roman"/>
          <w:color w:val="auto"/>
          <w:spacing w:val="0"/>
          <w:position w:val="0"/>
          <w:sz w:val="24"/>
          <w:szCs w:val="24"/>
          <w:lang w:val="en-US" w:eastAsia="zh-CN"/>
        </w:rPr>
        <w:t>4</w:t>
      </w:r>
      <w:r>
        <w:rPr>
          <w:rFonts w:hint="default" w:ascii="Times New Roman" w:hAnsi="Times New Roman" w:eastAsia="宋体" w:cs="Times New Roman"/>
          <w:color w:val="auto"/>
          <w:spacing w:val="0"/>
          <w:position w:val="0"/>
          <w:sz w:val="24"/>
          <w:szCs w:val="24"/>
          <w:lang w:eastAsia="zh-CN"/>
        </w:rPr>
        <w:t>）《环境保护图形标志—固体废物贮存（处置）场》（GB15562.2-1995）（</w:t>
      </w:r>
      <w:r>
        <w:rPr>
          <w:rFonts w:hint="default" w:ascii="Times New Roman" w:hAnsi="Times New Roman" w:eastAsia="宋体" w:cs="Times New Roman"/>
          <w:color w:val="auto"/>
          <w:spacing w:val="0"/>
          <w:position w:val="0"/>
          <w:sz w:val="24"/>
          <w:szCs w:val="24"/>
          <w:lang w:val="en-US" w:eastAsia="zh-CN"/>
        </w:rPr>
        <w:t>2023年修改</w:t>
      </w:r>
      <w:r>
        <w:rPr>
          <w:rFonts w:hint="default" w:ascii="Times New Roman" w:hAnsi="Times New Roman" w:eastAsia="宋体" w:cs="Times New Roman"/>
          <w:color w:val="auto"/>
          <w:spacing w:val="0"/>
          <w:position w:val="0"/>
          <w:sz w:val="24"/>
          <w:szCs w:val="24"/>
          <w:lang w:eastAsia="zh-CN"/>
        </w:rPr>
        <w:t>）；</w:t>
      </w:r>
    </w:p>
    <w:p w14:paraId="6F3EB996">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spacing w:val="0"/>
          <w:position w:val="0"/>
          <w:sz w:val="24"/>
          <w:szCs w:val="24"/>
          <w:lang w:eastAsia="zh-CN"/>
        </w:rPr>
      </w:pPr>
      <w:r>
        <w:rPr>
          <w:rFonts w:hint="default" w:ascii="Times New Roman" w:hAnsi="Times New Roman" w:eastAsia="宋体" w:cs="Times New Roman"/>
          <w:color w:val="auto"/>
          <w:spacing w:val="0"/>
          <w:position w:val="0"/>
          <w:sz w:val="24"/>
          <w:szCs w:val="24"/>
          <w:lang w:eastAsia="zh-CN"/>
        </w:rPr>
        <w:t>（</w:t>
      </w:r>
      <w:r>
        <w:rPr>
          <w:rFonts w:hint="default" w:ascii="Times New Roman" w:hAnsi="Times New Roman" w:eastAsia="宋体" w:cs="Times New Roman"/>
          <w:color w:val="auto"/>
          <w:spacing w:val="0"/>
          <w:position w:val="0"/>
          <w:sz w:val="24"/>
          <w:szCs w:val="24"/>
          <w:lang w:val="en-US" w:eastAsia="zh-CN"/>
        </w:rPr>
        <w:t>1</w:t>
      </w:r>
      <w:r>
        <w:rPr>
          <w:rFonts w:hint="eastAsia" w:ascii="Times New Roman" w:hAnsi="Times New Roman" w:eastAsia="宋体" w:cs="Times New Roman"/>
          <w:color w:val="auto"/>
          <w:spacing w:val="0"/>
          <w:position w:val="0"/>
          <w:sz w:val="24"/>
          <w:szCs w:val="24"/>
          <w:lang w:val="en-US" w:eastAsia="zh-CN"/>
        </w:rPr>
        <w:t>5</w:t>
      </w:r>
      <w:r>
        <w:rPr>
          <w:rFonts w:hint="default" w:ascii="Times New Roman" w:hAnsi="Times New Roman" w:eastAsia="宋体" w:cs="Times New Roman"/>
          <w:color w:val="auto"/>
          <w:spacing w:val="0"/>
          <w:position w:val="0"/>
          <w:sz w:val="24"/>
          <w:szCs w:val="24"/>
          <w:lang w:eastAsia="zh-CN"/>
        </w:rPr>
        <w:t>）《危险废物识别标志设置技术规范》（HJ1276-2022）；</w:t>
      </w:r>
    </w:p>
    <w:p w14:paraId="2AEF1AC6">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spacing w:val="0"/>
          <w:position w:val="0"/>
          <w:sz w:val="24"/>
          <w:szCs w:val="24"/>
          <w:lang w:eastAsia="zh-CN"/>
        </w:rPr>
      </w:pPr>
      <w:r>
        <w:rPr>
          <w:rFonts w:hint="default" w:ascii="Times New Roman" w:hAnsi="Times New Roman" w:eastAsia="宋体" w:cs="Times New Roman"/>
          <w:color w:val="auto"/>
          <w:spacing w:val="0"/>
          <w:position w:val="0"/>
          <w:sz w:val="24"/>
          <w:szCs w:val="24"/>
          <w:lang w:eastAsia="zh-CN"/>
        </w:rPr>
        <w:t>（</w:t>
      </w:r>
      <w:r>
        <w:rPr>
          <w:rFonts w:hint="eastAsia" w:ascii="Times New Roman" w:hAnsi="Times New Roman" w:eastAsia="宋体" w:cs="Times New Roman"/>
          <w:color w:val="auto"/>
          <w:spacing w:val="0"/>
          <w:position w:val="0"/>
          <w:sz w:val="24"/>
          <w:szCs w:val="24"/>
          <w:lang w:val="en-US" w:eastAsia="zh-CN"/>
        </w:rPr>
        <w:t>16</w:t>
      </w:r>
      <w:r>
        <w:rPr>
          <w:rFonts w:hint="default" w:ascii="Times New Roman" w:hAnsi="Times New Roman" w:eastAsia="宋体" w:cs="Times New Roman"/>
          <w:color w:val="auto"/>
          <w:spacing w:val="0"/>
          <w:position w:val="0"/>
          <w:sz w:val="24"/>
          <w:szCs w:val="24"/>
          <w:lang w:eastAsia="zh-CN"/>
        </w:rPr>
        <w:t>）《排污单位污染物排放口二维码标识技术规范》（HJ1297-2023）</w:t>
      </w:r>
      <w:r>
        <w:rPr>
          <w:rFonts w:hint="eastAsia" w:ascii="Times New Roman" w:hAnsi="Times New Roman" w:eastAsia="宋体" w:cs="Times New Roman"/>
          <w:color w:val="auto"/>
          <w:spacing w:val="0"/>
          <w:position w:val="0"/>
          <w:sz w:val="24"/>
          <w:szCs w:val="24"/>
          <w:lang w:eastAsia="zh-CN"/>
        </w:rPr>
        <w:t>；</w:t>
      </w:r>
    </w:p>
    <w:p w14:paraId="0208B6B3">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spacing w:val="0"/>
          <w:position w:val="0"/>
          <w:sz w:val="24"/>
          <w:szCs w:val="24"/>
          <w:lang w:eastAsia="zh-CN"/>
        </w:rPr>
      </w:pPr>
      <w:r>
        <w:rPr>
          <w:rFonts w:hint="default" w:ascii="Times New Roman" w:hAnsi="Times New Roman" w:eastAsia="宋体" w:cs="Times New Roman"/>
          <w:color w:val="auto"/>
          <w:spacing w:val="0"/>
          <w:position w:val="0"/>
          <w:sz w:val="24"/>
          <w:szCs w:val="24"/>
          <w:lang w:eastAsia="zh-CN"/>
        </w:rPr>
        <w:t>（</w:t>
      </w:r>
      <w:r>
        <w:rPr>
          <w:rFonts w:hint="eastAsia" w:ascii="Times New Roman" w:hAnsi="Times New Roman" w:eastAsia="宋体" w:cs="Times New Roman"/>
          <w:color w:val="auto"/>
          <w:spacing w:val="0"/>
          <w:position w:val="0"/>
          <w:sz w:val="24"/>
          <w:szCs w:val="24"/>
          <w:lang w:val="en-US" w:eastAsia="zh-CN"/>
        </w:rPr>
        <w:t>17</w:t>
      </w:r>
      <w:r>
        <w:rPr>
          <w:rFonts w:hint="default" w:ascii="Times New Roman" w:hAnsi="Times New Roman" w:eastAsia="宋体" w:cs="Times New Roman"/>
          <w:color w:val="auto"/>
          <w:spacing w:val="0"/>
          <w:position w:val="0"/>
          <w:sz w:val="24"/>
          <w:szCs w:val="24"/>
          <w:lang w:eastAsia="zh-CN"/>
        </w:rPr>
        <w:t xml:space="preserve">）《排污单位自行监测技术指南 </w:t>
      </w:r>
      <w:r>
        <w:rPr>
          <w:rFonts w:hint="default" w:ascii="Times New Roman" w:hAnsi="Times New Roman" w:eastAsia="宋体" w:cs="Times New Roman"/>
          <w:color w:val="auto"/>
          <w:spacing w:val="0"/>
          <w:position w:val="0"/>
          <w:sz w:val="24"/>
          <w:szCs w:val="24"/>
          <w:lang w:val="en-US" w:eastAsia="zh-CN"/>
        </w:rPr>
        <w:t>总则</w:t>
      </w:r>
      <w:r>
        <w:rPr>
          <w:rFonts w:hint="default" w:ascii="Times New Roman" w:hAnsi="Times New Roman" w:eastAsia="宋体" w:cs="Times New Roman"/>
          <w:color w:val="auto"/>
          <w:spacing w:val="0"/>
          <w:position w:val="0"/>
          <w:sz w:val="24"/>
          <w:szCs w:val="24"/>
          <w:lang w:eastAsia="zh-CN"/>
        </w:rPr>
        <w:t>》（HJ</w:t>
      </w:r>
      <w:r>
        <w:rPr>
          <w:rFonts w:hint="default" w:ascii="Times New Roman" w:hAnsi="Times New Roman" w:eastAsia="宋体" w:cs="Times New Roman"/>
          <w:color w:val="auto"/>
          <w:spacing w:val="0"/>
          <w:position w:val="0"/>
          <w:sz w:val="24"/>
          <w:szCs w:val="24"/>
          <w:lang w:val="en-US" w:eastAsia="zh-CN"/>
        </w:rPr>
        <w:t>819</w:t>
      </w:r>
      <w:r>
        <w:rPr>
          <w:rFonts w:hint="default" w:ascii="Times New Roman" w:hAnsi="Times New Roman" w:eastAsia="宋体" w:cs="Times New Roman"/>
          <w:color w:val="auto"/>
          <w:spacing w:val="0"/>
          <w:position w:val="0"/>
          <w:sz w:val="24"/>
          <w:szCs w:val="24"/>
          <w:lang w:eastAsia="zh-CN"/>
        </w:rPr>
        <w:t>-2017）</w:t>
      </w:r>
      <w:r>
        <w:rPr>
          <w:rFonts w:hint="eastAsia" w:ascii="Times New Roman" w:hAnsi="Times New Roman" w:eastAsia="宋体" w:cs="Times New Roman"/>
          <w:color w:val="auto"/>
          <w:spacing w:val="0"/>
          <w:position w:val="0"/>
          <w:sz w:val="24"/>
          <w:szCs w:val="24"/>
          <w:lang w:eastAsia="zh-CN"/>
        </w:rPr>
        <w:t>。</w:t>
      </w:r>
    </w:p>
    <w:p w14:paraId="6E9A3107">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default" w:ascii="Times New Roman" w:hAnsi="Times New Roman" w:eastAsia="宋体" w:cs="Times New Roman"/>
          <w:b/>
          <w:bCs/>
          <w:color w:val="auto"/>
          <w:spacing w:val="0"/>
          <w:position w:val="0"/>
          <w:sz w:val="30"/>
          <w:szCs w:val="30"/>
          <w:lang w:val="en-US" w:eastAsia="zh-CN"/>
        </w:rPr>
        <w:t>2.1.</w:t>
      </w:r>
      <w:r>
        <w:rPr>
          <w:rFonts w:hint="eastAsia" w:ascii="Times New Roman" w:hAnsi="Times New Roman" w:eastAsia="宋体" w:cs="Times New Roman"/>
          <w:b/>
          <w:bCs/>
          <w:color w:val="auto"/>
          <w:spacing w:val="0"/>
          <w:position w:val="0"/>
          <w:sz w:val="30"/>
          <w:szCs w:val="30"/>
          <w:lang w:val="en-US" w:eastAsia="zh-CN"/>
        </w:rPr>
        <w:t>5</w:t>
      </w:r>
      <w:r>
        <w:rPr>
          <w:rFonts w:hint="default" w:ascii="Times New Roman" w:hAnsi="Times New Roman" w:eastAsia="宋体" w:cs="Times New Roman"/>
          <w:b/>
          <w:bCs/>
          <w:color w:val="auto"/>
          <w:spacing w:val="0"/>
          <w:position w:val="0"/>
          <w:sz w:val="30"/>
          <w:szCs w:val="30"/>
          <w:lang w:val="en-US" w:eastAsia="zh-CN"/>
        </w:rPr>
        <w:t>其他有关资料和文件</w:t>
      </w:r>
    </w:p>
    <w:p w14:paraId="444E5C49">
      <w:pPr>
        <w:keepNext w:val="0"/>
        <w:keepLines w:val="0"/>
        <w:pageBreakBefore w:val="0"/>
        <w:widowControl/>
        <w:numPr>
          <w:ilvl w:val="0"/>
          <w:numId w:val="16"/>
        </w:numPr>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auto"/>
          <w:spacing w:val="0"/>
          <w:position w:val="0"/>
          <w:sz w:val="24"/>
          <w:szCs w:val="24"/>
          <w:lang w:eastAsia="zh-CN"/>
        </w:rPr>
      </w:pPr>
      <w:r>
        <w:rPr>
          <w:rFonts w:hint="default" w:ascii="Times New Roman" w:hAnsi="Times New Roman" w:eastAsia="宋体" w:cs="Times New Roman"/>
          <w:color w:val="auto"/>
          <w:spacing w:val="0"/>
          <w:position w:val="0"/>
          <w:sz w:val="24"/>
          <w:szCs w:val="24"/>
          <w:lang w:eastAsia="zh-CN"/>
        </w:rPr>
        <w:t>《新能源汽车装饰配件精密制造项目（年产汽车装饰件2000万件）可行性研究报告》（黑龙天时利精密科技有限公司，202</w:t>
      </w:r>
      <w:r>
        <w:rPr>
          <w:rFonts w:hint="eastAsia" w:ascii="Times New Roman" w:hAnsi="Times New Roman" w:eastAsia="宋体" w:cs="Times New Roman"/>
          <w:color w:val="auto"/>
          <w:spacing w:val="0"/>
          <w:position w:val="0"/>
          <w:sz w:val="24"/>
          <w:szCs w:val="24"/>
          <w:lang w:val="en-US" w:eastAsia="zh-CN"/>
        </w:rPr>
        <w:t>5</w:t>
      </w:r>
      <w:r>
        <w:rPr>
          <w:rFonts w:hint="default" w:ascii="Times New Roman" w:hAnsi="Times New Roman" w:eastAsia="宋体" w:cs="Times New Roman"/>
          <w:color w:val="auto"/>
          <w:spacing w:val="0"/>
          <w:position w:val="0"/>
          <w:sz w:val="24"/>
          <w:szCs w:val="24"/>
          <w:lang w:eastAsia="zh-CN"/>
        </w:rPr>
        <w:t>年</w:t>
      </w:r>
      <w:r>
        <w:rPr>
          <w:rFonts w:hint="eastAsia" w:ascii="Times New Roman" w:hAnsi="Times New Roman" w:eastAsia="宋体" w:cs="Times New Roman"/>
          <w:color w:val="auto"/>
          <w:spacing w:val="0"/>
          <w:position w:val="0"/>
          <w:sz w:val="24"/>
          <w:szCs w:val="24"/>
          <w:lang w:val="en-US" w:eastAsia="zh-CN"/>
        </w:rPr>
        <w:t>6</w:t>
      </w:r>
      <w:r>
        <w:rPr>
          <w:rFonts w:hint="default" w:ascii="Times New Roman" w:hAnsi="Times New Roman" w:eastAsia="宋体" w:cs="Times New Roman"/>
          <w:color w:val="auto"/>
          <w:spacing w:val="0"/>
          <w:position w:val="0"/>
          <w:sz w:val="24"/>
          <w:szCs w:val="24"/>
          <w:lang w:eastAsia="zh-CN"/>
        </w:rPr>
        <w:t>月）；</w:t>
      </w:r>
    </w:p>
    <w:p w14:paraId="58F266C6">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lang w:val="en-US" w:eastAsia="zh-CN"/>
        </w:rPr>
        <w:t>建设单位提供的和本项目相关的其它资料</w:t>
      </w:r>
      <w:r>
        <w:rPr>
          <w:rFonts w:hint="eastAsia" w:ascii="Times New Roman" w:hAnsi="Times New Roman" w:cs="Times New Roman"/>
          <w:color w:val="auto"/>
          <w:sz w:val="24"/>
          <w:szCs w:val="24"/>
          <w:lang w:val="en-US" w:eastAsia="zh-CN"/>
        </w:rPr>
        <w:t>。</w:t>
      </w:r>
    </w:p>
    <w:p w14:paraId="2A173143">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0"/>
          <w:position w:val="0"/>
          <w:sz w:val="32"/>
          <w:szCs w:val="32"/>
          <w:lang w:val="en-US" w:eastAsia="zh-CN"/>
        </w:rPr>
      </w:pPr>
      <w:bookmarkStart w:id="10" w:name="_Toc26492"/>
      <w:r>
        <w:rPr>
          <w:rFonts w:hint="default" w:ascii="Times New Roman" w:hAnsi="Times New Roman" w:eastAsia="微软雅黑" w:cs="Times New Roman"/>
          <w:color w:val="auto"/>
          <w:spacing w:val="0"/>
          <w:position w:val="0"/>
          <w:sz w:val="32"/>
          <w:szCs w:val="32"/>
          <w:lang w:val="en-US" w:eastAsia="zh-CN"/>
        </w:rPr>
        <w:t>2.2 评价目的与原则</w:t>
      </w:r>
      <w:bookmarkEnd w:id="10"/>
    </w:p>
    <w:p w14:paraId="47D08930">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default" w:ascii="Times New Roman" w:hAnsi="Times New Roman" w:eastAsia="宋体" w:cs="Times New Roman"/>
          <w:b/>
          <w:bCs/>
          <w:color w:val="auto"/>
          <w:spacing w:val="0"/>
          <w:position w:val="0"/>
          <w:sz w:val="30"/>
          <w:szCs w:val="30"/>
          <w:lang w:val="en-US" w:eastAsia="zh-CN"/>
        </w:rPr>
        <w:t>2.2.1评价目的</w:t>
      </w:r>
    </w:p>
    <w:p w14:paraId="7E85D646">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次评价结合本项目所在区域的环境特点，以详尽的基础资料和数据为基础，贯彻预防为主的污染防治政策，以实事求是的科学态度开展本项目的环境影响评价工作，充分发挥环境影响评价的作用。因此，本次评价目的如下：</w:t>
      </w:r>
    </w:p>
    <w:p w14:paraId="28DCA498">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1、根据区域的资源情况，结合国家相关产业政策、环境保护政策，分析论证本项目的环境可行性。</w:t>
      </w:r>
    </w:p>
    <w:p w14:paraId="6B3F49FC">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2、通过对项目所在区域环境质量现状调查、监测及污染源调查，掌握该区域环境质量现状和污染源分布情况。</w:t>
      </w:r>
    </w:p>
    <w:p w14:paraId="3A83B02B">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3、通过工程分析，分析本项目涉及的工艺流程、产物环节及污染物排放特征，弄清“三废”排放规律、排放去向；核算“三废”产生量、排放量及浓度。</w:t>
      </w:r>
    </w:p>
    <w:p w14:paraId="335A73D4">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4、预测或分析本项目排放的污染物对周围环境噪声的影响程度及范围。</w:t>
      </w:r>
    </w:p>
    <w:p w14:paraId="60BD2D2B">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5、结合当前技术经济条件，提出技术经济可行的污染防治措施。</w:t>
      </w:r>
    </w:p>
    <w:p w14:paraId="22B59996">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6、确保污染物达标排放、总量控制，将不利影响降至最低程度。</w:t>
      </w:r>
    </w:p>
    <w:p w14:paraId="4E807171">
      <w:pPr>
        <w:pStyle w:val="3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default" w:ascii="Times New Roman" w:hAnsi="Times New Roman" w:eastAsia="Arial" w:cs="Times New Roman"/>
          <w:snapToGrid w:val="0"/>
          <w:color w:val="auto"/>
          <w:kern w:val="0"/>
          <w:sz w:val="24"/>
          <w:szCs w:val="24"/>
          <w:lang w:val="en-US" w:eastAsia="zh-CN" w:bidi="ar-SA"/>
        </w:rPr>
      </w:pPr>
      <w:r>
        <w:rPr>
          <w:rFonts w:hint="default" w:ascii="Times New Roman" w:hAnsi="Times New Roman" w:eastAsia="Arial" w:cs="Times New Roman"/>
          <w:snapToGrid w:val="0"/>
          <w:color w:val="auto"/>
          <w:kern w:val="0"/>
          <w:sz w:val="24"/>
          <w:szCs w:val="24"/>
          <w:lang w:val="en-US" w:eastAsia="zh-CN" w:bidi="ar-SA"/>
        </w:rPr>
        <w:t>7、提出项目的环境管理与监测计划。</w:t>
      </w:r>
    </w:p>
    <w:p w14:paraId="3B5CB472">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default" w:ascii="Times New Roman" w:hAnsi="Times New Roman" w:eastAsia="宋体" w:cs="Times New Roman"/>
          <w:b/>
          <w:bCs/>
          <w:color w:val="auto"/>
          <w:spacing w:val="0"/>
          <w:position w:val="0"/>
          <w:sz w:val="30"/>
          <w:szCs w:val="30"/>
          <w:lang w:val="en-US" w:eastAsia="zh-CN"/>
        </w:rPr>
        <w:t>2.2.2评价原则</w:t>
      </w:r>
    </w:p>
    <w:p w14:paraId="6435DB96">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突出环境影响评价源头预防作用，坚持保护和改善环境质量。</w:t>
      </w:r>
    </w:p>
    <w:p w14:paraId="27357252">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（1）依法评价</w:t>
      </w:r>
    </w:p>
    <w:p w14:paraId="0ACB4C8D">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贯彻执行我国环境保护相关法律法规、标准、政策和规划等，优化项目建设，为环境管理服务</w:t>
      </w:r>
      <w:r>
        <w:rPr>
          <w:rFonts w:hint="eastAsia" w:ascii="Times New Roman" w:hAnsi="Times New Roman" w:cs="Times New Roman"/>
          <w:color w:val="auto"/>
          <w:sz w:val="24"/>
          <w:szCs w:val="24"/>
          <w:lang w:val="en-US" w:eastAsia="zh-CN"/>
        </w:rPr>
        <w:t>。</w:t>
      </w:r>
    </w:p>
    <w:p w14:paraId="1B612E8D">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（2）科学评价</w:t>
      </w:r>
    </w:p>
    <w:p w14:paraId="6F301676">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规范环境影响评价方法，科学分析项目建设对环境质量的影响</w:t>
      </w:r>
      <w:r>
        <w:rPr>
          <w:rFonts w:hint="eastAsia" w:ascii="Times New Roman" w:hAnsi="Times New Roman" w:cs="Times New Roman"/>
          <w:color w:val="auto"/>
          <w:sz w:val="24"/>
          <w:szCs w:val="24"/>
          <w:lang w:val="en-US" w:eastAsia="zh-CN"/>
        </w:rPr>
        <w:t>。</w:t>
      </w:r>
    </w:p>
    <w:p w14:paraId="450FB2A1">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（3）突出重点</w:t>
      </w:r>
    </w:p>
    <w:p w14:paraId="50E715F6">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根据建设项目的工程内容及其特点，明确与环境要素间的作用效应关系，根据规划环境影响评价结论和审查意见，充分利用符合时效的数据资料及成果，对建设项目主要环境影响予以重点分析和评价。</w:t>
      </w:r>
    </w:p>
    <w:p w14:paraId="27304E46">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0"/>
          <w:position w:val="0"/>
          <w:sz w:val="32"/>
          <w:szCs w:val="32"/>
          <w:lang w:val="en-US" w:eastAsia="zh-CN"/>
        </w:rPr>
      </w:pPr>
      <w:bookmarkStart w:id="11" w:name="_Toc11664"/>
      <w:r>
        <w:rPr>
          <w:rFonts w:hint="default" w:ascii="Times New Roman" w:hAnsi="Times New Roman" w:eastAsia="微软雅黑" w:cs="Times New Roman"/>
          <w:color w:val="auto"/>
          <w:spacing w:val="0"/>
          <w:position w:val="0"/>
          <w:sz w:val="32"/>
          <w:szCs w:val="32"/>
          <w:lang w:val="en-US" w:eastAsia="zh-CN"/>
        </w:rPr>
        <w:t>2.3 评价重点与评价时段</w:t>
      </w:r>
      <w:bookmarkEnd w:id="11"/>
    </w:p>
    <w:p w14:paraId="61B9D719">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default" w:ascii="Times New Roman" w:hAnsi="Times New Roman" w:eastAsia="宋体" w:cs="Times New Roman"/>
          <w:b/>
          <w:bCs/>
          <w:color w:val="auto"/>
          <w:spacing w:val="0"/>
          <w:position w:val="0"/>
          <w:sz w:val="30"/>
          <w:szCs w:val="30"/>
          <w:lang w:val="en-US" w:eastAsia="zh-CN"/>
        </w:rPr>
        <w:t>2.3.1评价重点</w:t>
      </w:r>
    </w:p>
    <w:p w14:paraId="3DA6118C">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根据本项目特点、项目所在区域环境特征以及环境影响要素识别结果，确定本项目环境影响评价重点为：</w:t>
      </w:r>
    </w:p>
    <w:p w14:paraId="1484BEF6">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（1）本项目与相关规划的相符性分析；</w:t>
      </w:r>
    </w:p>
    <w:p w14:paraId="06CDA534">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（2）对项目进行详实的工程分析。通过充分的调查和分析，结合生产工艺流程，查清各生产环节产生的污染源种类、排放方式和排放源强等</w:t>
      </w:r>
      <w:r>
        <w:rPr>
          <w:rFonts w:hint="eastAsia" w:ascii="Times New Roman" w:hAnsi="Times New Roman" w:cs="Times New Roman"/>
          <w:color w:val="auto"/>
          <w:sz w:val="24"/>
          <w:szCs w:val="24"/>
          <w:lang w:val="en-US" w:eastAsia="zh-CN"/>
        </w:rPr>
        <w:t>；</w:t>
      </w:r>
    </w:p>
    <w:p w14:paraId="383D9814">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（3）大气、</w:t>
      </w:r>
      <w:r>
        <w:rPr>
          <w:rFonts w:hint="eastAsia" w:ascii="Times New Roman" w:hAnsi="Times New Roman" w:cs="Times New Roman"/>
          <w:color w:val="auto"/>
          <w:sz w:val="24"/>
          <w:szCs w:val="24"/>
          <w:lang w:val="en-US" w:eastAsia="zh-CN"/>
        </w:rPr>
        <w:t>噪声</w:t>
      </w:r>
      <w:r>
        <w:rPr>
          <w:rFonts w:hint="default" w:ascii="Times New Roman" w:hAnsi="Times New Roman" w:cs="Times New Roman"/>
          <w:color w:val="auto"/>
          <w:sz w:val="24"/>
          <w:szCs w:val="24"/>
          <w:lang w:val="en-US" w:eastAsia="zh-CN"/>
        </w:rPr>
        <w:t>、地下水、土壤、风险影响预测与评价；</w:t>
      </w:r>
    </w:p>
    <w:p w14:paraId="1DB652EC">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（4）对项目采用的环境保护措施进行可行性分析。</w:t>
      </w:r>
    </w:p>
    <w:p w14:paraId="15DEC9A1">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default" w:ascii="Times New Roman" w:hAnsi="Times New Roman" w:eastAsia="宋体" w:cs="Times New Roman"/>
          <w:b/>
          <w:bCs/>
          <w:color w:val="auto"/>
          <w:spacing w:val="0"/>
          <w:position w:val="0"/>
          <w:sz w:val="30"/>
          <w:szCs w:val="30"/>
          <w:lang w:val="en-US" w:eastAsia="zh-CN"/>
        </w:rPr>
        <w:t>2.3.2评价时段</w:t>
      </w:r>
    </w:p>
    <w:p w14:paraId="0FCE75EB">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本项目环境影响评价时段为施工期及运营期。</w:t>
      </w:r>
    </w:p>
    <w:p w14:paraId="1B23D45E">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0"/>
          <w:position w:val="0"/>
          <w:sz w:val="32"/>
          <w:szCs w:val="32"/>
          <w:lang w:eastAsia="zh-CN"/>
        </w:rPr>
      </w:pPr>
      <w:bookmarkStart w:id="12" w:name="_Toc26552"/>
      <w:r>
        <w:rPr>
          <w:rFonts w:hint="default" w:ascii="Times New Roman" w:hAnsi="Times New Roman" w:eastAsia="微软雅黑" w:cs="Times New Roman"/>
          <w:color w:val="auto"/>
          <w:spacing w:val="0"/>
          <w:position w:val="0"/>
          <w:sz w:val="32"/>
          <w:szCs w:val="32"/>
          <w:lang w:eastAsia="zh-CN"/>
        </w:rPr>
        <w:t>2.</w:t>
      </w:r>
      <w:r>
        <w:rPr>
          <w:rFonts w:hint="default" w:ascii="Times New Roman" w:hAnsi="Times New Roman" w:eastAsia="微软雅黑" w:cs="Times New Roman"/>
          <w:color w:val="auto"/>
          <w:spacing w:val="0"/>
          <w:position w:val="0"/>
          <w:sz w:val="32"/>
          <w:szCs w:val="32"/>
          <w:lang w:val="en-US" w:eastAsia="zh-CN"/>
        </w:rPr>
        <w:t xml:space="preserve">4 </w:t>
      </w:r>
      <w:r>
        <w:rPr>
          <w:rFonts w:hint="default" w:ascii="Times New Roman" w:hAnsi="Times New Roman" w:eastAsia="微软雅黑" w:cs="Times New Roman"/>
          <w:color w:val="auto"/>
          <w:spacing w:val="0"/>
          <w:position w:val="0"/>
          <w:sz w:val="32"/>
          <w:szCs w:val="32"/>
          <w:lang w:eastAsia="zh-CN"/>
        </w:rPr>
        <w:t>环境影响识别与评价因子筛选</w:t>
      </w:r>
      <w:bookmarkEnd w:id="12"/>
    </w:p>
    <w:p w14:paraId="0F81A85E">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default" w:ascii="Times New Roman" w:hAnsi="Times New Roman" w:eastAsia="宋体" w:cs="Times New Roman"/>
          <w:b/>
          <w:bCs/>
          <w:color w:val="auto"/>
          <w:spacing w:val="0"/>
          <w:position w:val="0"/>
          <w:sz w:val="30"/>
          <w:szCs w:val="30"/>
          <w:lang w:val="en-US" w:eastAsia="zh-CN"/>
        </w:rPr>
        <w:t>2.4.1环境影响识别</w:t>
      </w:r>
    </w:p>
    <w:p w14:paraId="403EC38D">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根据本项目的生产工艺和排污特征，结合拟选厂址的自然环境特点、环境质量现状、在充分分析本项目建设内容的基础上，识别建设项目实施可能对自然环境和社会环境产生的影响，本项目环境影响</w:t>
      </w:r>
      <w:r>
        <w:rPr>
          <w:rFonts w:hint="eastAsia" w:ascii="Times New Roman" w:hAnsi="Times New Roman" w:cs="Times New Roman"/>
          <w:color w:val="auto"/>
          <w:sz w:val="24"/>
          <w:szCs w:val="24"/>
          <w:lang w:val="en-US" w:eastAsia="zh-CN"/>
        </w:rPr>
        <w:t>识别</w:t>
      </w:r>
      <w:r>
        <w:rPr>
          <w:rFonts w:hint="default" w:ascii="Times New Roman" w:hAnsi="Times New Roman" w:cs="Times New Roman"/>
          <w:color w:val="auto"/>
          <w:sz w:val="24"/>
          <w:szCs w:val="24"/>
          <w:lang w:val="en-US" w:eastAsia="zh-CN"/>
        </w:rPr>
        <w:t>见下表</w:t>
      </w:r>
      <w:r>
        <w:rPr>
          <w:rFonts w:hint="eastAsia" w:ascii="Times New Roman" w:hAnsi="Times New Roman" w:cs="Times New Roman"/>
          <w:color w:val="auto"/>
          <w:sz w:val="24"/>
          <w:szCs w:val="24"/>
          <w:lang w:val="en-US" w:eastAsia="zh-CN"/>
        </w:rPr>
        <w:t>2.4-1</w:t>
      </w:r>
      <w:r>
        <w:rPr>
          <w:rFonts w:hint="default" w:ascii="Times New Roman" w:hAnsi="Times New Roman" w:cs="Times New Roman"/>
          <w:color w:val="auto"/>
          <w:sz w:val="24"/>
          <w:szCs w:val="24"/>
          <w:lang w:val="en-US" w:eastAsia="zh-CN"/>
        </w:rPr>
        <w:t>。</w:t>
      </w:r>
    </w:p>
    <w:p w14:paraId="50A75D81">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pacing w:val="0"/>
          <w:position w:val="0"/>
          <w:sz w:val="24"/>
          <w:szCs w:val="24"/>
          <w:lang w:val="en-US" w:eastAsia="zh-CN"/>
        </w:rPr>
      </w:pPr>
      <w:r>
        <w:rPr>
          <w:rFonts w:hint="default" w:ascii="Times New Roman" w:hAnsi="Times New Roman" w:eastAsia="宋体" w:cs="Times New Roman"/>
          <w:b/>
          <w:bCs/>
          <w:color w:val="auto"/>
          <w:spacing w:val="0"/>
          <w:position w:val="0"/>
          <w:sz w:val="24"/>
          <w:szCs w:val="24"/>
        </w:rPr>
        <w:t>表</w:t>
      </w:r>
      <w:r>
        <w:rPr>
          <w:rFonts w:hint="default" w:ascii="Times New Roman" w:hAnsi="Times New Roman" w:eastAsia="宋体" w:cs="Times New Roman"/>
          <w:b/>
          <w:bCs/>
          <w:color w:val="auto"/>
          <w:spacing w:val="0"/>
          <w:position w:val="0"/>
          <w:sz w:val="24"/>
          <w:szCs w:val="24"/>
          <w:lang w:val="en-US" w:eastAsia="zh-CN"/>
        </w:rPr>
        <w:t xml:space="preserve">2.4-1  </w:t>
      </w:r>
      <w:r>
        <w:rPr>
          <w:rFonts w:hint="default" w:ascii="Times New Roman" w:hAnsi="Times New Roman" w:eastAsia="宋体" w:cs="Times New Roman"/>
          <w:b/>
          <w:bCs/>
          <w:color w:val="auto"/>
          <w:spacing w:val="0"/>
          <w:position w:val="0"/>
          <w:sz w:val="24"/>
          <w:szCs w:val="24"/>
        </w:rPr>
        <w:t>工程环境影响</w:t>
      </w:r>
      <w:r>
        <w:rPr>
          <w:rFonts w:hint="default" w:ascii="Times New Roman" w:hAnsi="Times New Roman" w:eastAsia="宋体" w:cs="Times New Roman"/>
          <w:b/>
          <w:bCs/>
          <w:color w:val="auto"/>
          <w:spacing w:val="0"/>
          <w:position w:val="0"/>
          <w:sz w:val="24"/>
          <w:szCs w:val="24"/>
          <w:lang w:val="en-US" w:eastAsia="zh-CN"/>
        </w:rPr>
        <w:t>识别结果表</w:t>
      </w:r>
    </w:p>
    <w:tbl>
      <w:tblPr>
        <w:tblStyle w:val="23"/>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1"/>
        <w:gridCol w:w="1683"/>
        <w:gridCol w:w="1097"/>
        <w:gridCol w:w="1282"/>
        <w:gridCol w:w="1316"/>
        <w:gridCol w:w="904"/>
        <w:gridCol w:w="1095"/>
        <w:gridCol w:w="1121"/>
      </w:tblGrid>
      <w:tr w14:paraId="7378BE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8" w:type="pct"/>
            <w:gridSpan w:val="2"/>
            <w:tcBorders>
              <w:tl2br w:val="nil"/>
              <w:tr2bl w:val="nil"/>
            </w:tcBorders>
            <w:vAlign w:val="center"/>
          </w:tcPr>
          <w:p w14:paraId="53E47706">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影响因素</w:t>
            </w:r>
          </w:p>
        </w:tc>
        <w:tc>
          <w:tcPr>
            <w:tcW w:w="591" w:type="pct"/>
            <w:tcBorders>
              <w:tl2br w:val="nil"/>
              <w:tr2bl w:val="nil"/>
            </w:tcBorders>
            <w:vAlign w:val="center"/>
          </w:tcPr>
          <w:p w14:paraId="0C67C8E2">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w:t>
            </w:r>
          </w:p>
        </w:tc>
        <w:tc>
          <w:tcPr>
            <w:tcW w:w="691" w:type="pct"/>
            <w:tcBorders>
              <w:tl2br w:val="nil"/>
              <w:tr2bl w:val="nil"/>
            </w:tcBorders>
            <w:vAlign w:val="center"/>
          </w:tcPr>
          <w:p w14:paraId="109518A7">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地表水环境</w:t>
            </w:r>
          </w:p>
        </w:tc>
        <w:tc>
          <w:tcPr>
            <w:tcW w:w="709" w:type="pct"/>
            <w:tcBorders>
              <w:tl2br w:val="nil"/>
              <w:tr2bl w:val="nil"/>
            </w:tcBorders>
            <w:vAlign w:val="center"/>
          </w:tcPr>
          <w:p w14:paraId="0B464210">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地下水环境</w:t>
            </w:r>
          </w:p>
        </w:tc>
        <w:tc>
          <w:tcPr>
            <w:tcW w:w="487" w:type="pct"/>
            <w:tcBorders>
              <w:tl2br w:val="nil"/>
              <w:tr2bl w:val="nil"/>
            </w:tcBorders>
            <w:vAlign w:val="center"/>
          </w:tcPr>
          <w:p w14:paraId="15A8E177">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w:t>
            </w:r>
          </w:p>
        </w:tc>
        <w:tc>
          <w:tcPr>
            <w:tcW w:w="590" w:type="pct"/>
            <w:tcBorders>
              <w:tl2br w:val="nil"/>
              <w:tr2bl w:val="nil"/>
            </w:tcBorders>
            <w:vAlign w:val="center"/>
          </w:tcPr>
          <w:p w14:paraId="2FC9EABD">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生态环境</w:t>
            </w:r>
          </w:p>
        </w:tc>
        <w:tc>
          <w:tcPr>
            <w:tcW w:w="600" w:type="pct"/>
            <w:tcBorders>
              <w:tl2br w:val="nil"/>
              <w:tr2bl w:val="nil"/>
            </w:tcBorders>
            <w:vAlign w:val="center"/>
          </w:tcPr>
          <w:p w14:paraId="6F440EF6">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土壤环境</w:t>
            </w:r>
          </w:p>
        </w:tc>
      </w:tr>
      <w:tr w14:paraId="69AA45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vMerge w:val="restart"/>
            <w:tcBorders>
              <w:tl2br w:val="nil"/>
              <w:tr2bl w:val="nil"/>
            </w:tcBorders>
            <w:vAlign w:val="center"/>
          </w:tcPr>
          <w:p w14:paraId="22CCD374">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w:t>
            </w:r>
          </w:p>
        </w:tc>
        <w:tc>
          <w:tcPr>
            <w:tcW w:w="906" w:type="pct"/>
            <w:tcBorders>
              <w:tl2br w:val="nil"/>
              <w:tr2bl w:val="nil"/>
            </w:tcBorders>
            <w:vAlign w:val="center"/>
          </w:tcPr>
          <w:p w14:paraId="741EC987">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物料堆存</w:t>
            </w:r>
          </w:p>
        </w:tc>
        <w:tc>
          <w:tcPr>
            <w:tcW w:w="591" w:type="pct"/>
            <w:tcBorders>
              <w:tl2br w:val="nil"/>
              <w:tr2bl w:val="nil"/>
            </w:tcBorders>
            <w:vAlign w:val="center"/>
          </w:tcPr>
          <w:p w14:paraId="7D86C13F">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-1D</w:t>
            </w:r>
          </w:p>
        </w:tc>
        <w:tc>
          <w:tcPr>
            <w:tcW w:w="691" w:type="pct"/>
            <w:tcBorders>
              <w:tl2br w:val="nil"/>
              <w:tr2bl w:val="nil"/>
            </w:tcBorders>
            <w:vAlign w:val="center"/>
          </w:tcPr>
          <w:p w14:paraId="62502CF9">
            <w:pPr>
              <w:pStyle w:val="37"/>
              <w:widowControl w:val="0"/>
              <w:bidi w:val="0"/>
              <w:rPr>
                <w:rFonts w:hint="default" w:ascii="Times New Roman" w:hAnsi="Times New Roman" w:cs="Times New Roman"/>
                <w:color w:val="auto"/>
                <w:highlight w:val="none"/>
              </w:rPr>
            </w:pPr>
          </w:p>
        </w:tc>
        <w:tc>
          <w:tcPr>
            <w:tcW w:w="709" w:type="pct"/>
            <w:tcBorders>
              <w:tl2br w:val="nil"/>
              <w:tr2bl w:val="nil"/>
            </w:tcBorders>
            <w:vAlign w:val="center"/>
          </w:tcPr>
          <w:p w14:paraId="5E1A3F86">
            <w:pPr>
              <w:pStyle w:val="37"/>
              <w:widowControl w:val="0"/>
              <w:bidi w:val="0"/>
              <w:rPr>
                <w:rFonts w:hint="default" w:ascii="Times New Roman" w:hAnsi="Times New Roman" w:cs="Times New Roman"/>
                <w:color w:val="auto"/>
                <w:highlight w:val="none"/>
              </w:rPr>
            </w:pPr>
          </w:p>
        </w:tc>
        <w:tc>
          <w:tcPr>
            <w:tcW w:w="487" w:type="pct"/>
            <w:tcBorders>
              <w:tl2br w:val="nil"/>
              <w:tr2bl w:val="nil"/>
            </w:tcBorders>
            <w:vAlign w:val="center"/>
          </w:tcPr>
          <w:p w14:paraId="4312C014">
            <w:pPr>
              <w:pStyle w:val="37"/>
              <w:widowControl w:val="0"/>
              <w:bidi w:val="0"/>
              <w:rPr>
                <w:rFonts w:hint="default" w:ascii="Times New Roman" w:hAnsi="Times New Roman" w:cs="Times New Roman"/>
                <w:color w:val="auto"/>
                <w:highlight w:val="none"/>
              </w:rPr>
            </w:pPr>
          </w:p>
        </w:tc>
        <w:tc>
          <w:tcPr>
            <w:tcW w:w="590" w:type="pct"/>
            <w:tcBorders>
              <w:tl2br w:val="nil"/>
              <w:tr2bl w:val="nil"/>
            </w:tcBorders>
            <w:vAlign w:val="center"/>
          </w:tcPr>
          <w:p w14:paraId="6EB2B8B5">
            <w:pPr>
              <w:pStyle w:val="37"/>
              <w:widowControl w:val="0"/>
              <w:bidi w:val="0"/>
              <w:rPr>
                <w:rFonts w:hint="default" w:ascii="Times New Roman" w:hAnsi="Times New Roman" w:cs="Times New Roman"/>
                <w:color w:val="auto"/>
                <w:highlight w:val="none"/>
              </w:rPr>
            </w:pPr>
          </w:p>
        </w:tc>
        <w:tc>
          <w:tcPr>
            <w:tcW w:w="600" w:type="pct"/>
            <w:tcBorders>
              <w:tl2br w:val="nil"/>
              <w:tr2bl w:val="nil"/>
            </w:tcBorders>
            <w:vAlign w:val="center"/>
          </w:tcPr>
          <w:p w14:paraId="5846FB44">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-1D</w:t>
            </w:r>
          </w:p>
        </w:tc>
      </w:tr>
      <w:tr w14:paraId="33F55D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vMerge w:val="continue"/>
            <w:tcBorders>
              <w:tl2br w:val="nil"/>
              <w:tr2bl w:val="nil"/>
            </w:tcBorders>
            <w:vAlign w:val="center"/>
          </w:tcPr>
          <w:p w14:paraId="47901CE4">
            <w:pPr>
              <w:pStyle w:val="37"/>
              <w:widowControl w:val="0"/>
              <w:bidi w:val="0"/>
              <w:rPr>
                <w:rFonts w:hint="default" w:ascii="Times New Roman" w:hAnsi="Times New Roman" w:cs="Times New Roman"/>
                <w:color w:val="auto"/>
                <w:highlight w:val="none"/>
              </w:rPr>
            </w:pPr>
          </w:p>
        </w:tc>
        <w:tc>
          <w:tcPr>
            <w:tcW w:w="906" w:type="pct"/>
            <w:tcBorders>
              <w:tl2br w:val="nil"/>
              <w:tr2bl w:val="nil"/>
            </w:tcBorders>
            <w:vAlign w:val="center"/>
          </w:tcPr>
          <w:p w14:paraId="532719F1">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材料运输</w:t>
            </w:r>
          </w:p>
        </w:tc>
        <w:tc>
          <w:tcPr>
            <w:tcW w:w="591" w:type="pct"/>
            <w:tcBorders>
              <w:tl2br w:val="nil"/>
              <w:tr2bl w:val="nil"/>
            </w:tcBorders>
            <w:vAlign w:val="center"/>
          </w:tcPr>
          <w:p w14:paraId="677CCBA1">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-1D</w:t>
            </w:r>
          </w:p>
        </w:tc>
        <w:tc>
          <w:tcPr>
            <w:tcW w:w="691" w:type="pct"/>
            <w:tcBorders>
              <w:tl2br w:val="nil"/>
              <w:tr2bl w:val="nil"/>
            </w:tcBorders>
            <w:vAlign w:val="center"/>
          </w:tcPr>
          <w:p w14:paraId="54B8C0FF">
            <w:pPr>
              <w:pStyle w:val="37"/>
              <w:widowControl w:val="0"/>
              <w:bidi w:val="0"/>
              <w:rPr>
                <w:rFonts w:hint="default" w:ascii="Times New Roman" w:hAnsi="Times New Roman" w:cs="Times New Roman"/>
                <w:color w:val="auto"/>
                <w:highlight w:val="none"/>
              </w:rPr>
            </w:pPr>
          </w:p>
        </w:tc>
        <w:tc>
          <w:tcPr>
            <w:tcW w:w="709" w:type="pct"/>
            <w:tcBorders>
              <w:tl2br w:val="nil"/>
              <w:tr2bl w:val="nil"/>
            </w:tcBorders>
            <w:vAlign w:val="center"/>
          </w:tcPr>
          <w:p w14:paraId="47188E9E">
            <w:pPr>
              <w:pStyle w:val="37"/>
              <w:widowControl w:val="0"/>
              <w:bidi w:val="0"/>
              <w:rPr>
                <w:rFonts w:hint="default" w:ascii="Times New Roman" w:hAnsi="Times New Roman" w:cs="Times New Roman"/>
                <w:color w:val="auto"/>
                <w:highlight w:val="none"/>
              </w:rPr>
            </w:pPr>
          </w:p>
        </w:tc>
        <w:tc>
          <w:tcPr>
            <w:tcW w:w="487" w:type="pct"/>
            <w:tcBorders>
              <w:tl2br w:val="nil"/>
              <w:tr2bl w:val="nil"/>
            </w:tcBorders>
            <w:vAlign w:val="center"/>
          </w:tcPr>
          <w:p w14:paraId="51056A2A">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-1D</w:t>
            </w:r>
          </w:p>
        </w:tc>
        <w:tc>
          <w:tcPr>
            <w:tcW w:w="590" w:type="pct"/>
            <w:tcBorders>
              <w:tl2br w:val="nil"/>
              <w:tr2bl w:val="nil"/>
            </w:tcBorders>
            <w:vAlign w:val="center"/>
          </w:tcPr>
          <w:p w14:paraId="43649C93">
            <w:pPr>
              <w:pStyle w:val="37"/>
              <w:widowControl w:val="0"/>
              <w:bidi w:val="0"/>
              <w:rPr>
                <w:rFonts w:hint="default" w:ascii="Times New Roman" w:hAnsi="Times New Roman" w:cs="Times New Roman"/>
                <w:color w:val="auto"/>
                <w:highlight w:val="none"/>
              </w:rPr>
            </w:pPr>
          </w:p>
        </w:tc>
        <w:tc>
          <w:tcPr>
            <w:tcW w:w="600" w:type="pct"/>
            <w:tcBorders>
              <w:tl2br w:val="nil"/>
              <w:tr2bl w:val="nil"/>
            </w:tcBorders>
            <w:vAlign w:val="center"/>
          </w:tcPr>
          <w:p w14:paraId="4635FF62">
            <w:pPr>
              <w:pStyle w:val="37"/>
              <w:widowControl w:val="0"/>
              <w:bidi w:val="0"/>
              <w:rPr>
                <w:rFonts w:hint="default" w:ascii="Times New Roman" w:hAnsi="Times New Roman" w:cs="Times New Roman"/>
                <w:color w:val="auto"/>
                <w:highlight w:val="none"/>
              </w:rPr>
            </w:pPr>
          </w:p>
        </w:tc>
      </w:tr>
      <w:tr w14:paraId="17C8C4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vMerge w:val="continue"/>
            <w:tcBorders>
              <w:tl2br w:val="nil"/>
              <w:tr2bl w:val="nil"/>
            </w:tcBorders>
            <w:vAlign w:val="center"/>
          </w:tcPr>
          <w:p w14:paraId="389C7478">
            <w:pPr>
              <w:pStyle w:val="37"/>
              <w:widowControl w:val="0"/>
              <w:bidi w:val="0"/>
              <w:rPr>
                <w:rFonts w:hint="default" w:ascii="Times New Roman" w:hAnsi="Times New Roman" w:cs="Times New Roman"/>
                <w:color w:val="auto"/>
                <w:highlight w:val="none"/>
              </w:rPr>
            </w:pPr>
          </w:p>
        </w:tc>
        <w:tc>
          <w:tcPr>
            <w:tcW w:w="906" w:type="pct"/>
            <w:tcBorders>
              <w:tl2br w:val="nil"/>
              <w:tr2bl w:val="nil"/>
            </w:tcBorders>
            <w:vAlign w:val="center"/>
          </w:tcPr>
          <w:p w14:paraId="70EFB550">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建筑施工</w:t>
            </w:r>
          </w:p>
        </w:tc>
        <w:tc>
          <w:tcPr>
            <w:tcW w:w="591" w:type="pct"/>
            <w:tcBorders>
              <w:tl2br w:val="nil"/>
              <w:tr2bl w:val="nil"/>
            </w:tcBorders>
            <w:vAlign w:val="center"/>
          </w:tcPr>
          <w:p w14:paraId="47DC990C">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-1D</w:t>
            </w:r>
          </w:p>
        </w:tc>
        <w:tc>
          <w:tcPr>
            <w:tcW w:w="691" w:type="pct"/>
            <w:tcBorders>
              <w:tl2br w:val="nil"/>
              <w:tr2bl w:val="nil"/>
            </w:tcBorders>
            <w:vAlign w:val="center"/>
          </w:tcPr>
          <w:p w14:paraId="4D7FDEB2">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-1D</w:t>
            </w:r>
          </w:p>
        </w:tc>
        <w:tc>
          <w:tcPr>
            <w:tcW w:w="709" w:type="pct"/>
            <w:tcBorders>
              <w:tl2br w:val="nil"/>
              <w:tr2bl w:val="nil"/>
            </w:tcBorders>
            <w:vAlign w:val="center"/>
          </w:tcPr>
          <w:p w14:paraId="691D9C39">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-1D</w:t>
            </w:r>
          </w:p>
        </w:tc>
        <w:tc>
          <w:tcPr>
            <w:tcW w:w="487" w:type="pct"/>
            <w:tcBorders>
              <w:tl2br w:val="nil"/>
              <w:tr2bl w:val="nil"/>
            </w:tcBorders>
            <w:vAlign w:val="center"/>
          </w:tcPr>
          <w:p w14:paraId="656EEE8D">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-2D</w:t>
            </w:r>
          </w:p>
        </w:tc>
        <w:tc>
          <w:tcPr>
            <w:tcW w:w="590" w:type="pct"/>
            <w:tcBorders>
              <w:tl2br w:val="nil"/>
              <w:tr2bl w:val="nil"/>
            </w:tcBorders>
            <w:vAlign w:val="center"/>
          </w:tcPr>
          <w:p w14:paraId="622756EA">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-1D</w:t>
            </w:r>
          </w:p>
        </w:tc>
        <w:tc>
          <w:tcPr>
            <w:tcW w:w="600" w:type="pct"/>
            <w:tcBorders>
              <w:tl2br w:val="nil"/>
              <w:tr2bl w:val="nil"/>
            </w:tcBorders>
            <w:vAlign w:val="center"/>
          </w:tcPr>
          <w:p w14:paraId="17CB0904">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-1D</w:t>
            </w:r>
          </w:p>
        </w:tc>
      </w:tr>
      <w:tr w14:paraId="36D35A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vMerge w:val="restart"/>
            <w:tcBorders>
              <w:tl2br w:val="nil"/>
              <w:tr2bl w:val="nil"/>
            </w:tcBorders>
            <w:vAlign w:val="center"/>
          </w:tcPr>
          <w:p w14:paraId="4C8CE6AF">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运营期</w:t>
            </w:r>
          </w:p>
        </w:tc>
        <w:tc>
          <w:tcPr>
            <w:tcW w:w="906" w:type="pct"/>
            <w:tcBorders>
              <w:tl2br w:val="nil"/>
              <w:tr2bl w:val="nil"/>
            </w:tcBorders>
            <w:vAlign w:val="center"/>
          </w:tcPr>
          <w:p w14:paraId="325E3C61">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废气排放</w:t>
            </w:r>
          </w:p>
        </w:tc>
        <w:tc>
          <w:tcPr>
            <w:tcW w:w="591" w:type="pct"/>
            <w:tcBorders>
              <w:tl2br w:val="nil"/>
              <w:tr2bl w:val="nil"/>
            </w:tcBorders>
            <w:vAlign w:val="center"/>
          </w:tcPr>
          <w:p w14:paraId="7F4414AE">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-1C</w:t>
            </w:r>
          </w:p>
        </w:tc>
        <w:tc>
          <w:tcPr>
            <w:tcW w:w="691" w:type="pct"/>
            <w:tcBorders>
              <w:tl2br w:val="nil"/>
              <w:tr2bl w:val="nil"/>
            </w:tcBorders>
            <w:vAlign w:val="center"/>
          </w:tcPr>
          <w:p w14:paraId="29689473">
            <w:pPr>
              <w:pStyle w:val="37"/>
              <w:widowControl w:val="0"/>
              <w:bidi w:val="0"/>
              <w:rPr>
                <w:rFonts w:hint="default" w:ascii="Times New Roman" w:hAnsi="Times New Roman" w:cs="Times New Roman"/>
                <w:color w:val="auto"/>
                <w:highlight w:val="none"/>
              </w:rPr>
            </w:pPr>
          </w:p>
        </w:tc>
        <w:tc>
          <w:tcPr>
            <w:tcW w:w="709" w:type="pct"/>
            <w:tcBorders>
              <w:tl2br w:val="nil"/>
              <w:tr2bl w:val="nil"/>
            </w:tcBorders>
            <w:vAlign w:val="center"/>
          </w:tcPr>
          <w:p w14:paraId="34488251">
            <w:pPr>
              <w:pStyle w:val="37"/>
              <w:widowControl w:val="0"/>
              <w:bidi w:val="0"/>
              <w:rPr>
                <w:rFonts w:hint="default" w:ascii="Times New Roman" w:hAnsi="Times New Roman" w:cs="Times New Roman"/>
                <w:color w:val="auto"/>
                <w:highlight w:val="none"/>
              </w:rPr>
            </w:pPr>
          </w:p>
        </w:tc>
        <w:tc>
          <w:tcPr>
            <w:tcW w:w="487" w:type="pct"/>
            <w:tcBorders>
              <w:tl2br w:val="nil"/>
              <w:tr2bl w:val="nil"/>
            </w:tcBorders>
            <w:vAlign w:val="center"/>
          </w:tcPr>
          <w:p w14:paraId="097F7369">
            <w:pPr>
              <w:pStyle w:val="37"/>
              <w:widowControl w:val="0"/>
              <w:bidi w:val="0"/>
              <w:rPr>
                <w:rFonts w:hint="default" w:ascii="Times New Roman" w:hAnsi="Times New Roman" w:cs="Times New Roman"/>
                <w:color w:val="auto"/>
                <w:highlight w:val="none"/>
              </w:rPr>
            </w:pPr>
          </w:p>
        </w:tc>
        <w:tc>
          <w:tcPr>
            <w:tcW w:w="590" w:type="pct"/>
            <w:tcBorders>
              <w:tl2br w:val="nil"/>
              <w:tr2bl w:val="nil"/>
            </w:tcBorders>
            <w:vAlign w:val="center"/>
          </w:tcPr>
          <w:p w14:paraId="3E5B2905">
            <w:pPr>
              <w:pStyle w:val="37"/>
              <w:widowControl w:val="0"/>
              <w:bidi w:val="0"/>
              <w:rPr>
                <w:rFonts w:hint="default" w:ascii="Times New Roman" w:hAnsi="Times New Roman" w:cs="Times New Roman"/>
                <w:color w:val="auto"/>
                <w:highlight w:val="none"/>
              </w:rPr>
            </w:pPr>
          </w:p>
        </w:tc>
        <w:tc>
          <w:tcPr>
            <w:tcW w:w="600" w:type="pct"/>
            <w:tcBorders>
              <w:tl2br w:val="nil"/>
              <w:tr2bl w:val="nil"/>
            </w:tcBorders>
            <w:vAlign w:val="center"/>
          </w:tcPr>
          <w:p w14:paraId="56B093D3">
            <w:pPr>
              <w:pStyle w:val="37"/>
              <w:widowControl w:val="0"/>
              <w:bidi w:val="0"/>
              <w:rPr>
                <w:rFonts w:hint="default" w:ascii="Times New Roman" w:hAnsi="Times New Roman" w:cs="Times New Roman"/>
                <w:color w:val="auto"/>
                <w:highlight w:val="none"/>
              </w:rPr>
            </w:pPr>
          </w:p>
        </w:tc>
      </w:tr>
      <w:tr w14:paraId="2FCA51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vMerge w:val="continue"/>
            <w:tcBorders>
              <w:tl2br w:val="nil"/>
              <w:tr2bl w:val="nil"/>
            </w:tcBorders>
            <w:vAlign w:val="center"/>
          </w:tcPr>
          <w:p w14:paraId="3AE3DBAD">
            <w:pPr>
              <w:pStyle w:val="37"/>
              <w:widowControl w:val="0"/>
              <w:bidi w:val="0"/>
              <w:rPr>
                <w:rFonts w:hint="default" w:ascii="Times New Roman" w:hAnsi="Times New Roman" w:cs="Times New Roman"/>
                <w:color w:val="auto"/>
                <w:highlight w:val="none"/>
              </w:rPr>
            </w:pPr>
          </w:p>
        </w:tc>
        <w:tc>
          <w:tcPr>
            <w:tcW w:w="906" w:type="pct"/>
            <w:tcBorders>
              <w:tl2br w:val="nil"/>
              <w:tr2bl w:val="nil"/>
            </w:tcBorders>
            <w:vAlign w:val="center"/>
          </w:tcPr>
          <w:p w14:paraId="1BC57D17">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废水排放</w:t>
            </w:r>
          </w:p>
        </w:tc>
        <w:tc>
          <w:tcPr>
            <w:tcW w:w="591" w:type="pct"/>
            <w:tcBorders>
              <w:tl2br w:val="nil"/>
              <w:tr2bl w:val="nil"/>
            </w:tcBorders>
            <w:vAlign w:val="center"/>
          </w:tcPr>
          <w:p w14:paraId="5A5B58A0">
            <w:pPr>
              <w:pStyle w:val="37"/>
              <w:widowControl w:val="0"/>
              <w:bidi w:val="0"/>
              <w:rPr>
                <w:rFonts w:hint="default" w:ascii="Times New Roman" w:hAnsi="Times New Roman" w:cs="Times New Roman"/>
                <w:color w:val="auto"/>
                <w:highlight w:val="none"/>
              </w:rPr>
            </w:pPr>
          </w:p>
        </w:tc>
        <w:tc>
          <w:tcPr>
            <w:tcW w:w="691" w:type="pct"/>
            <w:tcBorders>
              <w:tl2br w:val="nil"/>
              <w:tr2bl w:val="nil"/>
            </w:tcBorders>
            <w:vAlign w:val="center"/>
          </w:tcPr>
          <w:p w14:paraId="11ADA4EE">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-1C</w:t>
            </w:r>
          </w:p>
        </w:tc>
        <w:tc>
          <w:tcPr>
            <w:tcW w:w="709" w:type="pct"/>
            <w:tcBorders>
              <w:tl2br w:val="nil"/>
              <w:tr2bl w:val="nil"/>
            </w:tcBorders>
            <w:vAlign w:val="center"/>
          </w:tcPr>
          <w:p w14:paraId="3E8E3D85">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-1C</w:t>
            </w:r>
          </w:p>
        </w:tc>
        <w:tc>
          <w:tcPr>
            <w:tcW w:w="487" w:type="pct"/>
            <w:tcBorders>
              <w:tl2br w:val="nil"/>
              <w:tr2bl w:val="nil"/>
            </w:tcBorders>
            <w:vAlign w:val="center"/>
          </w:tcPr>
          <w:p w14:paraId="27C9A265">
            <w:pPr>
              <w:pStyle w:val="37"/>
              <w:widowControl w:val="0"/>
              <w:bidi w:val="0"/>
              <w:rPr>
                <w:rFonts w:hint="default" w:ascii="Times New Roman" w:hAnsi="Times New Roman" w:cs="Times New Roman"/>
                <w:color w:val="auto"/>
                <w:highlight w:val="none"/>
              </w:rPr>
            </w:pPr>
          </w:p>
        </w:tc>
        <w:tc>
          <w:tcPr>
            <w:tcW w:w="590" w:type="pct"/>
            <w:tcBorders>
              <w:tl2br w:val="nil"/>
              <w:tr2bl w:val="nil"/>
            </w:tcBorders>
            <w:vAlign w:val="center"/>
          </w:tcPr>
          <w:p w14:paraId="0D4CE2A5">
            <w:pPr>
              <w:pStyle w:val="37"/>
              <w:widowControl w:val="0"/>
              <w:bidi w:val="0"/>
              <w:rPr>
                <w:rFonts w:hint="default" w:ascii="Times New Roman" w:hAnsi="Times New Roman" w:cs="Times New Roman"/>
                <w:color w:val="auto"/>
                <w:highlight w:val="none"/>
              </w:rPr>
            </w:pPr>
          </w:p>
        </w:tc>
        <w:tc>
          <w:tcPr>
            <w:tcW w:w="600" w:type="pct"/>
            <w:tcBorders>
              <w:tl2br w:val="nil"/>
              <w:tr2bl w:val="nil"/>
            </w:tcBorders>
            <w:vAlign w:val="center"/>
          </w:tcPr>
          <w:p w14:paraId="28AB0737">
            <w:pPr>
              <w:pStyle w:val="37"/>
              <w:widowControl w:val="0"/>
              <w:bidi w:val="0"/>
              <w:rPr>
                <w:rFonts w:hint="default" w:ascii="Times New Roman" w:hAnsi="Times New Roman" w:cs="Times New Roman"/>
                <w:color w:val="auto"/>
                <w:highlight w:val="none"/>
              </w:rPr>
            </w:pPr>
          </w:p>
        </w:tc>
      </w:tr>
      <w:tr w14:paraId="73239F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vMerge w:val="continue"/>
            <w:tcBorders>
              <w:tl2br w:val="nil"/>
              <w:tr2bl w:val="nil"/>
            </w:tcBorders>
            <w:vAlign w:val="center"/>
          </w:tcPr>
          <w:p w14:paraId="47146A19">
            <w:pPr>
              <w:pStyle w:val="37"/>
              <w:widowControl w:val="0"/>
              <w:bidi w:val="0"/>
              <w:rPr>
                <w:rFonts w:hint="default" w:ascii="Times New Roman" w:hAnsi="Times New Roman" w:cs="Times New Roman"/>
                <w:color w:val="auto"/>
                <w:highlight w:val="none"/>
              </w:rPr>
            </w:pPr>
          </w:p>
        </w:tc>
        <w:tc>
          <w:tcPr>
            <w:tcW w:w="906" w:type="pct"/>
            <w:tcBorders>
              <w:tl2br w:val="nil"/>
              <w:tr2bl w:val="nil"/>
            </w:tcBorders>
            <w:vAlign w:val="center"/>
          </w:tcPr>
          <w:p w14:paraId="6CF8BD85">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噪声排放</w:t>
            </w:r>
          </w:p>
        </w:tc>
        <w:tc>
          <w:tcPr>
            <w:tcW w:w="591" w:type="pct"/>
            <w:tcBorders>
              <w:tl2br w:val="nil"/>
              <w:tr2bl w:val="nil"/>
            </w:tcBorders>
            <w:vAlign w:val="center"/>
          </w:tcPr>
          <w:p w14:paraId="174FCDB2">
            <w:pPr>
              <w:pStyle w:val="37"/>
              <w:widowControl w:val="0"/>
              <w:bidi w:val="0"/>
              <w:rPr>
                <w:rFonts w:hint="default" w:ascii="Times New Roman" w:hAnsi="Times New Roman" w:cs="Times New Roman"/>
                <w:color w:val="auto"/>
                <w:highlight w:val="none"/>
              </w:rPr>
            </w:pPr>
          </w:p>
        </w:tc>
        <w:tc>
          <w:tcPr>
            <w:tcW w:w="691" w:type="pct"/>
            <w:tcBorders>
              <w:tl2br w:val="nil"/>
              <w:tr2bl w:val="nil"/>
            </w:tcBorders>
            <w:vAlign w:val="center"/>
          </w:tcPr>
          <w:p w14:paraId="1AC65959">
            <w:pPr>
              <w:pStyle w:val="37"/>
              <w:widowControl w:val="0"/>
              <w:bidi w:val="0"/>
              <w:rPr>
                <w:rFonts w:hint="default" w:ascii="Times New Roman" w:hAnsi="Times New Roman" w:cs="Times New Roman"/>
                <w:color w:val="auto"/>
                <w:highlight w:val="none"/>
              </w:rPr>
            </w:pPr>
          </w:p>
        </w:tc>
        <w:tc>
          <w:tcPr>
            <w:tcW w:w="709" w:type="pct"/>
            <w:tcBorders>
              <w:tl2br w:val="nil"/>
              <w:tr2bl w:val="nil"/>
            </w:tcBorders>
            <w:vAlign w:val="center"/>
          </w:tcPr>
          <w:p w14:paraId="65E607CC">
            <w:pPr>
              <w:pStyle w:val="37"/>
              <w:widowControl w:val="0"/>
              <w:bidi w:val="0"/>
              <w:rPr>
                <w:rFonts w:hint="default" w:ascii="Times New Roman" w:hAnsi="Times New Roman" w:cs="Times New Roman"/>
                <w:color w:val="auto"/>
                <w:highlight w:val="none"/>
              </w:rPr>
            </w:pPr>
          </w:p>
        </w:tc>
        <w:tc>
          <w:tcPr>
            <w:tcW w:w="487" w:type="pct"/>
            <w:tcBorders>
              <w:tl2br w:val="nil"/>
              <w:tr2bl w:val="nil"/>
            </w:tcBorders>
            <w:vAlign w:val="center"/>
          </w:tcPr>
          <w:p w14:paraId="17E0A0E1">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-1C</w:t>
            </w:r>
          </w:p>
        </w:tc>
        <w:tc>
          <w:tcPr>
            <w:tcW w:w="590" w:type="pct"/>
            <w:tcBorders>
              <w:tl2br w:val="nil"/>
              <w:tr2bl w:val="nil"/>
            </w:tcBorders>
            <w:vAlign w:val="center"/>
          </w:tcPr>
          <w:p w14:paraId="3FA65F6B">
            <w:pPr>
              <w:pStyle w:val="37"/>
              <w:widowControl w:val="0"/>
              <w:bidi w:val="0"/>
              <w:rPr>
                <w:rFonts w:hint="default" w:ascii="Times New Roman" w:hAnsi="Times New Roman" w:cs="Times New Roman"/>
                <w:color w:val="auto"/>
                <w:highlight w:val="none"/>
              </w:rPr>
            </w:pPr>
          </w:p>
        </w:tc>
        <w:tc>
          <w:tcPr>
            <w:tcW w:w="600" w:type="pct"/>
            <w:tcBorders>
              <w:tl2br w:val="nil"/>
              <w:tr2bl w:val="nil"/>
            </w:tcBorders>
            <w:vAlign w:val="center"/>
          </w:tcPr>
          <w:p w14:paraId="5D7CBDEB">
            <w:pPr>
              <w:pStyle w:val="37"/>
              <w:widowControl w:val="0"/>
              <w:bidi w:val="0"/>
              <w:rPr>
                <w:rFonts w:hint="default" w:ascii="Times New Roman" w:hAnsi="Times New Roman" w:cs="Times New Roman"/>
                <w:color w:val="auto"/>
                <w:highlight w:val="none"/>
              </w:rPr>
            </w:pPr>
          </w:p>
        </w:tc>
      </w:tr>
      <w:tr w14:paraId="4932AF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vMerge w:val="continue"/>
            <w:tcBorders>
              <w:tl2br w:val="nil"/>
              <w:tr2bl w:val="nil"/>
            </w:tcBorders>
            <w:vAlign w:val="center"/>
          </w:tcPr>
          <w:p w14:paraId="72DB944B">
            <w:pPr>
              <w:pStyle w:val="37"/>
              <w:widowControl w:val="0"/>
              <w:bidi w:val="0"/>
              <w:rPr>
                <w:rFonts w:hint="default" w:ascii="Times New Roman" w:hAnsi="Times New Roman" w:cs="Times New Roman"/>
                <w:color w:val="auto"/>
                <w:highlight w:val="none"/>
              </w:rPr>
            </w:pPr>
          </w:p>
        </w:tc>
        <w:tc>
          <w:tcPr>
            <w:tcW w:w="906" w:type="pct"/>
            <w:tcBorders>
              <w:tl2br w:val="nil"/>
              <w:tr2bl w:val="nil"/>
            </w:tcBorders>
            <w:vAlign w:val="center"/>
          </w:tcPr>
          <w:p w14:paraId="5CA6DA9D">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固体废物处置</w:t>
            </w:r>
          </w:p>
        </w:tc>
        <w:tc>
          <w:tcPr>
            <w:tcW w:w="591" w:type="pct"/>
            <w:tcBorders>
              <w:tl2br w:val="nil"/>
              <w:tr2bl w:val="nil"/>
            </w:tcBorders>
            <w:vAlign w:val="center"/>
          </w:tcPr>
          <w:p w14:paraId="6DAFF0D3">
            <w:pPr>
              <w:pStyle w:val="37"/>
              <w:widowControl w:val="0"/>
              <w:bidi w:val="0"/>
              <w:rPr>
                <w:rFonts w:hint="default" w:ascii="Times New Roman" w:hAnsi="Times New Roman" w:cs="Times New Roman"/>
                <w:color w:val="auto"/>
                <w:highlight w:val="none"/>
              </w:rPr>
            </w:pPr>
          </w:p>
        </w:tc>
        <w:tc>
          <w:tcPr>
            <w:tcW w:w="691" w:type="pct"/>
            <w:tcBorders>
              <w:tl2br w:val="nil"/>
              <w:tr2bl w:val="nil"/>
            </w:tcBorders>
            <w:vAlign w:val="center"/>
          </w:tcPr>
          <w:p w14:paraId="27189811">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-1C</w:t>
            </w:r>
          </w:p>
        </w:tc>
        <w:tc>
          <w:tcPr>
            <w:tcW w:w="709" w:type="pct"/>
            <w:tcBorders>
              <w:tl2br w:val="nil"/>
              <w:tr2bl w:val="nil"/>
            </w:tcBorders>
            <w:vAlign w:val="center"/>
          </w:tcPr>
          <w:p w14:paraId="48F9D97D">
            <w:pPr>
              <w:pStyle w:val="37"/>
              <w:widowControl w:val="0"/>
              <w:bidi w:val="0"/>
              <w:rPr>
                <w:rFonts w:hint="default" w:ascii="Times New Roman" w:hAnsi="Times New Roman" w:cs="Times New Roman"/>
                <w:color w:val="auto"/>
                <w:highlight w:val="none"/>
              </w:rPr>
            </w:pPr>
          </w:p>
        </w:tc>
        <w:tc>
          <w:tcPr>
            <w:tcW w:w="487" w:type="pct"/>
            <w:tcBorders>
              <w:tl2br w:val="nil"/>
              <w:tr2bl w:val="nil"/>
            </w:tcBorders>
            <w:vAlign w:val="center"/>
          </w:tcPr>
          <w:p w14:paraId="47015CB1">
            <w:pPr>
              <w:pStyle w:val="37"/>
              <w:widowControl w:val="0"/>
              <w:bidi w:val="0"/>
              <w:rPr>
                <w:rFonts w:hint="default" w:ascii="Times New Roman" w:hAnsi="Times New Roman" w:cs="Times New Roman"/>
                <w:color w:val="auto"/>
                <w:highlight w:val="none"/>
              </w:rPr>
            </w:pPr>
          </w:p>
        </w:tc>
        <w:tc>
          <w:tcPr>
            <w:tcW w:w="590" w:type="pct"/>
            <w:tcBorders>
              <w:tl2br w:val="nil"/>
              <w:tr2bl w:val="nil"/>
            </w:tcBorders>
            <w:vAlign w:val="center"/>
          </w:tcPr>
          <w:p w14:paraId="34DB698B">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-1C</w:t>
            </w:r>
          </w:p>
        </w:tc>
        <w:tc>
          <w:tcPr>
            <w:tcW w:w="600" w:type="pct"/>
            <w:tcBorders>
              <w:tl2br w:val="nil"/>
              <w:tr2bl w:val="nil"/>
            </w:tcBorders>
            <w:vAlign w:val="center"/>
          </w:tcPr>
          <w:p w14:paraId="764DD29F">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-1C</w:t>
            </w:r>
          </w:p>
        </w:tc>
      </w:tr>
      <w:tr w14:paraId="2983B0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vMerge w:val="continue"/>
            <w:tcBorders>
              <w:tl2br w:val="nil"/>
              <w:tr2bl w:val="nil"/>
            </w:tcBorders>
            <w:vAlign w:val="center"/>
          </w:tcPr>
          <w:p w14:paraId="799CBD5D">
            <w:pPr>
              <w:pStyle w:val="37"/>
              <w:widowControl w:val="0"/>
              <w:bidi w:val="0"/>
              <w:rPr>
                <w:rFonts w:hint="default" w:ascii="Times New Roman" w:hAnsi="Times New Roman" w:cs="Times New Roman"/>
                <w:color w:val="auto"/>
                <w:highlight w:val="none"/>
              </w:rPr>
            </w:pPr>
          </w:p>
        </w:tc>
        <w:tc>
          <w:tcPr>
            <w:tcW w:w="906" w:type="pct"/>
            <w:tcBorders>
              <w:tl2br w:val="nil"/>
              <w:tr2bl w:val="nil"/>
            </w:tcBorders>
            <w:vAlign w:val="center"/>
          </w:tcPr>
          <w:p w14:paraId="22CD25F0">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事故排放</w:t>
            </w:r>
          </w:p>
        </w:tc>
        <w:tc>
          <w:tcPr>
            <w:tcW w:w="591" w:type="pct"/>
            <w:tcBorders>
              <w:tl2br w:val="nil"/>
              <w:tr2bl w:val="nil"/>
            </w:tcBorders>
            <w:vAlign w:val="center"/>
          </w:tcPr>
          <w:p w14:paraId="028D8071">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-2D</w:t>
            </w:r>
          </w:p>
        </w:tc>
        <w:tc>
          <w:tcPr>
            <w:tcW w:w="691" w:type="pct"/>
            <w:tcBorders>
              <w:tl2br w:val="nil"/>
              <w:tr2bl w:val="nil"/>
            </w:tcBorders>
            <w:vAlign w:val="center"/>
          </w:tcPr>
          <w:p w14:paraId="66B8F5BC">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-2D</w:t>
            </w:r>
          </w:p>
        </w:tc>
        <w:tc>
          <w:tcPr>
            <w:tcW w:w="709" w:type="pct"/>
            <w:tcBorders>
              <w:tl2br w:val="nil"/>
              <w:tr2bl w:val="nil"/>
            </w:tcBorders>
            <w:vAlign w:val="center"/>
          </w:tcPr>
          <w:p w14:paraId="7BABBBD8">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-1D</w:t>
            </w:r>
          </w:p>
        </w:tc>
        <w:tc>
          <w:tcPr>
            <w:tcW w:w="487" w:type="pct"/>
            <w:tcBorders>
              <w:tl2br w:val="nil"/>
              <w:tr2bl w:val="nil"/>
            </w:tcBorders>
            <w:vAlign w:val="center"/>
          </w:tcPr>
          <w:p w14:paraId="6A25026C">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-1D</w:t>
            </w:r>
          </w:p>
        </w:tc>
        <w:tc>
          <w:tcPr>
            <w:tcW w:w="590" w:type="pct"/>
            <w:tcBorders>
              <w:tl2br w:val="nil"/>
              <w:tr2bl w:val="nil"/>
            </w:tcBorders>
            <w:vAlign w:val="center"/>
          </w:tcPr>
          <w:p w14:paraId="3E97302E">
            <w:pPr>
              <w:pStyle w:val="37"/>
              <w:widowControl w:val="0"/>
              <w:bidi w:val="0"/>
              <w:rPr>
                <w:rFonts w:hint="default" w:ascii="Times New Roman" w:hAnsi="Times New Roman" w:cs="Times New Roman"/>
                <w:color w:val="auto"/>
                <w:highlight w:val="none"/>
              </w:rPr>
            </w:pPr>
          </w:p>
        </w:tc>
        <w:tc>
          <w:tcPr>
            <w:tcW w:w="600" w:type="pct"/>
            <w:tcBorders>
              <w:tl2br w:val="nil"/>
              <w:tr2bl w:val="nil"/>
            </w:tcBorders>
            <w:vAlign w:val="center"/>
          </w:tcPr>
          <w:p w14:paraId="3D004CA7">
            <w:pPr>
              <w:pStyle w:val="37"/>
              <w:widowControl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-1D</w:t>
            </w:r>
          </w:p>
        </w:tc>
      </w:tr>
      <w:tr w14:paraId="767A42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8"/>
            <w:tcBorders>
              <w:tl2br w:val="nil"/>
              <w:tr2bl w:val="nil"/>
            </w:tcBorders>
            <w:vAlign w:val="center"/>
          </w:tcPr>
          <w:p w14:paraId="72F1635B">
            <w:pPr>
              <w:pStyle w:val="37"/>
              <w:widowControl w:val="0"/>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注：1、表中“+”表示正效益，“-”表示负效益。</w:t>
            </w:r>
          </w:p>
          <w:p w14:paraId="1C4F3423">
            <w:pPr>
              <w:pStyle w:val="37"/>
              <w:widowControl w:val="0"/>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2、表中数字表示影响的相对程度，“1”表示影响较小，“2”表示影响中等，“3”表示影响较大。</w:t>
            </w:r>
          </w:p>
          <w:p w14:paraId="4F10DB89">
            <w:pPr>
              <w:pStyle w:val="37"/>
              <w:widowControl w:val="0"/>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3、表中“D”表示短期影响，“C表示长期影响”。</w:t>
            </w:r>
          </w:p>
        </w:tc>
      </w:tr>
    </w:tbl>
    <w:p w14:paraId="3473F79B">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default" w:ascii="Times New Roman" w:hAnsi="Times New Roman" w:eastAsia="宋体" w:cs="Times New Roman"/>
          <w:b/>
          <w:bCs/>
          <w:color w:val="auto"/>
          <w:spacing w:val="0"/>
          <w:position w:val="0"/>
          <w:sz w:val="30"/>
          <w:szCs w:val="30"/>
          <w:lang w:val="en-US" w:eastAsia="zh-CN"/>
        </w:rPr>
        <w:t>2.4.2评价因子筛选</w:t>
      </w:r>
    </w:p>
    <w:p w14:paraId="354BE619">
      <w:pPr>
        <w:keepNext w:val="0"/>
        <w:keepLines w:val="0"/>
        <w:pageBreakBefore w:val="0"/>
        <w:widowControl/>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highlight w:val="none"/>
        </w:rPr>
        <w:t>根据本项目</w:t>
      </w:r>
      <w:r>
        <w:rPr>
          <w:rFonts w:hint="default" w:ascii="Times New Roman" w:hAnsi="Times New Roman" w:cs="Times New Roman"/>
          <w:color w:val="auto"/>
          <w:sz w:val="24"/>
          <w:highlight w:val="none"/>
          <w:lang w:val="en-US" w:eastAsia="zh-CN"/>
        </w:rPr>
        <w:t>污染物排放特点和对环境影响因子的识别，</w:t>
      </w:r>
      <w:r>
        <w:rPr>
          <w:rFonts w:hint="default" w:ascii="Times New Roman" w:hAnsi="Times New Roman" w:cs="Times New Roman"/>
          <w:color w:val="auto"/>
          <w:sz w:val="24"/>
          <w:highlight w:val="none"/>
        </w:rPr>
        <w:t>确定本项目的各环境影响评价因子</w:t>
      </w:r>
      <w:r>
        <w:rPr>
          <w:rFonts w:hint="default" w:ascii="Times New Roman" w:hAnsi="Times New Roman" w:cs="Times New Roman"/>
          <w:color w:val="auto"/>
          <w:sz w:val="24"/>
          <w:lang w:val="en-US" w:eastAsia="zh-CN"/>
        </w:rPr>
        <w:t>见表2.4-2</w:t>
      </w:r>
      <w:r>
        <w:rPr>
          <w:rFonts w:hint="eastAsia" w:ascii="Times New Roman" w:hAnsi="Times New Roman" w:cs="Times New Roman"/>
          <w:color w:val="auto"/>
          <w:sz w:val="24"/>
          <w:lang w:val="en-US" w:eastAsia="zh-CN"/>
        </w:rPr>
        <w:t>。</w:t>
      </w:r>
    </w:p>
    <w:p w14:paraId="079384C5">
      <w:pPr>
        <w:pStyle w:val="13"/>
        <w:keepNext w:val="0"/>
        <w:keepLines w:val="0"/>
        <w:pageBreakBefore w:val="0"/>
        <w:widowControl/>
        <w:numPr>
          <w:ilvl w:val="0"/>
          <w:numId w:val="0"/>
        </w:numPr>
        <w:kinsoku/>
        <w:wordWrap/>
        <w:overflowPunct/>
        <w:topLinePunct w:val="0"/>
        <w:autoSpaceDE/>
        <w:autoSpaceDN/>
        <w:bidi w:val="0"/>
        <w:adjustRightInd/>
        <w:snapToGrid w:val="0"/>
        <w:spacing w:beforeLines="0" w:afterLines="0" w:line="240" w:lineRule="auto"/>
        <w:ind w:right="0" w:right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表2.4-2  环境影响</w:t>
      </w:r>
      <w:r>
        <w:rPr>
          <w:rFonts w:hint="default" w:ascii="Times New Roman" w:hAnsi="Times New Roman" w:cs="Times New Roman"/>
          <w:b/>
          <w:bCs/>
          <w:color w:val="auto"/>
          <w:sz w:val="24"/>
          <w:szCs w:val="24"/>
          <w:highlight w:val="none"/>
          <w:lang w:val="en-US" w:eastAsia="zh-CN"/>
        </w:rPr>
        <w:t>评价</w:t>
      </w:r>
      <w:r>
        <w:rPr>
          <w:rFonts w:hint="default" w:ascii="Times New Roman" w:hAnsi="Times New Roman" w:eastAsia="宋体" w:cs="Times New Roman"/>
          <w:b/>
          <w:bCs/>
          <w:color w:val="auto"/>
          <w:sz w:val="24"/>
          <w:szCs w:val="24"/>
          <w:highlight w:val="none"/>
          <w:lang w:val="en-US" w:eastAsia="zh-CN"/>
        </w:rPr>
        <w:t>因子筛选表</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13"/>
        <w:gridCol w:w="995"/>
        <w:gridCol w:w="1011"/>
        <w:gridCol w:w="6553"/>
      </w:tblGrid>
      <w:tr w14:paraId="6FAFF1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283" w:type="pct"/>
            <w:noWrap w:val="0"/>
            <w:vAlign w:val="center"/>
          </w:tcPr>
          <w:p w14:paraId="396B7524">
            <w:pPr>
              <w:keepNext w:val="0"/>
              <w:keepLines w:val="0"/>
              <w:kinsoku/>
              <w:overflowPunct/>
              <w:topLinePunct w:val="0"/>
              <w:bidi w:val="0"/>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序号</w:t>
            </w:r>
          </w:p>
        </w:tc>
        <w:tc>
          <w:tcPr>
            <w:tcW w:w="548" w:type="pct"/>
            <w:noWrap w:val="0"/>
            <w:vAlign w:val="center"/>
          </w:tcPr>
          <w:p w14:paraId="6E8D3FAC">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环境要素</w:t>
            </w:r>
          </w:p>
        </w:tc>
        <w:tc>
          <w:tcPr>
            <w:tcW w:w="557" w:type="pct"/>
            <w:noWrap w:val="0"/>
            <w:vAlign w:val="center"/>
          </w:tcPr>
          <w:p w14:paraId="6BD8F50C">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评价专题</w:t>
            </w:r>
          </w:p>
        </w:tc>
        <w:tc>
          <w:tcPr>
            <w:tcW w:w="3610" w:type="pct"/>
            <w:noWrap w:val="0"/>
            <w:vAlign w:val="center"/>
          </w:tcPr>
          <w:p w14:paraId="15C50DF4">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评价因子</w:t>
            </w:r>
          </w:p>
        </w:tc>
      </w:tr>
      <w:tr w14:paraId="4BD1C9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3" w:type="pct"/>
            <w:vMerge w:val="restart"/>
            <w:noWrap w:val="0"/>
            <w:vAlign w:val="center"/>
          </w:tcPr>
          <w:p w14:paraId="739D6729">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w:t>
            </w:r>
          </w:p>
        </w:tc>
        <w:tc>
          <w:tcPr>
            <w:tcW w:w="548" w:type="pct"/>
            <w:vMerge w:val="restart"/>
            <w:noWrap w:val="0"/>
            <w:vAlign w:val="center"/>
          </w:tcPr>
          <w:p w14:paraId="7EE548ED">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环境空气</w:t>
            </w:r>
          </w:p>
        </w:tc>
        <w:tc>
          <w:tcPr>
            <w:tcW w:w="557" w:type="pct"/>
            <w:noWrap w:val="0"/>
            <w:vAlign w:val="center"/>
          </w:tcPr>
          <w:p w14:paraId="6F9B5D8B">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现状评价</w:t>
            </w:r>
          </w:p>
        </w:tc>
        <w:tc>
          <w:tcPr>
            <w:tcW w:w="3610" w:type="pct"/>
            <w:noWrap w:val="0"/>
            <w:vAlign w:val="center"/>
          </w:tcPr>
          <w:p w14:paraId="2658668E">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SO</w:t>
            </w:r>
            <w:r>
              <w:rPr>
                <w:rFonts w:hint="default" w:ascii="Times New Roman" w:hAnsi="Times New Roman" w:cs="Times New Roman"/>
                <w:color w:val="auto"/>
                <w:kern w:val="0"/>
                <w:sz w:val="21"/>
                <w:szCs w:val="21"/>
                <w:vertAlign w:val="subscript"/>
              </w:rPr>
              <w:t>2</w:t>
            </w:r>
            <w:r>
              <w:rPr>
                <w:rFonts w:hint="default" w:ascii="Times New Roman" w:hAnsi="Times New Roman" w:cs="Times New Roman"/>
                <w:color w:val="auto"/>
                <w:kern w:val="0"/>
                <w:sz w:val="21"/>
                <w:szCs w:val="21"/>
              </w:rPr>
              <w:t>、NO</w:t>
            </w:r>
            <w:r>
              <w:rPr>
                <w:rFonts w:hint="default" w:ascii="Times New Roman" w:hAnsi="Times New Roman" w:cs="Times New Roman"/>
                <w:color w:val="auto"/>
                <w:kern w:val="0"/>
                <w:sz w:val="21"/>
                <w:szCs w:val="21"/>
                <w:vertAlign w:val="subscript"/>
              </w:rPr>
              <w:t>2</w:t>
            </w:r>
            <w:r>
              <w:rPr>
                <w:rFonts w:hint="default" w:ascii="Times New Roman" w:hAnsi="Times New Roman" w:cs="Times New Roman"/>
                <w:color w:val="auto"/>
                <w:kern w:val="0"/>
                <w:sz w:val="21"/>
                <w:szCs w:val="21"/>
              </w:rPr>
              <w:t>、PM</w:t>
            </w:r>
            <w:r>
              <w:rPr>
                <w:rFonts w:hint="default" w:ascii="Times New Roman" w:hAnsi="Times New Roman" w:cs="Times New Roman"/>
                <w:color w:val="auto"/>
                <w:kern w:val="0"/>
                <w:sz w:val="21"/>
                <w:szCs w:val="21"/>
                <w:vertAlign w:val="subscript"/>
              </w:rPr>
              <w:t>2.5</w:t>
            </w:r>
            <w:r>
              <w:rPr>
                <w:rFonts w:hint="default" w:ascii="Times New Roman" w:hAnsi="Times New Roman" w:cs="Times New Roman"/>
                <w:color w:val="auto"/>
                <w:kern w:val="0"/>
                <w:sz w:val="21"/>
                <w:szCs w:val="21"/>
              </w:rPr>
              <w:t>、PM</w:t>
            </w:r>
            <w:r>
              <w:rPr>
                <w:rFonts w:hint="default" w:ascii="Times New Roman" w:hAnsi="Times New Roman" w:cs="Times New Roman"/>
                <w:color w:val="auto"/>
                <w:kern w:val="0"/>
                <w:sz w:val="21"/>
                <w:szCs w:val="21"/>
                <w:vertAlign w:val="subscript"/>
              </w:rPr>
              <w:t>10</w:t>
            </w:r>
            <w:r>
              <w:rPr>
                <w:rFonts w:hint="default" w:ascii="Times New Roman" w:hAnsi="Times New Roman" w:cs="Times New Roman"/>
                <w:color w:val="auto"/>
                <w:kern w:val="0"/>
                <w:sz w:val="21"/>
                <w:szCs w:val="21"/>
              </w:rPr>
              <w:t>、CO、O</w:t>
            </w:r>
            <w:r>
              <w:rPr>
                <w:rFonts w:hint="default" w:ascii="Times New Roman" w:hAnsi="Times New Roman" w:cs="Times New Roman"/>
                <w:color w:val="auto"/>
                <w:kern w:val="0"/>
                <w:sz w:val="21"/>
                <w:szCs w:val="21"/>
                <w:vertAlign w:val="subscript"/>
              </w:rPr>
              <w:t>3</w:t>
            </w:r>
            <w:r>
              <w:rPr>
                <w:rFonts w:hint="default" w:ascii="Times New Roman" w:hAnsi="Times New Roman" w:cs="Times New Roman"/>
                <w:color w:val="auto"/>
                <w:kern w:val="0"/>
                <w:sz w:val="21"/>
                <w:szCs w:val="21"/>
              </w:rPr>
              <w:t>、</w:t>
            </w:r>
            <w:r>
              <w:rPr>
                <w:rFonts w:hint="default" w:ascii="Times New Roman" w:hAnsi="Times New Roman" w:cs="Times New Roman"/>
                <w:color w:val="auto"/>
                <w:kern w:val="0"/>
                <w:sz w:val="21"/>
                <w:szCs w:val="21"/>
                <w:highlight w:val="none"/>
              </w:rPr>
              <w:t>TSP</w:t>
            </w:r>
            <w:r>
              <w:rPr>
                <w:rFonts w:hint="default" w:ascii="Times New Roman" w:hAnsi="Times New Roman" w:eastAsia="宋体" w:cs="Times New Roman"/>
                <w:color w:val="auto"/>
                <w:spacing w:val="-5"/>
                <w:sz w:val="21"/>
                <w:szCs w:val="21"/>
                <w:lang w:val="en-US" w:eastAsia="zh-CN"/>
              </w:rPr>
              <w:t>、</w:t>
            </w:r>
            <w:r>
              <w:rPr>
                <w:rFonts w:hint="eastAsia" w:ascii="Times New Roman" w:hAnsi="Times New Roman" w:eastAsia="宋体" w:cs="Times New Roman"/>
                <w:color w:val="auto"/>
                <w:spacing w:val="-5"/>
                <w:sz w:val="21"/>
                <w:szCs w:val="21"/>
                <w:lang w:val="en-US" w:eastAsia="zh-CN"/>
              </w:rPr>
              <w:t>非甲烷总烃、NOx、苯乙烯、甲苯、丙烯腈、</w:t>
            </w:r>
            <w:r>
              <w:rPr>
                <w:rFonts w:hint="default" w:ascii="Times New Roman" w:hAnsi="Times New Roman" w:eastAsia="宋体" w:cs="Times New Roman"/>
                <w:color w:val="auto"/>
                <w:spacing w:val="-5"/>
                <w:sz w:val="21"/>
                <w:szCs w:val="21"/>
                <w:lang w:val="en-US" w:eastAsia="zh-CN"/>
              </w:rPr>
              <w:t>NH</w:t>
            </w:r>
            <w:r>
              <w:rPr>
                <w:rFonts w:hint="default" w:ascii="Times New Roman" w:hAnsi="Times New Roman" w:eastAsia="宋体" w:cs="Times New Roman"/>
                <w:color w:val="auto"/>
                <w:spacing w:val="-5"/>
                <w:sz w:val="21"/>
                <w:szCs w:val="21"/>
                <w:vertAlign w:val="subscript"/>
                <w:lang w:val="en-US" w:eastAsia="zh-CN"/>
              </w:rPr>
              <w:t>3</w:t>
            </w:r>
          </w:p>
        </w:tc>
      </w:tr>
      <w:tr w14:paraId="27B9FB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3" w:type="pct"/>
            <w:vMerge w:val="continue"/>
            <w:noWrap w:val="0"/>
            <w:vAlign w:val="center"/>
          </w:tcPr>
          <w:p w14:paraId="7AB8F4A7">
            <w:pPr>
              <w:keepNext w:val="0"/>
              <w:keepLines w:val="0"/>
              <w:kinsoku/>
              <w:overflowPunct/>
              <w:topLinePunct w:val="0"/>
              <w:bidi w:val="0"/>
              <w:jc w:val="center"/>
              <w:rPr>
                <w:rFonts w:hint="default" w:ascii="Times New Roman" w:hAnsi="Times New Roman" w:cs="Times New Roman"/>
                <w:color w:val="auto"/>
                <w:kern w:val="0"/>
                <w:sz w:val="21"/>
                <w:szCs w:val="21"/>
              </w:rPr>
            </w:pPr>
          </w:p>
        </w:tc>
        <w:tc>
          <w:tcPr>
            <w:tcW w:w="548" w:type="pct"/>
            <w:vMerge w:val="continue"/>
            <w:noWrap w:val="0"/>
            <w:vAlign w:val="center"/>
          </w:tcPr>
          <w:p w14:paraId="14994AEC">
            <w:pPr>
              <w:keepNext w:val="0"/>
              <w:keepLines w:val="0"/>
              <w:kinsoku/>
              <w:overflowPunct/>
              <w:topLinePunct w:val="0"/>
              <w:bidi w:val="0"/>
              <w:jc w:val="center"/>
              <w:rPr>
                <w:rFonts w:hint="default" w:ascii="Times New Roman" w:hAnsi="Times New Roman" w:cs="Times New Roman"/>
                <w:color w:val="auto"/>
                <w:kern w:val="0"/>
                <w:sz w:val="21"/>
                <w:szCs w:val="21"/>
              </w:rPr>
            </w:pPr>
          </w:p>
        </w:tc>
        <w:tc>
          <w:tcPr>
            <w:tcW w:w="557" w:type="pct"/>
            <w:noWrap w:val="0"/>
            <w:vAlign w:val="center"/>
          </w:tcPr>
          <w:p w14:paraId="7585B34A">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eastAsia="宋体" w:cs="Times New Roman"/>
                <w:color w:val="auto"/>
                <w:kern w:val="0"/>
                <w:sz w:val="21"/>
                <w:szCs w:val="21"/>
                <w:lang w:eastAsia="zh-CN"/>
              </w:rPr>
              <w:t>影响</w:t>
            </w:r>
            <w:r>
              <w:rPr>
                <w:rFonts w:hint="default" w:ascii="Times New Roman" w:hAnsi="Times New Roman" w:cs="Times New Roman"/>
                <w:color w:val="auto"/>
                <w:kern w:val="0"/>
                <w:sz w:val="21"/>
                <w:szCs w:val="21"/>
              </w:rPr>
              <w:t>评价</w:t>
            </w:r>
          </w:p>
        </w:tc>
        <w:tc>
          <w:tcPr>
            <w:tcW w:w="3610" w:type="pct"/>
            <w:noWrap w:val="0"/>
            <w:vAlign w:val="center"/>
          </w:tcPr>
          <w:p w14:paraId="4FA8234C">
            <w:pPr>
              <w:keepNext w:val="0"/>
              <w:keepLines w:val="0"/>
              <w:kinsoku/>
              <w:overflowPunct/>
              <w:topLinePunct w:val="0"/>
              <w:bidi w:val="0"/>
              <w:jc w:val="center"/>
              <w:rPr>
                <w:rFonts w:hint="default" w:ascii="Times New Roman" w:hAnsi="Times New Roman" w:eastAsia="宋体" w:cs="Times New Roman"/>
                <w:color w:val="FF0000"/>
                <w:kern w:val="0"/>
                <w:sz w:val="21"/>
                <w:szCs w:val="21"/>
                <w:lang w:val="en-US" w:eastAsia="zh-CN"/>
              </w:rPr>
            </w:pPr>
            <w:r>
              <w:rPr>
                <w:rFonts w:hint="default" w:ascii="Times New Roman" w:hAnsi="Times New Roman" w:eastAsia="宋体" w:cs="Times New Roman"/>
                <w:color w:val="auto"/>
                <w:spacing w:val="-5"/>
                <w:sz w:val="21"/>
                <w:szCs w:val="21"/>
                <w:lang w:val="en-US" w:eastAsia="zh-CN"/>
              </w:rPr>
              <w:t>TSP、SO</w:t>
            </w:r>
            <w:r>
              <w:rPr>
                <w:rFonts w:hint="default" w:ascii="Times New Roman" w:hAnsi="Times New Roman" w:eastAsia="宋体" w:cs="Times New Roman"/>
                <w:color w:val="auto"/>
                <w:spacing w:val="-5"/>
                <w:sz w:val="21"/>
                <w:szCs w:val="21"/>
                <w:vertAlign w:val="subscript"/>
                <w:lang w:val="en-US" w:eastAsia="zh-CN"/>
              </w:rPr>
              <w:t>2</w:t>
            </w:r>
            <w:r>
              <w:rPr>
                <w:rFonts w:hint="default" w:ascii="Times New Roman" w:hAnsi="Times New Roman" w:eastAsia="宋体" w:cs="Times New Roman"/>
                <w:color w:val="auto"/>
                <w:spacing w:val="-5"/>
                <w:sz w:val="21"/>
                <w:szCs w:val="21"/>
                <w:lang w:val="en-US" w:eastAsia="zh-CN"/>
              </w:rPr>
              <w:t>、NO</w:t>
            </w:r>
            <w:r>
              <w:rPr>
                <w:rFonts w:hint="default" w:ascii="Times New Roman" w:hAnsi="Times New Roman" w:eastAsia="宋体" w:cs="Times New Roman"/>
                <w:color w:val="auto"/>
                <w:spacing w:val="-5"/>
                <w:sz w:val="21"/>
                <w:szCs w:val="21"/>
                <w:vertAlign w:val="subscript"/>
                <w:lang w:val="en-US" w:eastAsia="zh-CN"/>
              </w:rPr>
              <w:t>X</w:t>
            </w:r>
            <w:r>
              <w:rPr>
                <w:rFonts w:hint="default" w:ascii="Times New Roman" w:hAnsi="Times New Roman" w:eastAsia="宋体" w:cs="Times New Roman"/>
                <w:color w:val="auto"/>
                <w:spacing w:val="-5"/>
                <w:sz w:val="21"/>
                <w:szCs w:val="21"/>
                <w:lang w:val="en-US" w:eastAsia="zh-CN"/>
              </w:rPr>
              <w:t>、</w:t>
            </w:r>
            <w:r>
              <w:rPr>
                <w:rFonts w:hint="eastAsia" w:ascii="Times New Roman" w:hAnsi="Times New Roman" w:eastAsia="宋体" w:cs="Times New Roman"/>
                <w:color w:val="auto"/>
                <w:spacing w:val="-5"/>
                <w:sz w:val="21"/>
                <w:szCs w:val="21"/>
                <w:lang w:val="en-US" w:eastAsia="zh-CN"/>
              </w:rPr>
              <w:t>非甲烷总烃、苯乙烯、甲苯、丙烯腈、乙苯、氯苯类、二氯甲烷、1,3-丁二烯、酚类、</w:t>
            </w:r>
            <w:r>
              <w:rPr>
                <w:rFonts w:hint="default" w:ascii="Times New Roman" w:hAnsi="Times New Roman" w:eastAsia="宋体" w:cs="Times New Roman"/>
                <w:color w:val="auto"/>
                <w:spacing w:val="-5"/>
                <w:sz w:val="21"/>
                <w:szCs w:val="21"/>
                <w:lang w:val="en-US" w:eastAsia="zh-CN"/>
              </w:rPr>
              <w:t>NH</w:t>
            </w:r>
            <w:r>
              <w:rPr>
                <w:rFonts w:hint="default" w:ascii="Times New Roman" w:hAnsi="Times New Roman" w:eastAsia="宋体" w:cs="Times New Roman"/>
                <w:color w:val="auto"/>
                <w:spacing w:val="-5"/>
                <w:sz w:val="21"/>
                <w:szCs w:val="21"/>
                <w:vertAlign w:val="subscript"/>
                <w:lang w:val="en-US" w:eastAsia="zh-CN"/>
              </w:rPr>
              <w:t>3</w:t>
            </w:r>
            <w:r>
              <w:rPr>
                <w:rFonts w:hint="default" w:ascii="Times New Roman" w:hAnsi="Times New Roman" w:eastAsia="宋体" w:cs="Times New Roman"/>
                <w:color w:val="auto"/>
                <w:spacing w:val="-5"/>
                <w:sz w:val="21"/>
                <w:szCs w:val="21"/>
                <w:lang w:val="en-US" w:eastAsia="zh-CN"/>
              </w:rPr>
              <w:t>、臭气浓度</w:t>
            </w:r>
          </w:p>
        </w:tc>
      </w:tr>
      <w:tr w14:paraId="2E2361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3" w:type="pct"/>
            <w:vMerge w:val="restart"/>
            <w:noWrap w:val="0"/>
            <w:vAlign w:val="center"/>
          </w:tcPr>
          <w:p w14:paraId="506F146A">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w:t>
            </w:r>
          </w:p>
        </w:tc>
        <w:tc>
          <w:tcPr>
            <w:tcW w:w="548" w:type="pct"/>
            <w:vMerge w:val="restart"/>
            <w:noWrap w:val="0"/>
            <w:vAlign w:val="center"/>
          </w:tcPr>
          <w:p w14:paraId="5923FC7B">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地表水</w:t>
            </w:r>
          </w:p>
        </w:tc>
        <w:tc>
          <w:tcPr>
            <w:tcW w:w="557" w:type="pct"/>
            <w:noWrap w:val="0"/>
            <w:vAlign w:val="center"/>
          </w:tcPr>
          <w:p w14:paraId="16EE9EBF">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现状评价</w:t>
            </w:r>
          </w:p>
        </w:tc>
        <w:tc>
          <w:tcPr>
            <w:tcW w:w="3610" w:type="pct"/>
            <w:noWrap w:val="0"/>
            <w:vAlign w:val="center"/>
          </w:tcPr>
          <w:p w14:paraId="609400EB">
            <w:pPr>
              <w:keepNext w:val="0"/>
              <w:keepLines w:val="0"/>
              <w:kinsoku/>
              <w:overflowPunct/>
              <w:topLinePunct w:val="0"/>
              <w:bidi w:val="0"/>
              <w:jc w:val="center"/>
              <w:rPr>
                <w:rFonts w:hint="default" w:ascii="Times New Roman" w:hAnsi="Times New Roman" w:cs="Times New Roman"/>
                <w:color w:val="auto"/>
                <w:kern w:val="0"/>
                <w:sz w:val="21"/>
                <w:szCs w:val="21"/>
                <w:highlight w:val="none"/>
                <w:lang w:eastAsia="zh-CN"/>
              </w:rPr>
            </w:pPr>
            <w:r>
              <w:rPr>
                <w:rFonts w:hint="default" w:ascii="Times New Roman" w:hAnsi="Times New Roman" w:cs="Times New Roman"/>
                <w:color w:val="auto"/>
                <w:szCs w:val="21"/>
              </w:rPr>
              <w:t>水温、pH、溶解氧和电导率</w:t>
            </w:r>
            <w:r>
              <w:rPr>
                <w:rFonts w:hint="eastAsia" w:ascii="Times New Roman" w:hAnsi="Times New Roman" w:cs="Times New Roman"/>
                <w:color w:val="auto"/>
                <w:szCs w:val="21"/>
                <w:lang w:eastAsia="zh-CN"/>
              </w:rPr>
              <w:t>、</w:t>
            </w:r>
            <w:r>
              <w:rPr>
                <w:rFonts w:hint="default" w:ascii="Times New Roman" w:hAnsi="Times New Roman" w:cs="Times New Roman"/>
                <w:color w:val="auto"/>
                <w:szCs w:val="21"/>
              </w:rPr>
              <w:t>高锰酸盐指数、化学需氧量、生化需氧量、氨氮、总磷、总氮、铜、锌、氟化物、硒、砷、汞、镉、铬(六价)、铅、氰化物、挥发酚、石油类、阴离子表面活性剂、硫化物和粪大肠菌群。</w:t>
            </w:r>
          </w:p>
          <w:p w14:paraId="7191158B">
            <w:pPr>
              <w:pStyle w:val="10"/>
              <w:rPr>
                <w:rFonts w:hint="default" w:ascii="Times New Roman" w:hAnsi="Times New Roman" w:cs="Times New Roman"/>
                <w:color w:val="auto"/>
                <w:lang w:eastAsia="zh-CN"/>
              </w:rPr>
            </w:pPr>
          </w:p>
        </w:tc>
      </w:tr>
      <w:tr w14:paraId="3C6509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3" w:type="pct"/>
            <w:vMerge w:val="continue"/>
            <w:noWrap w:val="0"/>
            <w:vAlign w:val="center"/>
          </w:tcPr>
          <w:p w14:paraId="17140FB1">
            <w:pPr>
              <w:keepNext w:val="0"/>
              <w:keepLines w:val="0"/>
              <w:kinsoku/>
              <w:overflowPunct/>
              <w:topLinePunct w:val="0"/>
              <w:bidi w:val="0"/>
              <w:jc w:val="center"/>
              <w:rPr>
                <w:rFonts w:hint="default" w:ascii="Times New Roman" w:hAnsi="Times New Roman" w:cs="Times New Roman"/>
                <w:color w:val="auto"/>
                <w:kern w:val="0"/>
                <w:sz w:val="21"/>
                <w:szCs w:val="21"/>
              </w:rPr>
            </w:pPr>
          </w:p>
        </w:tc>
        <w:tc>
          <w:tcPr>
            <w:tcW w:w="548" w:type="pct"/>
            <w:vMerge w:val="continue"/>
            <w:noWrap w:val="0"/>
            <w:vAlign w:val="center"/>
          </w:tcPr>
          <w:p w14:paraId="428DE96D">
            <w:pPr>
              <w:keepNext w:val="0"/>
              <w:keepLines w:val="0"/>
              <w:kinsoku/>
              <w:overflowPunct/>
              <w:topLinePunct w:val="0"/>
              <w:bidi w:val="0"/>
              <w:jc w:val="center"/>
              <w:rPr>
                <w:rFonts w:hint="default" w:ascii="Times New Roman" w:hAnsi="Times New Roman" w:cs="Times New Roman"/>
                <w:color w:val="auto"/>
                <w:kern w:val="0"/>
                <w:sz w:val="21"/>
                <w:szCs w:val="21"/>
              </w:rPr>
            </w:pPr>
          </w:p>
        </w:tc>
        <w:tc>
          <w:tcPr>
            <w:tcW w:w="557" w:type="pct"/>
            <w:noWrap w:val="0"/>
            <w:vAlign w:val="center"/>
          </w:tcPr>
          <w:p w14:paraId="748812DB">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eastAsia="宋体" w:cs="Times New Roman"/>
                <w:color w:val="auto"/>
                <w:kern w:val="0"/>
                <w:sz w:val="21"/>
                <w:szCs w:val="21"/>
                <w:lang w:eastAsia="zh-CN"/>
              </w:rPr>
              <w:t>影响</w:t>
            </w:r>
            <w:r>
              <w:rPr>
                <w:rFonts w:hint="default" w:ascii="Times New Roman" w:hAnsi="Times New Roman" w:cs="Times New Roman"/>
                <w:color w:val="auto"/>
                <w:kern w:val="0"/>
                <w:sz w:val="21"/>
                <w:szCs w:val="21"/>
              </w:rPr>
              <w:t>评价</w:t>
            </w:r>
          </w:p>
        </w:tc>
        <w:tc>
          <w:tcPr>
            <w:tcW w:w="3610" w:type="pct"/>
            <w:noWrap w:val="0"/>
            <w:vAlign w:val="center"/>
          </w:tcPr>
          <w:p w14:paraId="3CAFB034">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论述水污染控制和水环境影响减缓措施有效性评价和依托污水处理设施的环境可行性评价</w:t>
            </w:r>
          </w:p>
        </w:tc>
      </w:tr>
      <w:tr w14:paraId="3EEE36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3" w:type="pct"/>
            <w:vMerge w:val="restart"/>
            <w:shd w:val="clear" w:color="auto" w:fill="auto"/>
            <w:noWrap w:val="0"/>
            <w:vAlign w:val="center"/>
          </w:tcPr>
          <w:p w14:paraId="40BC57EC">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eastAsia="宋体" w:cs="Times New Roman"/>
                <w:color w:val="auto"/>
                <w:kern w:val="0"/>
                <w:sz w:val="21"/>
                <w:szCs w:val="21"/>
                <w:lang w:val="en-US" w:eastAsia="zh-CN"/>
              </w:rPr>
              <w:t>3</w:t>
            </w:r>
          </w:p>
        </w:tc>
        <w:tc>
          <w:tcPr>
            <w:tcW w:w="548" w:type="pct"/>
            <w:vMerge w:val="restart"/>
            <w:noWrap w:val="0"/>
            <w:vAlign w:val="center"/>
          </w:tcPr>
          <w:p w14:paraId="0404DC05">
            <w:pPr>
              <w:keepNext w:val="0"/>
              <w:keepLines w:val="0"/>
              <w:kinsoku/>
              <w:overflowPunct/>
              <w:topLinePunct w:val="0"/>
              <w:bidi w:val="0"/>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地下水</w:t>
            </w:r>
          </w:p>
        </w:tc>
        <w:tc>
          <w:tcPr>
            <w:tcW w:w="1011" w:type="dxa"/>
            <w:noWrap w:val="0"/>
            <w:vAlign w:val="center"/>
          </w:tcPr>
          <w:p w14:paraId="3D2EE3B3">
            <w:pPr>
              <w:pStyle w:val="37"/>
              <w:bidi w:val="0"/>
              <w:ind w:firstLine="0" w:firstLineChars="0"/>
              <w:rPr>
                <w:rFonts w:hint="default" w:ascii="Times New Roman" w:hAnsi="Times New Roman" w:eastAsia="宋体" w:cs="Times New Roman"/>
                <w:color w:val="auto"/>
                <w:kern w:val="0"/>
                <w:sz w:val="21"/>
                <w:szCs w:val="21"/>
                <w:lang w:eastAsia="zh-CN"/>
              </w:rPr>
            </w:pPr>
            <w:r>
              <w:rPr>
                <w:color w:val="000000" w:themeColor="text1"/>
                <w:highlight w:val="none"/>
                <w14:textFill>
                  <w14:solidFill>
                    <w14:schemeClr w14:val="tx1"/>
                  </w14:solidFill>
                </w14:textFill>
              </w:rPr>
              <w:t>现状评价</w:t>
            </w:r>
          </w:p>
        </w:tc>
        <w:tc>
          <w:tcPr>
            <w:tcW w:w="6553" w:type="dxa"/>
            <w:noWrap w:val="0"/>
            <w:vAlign w:val="center"/>
          </w:tcPr>
          <w:p w14:paraId="26BDB562">
            <w:pPr>
              <w:pStyle w:val="37"/>
              <w:bidi w:val="0"/>
              <w:ind w:firstLine="0" w:firstLineChars="0"/>
              <w:rPr>
                <w:rFonts w:hint="default" w:ascii="Times New Roman" w:hAnsi="Times New Roman" w:eastAsia="宋体" w:cs="Times New Roman"/>
                <w:color w:val="FF0000"/>
                <w:kern w:val="0"/>
                <w:sz w:val="21"/>
                <w:szCs w:val="21"/>
                <w:vertAlign w:val="baseline"/>
                <w:lang w:val="en-US" w:eastAsia="zh-CN"/>
              </w:rPr>
            </w:pPr>
            <w:r>
              <w:rPr>
                <w:rFonts w:hint="default" w:ascii="Times New Roman" w:hAnsi="Times New Roman" w:cs="Times New Roman"/>
                <w:bCs/>
                <w:snapToGrid w:val="0"/>
                <w:color w:val="auto"/>
                <w:sz w:val="21"/>
                <w:szCs w:val="21"/>
                <w:lang w:bidi="en-US"/>
              </w:rPr>
              <w:t>pH、氨氮、硝酸盐、亚硝酸盐、挥发性酚类、氰化物、砷、汞、铬（六价）、总硬度、铅、氟</w:t>
            </w:r>
            <w:r>
              <w:rPr>
                <w:rFonts w:hint="default" w:ascii="Times New Roman" w:hAnsi="Times New Roman" w:cs="Times New Roman"/>
                <w:bCs/>
                <w:snapToGrid w:val="0"/>
                <w:color w:val="auto"/>
                <w:sz w:val="21"/>
                <w:szCs w:val="21"/>
                <w:lang w:eastAsia="zh-CN" w:bidi="en-US"/>
              </w:rPr>
              <w:t>、</w:t>
            </w:r>
            <w:r>
              <w:rPr>
                <w:rFonts w:hint="default" w:ascii="Times New Roman" w:hAnsi="Times New Roman" w:cs="Times New Roman"/>
                <w:bCs/>
                <w:snapToGrid w:val="0"/>
                <w:color w:val="auto"/>
                <w:sz w:val="21"/>
                <w:szCs w:val="21"/>
                <w:lang w:bidi="en-US"/>
              </w:rPr>
              <w:t>镉、铁、锰、溶解性总固体、</w:t>
            </w:r>
            <w:r>
              <w:rPr>
                <w:rFonts w:hint="eastAsia" w:cs="Times New Roman"/>
                <w:bCs/>
                <w:snapToGrid w:val="0"/>
                <w:color w:val="auto"/>
                <w:sz w:val="21"/>
                <w:szCs w:val="21"/>
                <w:highlight w:val="none"/>
                <w:lang w:val="en-US" w:eastAsia="zh-CN" w:bidi="en-US"/>
              </w:rPr>
              <w:t>耗氧量</w:t>
            </w:r>
            <w:r>
              <w:rPr>
                <w:rFonts w:hint="default" w:ascii="Times New Roman" w:hAnsi="Times New Roman" w:cs="Times New Roman"/>
                <w:bCs/>
                <w:snapToGrid w:val="0"/>
                <w:color w:val="auto"/>
                <w:sz w:val="21"/>
                <w:szCs w:val="21"/>
                <w:highlight w:val="none"/>
                <w:lang w:bidi="en-US"/>
              </w:rPr>
              <w:t>、</w:t>
            </w:r>
            <w:r>
              <w:rPr>
                <w:rFonts w:hint="default" w:ascii="Times New Roman" w:hAnsi="Times New Roman" w:cs="Times New Roman"/>
                <w:bCs/>
                <w:snapToGrid w:val="0"/>
                <w:color w:val="auto"/>
                <w:sz w:val="21"/>
                <w:szCs w:val="21"/>
                <w:lang w:bidi="en-US"/>
              </w:rPr>
              <w:t>硫酸盐、氯化物、总大肠菌群、</w:t>
            </w:r>
            <w:r>
              <w:rPr>
                <w:rFonts w:hint="eastAsia" w:ascii="Times New Roman" w:hAnsi="Times New Roman" w:eastAsia="宋体" w:cs="Times New Roman"/>
                <w:bCs/>
                <w:snapToGrid w:val="0"/>
                <w:color w:val="auto"/>
                <w:sz w:val="21"/>
                <w:szCs w:val="21"/>
                <w:lang w:eastAsia="zh-CN" w:bidi="en-US"/>
              </w:rPr>
              <w:t>菌落总数</w:t>
            </w:r>
            <w:r>
              <w:rPr>
                <w:rFonts w:hint="default" w:ascii="Times New Roman" w:hAnsi="Times New Roman" w:cs="Times New Roman"/>
                <w:bCs/>
                <w:snapToGrid w:val="0"/>
                <w:color w:val="auto"/>
                <w:sz w:val="21"/>
                <w:szCs w:val="21"/>
                <w:lang w:bidi="en-US"/>
              </w:rPr>
              <w:t>、K</w:t>
            </w:r>
            <w:r>
              <w:rPr>
                <w:rFonts w:hint="default" w:ascii="Times New Roman" w:hAnsi="Times New Roman" w:cs="Times New Roman"/>
                <w:bCs/>
                <w:snapToGrid w:val="0"/>
                <w:color w:val="auto"/>
                <w:sz w:val="21"/>
                <w:szCs w:val="21"/>
                <w:vertAlign w:val="superscript"/>
                <w:lang w:bidi="en-US"/>
              </w:rPr>
              <w:t>+</w:t>
            </w:r>
            <w:r>
              <w:rPr>
                <w:rFonts w:hint="default" w:ascii="Times New Roman" w:hAnsi="Times New Roman" w:cs="Times New Roman"/>
                <w:bCs/>
                <w:snapToGrid w:val="0"/>
                <w:color w:val="auto"/>
                <w:sz w:val="21"/>
                <w:szCs w:val="21"/>
                <w:lang w:bidi="en-US"/>
              </w:rPr>
              <w:t>、Na</w:t>
            </w:r>
            <w:r>
              <w:rPr>
                <w:rFonts w:hint="default" w:ascii="Times New Roman" w:hAnsi="Times New Roman" w:cs="Times New Roman"/>
                <w:bCs/>
                <w:snapToGrid w:val="0"/>
                <w:color w:val="auto"/>
                <w:sz w:val="21"/>
                <w:szCs w:val="21"/>
                <w:vertAlign w:val="superscript"/>
                <w:lang w:bidi="en-US"/>
              </w:rPr>
              <w:t>+</w:t>
            </w:r>
            <w:r>
              <w:rPr>
                <w:rFonts w:hint="default" w:ascii="Times New Roman" w:hAnsi="Times New Roman" w:cs="Times New Roman"/>
                <w:bCs/>
                <w:snapToGrid w:val="0"/>
                <w:color w:val="auto"/>
                <w:sz w:val="21"/>
                <w:szCs w:val="21"/>
                <w:lang w:bidi="en-US"/>
              </w:rPr>
              <w:t>、Ca</w:t>
            </w:r>
            <w:r>
              <w:rPr>
                <w:rFonts w:hint="default" w:ascii="Times New Roman" w:hAnsi="Times New Roman" w:cs="Times New Roman"/>
                <w:bCs/>
                <w:snapToGrid w:val="0"/>
                <w:color w:val="auto"/>
                <w:sz w:val="21"/>
                <w:szCs w:val="21"/>
                <w:vertAlign w:val="superscript"/>
                <w:lang w:bidi="en-US"/>
              </w:rPr>
              <w:t>2+</w:t>
            </w:r>
            <w:r>
              <w:rPr>
                <w:rFonts w:hint="default" w:ascii="Times New Roman" w:hAnsi="Times New Roman" w:cs="Times New Roman"/>
                <w:bCs/>
                <w:snapToGrid w:val="0"/>
                <w:color w:val="auto"/>
                <w:sz w:val="21"/>
                <w:szCs w:val="21"/>
                <w:lang w:bidi="en-US"/>
              </w:rPr>
              <w:t>、Mg</w:t>
            </w:r>
            <w:r>
              <w:rPr>
                <w:rFonts w:hint="default" w:ascii="Times New Roman" w:hAnsi="Times New Roman" w:cs="Times New Roman"/>
                <w:bCs/>
                <w:snapToGrid w:val="0"/>
                <w:color w:val="auto"/>
                <w:sz w:val="21"/>
                <w:szCs w:val="21"/>
                <w:vertAlign w:val="superscript"/>
                <w:lang w:bidi="en-US"/>
              </w:rPr>
              <w:t>2+</w:t>
            </w:r>
            <w:r>
              <w:rPr>
                <w:rFonts w:hint="default" w:ascii="Times New Roman" w:hAnsi="Times New Roman" w:cs="Times New Roman"/>
                <w:bCs/>
                <w:snapToGrid w:val="0"/>
                <w:color w:val="auto"/>
                <w:sz w:val="21"/>
                <w:szCs w:val="21"/>
                <w:lang w:bidi="en-US"/>
              </w:rPr>
              <w:t>、CO</w:t>
            </w:r>
            <w:r>
              <w:rPr>
                <w:rFonts w:hint="default" w:ascii="Times New Roman" w:hAnsi="Times New Roman" w:cs="Times New Roman"/>
                <w:bCs/>
                <w:snapToGrid w:val="0"/>
                <w:color w:val="auto"/>
                <w:sz w:val="21"/>
                <w:szCs w:val="21"/>
                <w:vertAlign w:val="subscript"/>
                <w:lang w:bidi="en-US"/>
              </w:rPr>
              <w:t>3</w:t>
            </w:r>
            <w:r>
              <w:rPr>
                <w:rFonts w:hint="default" w:ascii="Times New Roman" w:hAnsi="Times New Roman" w:cs="Times New Roman"/>
                <w:bCs/>
                <w:snapToGrid w:val="0"/>
                <w:color w:val="auto"/>
                <w:sz w:val="21"/>
                <w:szCs w:val="21"/>
                <w:vertAlign w:val="superscript"/>
                <w:lang w:bidi="en-US"/>
              </w:rPr>
              <w:t>2-</w:t>
            </w:r>
            <w:r>
              <w:rPr>
                <w:rFonts w:hint="default" w:ascii="Times New Roman" w:hAnsi="Times New Roman" w:cs="Times New Roman"/>
                <w:bCs/>
                <w:snapToGrid w:val="0"/>
                <w:color w:val="auto"/>
                <w:sz w:val="21"/>
                <w:szCs w:val="21"/>
                <w:lang w:bidi="en-US"/>
              </w:rPr>
              <w:t>、HCO</w:t>
            </w:r>
            <w:r>
              <w:rPr>
                <w:rFonts w:hint="default" w:ascii="Times New Roman" w:hAnsi="Times New Roman" w:cs="Times New Roman"/>
                <w:bCs/>
                <w:snapToGrid w:val="0"/>
                <w:color w:val="auto"/>
                <w:sz w:val="21"/>
                <w:szCs w:val="21"/>
                <w:vertAlign w:val="subscript"/>
                <w:lang w:bidi="en-US"/>
              </w:rPr>
              <w:t>3</w:t>
            </w:r>
            <w:r>
              <w:rPr>
                <w:rFonts w:hint="default" w:ascii="Times New Roman" w:hAnsi="Times New Roman" w:cs="Times New Roman"/>
                <w:bCs/>
                <w:snapToGrid w:val="0"/>
                <w:color w:val="auto"/>
                <w:sz w:val="21"/>
                <w:szCs w:val="21"/>
                <w:vertAlign w:val="superscript"/>
                <w:lang w:bidi="en-US"/>
              </w:rPr>
              <w:t>-</w:t>
            </w:r>
            <w:r>
              <w:rPr>
                <w:rFonts w:hint="default" w:ascii="Times New Roman" w:hAnsi="Times New Roman" w:cs="Times New Roman"/>
                <w:bCs/>
                <w:snapToGrid w:val="0"/>
                <w:color w:val="auto"/>
                <w:sz w:val="21"/>
                <w:szCs w:val="21"/>
                <w:lang w:bidi="en-US"/>
              </w:rPr>
              <w:t>、Cl</w:t>
            </w:r>
            <w:r>
              <w:rPr>
                <w:rFonts w:hint="default" w:ascii="Times New Roman" w:hAnsi="Times New Roman" w:cs="Times New Roman"/>
                <w:bCs/>
                <w:snapToGrid w:val="0"/>
                <w:color w:val="auto"/>
                <w:sz w:val="21"/>
                <w:szCs w:val="21"/>
                <w:vertAlign w:val="superscript"/>
                <w:lang w:bidi="en-US"/>
              </w:rPr>
              <w:t>-</w:t>
            </w:r>
            <w:r>
              <w:rPr>
                <w:rFonts w:hint="default" w:ascii="Times New Roman" w:hAnsi="Times New Roman" w:cs="Times New Roman"/>
                <w:bCs/>
                <w:snapToGrid w:val="0"/>
                <w:color w:val="auto"/>
                <w:sz w:val="21"/>
                <w:szCs w:val="21"/>
                <w:lang w:bidi="en-US"/>
              </w:rPr>
              <w:t>、SO</w:t>
            </w:r>
            <w:r>
              <w:rPr>
                <w:rFonts w:hint="default" w:ascii="Times New Roman" w:hAnsi="Times New Roman" w:cs="Times New Roman"/>
                <w:bCs/>
                <w:snapToGrid w:val="0"/>
                <w:color w:val="auto"/>
                <w:sz w:val="21"/>
                <w:szCs w:val="21"/>
                <w:vertAlign w:val="subscript"/>
                <w:lang w:bidi="en-US"/>
              </w:rPr>
              <w:t>4</w:t>
            </w:r>
            <w:r>
              <w:rPr>
                <w:rFonts w:hint="default" w:ascii="Times New Roman" w:hAnsi="Times New Roman" w:cs="Times New Roman"/>
                <w:bCs/>
                <w:snapToGrid w:val="0"/>
                <w:color w:val="auto"/>
                <w:sz w:val="21"/>
                <w:szCs w:val="21"/>
                <w:vertAlign w:val="superscript"/>
                <w:lang w:bidi="en-US"/>
              </w:rPr>
              <w:t>2-</w:t>
            </w:r>
            <w:r>
              <w:rPr>
                <w:rFonts w:hint="eastAsia" w:ascii="Times New Roman" w:hAnsi="Times New Roman" w:eastAsia="宋体" w:cs="Times New Roman"/>
                <w:bCs/>
                <w:snapToGrid w:val="0"/>
                <w:color w:val="auto"/>
                <w:sz w:val="21"/>
                <w:szCs w:val="21"/>
                <w:vertAlign w:val="baseline"/>
                <w:lang w:eastAsia="zh-CN" w:bidi="en-US"/>
              </w:rPr>
              <w:t>、</w:t>
            </w:r>
            <w:r>
              <w:rPr>
                <w:rFonts w:hint="eastAsia" w:ascii="Times New Roman" w:hAnsi="Times New Roman" w:eastAsia="宋体" w:cs="Times New Roman"/>
                <w:bCs/>
                <w:snapToGrid w:val="0"/>
                <w:color w:val="auto"/>
                <w:sz w:val="21"/>
                <w:szCs w:val="21"/>
                <w:vertAlign w:val="baseline"/>
                <w:lang w:val="en-US" w:eastAsia="zh-CN" w:bidi="en-US"/>
              </w:rPr>
              <w:t>石油类</w:t>
            </w:r>
          </w:p>
        </w:tc>
      </w:tr>
      <w:tr w14:paraId="151EF3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3" w:type="pct"/>
            <w:vMerge w:val="continue"/>
            <w:noWrap w:val="0"/>
            <w:vAlign w:val="center"/>
          </w:tcPr>
          <w:p w14:paraId="53BB5382">
            <w:pPr>
              <w:keepNext w:val="0"/>
              <w:keepLines w:val="0"/>
              <w:kinsoku/>
              <w:overflowPunct/>
              <w:topLinePunct w:val="0"/>
              <w:bidi w:val="0"/>
              <w:jc w:val="center"/>
              <w:rPr>
                <w:rFonts w:hint="default" w:ascii="Times New Roman" w:hAnsi="Times New Roman" w:cs="Times New Roman"/>
                <w:color w:val="auto"/>
                <w:kern w:val="0"/>
                <w:sz w:val="21"/>
                <w:szCs w:val="21"/>
              </w:rPr>
            </w:pPr>
          </w:p>
        </w:tc>
        <w:tc>
          <w:tcPr>
            <w:tcW w:w="548" w:type="pct"/>
            <w:vMerge w:val="continue"/>
            <w:noWrap w:val="0"/>
            <w:vAlign w:val="center"/>
          </w:tcPr>
          <w:p w14:paraId="64AC1516">
            <w:pPr>
              <w:keepNext w:val="0"/>
              <w:keepLines w:val="0"/>
              <w:kinsoku/>
              <w:overflowPunct/>
              <w:topLinePunct w:val="0"/>
              <w:bidi w:val="0"/>
              <w:jc w:val="center"/>
              <w:rPr>
                <w:rFonts w:hint="default" w:ascii="Times New Roman" w:hAnsi="Times New Roman" w:cs="Times New Roman"/>
                <w:color w:val="auto"/>
                <w:kern w:val="0"/>
                <w:sz w:val="21"/>
                <w:szCs w:val="21"/>
              </w:rPr>
            </w:pPr>
          </w:p>
        </w:tc>
        <w:tc>
          <w:tcPr>
            <w:tcW w:w="1011" w:type="dxa"/>
            <w:noWrap w:val="0"/>
            <w:vAlign w:val="center"/>
          </w:tcPr>
          <w:p w14:paraId="1733899C">
            <w:pPr>
              <w:pStyle w:val="37"/>
              <w:bidi w:val="0"/>
              <w:ind w:firstLine="0" w:firstLineChars="0"/>
              <w:rPr>
                <w:rFonts w:hint="default" w:ascii="Times New Roman" w:hAnsi="Times New Roman" w:eastAsia="宋体" w:cs="Times New Roman"/>
                <w:color w:val="auto"/>
                <w:kern w:val="0"/>
                <w:sz w:val="21"/>
                <w:szCs w:val="21"/>
                <w:lang w:eastAsia="zh-CN"/>
              </w:rPr>
            </w:pPr>
            <w:r>
              <w:rPr>
                <w:color w:val="000000" w:themeColor="text1"/>
                <w:highlight w:val="none"/>
                <w14:textFill>
                  <w14:solidFill>
                    <w14:schemeClr w14:val="tx1"/>
                  </w14:solidFill>
                </w14:textFill>
              </w:rPr>
              <w:t>影响评价</w:t>
            </w:r>
          </w:p>
        </w:tc>
        <w:tc>
          <w:tcPr>
            <w:tcW w:w="6553" w:type="dxa"/>
            <w:noWrap w:val="0"/>
            <w:vAlign w:val="center"/>
          </w:tcPr>
          <w:p w14:paraId="39D49A3A">
            <w:pPr>
              <w:pStyle w:val="37"/>
              <w:bidi w:val="0"/>
              <w:ind w:firstLine="0" w:firstLineChars="0"/>
              <w:rPr>
                <w:rFonts w:hint="default" w:ascii="Times New Roman" w:hAnsi="Times New Roman" w:cs="Times New Roman"/>
                <w:color w:val="auto"/>
                <w:kern w:val="0"/>
                <w:sz w:val="21"/>
                <w:szCs w:val="21"/>
              </w:rPr>
            </w:pPr>
            <w:r>
              <w:rPr>
                <w:rFonts w:hint="default" w:ascii="Times New Roman" w:hAnsi="Times New Roman" w:cs="Times New Roman"/>
                <w:color w:val="auto"/>
                <w:highlight w:val="none"/>
                <w:lang w:val="en-US" w:eastAsia="zh-CN"/>
              </w:rPr>
              <w:t>COD</w:t>
            </w:r>
          </w:p>
        </w:tc>
      </w:tr>
      <w:tr w14:paraId="03286E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3" w:type="pct"/>
            <w:vMerge w:val="restart"/>
            <w:shd w:val="clear" w:color="auto" w:fill="auto"/>
            <w:noWrap w:val="0"/>
            <w:vAlign w:val="center"/>
          </w:tcPr>
          <w:p w14:paraId="714DB40D">
            <w:pPr>
              <w:keepNext w:val="0"/>
              <w:keepLines w:val="0"/>
              <w:kinsoku/>
              <w:overflowPunct/>
              <w:topLinePunct w:val="0"/>
              <w:bidi w:val="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val="en-US" w:eastAsia="zh-CN"/>
              </w:rPr>
              <w:t>4</w:t>
            </w:r>
          </w:p>
        </w:tc>
        <w:tc>
          <w:tcPr>
            <w:tcW w:w="548" w:type="pct"/>
            <w:vMerge w:val="restart"/>
            <w:noWrap w:val="0"/>
            <w:vAlign w:val="center"/>
          </w:tcPr>
          <w:p w14:paraId="757ACB51">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声环境</w:t>
            </w:r>
          </w:p>
        </w:tc>
        <w:tc>
          <w:tcPr>
            <w:tcW w:w="557" w:type="pct"/>
            <w:noWrap w:val="0"/>
            <w:vAlign w:val="center"/>
          </w:tcPr>
          <w:p w14:paraId="68279C35">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现状评价</w:t>
            </w:r>
          </w:p>
        </w:tc>
        <w:tc>
          <w:tcPr>
            <w:tcW w:w="3610" w:type="pct"/>
            <w:noWrap w:val="0"/>
            <w:vAlign w:val="center"/>
          </w:tcPr>
          <w:p w14:paraId="54377EF6">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等效连续A声级</w:t>
            </w:r>
          </w:p>
        </w:tc>
      </w:tr>
      <w:tr w14:paraId="7B9257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3" w:type="pct"/>
            <w:vMerge w:val="continue"/>
            <w:shd w:val="clear" w:color="auto" w:fill="auto"/>
            <w:noWrap w:val="0"/>
            <w:vAlign w:val="center"/>
          </w:tcPr>
          <w:p w14:paraId="70B516A1">
            <w:pPr>
              <w:keepNext w:val="0"/>
              <w:keepLines w:val="0"/>
              <w:kinsoku/>
              <w:overflowPunct/>
              <w:topLinePunct w:val="0"/>
              <w:bidi w:val="0"/>
              <w:jc w:val="center"/>
              <w:rPr>
                <w:rFonts w:hint="default" w:ascii="Times New Roman" w:hAnsi="Times New Roman" w:eastAsia="宋体" w:cs="Times New Roman"/>
                <w:snapToGrid w:val="0"/>
                <w:color w:val="auto"/>
                <w:kern w:val="0"/>
                <w:sz w:val="21"/>
                <w:szCs w:val="21"/>
                <w:lang w:val="en-US" w:eastAsia="zh-CN" w:bidi="ar-SA"/>
              </w:rPr>
            </w:pPr>
          </w:p>
        </w:tc>
        <w:tc>
          <w:tcPr>
            <w:tcW w:w="548" w:type="pct"/>
            <w:vMerge w:val="continue"/>
            <w:noWrap w:val="0"/>
            <w:vAlign w:val="center"/>
          </w:tcPr>
          <w:p w14:paraId="0CB35FAA">
            <w:pPr>
              <w:keepNext w:val="0"/>
              <w:keepLines w:val="0"/>
              <w:kinsoku/>
              <w:overflowPunct/>
              <w:topLinePunct w:val="0"/>
              <w:bidi w:val="0"/>
              <w:jc w:val="center"/>
              <w:rPr>
                <w:rFonts w:hint="default" w:ascii="Times New Roman" w:hAnsi="Times New Roman" w:cs="Times New Roman"/>
                <w:color w:val="auto"/>
                <w:kern w:val="0"/>
                <w:sz w:val="21"/>
                <w:szCs w:val="21"/>
              </w:rPr>
            </w:pPr>
          </w:p>
        </w:tc>
        <w:tc>
          <w:tcPr>
            <w:tcW w:w="557" w:type="pct"/>
            <w:noWrap w:val="0"/>
            <w:vAlign w:val="center"/>
          </w:tcPr>
          <w:p w14:paraId="70E6BCE1">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eastAsia="宋体" w:cs="Times New Roman"/>
                <w:color w:val="auto"/>
                <w:kern w:val="0"/>
                <w:sz w:val="21"/>
                <w:szCs w:val="21"/>
                <w:lang w:eastAsia="zh-CN"/>
              </w:rPr>
              <w:t>影响</w:t>
            </w:r>
            <w:r>
              <w:rPr>
                <w:rFonts w:hint="default" w:ascii="Times New Roman" w:hAnsi="Times New Roman" w:cs="Times New Roman"/>
                <w:color w:val="auto"/>
                <w:kern w:val="0"/>
                <w:sz w:val="21"/>
                <w:szCs w:val="21"/>
              </w:rPr>
              <w:t>评价</w:t>
            </w:r>
          </w:p>
        </w:tc>
        <w:tc>
          <w:tcPr>
            <w:tcW w:w="3610" w:type="pct"/>
            <w:noWrap w:val="0"/>
            <w:vAlign w:val="center"/>
          </w:tcPr>
          <w:p w14:paraId="7C2B5BCA">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等效连续A声级</w:t>
            </w:r>
          </w:p>
        </w:tc>
      </w:tr>
      <w:tr w14:paraId="4F7F80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3" w:type="pct"/>
            <w:noWrap w:val="0"/>
            <w:vAlign w:val="center"/>
          </w:tcPr>
          <w:p w14:paraId="67C82868">
            <w:pPr>
              <w:keepNext w:val="0"/>
              <w:keepLines w:val="0"/>
              <w:kinsoku/>
              <w:overflowPunct/>
              <w:topLinePunct w:val="0"/>
              <w:bidi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5</w:t>
            </w:r>
          </w:p>
        </w:tc>
        <w:tc>
          <w:tcPr>
            <w:tcW w:w="548" w:type="pct"/>
            <w:noWrap w:val="0"/>
            <w:vAlign w:val="center"/>
          </w:tcPr>
          <w:p w14:paraId="3AF001B5">
            <w:pPr>
              <w:keepNext w:val="0"/>
              <w:keepLines w:val="0"/>
              <w:kinsoku/>
              <w:overflowPunct/>
              <w:topLinePunct w:val="0"/>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固体废物</w:t>
            </w:r>
          </w:p>
        </w:tc>
        <w:tc>
          <w:tcPr>
            <w:tcW w:w="557" w:type="pct"/>
            <w:noWrap w:val="0"/>
            <w:vAlign w:val="center"/>
          </w:tcPr>
          <w:p w14:paraId="3CE7BD6D">
            <w:pPr>
              <w:keepNext w:val="0"/>
              <w:keepLines w:val="0"/>
              <w:kinsoku/>
              <w:overflowPunct/>
              <w:topLinePunct w:val="0"/>
              <w:bidi w:val="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eastAsia="zh-CN"/>
              </w:rPr>
              <w:t>影响</w:t>
            </w:r>
            <w:r>
              <w:rPr>
                <w:rFonts w:hint="default" w:ascii="Times New Roman" w:hAnsi="Times New Roman" w:cs="Times New Roman"/>
                <w:color w:val="auto"/>
                <w:kern w:val="0"/>
                <w:sz w:val="21"/>
                <w:szCs w:val="21"/>
              </w:rPr>
              <w:t>评价</w:t>
            </w:r>
          </w:p>
        </w:tc>
        <w:tc>
          <w:tcPr>
            <w:tcW w:w="3610" w:type="pct"/>
            <w:noWrap w:val="0"/>
            <w:vAlign w:val="center"/>
          </w:tcPr>
          <w:p w14:paraId="7DFEE9B9">
            <w:pPr>
              <w:keepNext w:val="0"/>
              <w:keepLines w:val="0"/>
              <w:widowControl/>
              <w:suppressLineNumbers w:val="0"/>
              <w:kinsoku/>
              <w:overflowPunct/>
              <w:topLinePunct w:val="0"/>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生活垃圾、一般工业固体废物、危险废物</w:t>
            </w:r>
          </w:p>
        </w:tc>
      </w:tr>
      <w:tr w14:paraId="72451B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3" w:type="pct"/>
            <w:vMerge w:val="restart"/>
            <w:shd w:val="clear" w:color="auto" w:fill="auto"/>
            <w:noWrap w:val="0"/>
            <w:vAlign w:val="center"/>
          </w:tcPr>
          <w:p w14:paraId="02846C03">
            <w:pPr>
              <w:keepNext w:val="0"/>
              <w:keepLines w:val="0"/>
              <w:kinsoku/>
              <w:overflowPunct/>
              <w:topLinePunct w:val="0"/>
              <w:bidi w:val="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6</w:t>
            </w:r>
          </w:p>
        </w:tc>
        <w:tc>
          <w:tcPr>
            <w:tcW w:w="548" w:type="pct"/>
            <w:vMerge w:val="restart"/>
            <w:noWrap w:val="0"/>
            <w:vAlign w:val="center"/>
          </w:tcPr>
          <w:p w14:paraId="3D85637A">
            <w:pPr>
              <w:keepNext w:val="0"/>
              <w:keepLines w:val="0"/>
              <w:kinsoku/>
              <w:overflowPunct/>
              <w:topLinePunct w:val="0"/>
              <w:bidi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土壤环境</w:t>
            </w:r>
          </w:p>
        </w:tc>
        <w:tc>
          <w:tcPr>
            <w:tcW w:w="557" w:type="pct"/>
            <w:noWrap w:val="0"/>
            <w:vAlign w:val="center"/>
          </w:tcPr>
          <w:p w14:paraId="4BBD1326">
            <w:pPr>
              <w:keepNext w:val="0"/>
              <w:keepLines w:val="0"/>
              <w:kinsoku/>
              <w:overflowPunct/>
              <w:topLinePunct w:val="0"/>
              <w:bidi w:val="0"/>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现状评价</w:t>
            </w:r>
          </w:p>
        </w:tc>
        <w:tc>
          <w:tcPr>
            <w:tcW w:w="3610" w:type="pct"/>
            <w:noWrap w:val="0"/>
            <w:vAlign w:val="center"/>
          </w:tcPr>
          <w:p w14:paraId="080D4C60">
            <w:pPr>
              <w:keepNext w:val="0"/>
              <w:keepLines w:val="0"/>
              <w:widowControl/>
              <w:suppressLineNumbers w:val="0"/>
              <w:kinsoku/>
              <w:overflowPunct/>
              <w:topLinePunct w:val="0"/>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lang w:val="en-US" w:eastAsia="zh-CN"/>
              </w:rPr>
              <w:t>砷、镉、铬（六价）、铜、铅、汞、镍、四氯化碳、氯仿、氯甲烷、1,1-二氯乙烷、1,2-二氯乙烷、1,1-二氯乙烯、顺-1,2-二氯乙烯、反-1,2-二氯乙烯、二氯甲烷、1,2-二氯丙烷、1,1,1,2-四氯乙烷、1,1,2,2-四氯乙烷、四氯乙烯、1,1,1-三氯乙烷、1,1,2-三氯乙烷、三氯乙烯、1,2,3-三氯丙烷、氯乙烯、氯苯、1,2-二氯苯、1,4-二氯苯、乙苯、苯乙烯、硝基苯、苯胺、2-氯酚、苯并[a]蒽、苯并[a]芘、苯并[b]荧蒽、苯并[k]荧蒽、䓛（又名1，2-苯并菲）、二苯并[a,h]蒽、茚并[1,2,3-cd]芘、萘、苯、甲苯、间二甲苯+对二甲苯、邻二甲苯、pH</w:t>
            </w:r>
            <w:r>
              <w:rPr>
                <w:rFonts w:hint="eastAsia" w:ascii="Times New Roman" w:hAnsi="Times New Roman" w:cs="Times New Roman"/>
                <w:color w:val="auto"/>
                <w:sz w:val="21"/>
                <w:szCs w:val="21"/>
                <w:highlight w:val="none"/>
                <w:lang w:val="en-US" w:eastAsia="zh-CN"/>
              </w:rPr>
              <w:t>、石油烃（C</w:t>
            </w:r>
            <w:r>
              <w:rPr>
                <w:rFonts w:hint="eastAsia" w:ascii="Times New Roman" w:hAnsi="Times New Roman" w:cs="Times New Roman"/>
                <w:color w:val="auto"/>
                <w:sz w:val="21"/>
                <w:szCs w:val="21"/>
                <w:highlight w:val="none"/>
                <w:vertAlign w:val="subscript"/>
                <w:lang w:val="en-US" w:eastAsia="zh-CN"/>
              </w:rPr>
              <w:t>10</w:t>
            </w:r>
            <w:r>
              <w:rPr>
                <w:rFonts w:hint="eastAsia" w:ascii="Times New Roman" w:hAnsi="Times New Roman" w:cs="Times New Roman"/>
                <w:color w:val="auto"/>
                <w:sz w:val="21"/>
                <w:szCs w:val="21"/>
                <w:highlight w:val="none"/>
                <w:lang w:val="en-US" w:eastAsia="zh-CN"/>
              </w:rPr>
              <w:t>-C</w:t>
            </w:r>
            <w:r>
              <w:rPr>
                <w:rFonts w:hint="eastAsia" w:ascii="Times New Roman" w:hAnsi="Times New Roman" w:cs="Times New Roman"/>
                <w:color w:val="auto"/>
                <w:sz w:val="21"/>
                <w:szCs w:val="21"/>
                <w:highlight w:val="none"/>
                <w:vertAlign w:val="subscript"/>
                <w:lang w:val="en-US" w:eastAsia="zh-CN"/>
              </w:rPr>
              <w:t>40</w:t>
            </w:r>
            <w:r>
              <w:rPr>
                <w:rFonts w:hint="eastAsia" w:ascii="Times New Roman" w:hAnsi="Times New Roman" w:cs="Times New Roman"/>
                <w:color w:val="auto"/>
                <w:sz w:val="21"/>
                <w:szCs w:val="21"/>
                <w:highlight w:val="none"/>
                <w:lang w:val="en-US" w:eastAsia="zh-CN"/>
              </w:rPr>
              <w:t>）</w:t>
            </w:r>
          </w:p>
        </w:tc>
      </w:tr>
      <w:tr w14:paraId="2552AB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3" w:type="pct"/>
            <w:vMerge w:val="continue"/>
            <w:noWrap w:val="0"/>
            <w:vAlign w:val="center"/>
          </w:tcPr>
          <w:p w14:paraId="6014D382">
            <w:pPr>
              <w:keepNext w:val="0"/>
              <w:keepLines w:val="0"/>
              <w:kinsoku/>
              <w:overflowPunct/>
              <w:topLinePunct w:val="0"/>
              <w:bidi w:val="0"/>
              <w:jc w:val="center"/>
              <w:rPr>
                <w:rFonts w:hint="default" w:ascii="Times New Roman" w:hAnsi="Times New Roman" w:eastAsia="宋体" w:cs="Times New Roman"/>
                <w:color w:val="auto"/>
                <w:kern w:val="0"/>
                <w:sz w:val="21"/>
                <w:szCs w:val="21"/>
                <w:lang w:val="en-US" w:eastAsia="zh-CN"/>
              </w:rPr>
            </w:pPr>
          </w:p>
        </w:tc>
        <w:tc>
          <w:tcPr>
            <w:tcW w:w="548" w:type="pct"/>
            <w:vMerge w:val="continue"/>
            <w:noWrap w:val="0"/>
            <w:vAlign w:val="center"/>
          </w:tcPr>
          <w:p w14:paraId="31F20E7C">
            <w:pPr>
              <w:keepNext w:val="0"/>
              <w:keepLines w:val="0"/>
              <w:kinsoku/>
              <w:overflowPunct/>
              <w:topLinePunct w:val="0"/>
              <w:bidi w:val="0"/>
              <w:jc w:val="center"/>
              <w:rPr>
                <w:rFonts w:hint="default" w:ascii="Times New Roman" w:hAnsi="Times New Roman" w:eastAsia="宋体" w:cs="Times New Roman"/>
                <w:color w:val="auto"/>
                <w:sz w:val="21"/>
                <w:szCs w:val="21"/>
                <w:lang w:eastAsia="zh-CN"/>
              </w:rPr>
            </w:pPr>
          </w:p>
        </w:tc>
        <w:tc>
          <w:tcPr>
            <w:tcW w:w="557" w:type="pct"/>
            <w:noWrap w:val="0"/>
            <w:vAlign w:val="center"/>
          </w:tcPr>
          <w:p w14:paraId="7D42757C">
            <w:pPr>
              <w:keepNext w:val="0"/>
              <w:keepLines w:val="0"/>
              <w:kinsoku/>
              <w:overflowPunct/>
              <w:topLinePunct w:val="0"/>
              <w:bidi w:val="0"/>
              <w:jc w:val="center"/>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sz w:val="21"/>
                <w:szCs w:val="21"/>
              </w:rPr>
              <w:t>影响分析</w:t>
            </w:r>
          </w:p>
        </w:tc>
        <w:tc>
          <w:tcPr>
            <w:tcW w:w="3610" w:type="pct"/>
            <w:noWrap w:val="0"/>
            <w:vAlign w:val="center"/>
          </w:tcPr>
          <w:p w14:paraId="1C9DF04F">
            <w:pPr>
              <w:keepNext w:val="0"/>
              <w:keepLines w:val="0"/>
              <w:widowControl/>
              <w:suppressLineNumbers w:val="0"/>
              <w:kinsoku/>
              <w:overflowPunct/>
              <w:topLinePunct w:val="0"/>
              <w:bidi w:val="0"/>
              <w:jc w:val="center"/>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非甲烷总烃（石油烃）、甲苯、苯乙烯</w:t>
            </w:r>
          </w:p>
        </w:tc>
      </w:tr>
      <w:tr w14:paraId="3EE4CE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3" w:type="pct"/>
            <w:noWrap w:val="0"/>
            <w:vAlign w:val="center"/>
          </w:tcPr>
          <w:p w14:paraId="004F4F23">
            <w:pPr>
              <w:keepNext w:val="0"/>
              <w:keepLines w:val="0"/>
              <w:kinsoku/>
              <w:overflowPunct/>
              <w:topLinePunct w:val="0"/>
              <w:bidi w:val="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7</w:t>
            </w:r>
          </w:p>
        </w:tc>
        <w:tc>
          <w:tcPr>
            <w:tcW w:w="548" w:type="pct"/>
            <w:noWrap w:val="0"/>
            <w:vAlign w:val="center"/>
          </w:tcPr>
          <w:p w14:paraId="1C8508CD">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风险评价</w:t>
            </w:r>
          </w:p>
        </w:tc>
        <w:tc>
          <w:tcPr>
            <w:tcW w:w="557" w:type="pct"/>
            <w:noWrap w:val="0"/>
            <w:vAlign w:val="center"/>
          </w:tcPr>
          <w:p w14:paraId="4FAB86DD">
            <w:pPr>
              <w:keepNext w:val="0"/>
              <w:keepLines w:val="0"/>
              <w:kinsoku/>
              <w:overflowPunct/>
              <w:topLinePunct w:val="0"/>
              <w:bidi w:val="0"/>
              <w:jc w:val="center"/>
              <w:rPr>
                <w:rFonts w:hint="default" w:ascii="Times New Roman" w:hAnsi="Times New Roman" w:cs="Times New Roman"/>
                <w:color w:val="auto"/>
                <w:kern w:val="0"/>
                <w:sz w:val="21"/>
                <w:szCs w:val="21"/>
                <w:lang w:val="en-US"/>
              </w:rPr>
            </w:pPr>
            <w:r>
              <w:rPr>
                <w:rFonts w:hint="eastAsia" w:ascii="Times New Roman" w:hAnsi="Times New Roman" w:eastAsia="宋体" w:cs="Times New Roman"/>
                <w:color w:val="auto"/>
                <w:kern w:val="0"/>
                <w:sz w:val="21"/>
                <w:szCs w:val="21"/>
                <w:lang w:val="en-US" w:eastAsia="zh-CN"/>
              </w:rPr>
              <w:t>影响评价</w:t>
            </w:r>
          </w:p>
        </w:tc>
        <w:tc>
          <w:tcPr>
            <w:tcW w:w="3610" w:type="pct"/>
            <w:noWrap w:val="0"/>
            <w:vAlign w:val="center"/>
          </w:tcPr>
          <w:p w14:paraId="3468C18A">
            <w:pPr>
              <w:keepNext w:val="0"/>
              <w:keepLines w:val="0"/>
              <w:kinsoku/>
              <w:overflowPunct/>
              <w:topLinePunct w:val="0"/>
              <w:bidi w:val="0"/>
              <w:jc w:val="center"/>
              <w:rPr>
                <w:rFonts w:hint="default" w:ascii="Times New Roman" w:hAnsi="Times New Roman" w:cs="Times New Roman"/>
                <w:color w:val="auto"/>
                <w:kern w:val="0"/>
                <w:sz w:val="21"/>
                <w:szCs w:val="21"/>
              </w:rPr>
            </w:pPr>
            <w:r>
              <w:rPr>
                <w:rFonts w:hint="eastAsia" w:ascii="Times New Roman" w:hAnsi="Times New Roman" w:cs="Times New Roman"/>
                <w:color w:val="auto"/>
                <w:kern w:val="0"/>
                <w:sz w:val="21"/>
                <w:szCs w:val="21"/>
                <w:lang w:val="en-US" w:eastAsia="zh-CN"/>
              </w:rPr>
              <w:t>简单分析</w:t>
            </w:r>
          </w:p>
        </w:tc>
      </w:tr>
    </w:tbl>
    <w:p w14:paraId="3D582038">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0"/>
          <w:position w:val="0"/>
          <w:sz w:val="32"/>
          <w:szCs w:val="32"/>
          <w:lang w:val="en-US" w:eastAsia="zh-CN"/>
        </w:rPr>
      </w:pPr>
      <w:bookmarkStart w:id="13" w:name="_Toc18570"/>
      <w:r>
        <w:rPr>
          <w:rFonts w:hint="default" w:ascii="Times New Roman" w:hAnsi="Times New Roman" w:eastAsia="微软雅黑" w:cs="Times New Roman"/>
          <w:color w:val="auto"/>
          <w:spacing w:val="0"/>
          <w:position w:val="0"/>
          <w:sz w:val="32"/>
          <w:szCs w:val="32"/>
          <w:lang w:val="en-US" w:eastAsia="zh-CN"/>
        </w:rPr>
        <w:t>2.5 环境功能区划</w:t>
      </w:r>
      <w:r>
        <w:rPr>
          <w:rFonts w:hint="eastAsia" w:ascii="Times New Roman" w:hAnsi="Times New Roman" w:eastAsia="微软雅黑" w:cs="Times New Roman"/>
          <w:color w:val="auto"/>
          <w:spacing w:val="0"/>
          <w:position w:val="0"/>
          <w:sz w:val="32"/>
          <w:szCs w:val="32"/>
          <w:lang w:val="en-US" w:eastAsia="zh-CN"/>
        </w:rPr>
        <w:t>与</w:t>
      </w:r>
      <w:r>
        <w:rPr>
          <w:rFonts w:hint="default" w:ascii="Times New Roman" w:hAnsi="Times New Roman" w:eastAsia="微软雅黑" w:cs="Times New Roman"/>
          <w:color w:val="auto"/>
          <w:spacing w:val="0"/>
          <w:position w:val="0"/>
          <w:sz w:val="32"/>
          <w:szCs w:val="32"/>
          <w:lang w:val="en-US" w:eastAsia="zh-CN"/>
        </w:rPr>
        <w:t>评价标准</w:t>
      </w:r>
      <w:bookmarkEnd w:id="13"/>
    </w:p>
    <w:p w14:paraId="5C0822D2">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default" w:ascii="Times New Roman" w:hAnsi="Times New Roman" w:eastAsia="宋体" w:cs="Times New Roman"/>
          <w:b/>
          <w:bCs/>
          <w:color w:val="auto"/>
          <w:spacing w:val="0"/>
          <w:position w:val="0"/>
          <w:sz w:val="30"/>
          <w:szCs w:val="30"/>
          <w:lang w:val="en-US" w:eastAsia="zh-CN"/>
        </w:rPr>
        <w:t>2.5.1环境功能区划</w:t>
      </w:r>
    </w:p>
    <w:p w14:paraId="3A58677C">
      <w:pPr>
        <w:keepNext w:val="0"/>
        <w:keepLines w:val="0"/>
        <w:pageBreakBefore w:val="0"/>
        <w:widowControl w:val="0"/>
        <w:shd w:val="clear" w:color="auto" w:fill="auto"/>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pacing w:val="0"/>
          <w:kern w:val="0"/>
          <w:position w:val="0"/>
          <w:sz w:val="24"/>
          <w:szCs w:val="24"/>
          <w:highlight w:val="none"/>
          <w:lang w:val="en-US" w:eastAsia="zh-CN"/>
        </w:rPr>
      </w:pPr>
      <w:r>
        <w:rPr>
          <w:rFonts w:hint="default" w:ascii="Times New Roman" w:hAnsi="Times New Roman" w:eastAsia="宋体" w:cs="Times New Roman"/>
          <w:color w:val="auto"/>
          <w:spacing w:val="0"/>
          <w:kern w:val="0"/>
          <w:position w:val="0"/>
          <w:sz w:val="24"/>
          <w:szCs w:val="24"/>
          <w:highlight w:val="none"/>
          <w:lang w:val="en-US" w:eastAsia="zh-CN"/>
        </w:rPr>
        <w:t>（1）地表水环境功能区划</w:t>
      </w:r>
    </w:p>
    <w:p w14:paraId="4B986398">
      <w:pPr>
        <w:keepNext w:val="0"/>
        <w:keepLines w:val="0"/>
        <w:pageBreakBefore w:val="0"/>
        <w:widowControl w:val="0"/>
        <w:shd w:val="clear" w:color="auto" w:fill="auto"/>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pacing w:val="0"/>
          <w:kern w:val="0"/>
          <w:position w:val="0"/>
          <w:sz w:val="24"/>
          <w:szCs w:val="24"/>
          <w:highlight w:val="none"/>
          <w:lang w:val="en-US" w:eastAsia="zh-CN"/>
        </w:rPr>
      </w:pPr>
      <w:r>
        <w:rPr>
          <w:rFonts w:hint="default" w:ascii="Times New Roman" w:hAnsi="Times New Roman" w:eastAsia="宋体" w:cs="Times New Roman"/>
          <w:color w:val="auto"/>
          <w:spacing w:val="0"/>
          <w:kern w:val="0"/>
          <w:position w:val="0"/>
          <w:sz w:val="24"/>
          <w:szCs w:val="24"/>
          <w:highlight w:val="none"/>
          <w:lang w:val="en-US" w:eastAsia="zh-CN"/>
        </w:rPr>
        <w:t>本项目所在区域地表水体为</w:t>
      </w:r>
      <w:r>
        <w:rPr>
          <w:rFonts w:hint="eastAsia" w:ascii="Times New Roman" w:hAnsi="Times New Roman" w:eastAsia="宋体" w:cs="Times New Roman"/>
          <w:color w:val="auto"/>
          <w:spacing w:val="0"/>
          <w:kern w:val="0"/>
          <w:position w:val="0"/>
          <w:sz w:val="24"/>
          <w:szCs w:val="24"/>
          <w:highlight w:val="none"/>
          <w:lang w:val="en-US" w:eastAsia="zh-CN"/>
        </w:rPr>
        <w:t>拉林河</w:t>
      </w:r>
      <w:r>
        <w:rPr>
          <w:rFonts w:hint="default" w:ascii="Times New Roman" w:hAnsi="Times New Roman" w:eastAsia="宋体" w:cs="Times New Roman"/>
          <w:color w:val="auto"/>
          <w:spacing w:val="0"/>
          <w:kern w:val="0"/>
          <w:position w:val="0"/>
          <w:sz w:val="24"/>
          <w:szCs w:val="24"/>
          <w:highlight w:val="none"/>
          <w:lang w:val="en-US" w:eastAsia="zh-CN"/>
        </w:rPr>
        <w:t>，根据《水利部 国家发展和改革委员会 环境保护部关于印发全国重要江河湖泊水功能区划（2011-2030年）》，拉林河</w:t>
      </w:r>
      <w:r>
        <w:rPr>
          <w:rFonts w:hint="eastAsia" w:ascii="Times New Roman" w:hAnsi="Times New Roman" w:eastAsia="宋体" w:cs="Times New Roman"/>
          <w:color w:val="auto"/>
          <w:spacing w:val="0"/>
          <w:kern w:val="0"/>
          <w:position w:val="0"/>
          <w:sz w:val="24"/>
          <w:szCs w:val="24"/>
          <w:highlight w:val="none"/>
          <w:lang w:val="en-US" w:eastAsia="zh-CN"/>
        </w:rPr>
        <w:t>（五常公路桥-入松花江河口）</w:t>
      </w:r>
      <w:r>
        <w:rPr>
          <w:rFonts w:hint="default" w:ascii="Times New Roman" w:hAnsi="Times New Roman" w:eastAsia="宋体" w:cs="Times New Roman"/>
          <w:color w:val="auto"/>
          <w:spacing w:val="0"/>
          <w:kern w:val="0"/>
          <w:position w:val="0"/>
          <w:sz w:val="24"/>
          <w:szCs w:val="24"/>
          <w:highlight w:val="none"/>
          <w:lang w:val="en-US" w:eastAsia="zh-CN"/>
        </w:rPr>
        <w:t>段</w:t>
      </w:r>
      <w:r>
        <w:rPr>
          <w:rFonts w:hint="eastAsia" w:ascii="Times New Roman" w:hAnsi="Times New Roman" w:eastAsia="宋体" w:cs="Times New Roman"/>
          <w:color w:val="auto"/>
          <w:spacing w:val="0"/>
          <w:kern w:val="0"/>
          <w:position w:val="0"/>
          <w:sz w:val="24"/>
          <w:szCs w:val="24"/>
          <w:highlight w:val="none"/>
          <w:lang w:val="en-US" w:eastAsia="zh-CN"/>
        </w:rPr>
        <w:t>水质目标为</w:t>
      </w:r>
      <w:r>
        <w:rPr>
          <w:rFonts w:hint="default" w:ascii="Times New Roman" w:hAnsi="Times New Roman" w:eastAsia="宋体" w:cs="Times New Roman"/>
          <w:color w:val="auto"/>
          <w:spacing w:val="0"/>
          <w:kern w:val="0"/>
          <w:position w:val="0"/>
          <w:sz w:val="24"/>
          <w:szCs w:val="24"/>
          <w:highlight w:val="none"/>
          <w:lang w:val="en-US" w:eastAsia="zh-CN"/>
        </w:rPr>
        <w:t>Ⅲ类</w:t>
      </w:r>
      <w:r>
        <w:rPr>
          <w:rFonts w:hint="eastAsia" w:ascii="Times New Roman" w:hAnsi="Times New Roman" w:eastAsia="宋体" w:cs="Times New Roman"/>
          <w:color w:val="auto"/>
          <w:spacing w:val="0"/>
          <w:kern w:val="0"/>
          <w:position w:val="0"/>
          <w:sz w:val="24"/>
          <w:szCs w:val="24"/>
          <w:highlight w:val="none"/>
          <w:lang w:val="en-US" w:eastAsia="zh-CN"/>
        </w:rPr>
        <w:t>，根据《2024年哈尔滨生态环境质量状况年报》，拉林河满足</w:t>
      </w:r>
      <w:r>
        <w:rPr>
          <w:rFonts w:hint="default" w:ascii="Times New Roman" w:hAnsi="Times New Roman" w:eastAsia="宋体" w:cs="Times New Roman"/>
          <w:color w:val="auto"/>
          <w:spacing w:val="0"/>
          <w:kern w:val="0"/>
          <w:position w:val="0"/>
          <w:sz w:val="24"/>
          <w:szCs w:val="24"/>
          <w:highlight w:val="none"/>
          <w:lang w:val="en-US" w:eastAsia="zh-CN"/>
        </w:rPr>
        <w:t>《地表水环境质量标准》（GB3838-2002）中Ⅲ类水体标准</w:t>
      </w:r>
      <w:r>
        <w:rPr>
          <w:rFonts w:hint="eastAsia" w:ascii="Times New Roman" w:hAnsi="Times New Roman" w:eastAsia="宋体" w:cs="Times New Roman"/>
          <w:color w:val="auto"/>
          <w:spacing w:val="0"/>
          <w:kern w:val="0"/>
          <w:position w:val="0"/>
          <w:sz w:val="24"/>
          <w:szCs w:val="24"/>
          <w:highlight w:val="none"/>
          <w:lang w:val="en-US" w:eastAsia="zh-CN"/>
        </w:rPr>
        <w:t>。</w:t>
      </w:r>
    </w:p>
    <w:p w14:paraId="398489F1">
      <w:pPr>
        <w:keepNext w:val="0"/>
        <w:keepLines w:val="0"/>
        <w:pageBreakBefore w:val="0"/>
        <w:widowControl w:val="0"/>
        <w:shd w:val="clear" w:color="auto" w:fill="auto"/>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pacing w:val="0"/>
          <w:kern w:val="0"/>
          <w:position w:val="0"/>
          <w:sz w:val="24"/>
          <w:szCs w:val="24"/>
          <w:highlight w:val="none"/>
        </w:rPr>
      </w:pPr>
      <w:r>
        <w:rPr>
          <w:rFonts w:hint="default" w:ascii="Times New Roman" w:hAnsi="Times New Roman" w:cs="Times New Roman"/>
          <w:color w:val="auto"/>
          <w:sz w:val="24"/>
          <w:szCs w:val="24"/>
          <w:lang w:val="en-US" w:eastAsia="zh-CN"/>
        </w:rPr>
        <w:t>（2）地下水环境：本项目所在区域地下水为《地下水质量标准》（GB/T14848-2017）中Ⅲ类水质类别。</w:t>
      </w:r>
    </w:p>
    <w:p w14:paraId="648B107A">
      <w:pPr>
        <w:keepNext w:val="0"/>
        <w:keepLines w:val="0"/>
        <w:pageBreakBefore w:val="0"/>
        <w:widowControl w:val="0"/>
        <w:shd w:val="clear" w:color="auto" w:fill="auto"/>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pacing w:val="0"/>
          <w:kern w:val="0"/>
          <w:position w:val="0"/>
          <w:sz w:val="24"/>
          <w:szCs w:val="24"/>
          <w:highlight w:val="none"/>
        </w:rPr>
      </w:pPr>
      <w:r>
        <w:rPr>
          <w:rFonts w:hint="default" w:ascii="Times New Roman" w:hAnsi="Times New Roman" w:eastAsia="宋体" w:cs="Times New Roman"/>
          <w:color w:val="auto"/>
          <w:spacing w:val="0"/>
          <w:kern w:val="0"/>
          <w:position w:val="0"/>
          <w:sz w:val="24"/>
          <w:szCs w:val="24"/>
          <w:highlight w:val="none"/>
          <w:lang w:eastAsia="zh-CN"/>
        </w:rPr>
        <w:t>（</w:t>
      </w:r>
      <w:r>
        <w:rPr>
          <w:rFonts w:hint="default" w:ascii="Times New Roman" w:hAnsi="Times New Roman" w:eastAsia="宋体" w:cs="Times New Roman"/>
          <w:color w:val="auto"/>
          <w:spacing w:val="0"/>
          <w:kern w:val="0"/>
          <w:position w:val="0"/>
          <w:sz w:val="24"/>
          <w:szCs w:val="24"/>
          <w:highlight w:val="none"/>
          <w:lang w:val="en-US" w:eastAsia="zh-CN"/>
        </w:rPr>
        <w:t>3</w:t>
      </w:r>
      <w:r>
        <w:rPr>
          <w:rFonts w:hint="default" w:ascii="Times New Roman" w:hAnsi="Times New Roman" w:eastAsia="宋体" w:cs="Times New Roman"/>
          <w:color w:val="auto"/>
          <w:spacing w:val="0"/>
          <w:kern w:val="0"/>
          <w:position w:val="0"/>
          <w:sz w:val="24"/>
          <w:szCs w:val="24"/>
          <w:highlight w:val="none"/>
          <w:lang w:eastAsia="zh-CN"/>
        </w:rPr>
        <w:t>）</w:t>
      </w:r>
      <w:r>
        <w:rPr>
          <w:rFonts w:hint="default" w:ascii="Times New Roman" w:hAnsi="Times New Roman" w:eastAsia="宋体" w:cs="Times New Roman"/>
          <w:color w:val="auto"/>
          <w:spacing w:val="0"/>
          <w:kern w:val="0"/>
          <w:position w:val="0"/>
          <w:sz w:val="24"/>
          <w:szCs w:val="24"/>
          <w:highlight w:val="none"/>
        </w:rPr>
        <w:t>环境空气功能区划</w:t>
      </w:r>
    </w:p>
    <w:p w14:paraId="3A725EFB">
      <w:pPr>
        <w:keepNext w:val="0"/>
        <w:keepLines w:val="0"/>
        <w:pageBreakBefore w:val="0"/>
        <w:widowControl w:val="0"/>
        <w:shd w:val="clear" w:color="auto" w:fill="auto"/>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pacing w:val="0"/>
          <w:kern w:val="0"/>
          <w:position w:val="0"/>
          <w:sz w:val="24"/>
          <w:szCs w:val="24"/>
          <w:highlight w:val="none"/>
          <w:lang w:eastAsia="zh-CN"/>
        </w:rPr>
      </w:pPr>
      <w:r>
        <w:rPr>
          <w:rFonts w:hint="default" w:ascii="Times New Roman" w:hAnsi="Times New Roman" w:eastAsia="宋体" w:cs="Times New Roman"/>
          <w:color w:val="auto"/>
          <w:spacing w:val="0"/>
          <w:kern w:val="0"/>
          <w:position w:val="0"/>
          <w:sz w:val="24"/>
          <w:szCs w:val="24"/>
          <w:highlight w:val="none"/>
        </w:rPr>
        <w:t>本项目所在区域位于《环境空气质量标准》（GB3095-2012）中二类环境空气功能区。</w:t>
      </w:r>
    </w:p>
    <w:p w14:paraId="59C87BDB">
      <w:pPr>
        <w:keepNext w:val="0"/>
        <w:keepLines w:val="0"/>
        <w:pageBreakBefore w:val="0"/>
        <w:widowControl w:val="0"/>
        <w:shd w:val="clear" w:color="auto" w:fill="auto"/>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pacing w:val="0"/>
          <w:kern w:val="0"/>
          <w:position w:val="0"/>
          <w:sz w:val="24"/>
          <w:szCs w:val="24"/>
          <w:highlight w:val="none"/>
          <w:lang w:eastAsia="zh-CN"/>
        </w:rPr>
      </w:pPr>
      <w:r>
        <w:rPr>
          <w:rFonts w:hint="default" w:ascii="Times New Roman" w:hAnsi="Times New Roman" w:eastAsia="宋体" w:cs="Times New Roman"/>
          <w:color w:val="auto"/>
          <w:spacing w:val="0"/>
          <w:kern w:val="0"/>
          <w:position w:val="0"/>
          <w:sz w:val="24"/>
          <w:szCs w:val="24"/>
          <w:highlight w:val="none"/>
          <w:lang w:eastAsia="zh-CN"/>
        </w:rPr>
        <w:t>（</w:t>
      </w:r>
      <w:r>
        <w:rPr>
          <w:rFonts w:hint="default" w:ascii="Times New Roman" w:hAnsi="Times New Roman" w:eastAsia="宋体" w:cs="Times New Roman"/>
          <w:color w:val="auto"/>
          <w:spacing w:val="0"/>
          <w:kern w:val="0"/>
          <w:position w:val="0"/>
          <w:sz w:val="24"/>
          <w:szCs w:val="24"/>
          <w:highlight w:val="none"/>
          <w:lang w:val="en-US" w:eastAsia="zh-CN"/>
        </w:rPr>
        <w:t>4</w:t>
      </w:r>
      <w:r>
        <w:rPr>
          <w:rFonts w:hint="default" w:ascii="Times New Roman" w:hAnsi="Times New Roman" w:eastAsia="宋体" w:cs="Times New Roman"/>
          <w:color w:val="auto"/>
          <w:spacing w:val="0"/>
          <w:kern w:val="0"/>
          <w:position w:val="0"/>
          <w:sz w:val="24"/>
          <w:szCs w:val="24"/>
          <w:highlight w:val="none"/>
          <w:lang w:eastAsia="zh-CN"/>
        </w:rPr>
        <w:t>）声环境功能区划</w:t>
      </w:r>
    </w:p>
    <w:p w14:paraId="1EAEC210">
      <w:pPr>
        <w:keepNext w:val="0"/>
        <w:keepLines w:val="0"/>
        <w:pageBreakBefore w:val="0"/>
        <w:widowControl w:val="0"/>
        <w:shd w:val="clear" w:color="auto" w:fill="auto"/>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pacing w:val="0"/>
          <w:kern w:val="0"/>
          <w:position w:val="0"/>
          <w:sz w:val="24"/>
          <w:szCs w:val="24"/>
          <w:highlight w:val="none"/>
          <w:lang w:eastAsia="zh-CN"/>
        </w:rPr>
      </w:pPr>
      <w:r>
        <w:rPr>
          <w:rFonts w:hint="default" w:ascii="Times New Roman" w:hAnsi="Times New Roman" w:eastAsia="宋体" w:cs="Times New Roman"/>
          <w:color w:val="auto"/>
          <w:spacing w:val="0"/>
          <w:kern w:val="0"/>
          <w:position w:val="0"/>
          <w:sz w:val="24"/>
          <w:szCs w:val="24"/>
          <w:highlight w:val="none"/>
          <w:lang w:val="en-US" w:eastAsia="zh-CN"/>
        </w:rPr>
        <w:t>建设项目位于黑龙江</w:t>
      </w:r>
      <w:r>
        <w:rPr>
          <w:rFonts w:hint="eastAsia" w:ascii="Times New Roman" w:hAnsi="Times New Roman" w:eastAsia="宋体" w:cs="Times New Roman"/>
          <w:color w:val="auto"/>
          <w:spacing w:val="0"/>
          <w:kern w:val="0"/>
          <w:position w:val="0"/>
          <w:sz w:val="24"/>
          <w:szCs w:val="24"/>
          <w:highlight w:val="none"/>
          <w:lang w:val="en-US" w:eastAsia="zh-CN"/>
        </w:rPr>
        <w:t>五常</w:t>
      </w:r>
      <w:r>
        <w:rPr>
          <w:rFonts w:hint="default" w:ascii="Times New Roman" w:hAnsi="Times New Roman" w:eastAsia="宋体" w:cs="Times New Roman"/>
          <w:color w:val="auto"/>
          <w:spacing w:val="0"/>
          <w:kern w:val="0"/>
          <w:position w:val="0"/>
          <w:sz w:val="24"/>
          <w:szCs w:val="24"/>
          <w:highlight w:val="none"/>
          <w:lang w:val="en-US" w:eastAsia="zh-CN"/>
        </w:rPr>
        <w:t>经济开发区，本项目声环境位于二类声功能区，声环境质量执行《声环境质量标准》（GB3096-2008）2类标准。</w:t>
      </w:r>
    </w:p>
    <w:p w14:paraId="6D6D62A8">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default" w:ascii="Times New Roman" w:hAnsi="Times New Roman" w:eastAsia="宋体" w:cs="Times New Roman"/>
          <w:b/>
          <w:bCs/>
          <w:color w:val="auto"/>
          <w:spacing w:val="0"/>
          <w:position w:val="0"/>
          <w:sz w:val="30"/>
          <w:szCs w:val="30"/>
          <w:lang w:val="en-US" w:eastAsia="zh-CN"/>
        </w:rPr>
        <w:t>2.5.2环境质量标准</w:t>
      </w:r>
    </w:p>
    <w:p w14:paraId="44546709">
      <w:pPr>
        <w:keepNext w:val="0"/>
        <w:keepLines w:val="0"/>
        <w:pageBreakBefore w:val="0"/>
        <w:widowControl w:val="0"/>
        <w:shd w:val="clear" w:color="auto" w:fill="auto"/>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pacing w:val="0"/>
          <w:kern w:val="0"/>
          <w:position w:val="0"/>
          <w:sz w:val="24"/>
          <w:szCs w:val="24"/>
          <w:highlight w:val="none"/>
          <w:lang w:eastAsia="zh-CN"/>
        </w:rPr>
      </w:pPr>
      <w:r>
        <w:rPr>
          <w:rFonts w:hint="default" w:ascii="Times New Roman" w:hAnsi="Times New Roman" w:eastAsia="宋体" w:cs="Times New Roman"/>
          <w:color w:val="auto"/>
          <w:spacing w:val="0"/>
          <w:kern w:val="0"/>
          <w:position w:val="0"/>
          <w:sz w:val="24"/>
          <w:szCs w:val="24"/>
          <w:highlight w:val="none"/>
        </w:rPr>
        <w:t>（1）环境空气</w:t>
      </w:r>
      <w:r>
        <w:rPr>
          <w:rFonts w:hint="default" w:ascii="Times New Roman" w:hAnsi="Times New Roman" w:eastAsia="宋体" w:cs="Times New Roman"/>
          <w:color w:val="auto"/>
          <w:spacing w:val="0"/>
          <w:kern w:val="0"/>
          <w:position w:val="0"/>
          <w:sz w:val="24"/>
          <w:szCs w:val="24"/>
          <w:highlight w:val="none"/>
          <w:lang w:eastAsia="zh-CN"/>
        </w:rPr>
        <w:t>质量标准</w:t>
      </w:r>
    </w:p>
    <w:p w14:paraId="61FD22FD">
      <w:pPr>
        <w:keepNext w:val="0"/>
        <w:keepLines w:val="0"/>
        <w:pageBreakBefore w:val="0"/>
        <w:widowControl w:val="0"/>
        <w:shd w:val="clear" w:color="auto" w:fill="auto"/>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pacing w:val="0"/>
          <w:kern w:val="0"/>
          <w:position w:val="0"/>
          <w:sz w:val="24"/>
          <w:szCs w:val="24"/>
          <w:highlight w:val="none"/>
          <w:lang w:val="en-US" w:eastAsia="zh-CN"/>
        </w:rPr>
      </w:pPr>
      <w:r>
        <w:rPr>
          <w:rFonts w:hint="default" w:ascii="Times New Roman" w:hAnsi="Times New Roman" w:eastAsia="宋体" w:cs="Times New Roman"/>
          <w:color w:val="auto"/>
          <w:spacing w:val="0"/>
          <w:kern w:val="0"/>
          <w:position w:val="0"/>
          <w:sz w:val="24"/>
          <w:szCs w:val="24"/>
          <w:highlight w:val="none"/>
        </w:rPr>
        <w:t>项目所在区域环境空气SO</w:t>
      </w:r>
      <w:r>
        <w:rPr>
          <w:rFonts w:hint="default" w:ascii="Times New Roman" w:hAnsi="Times New Roman" w:eastAsia="宋体" w:cs="Times New Roman"/>
          <w:color w:val="auto"/>
          <w:spacing w:val="0"/>
          <w:kern w:val="0"/>
          <w:position w:val="0"/>
          <w:sz w:val="24"/>
          <w:szCs w:val="24"/>
          <w:highlight w:val="none"/>
          <w:vertAlign w:val="subscript"/>
        </w:rPr>
        <w:t>2</w:t>
      </w:r>
      <w:r>
        <w:rPr>
          <w:rFonts w:hint="default" w:ascii="Times New Roman" w:hAnsi="Times New Roman" w:eastAsia="宋体" w:cs="Times New Roman"/>
          <w:color w:val="auto"/>
          <w:spacing w:val="0"/>
          <w:kern w:val="0"/>
          <w:position w:val="0"/>
          <w:sz w:val="24"/>
          <w:szCs w:val="24"/>
          <w:highlight w:val="none"/>
        </w:rPr>
        <w:t>、NO</w:t>
      </w:r>
      <w:r>
        <w:rPr>
          <w:rFonts w:hint="default" w:ascii="Times New Roman" w:hAnsi="Times New Roman" w:eastAsia="宋体" w:cs="Times New Roman"/>
          <w:color w:val="auto"/>
          <w:spacing w:val="0"/>
          <w:kern w:val="0"/>
          <w:position w:val="0"/>
          <w:sz w:val="24"/>
          <w:szCs w:val="24"/>
          <w:highlight w:val="none"/>
          <w:vertAlign w:val="subscript"/>
        </w:rPr>
        <w:t>2</w:t>
      </w:r>
      <w:r>
        <w:rPr>
          <w:rFonts w:hint="default" w:ascii="Times New Roman" w:hAnsi="Times New Roman" w:eastAsia="宋体" w:cs="Times New Roman"/>
          <w:color w:val="auto"/>
          <w:spacing w:val="0"/>
          <w:kern w:val="0"/>
          <w:position w:val="0"/>
          <w:sz w:val="24"/>
          <w:szCs w:val="24"/>
          <w:highlight w:val="none"/>
        </w:rPr>
        <w:t>、CO、O</w:t>
      </w:r>
      <w:r>
        <w:rPr>
          <w:rFonts w:hint="default" w:ascii="Times New Roman" w:hAnsi="Times New Roman" w:eastAsia="宋体" w:cs="Times New Roman"/>
          <w:color w:val="auto"/>
          <w:spacing w:val="0"/>
          <w:kern w:val="0"/>
          <w:position w:val="0"/>
          <w:sz w:val="24"/>
          <w:szCs w:val="24"/>
          <w:highlight w:val="none"/>
          <w:vertAlign w:val="subscript"/>
        </w:rPr>
        <w:t>3</w:t>
      </w:r>
      <w:r>
        <w:rPr>
          <w:rFonts w:hint="default" w:ascii="Times New Roman" w:hAnsi="Times New Roman" w:eastAsia="宋体" w:cs="Times New Roman"/>
          <w:color w:val="auto"/>
          <w:spacing w:val="0"/>
          <w:kern w:val="0"/>
          <w:position w:val="0"/>
          <w:sz w:val="24"/>
          <w:szCs w:val="24"/>
          <w:highlight w:val="none"/>
        </w:rPr>
        <w:t>、PM</w:t>
      </w:r>
      <w:r>
        <w:rPr>
          <w:rFonts w:hint="default" w:ascii="Times New Roman" w:hAnsi="Times New Roman" w:eastAsia="宋体" w:cs="Times New Roman"/>
          <w:color w:val="auto"/>
          <w:spacing w:val="0"/>
          <w:kern w:val="0"/>
          <w:position w:val="0"/>
          <w:sz w:val="24"/>
          <w:szCs w:val="24"/>
          <w:highlight w:val="none"/>
          <w:vertAlign w:val="subscript"/>
        </w:rPr>
        <w:t>10</w:t>
      </w:r>
      <w:r>
        <w:rPr>
          <w:rFonts w:hint="default" w:ascii="Times New Roman" w:hAnsi="Times New Roman" w:eastAsia="宋体" w:cs="Times New Roman"/>
          <w:color w:val="auto"/>
          <w:spacing w:val="0"/>
          <w:kern w:val="0"/>
          <w:position w:val="0"/>
          <w:sz w:val="24"/>
          <w:szCs w:val="24"/>
          <w:highlight w:val="none"/>
        </w:rPr>
        <w:t>、PM</w:t>
      </w:r>
      <w:r>
        <w:rPr>
          <w:rFonts w:hint="default" w:ascii="Times New Roman" w:hAnsi="Times New Roman" w:eastAsia="宋体" w:cs="Times New Roman"/>
          <w:color w:val="auto"/>
          <w:spacing w:val="0"/>
          <w:kern w:val="0"/>
          <w:position w:val="0"/>
          <w:sz w:val="24"/>
          <w:szCs w:val="24"/>
          <w:highlight w:val="none"/>
          <w:vertAlign w:val="subscript"/>
        </w:rPr>
        <w:t>2.5</w:t>
      </w:r>
      <w:r>
        <w:rPr>
          <w:rFonts w:hint="default" w:ascii="Times New Roman" w:hAnsi="Times New Roman" w:eastAsia="宋体" w:cs="Times New Roman"/>
          <w:color w:val="auto"/>
          <w:spacing w:val="0"/>
          <w:kern w:val="0"/>
          <w:position w:val="0"/>
          <w:sz w:val="24"/>
          <w:szCs w:val="24"/>
          <w:highlight w:val="none"/>
        </w:rPr>
        <w:t>、TSP</w:t>
      </w:r>
      <w:r>
        <w:rPr>
          <w:rFonts w:hint="eastAsia" w:ascii="Times New Roman" w:hAnsi="Times New Roman" w:eastAsia="宋体" w:cs="Times New Roman"/>
          <w:color w:val="auto"/>
          <w:spacing w:val="0"/>
          <w:kern w:val="0"/>
          <w:position w:val="0"/>
          <w:sz w:val="24"/>
          <w:szCs w:val="24"/>
          <w:highlight w:val="none"/>
          <w:lang w:eastAsia="zh-CN"/>
        </w:rPr>
        <w:t>、</w:t>
      </w:r>
      <w:r>
        <w:rPr>
          <w:rFonts w:hint="eastAsia" w:ascii="Times New Roman" w:hAnsi="Times New Roman" w:eastAsia="宋体" w:cs="Times New Roman"/>
          <w:color w:val="auto"/>
          <w:spacing w:val="0"/>
          <w:kern w:val="0"/>
          <w:position w:val="0"/>
          <w:sz w:val="24"/>
          <w:szCs w:val="24"/>
          <w:highlight w:val="none"/>
          <w:lang w:val="en-US" w:eastAsia="zh-CN"/>
        </w:rPr>
        <w:t>NOx</w:t>
      </w:r>
      <w:r>
        <w:rPr>
          <w:rFonts w:hint="default" w:ascii="Times New Roman" w:hAnsi="Times New Roman" w:eastAsia="宋体" w:cs="Times New Roman"/>
          <w:color w:val="auto"/>
          <w:spacing w:val="0"/>
          <w:kern w:val="0"/>
          <w:position w:val="0"/>
          <w:sz w:val="24"/>
          <w:szCs w:val="24"/>
          <w:highlight w:val="none"/>
        </w:rPr>
        <w:t>执行《环境空气质量标准》（GB3095-2012）</w:t>
      </w:r>
      <w:r>
        <w:rPr>
          <w:rFonts w:hint="default" w:ascii="Times New Roman" w:hAnsi="Times New Roman" w:eastAsia="宋体" w:cs="Times New Roman"/>
          <w:color w:val="auto"/>
          <w:spacing w:val="0"/>
          <w:kern w:val="0"/>
          <w:position w:val="0"/>
          <w:sz w:val="24"/>
          <w:szCs w:val="24"/>
          <w:highlight w:val="none"/>
          <w:lang w:eastAsia="zh-CN"/>
        </w:rPr>
        <w:t>及修改单</w:t>
      </w:r>
      <w:r>
        <w:rPr>
          <w:rFonts w:hint="default" w:ascii="Times New Roman" w:hAnsi="Times New Roman" w:eastAsia="宋体" w:cs="Times New Roman"/>
          <w:color w:val="auto"/>
          <w:spacing w:val="0"/>
          <w:kern w:val="0"/>
          <w:position w:val="0"/>
          <w:sz w:val="24"/>
          <w:szCs w:val="24"/>
          <w:highlight w:val="none"/>
        </w:rPr>
        <w:t>中二级标准。</w:t>
      </w:r>
      <w:r>
        <w:rPr>
          <w:rFonts w:hint="default" w:ascii="Times New Roman" w:hAnsi="Times New Roman" w:eastAsia="宋体" w:cs="Times New Roman"/>
          <w:color w:val="auto"/>
          <w:spacing w:val="0"/>
          <w:kern w:val="0"/>
          <w:position w:val="0"/>
          <w:sz w:val="24"/>
          <w:szCs w:val="24"/>
          <w:highlight w:val="none"/>
          <w:lang w:eastAsia="zh-CN"/>
        </w:rPr>
        <w:t>氨、</w:t>
      </w:r>
      <w:r>
        <w:rPr>
          <w:rFonts w:hint="eastAsia" w:ascii="Times New Roman" w:hAnsi="Times New Roman" w:eastAsia="宋体" w:cs="Times New Roman"/>
          <w:color w:val="auto"/>
          <w:spacing w:val="0"/>
          <w:kern w:val="0"/>
          <w:position w:val="0"/>
          <w:sz w:val="24"/>
          <w:szCs w:val="24"/>
          <w:highlight w:val="none"/>
          <w:lang w:val="en-US" w:eastAsia="zh-CN"/>
        </w:rPr>
        <w:t>苯乙烯、</w:t>
      </w:r>
      <w:r>
        <w:rPr>
          <w:rFonts w:hint="default" w:ascii="Times New Roman" w:hAnsi="Times New Roman" w:eastAsia="宋体" w:cs="Times New Roman"/>
          <w:color w:val="auto"/>
          <w:spacing w:val="0"/>
          <w:kern w:val="0"/>
          <w:position w:val="0"/>
          <w:sz w:val="24"/>
          <w:szCs w:val="24"/>
          <w:highlight w:val="none"/>
          <w:lang w:val="en-US" w:eastAsia="zh-CN"/>
        </w:rPr>
        <w:t>甲苯、</w:t>
      </w:r>
      <w:r>
        <w:rPr>
          <w:rFonts w:hint="eastAsia" w:ascii="Times New Roman" w:hAnsi="Times New Roman" w:eastAsia="宋体" w:cs="Times New Roman"/>
          <w:color w:val="auto"/>
          <w:spacing w:val="0"/>
          <w:kern w:val="0"/>
          <w:position w:val="0"/>
          <w:sz w:val="24"/>
          <w:szCs w:val="24"/>
          <w:highlight w:val="none"/>
          <w:lang w:val="en-US" w:eastAsia="zh-CN"/>
        </w:rPr>
        <w:t>丙烯腈</w:t>
      </w:r>
      <w:r>
        <w:rPr>
          <w:rFonts w:hint="default" w:ascii="Times New Roman" w:hAnsi="Times New Roman" w:eastAsia="宋体" w:cs="Times New Roman"/>
          <w:color w:val="auto"/>
          <w:spacing w:val="0"/>
          <w:kern w:val="0"/>
          <w:position w:val="0"/>
          <w:sz w:val="24"/>
          <w:szCs w:val="24"/>
          <w:highlight w:val="none"/>
          <w:lang w:val="en-US" w:eastAsia="zh-CN"/>
        </w:rPr>
        <w:t>执行《环境影响评价技术导则大气环境》（HJ2.2-2018）附录D参考限值；非甲烷总烃标准参照《大气污染物综合排放标准详解》（国家环境保护局科技标准司）中P244中推荐的质量标准值2mg/m</w:t>
      </w:r>
      <w:r>
        <w:rPr>
          <w:rFonts w:hint="default" w:ascii="Times New Roman" w:hAnsi="Times New Roman" w:eastAsia="宋体" w:cs="Times New Roman"/>
          <w:color w:val="auto"/>
          <w:spacing w:val="0"/>
          <w:kern w:val="0"/>
          <w:position w:val="0"/>
          <w:sz w:val="24"/>
          <w:szCs w:val="24"/>
          <w:highlight w:val="none"/>
          <w:vertAlign w:val="superscript"/>
          <w:lang w:val="en-US" w:eastAsia="zh-CN"/>
        </w:rPr>
        <w:t>3</w:t>
      </w:r>
      <w:r>
        <w:rPr>
          <w:rFonts w:hint="default" w:ascii="Times New Roman" w:hAnsi="Times New Roman" w:eastAsia="宋体" w:cs="Times New Roman"/>
          <w:color w:val="auto"/>
          <w:spacing w:val="0"/>
          <w:kern w:val="0"/>
          <w:position w:val="0"/>
          <w:sz w:val="24"/>
          <w:szCs w:val="24"/>
          <w:highlight w:val="none"/>
          <w:lang w:val="en-US" w:eastAsia="zh-CN"/>
        </w:rPr>
        <w:t>。</w:t>
      </w:r>
    </w:p>
    <w:p w14:paraId="618483D4">
      <w:pPr>
        <w:pStyle w:val="13"/>
        <w:keepNext w:val="0"/>
        <w:keepLines w:val="0"/>
        <w:pageBreakBefore w:val="0"/>
        <w:widowControl/>
        <w:numPr>
          <w:ilvl w:val="0"/>
          <w:numId w:val="0"/>
        </w:numPr>
        <w:kinsoku/>
        <w:wordWrap/>
        <w:overflowPunct/>
        <w:topLinePunct w:val="0"/>
        <w:autoSpaceDE/>
        <w:autoSpaceDN/>
        <w:bidi w:val="0"/>
        <w:adjustRightInd/>
        <w:snapToGrid w:val="0"/>
        <w:spacing w:beforeLines="0" w:afterLines="0" w:line="240" w:lineRule="auto"/>
        <w:ind w:right="0" w:rightChars="0"/>
        <w:jc w:val="center"/>
        <w:textAlignment w:val="auto"/>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表2.5-</w:t>
      </w:r>
      <w:r>
        <w:rPr>
          <w:rFonts w:hint="eastAsia" w:ascii="Times New Roman" w:hAnsi="Times New Roman" w:cs="Times New Roman"/>
          <w:b/>
          <w:bCs/>
          <w:color w:val="auto"/>
          <w:sz w:val="24"/>
          <w:szCs w:val="24"/>
          <w:highlight w:val="none"/>
          <w:lang w:val="en-US" w:eastAsia="zh-CN"/>
        </w:rPr>
        <w:t>1</w:t>
      </w:r>
      <w:r>
        <w:rPr>
          <w:rFonts w:hint="default" w:ascii="Times New Roman" w:hAnsi="Times New Roman" w:cs="Times New Roman"/>
          <w:b/>
          <w:bCs/>
          <w:color w:val="auto"/>
          <w:sz w:val="24"/>
          <w:szCs w:val="24"/>
          <w:highlight w:val="none"/>
          <w:lang w:val="en-US" w:eastAsia="zh-CN"/>
        </w:rPr>
        <w:t xml:space="preserve">  环境空气质量标准</w:t>
      </w:r>
    </w:p>
    <w:tbl>
      <w:tblPr>
        <w:tblStyle w:val="22"/>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39"/>
        <w:gridCol w:w="1621"/>
        <w:gridCol w:w="2323"/>
        <w:gridCol w:w="1175"/>
        <w:gridCol w:w="1623"/>
      </w:tblGrid>
      <w:tr w14:paraId="0A1AE8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restart"/>
            <w:noWrap w:val="0"/>
            <w:vAlign w:val="center"/>
          </w:tcPr>
          <w:p w14:paraId="759A56C2">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标准名称及级</w:t>
            </w:r>
          </w:p>
          <w:p w14:paraId="7B217069">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（类）别</w:t>
            </w:r>
          </w:p>
        </w:tc>
        <w:tc>
          <w:tcPr>
            <w:tcW w:w="873" w:type="pct"/>
            <w:vMerge w:val="restart"/>
            <w:noWrap w:val="0"/>
            <w:vAlign w:val="center"/>
          </w:tcPr>
          <w:p w14:paraId="6172680E">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污染因子</w:t>
            </w:r>
          </w:p>
        </w:tc>
        <w:tc>
          <w:tcPr>
            <w:tcW w:w="2758" w:type="pct"/>
            <w:gridSpan w:val="3"/>
            <w:tcBorders>
              <w:right w:val="nil"/>
            </w:tcBorders>
            <w:noWrap w:val="0"/>
            <w:vAlign w:val="center"/>
          </w:tcPr>
          <w:p w14:paraId="344FE04A">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标准值</w:t>
            </w:r>
          </w:p>
        </w:tc>
      </w:tr>
      <w:tr w14:paraId="56E5FF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269D1885">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continue"/>
            <w:noWrap w:val="0"/>
            <w:vAlign w:val="center"/>
          </w:tcPr>
          <w:p w14:paraId="5F3B9FC1">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1884" w:type="pct"/>
            <w:gridSpan w:val="2"/>
            <w:tcBorders>
              <w:right w:val="single" w:color="000000" w:sz="4" w:space="0"/>
            </w:tcBorders>
            <w:noWrap w:val="0"/>
            <w:vAlign w:val="center"/>
          </w:tcPr>
          <w:p w14:paraId="250B088B">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单位</w:t>
            </w:r>
          </w:p>
        </w:tc>
        <w:tc>
          <w:tcPr>
            <w:tcW w:w="874" w:type="pct"/>
            <w:tcBorders>
              <w:left w:val="single" w:color="000000" w:sz="4" w:space="0"/>
              <w:right w:val="nil"/>
            </w:tcBorders>
            <w:noWrap w:val="0"/>
            <w:vAlign w:val="center"/>
          </w:tcPr>
          <w:p w14:paraId="27E98018">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二级</w:t>
            </w:r>
          </w:p>
        </w:tc>
      </w:tr>
      <w:tr w14:paraId="29A2A6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restart"/>
            <w:noWrap w:val="0"/>
            <w:vAlign w:val="center"/>
          </w:tcPr>
          <w:p w14:paraId="3756DCE8">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《环境空气质量标准》（GB3095-2012）及其修改单（公告[2018]第29号）</w:t>
            </w:r>
          </w:p>
        </w:tc>
        <w:tc>
          <w:tcPr>
            <w:tcW w:w="873" w:type="pct"/>
            <w:vMerge w:val="restart"/>
            <w:noWrap w:val="0"/>
            <w:vAlign w:val="center"/>
          </w:tcPr>
          <w:p w14:paraId="0BF9A2C6">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SO</w:t>
            </w:r>
            <w:r>
              <w:rPr>
                <w:rFonts w:hint="default" w:ascii="Times New Roman" w:hAnsi="Times New Roman" w:cs="Times New Roman"/>
                <w:color w:val="auto"/>
                <w:kern w:val="2"/>
                <w:sz w:val="21"/>
                <w:szCs w:val="21"/>
                <w:vertAlign w:val="subscript"/>
              </w:rPr>
              <w:t>2</w:t>
            </w:r>
          </w:p>
        </w:tc>
        <w:tc>
          <w:tcPr>
            <w:tcW w:w="1251" w:type="pct"/>
            <w:noWrap w:val="0"/>
            <w:vAlign w:val="center"/>
          </w:tcPr>
          <w:p w14:paraId="6A35BB92">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1小时平均</w:t>
            </w:r>
          </w:p>
        </w:tc>
        <w:tc>
          <w:tcPr>
            <w:tcW w:w="633" w:type="pct"/>
            <w:noWrap w:val="0"/>
            <w:vAlign w:val="center"/>
          </w:tcPr>
          <w:p w14:paraId="42D3EB1C">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μg/m</w:t>
            </w:r>
            <w:r>
              <w:rPr>
                <w:rFonts w:hint="default" w:ascii="Times New Roman" w:hAnsi="Times New Roman" w:cs="Times New Roman"/>
                <w:color w:val="auto"/>
                <w:kern w:val="2"/>
                <w:sz w:val="21"/>
                <w:szCs w:val="21"/>
                <w:vertAlign w:val="superscript"/>
              </w:rPr>
              <w:t>3</w:t>
            </w:r>
          </w:p>
        </w:tc>
        <w:tc>
          <w:tcPr>
            <w:tcW w:w="874" w:type="pct"/>
            <w:noWrap w:val="0"/>
            <w:vAlign w:val="center"/>
          </w:tcPr>
          <w:p w14:paraId="6101CE76">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eastAsia="宋体" w:cs="Times New Roman"/>
                <w:color w:val="auto"/>
                <w:kern w:val="2"/>
                <w:sz w:val="21"/>
                <w:szCs w:val="21"/>
                <w:lang w:val="en-US" w:eastAsia="zh-CN"/>
              </w:rPr>
            </w:pPr>
            <w:r>
              <w:rPr>
                <w:rFonts w:hint="default" w:ascii="Times New Roman" w:hAnsi="Times New Roman" w:cs="Times New Roman"/>
                <w:color w:val="auto"/>
                <w:kern w:val="2"/>
                <w:sz w:val="21"/>
                <w:szCs w:val="21"/>
              </w:rPr>
              <w:t>500</w:t>
            </w:r>
          </w:p>
        </w:tc>
      </w:tr>
      <w:tr w14:paraId="73C348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217C2329">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continue"/>
            <w:noWrap w:val="0"/>
            <w:vAlign w:val="center"/>
          </w:tcPr>
          <w:p w14:paraId="1FCF9B2E">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1251" w:type="pct"/>
            <w:noWrap w:val="0"/>
            <w:vAlign w:val="center"/>
          </w:tcPr>
          <w:p w14:paraId="64E2E668">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24小时平均</w:t>
            </w:r>
          </w:p>
        </w:tc>
        <w:tc>
          <w:tcPr>
            <w:tcW w:w="633" w:type="pct"/>
            <w:noWrap w:val="0"/>
            <w:vAlign w:val="center"/>
          </w:tcPr>
          <w:p w14:paraId="70495FCD">
            <w:pPr>
              <w:keepNext w:val="0"/>
              <w:keepLines w:val="0"/>
              <w:kinsoku/>
              <w:overflowPunct/>
              <w:topLinePunct w:val="0"/>
              <w:autoSpaceDE w:val="0"/>
              <w:autoSpaceDN w:val="0"/>
              <w:bidi w:val="0"/>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noWrap w:val="0"/>
            <w:vAlign w:val="center"/>
          </w:tcPr>
          <w:p w14:paraId="6D957C29">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150</w:t>
            </w:r>
          </w:p>
        </w:tc>
      </w:tr>
      <w:tr w14:paraId="1814B6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6D89E37E">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continue"/>
            <w:noWrap w:val="0"/>
            <w:vAlign w:val="center"/>
          </w:tcPr>
          <w:p w14:paraId="1EF17A15">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1251" w:type="pct"/>
            <w:noWrap w:val="0"/>
            <w:vAlign w:val="center"/>
          </w:tcPr>
          <w:p w14:paraId="6DACB824">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年平均</w:t>
            </w:r>
          </w:p>
        </w:tc>
        <w:tc>
          <w:tcPr>
            <w:tcW w:w="633" w:type="pct"/>
            <w:noWrap w:val="0"/>
            <w:vAlign w:val="center"/>
          </w:tcPr>
          <w:p w14:paraId="18EFF08D">
            <w:pPr>
              <w:keepNext w:val="0"/>
              <w:keepLines w:val="0"/>
              <w:kinsoku/>
              <w:overflowPunct/>
              <w:topLinePunct w:val="0"/>
              <w:autoSpaceDE w:val="0"/>
              <w:autoSpaceDN w:val="0"/>
              <w:bidi w:val="0"/>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noWrap w:val="0"/>
            <w:vAlign w:val="center"/>
          </w:tcPr>
          <w:p w14:paraId="5FC063F0">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60</w:t>
            </w:r>
          </w:p>
        </w:tc>
      </w:tr>
      <w:tr w14:paraId="4E273A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07DE6AAE">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restart"/>
            <w:noWrap w:val="0"/>
            <w:vAlign w:val="center"/>
          </w:tcPr>
          <w:p w14:paraId="514E1FE7">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kern w:val="2"/>
                <w:sz w:val="21"/>
                <w:szCs w:val="21"/>
              </w:rPr>
              <w:t>NO</w:t>
            </w:r>
            <w:r>
              <w:rPr>
                <w:rFonts w:hint="default" w:ascii="Times New Roman" w:hAnsi="Times New Roman" w:cs="Times New Roman"/>
                <w:color w:val="auto"/>
                <w:kern w:val="2"/>
                <w:sz w:val="21"/>
                <w:szCs w:val="21"/>
                <w:vertAlign w:val="subscript"/>
              </w:rPr>
              <w:t>2</w:t>
            </w:r>
          </w:p>
        </w:tc>
        <w:tc>
          <w:tcPr>
            <w:tcW w:w="1251" w:type="pct"/>
            <w:noWrap w:val="0"/>
            <w:vAlign w:val="center"/>
          </w:tcPr>
          <w:p w14:paraId="14F1019B">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1小时平均</w:t>
            </w:r>
          </w:p>
        </w:tc>
        <w:tc>
          <w:tcPr>
            <w:tcW w:w="633" w:type="pct"/>
            <w:noWrap w:val="0"/>
            <w:vAlign w:val="center"/>
          </w:tcPr>
          <w:p w14:paraId="28A988FA">
            <w:pPr>
              <w:keepNext w:val="0"/>
              <w:keepLines w:val="0"/>
              <w:kinsoku/>
              <w:overflowPunct/>
              <w:topLinePunct w:val="0"/>
              <w:autoSpaceDE w:val="0"/>
              <w:autoSpaceDN w:val="0"/>
              <w:bidi w:val="0"/>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noWrap w:val="0"/>
            <w:vAlign w:val="center"/>
          </w:tcPr>
          <w:p w14:paraId="7C37081F">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200</w:t>
            </w:r>
          </w:p>
        </w:tc>
      </w:tr>
      <w:tr w14:paraId="12F3C2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2556973B">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continue"/>
            <w:noWrap w:val="0"/>
            <w:vAlign w:val="center"/>
          </w:tcPr>
          <w:p w14:paraId="1F15AD21">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1251" w:type="pct"/>
            <w:noWrap w:val="0"/>
            <w:vAlign w:val="center"/>
          </w:tcPr>
          <w:p w14:paraId="214148C3">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24小时平均</w:t>
            </w:r>
          </w:p>
        </w:tc>
        <w:tc>
          <w:tcPr>
            <w:tcW w:w="633" w:type="pct"/>
            <w:noWrap w:val="0"/>
            <w:vAlign w:val="center"/>
          </w:tcPr>
          <w:p w14:paraId="35FE9258">
            <w:pPr>
              <w:keepNext w:val="0"/>
              <w:keepLines w:val="0"/>
              <w:kinsoku/>
              <w:overflowPunct/>
              <w:topLinePunct w:val="0"/>
              <w:autoSpaceDE w:val="0"/>
              <w:autoSpaceDN w:val="0"/>
              <w:bidi w:val="0"/>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noWrap w:val="0"/>
            <w:vAlign w:val="center"/>
          </w:tcPr>
          <w:p w14:paraId="0233CDD4">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80</w:t>
            </w:r>
          </w:p>
        </w:tc>
      </w:tr>
      <w:tr w14:paraId="5F9989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12194D2C">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continue"/>
            <w:noWrap w:val="0"/>
            <w:vAlign w:val="center"/>
          </w:tcPr>
          <w:p w14:paraId="57469CD5">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1251" w:type="pct"/>
            <w:noWrap w:val="0"/>
            <w:vAlign w:val="center"/>
          </w:tcPr>
          <w:p w14:paraId="5724EB8B">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年平均</w:t>
            </w:r>
          </w:p>
        </w:tc>
        <w:tc>
          <w:tcPr>
            <w:tcW w:w="633" w:type="pct"/>
            <w:noWrap w:val="0"/>
            <w:vAlign w:val="center"/>
          </w:tcPr>
          <w:p w14:paraId="22262CCF">
            <w:pPr>
              <w:keepNext w:val="0"/>
              <w:keepLines w:val="0"/>
              <w:kinsoku/>
              <w:overflowPunct/>
              <w:topLinePunct w:val="0"/>
              <w:autoSpaceDE w:val="0"/>
              <w:autoSpaceDN w:val="0"/>
              <w:bidi w:val="0"/>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noWrap w:val="0"/>
            <w:vAlign w:val="center"/>
          </w:tcPr>
          <w:p w14:paraId="606E95C0">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40</w:t>
            </w:r>
          </w:p>
        </w:tc>
      </w:tr>
      <w:tr w14:paraId="6AB3D3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31C7FB1B">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restart"/>
            <w:noWrap w:val="0"/>
            <w:vAlign w:val="center"/>
          </w:tcPr>
          <w:p w14:paraId="6ADBD483">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PM</w:t>
            </w:r>
            <w:r>
              <w:rPr>
                <w:rFonts w:hint="default" w:ascii="Times New Roman" w:hAnsi="Times New Roman" w:cs="Times New Roman"/>
                <w:color w:val="auto"/>
                <w:kern w:val="2"/>
                <w:sz w:val="21"/>
                <w:szCs w:val="21"/>
                <w:vertAlign w:val="subscript"/>
              </w:rPr>
              <w:t>10</w:t>
            </w:r>
          </w:p>
        </w:tc>
        <w:tc>
          <w:tcPr>
            <w:tcW w:w="1251" w:type="pct"/>
            <w:noWrap w:val="0"/>
            <w:vAlign w:val="center"/>
          </w:tcPr>
          <w:p w14:paraId="740992EE">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24小时平均</w:t>
            </w:r>
          </w:p>
        </w:tc>
        <w:tc>
          <w:tcPr>
            <w:tcW w:w="633" w:type="pct"/>
            <w:noWrap w:val="0"/>
            <w:vAlign w:val="center"/>
          </w:tcPr>
          <w:p w14:paraId="7E9E9395">
            <w:pPr>
              <w:keepNext w:val="0"/>
              <w:keepLines w:val="0"/>
              <w:kinsoku/>
              <w:overflowPunct/>
              <w:topLinePunct w:val="0"/>
              <w:autoSpaceDE w:val="0"/>
              <w:autoSpaceDN w:val="0"/>
              <w:bidi w:val="0"/>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noWrap w:val="0"/>
            <w:vAlign w:val="center"/>
          </w:tcPr>
          <w:p w14:paraId="29E531D8">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150</w:t>
            </w:r>
          </w:p>
        </w:tc>
      </w:tr>
      <w:tr w14:paraId="2D0EFA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7EF1C22E">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continue"/>
            <w:noWrap w:val="0"/>
            <w:vAlign w:val="center"/>
          </w:tcPr>
          <w:p w14:paraId="5524D7C6">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1251" w:type="pct"/>
            <w:noWrap w:val="0"/>
            <w:vAlign w:val="center"/>
          </w:tcPr>
          <w:p w14:paraId="79E8FF31">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年平均</w:t>
            </w:r>
          </w:p>
        </w:tc>
        <w:tc>
          <w:tcPr>
            <w:tcW w:w="633" w:type="pct"/>
            <w:noWrap w:val="0"/>
            <w:vAlign w:val="center"/>
          </w:tcPr>
          <w:p w14:paraId="4D988365">
            <w:pPr>
              <w:keepNext w:val="0"/>
              <w:keepLines w:val="0"/>
              <w:kinsoku/>
              <w:overflowPunct/>
              <w:topLinePunct w:val="0"/>
              <w:autoSpaceDE w:val="0"/>
              <w:autoSpaceDN w:val="0"/>
              <w:bidi w:val="0"/>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noWrap w:val="0"/>
            <w:vAlign w:val="center"/>
          </w:tcPr>
          <w:p w14:paraId="66B2A420">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70</w:t>
            </w:r>
          </w:p>
        </w:tc>
      </w:tr>
      <w:tr w14:paraId="3494E1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3334832F">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restart"/>
            <w:noWrap w:val="0"/>
            <w:vAlign w:val="center"/>
          </w:tcPr>
          <w:p w14:paraId="5FAD9F84">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PM</w:t>
            </w:r>
            <w:r>
              <w:rPr>
                <w:rFonts w:hint="default" w:ascii="Times New Roman" w:hAnsi="Times New Roman" w:cs="Times New Roman"/>
                <w:color w:val="auto"/>
                <w:kern w:val="2"/>
                <w:sz w:val="21"/>
                <w:szCs w:val="21"/>
                <w:vertAlign w:val="subscript"/>
              </w:rPr>
              <w:t>2.5</w:t>
            </w:r>
          </w:p>
        </w:tc>
        <w:tc>
          <w:tcPr>
            <w:tcW w:w="1251" w:type="pct"/>
            <w:noWrap w:val="0"/>
            <w:vAlign w:val="center"/>
          </w:tcPr>
          <w:p w14:paraId="37EF68C5">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24小时平均</w:t>
            </w:r>
          </w:p>
        </w:tc>
        <w:tc>
          <w:tcPr>
            <w:tcW w:w="633" w:type="pct"/>
            <w:noWrap w:val="0"/>
            <w:vAlign w:val="center"/>
          </w:tcPr>
          <w:p w14:paraId="2F580E4B">
            <w:pPr>
              <w:keepNext w:val="0"/>
              <w:keepLines w:val="0"/>
              <w:kinsoku/>
              <w:overflowPunct/>
              <w:topLinePunct w:val="0"/>
              <w:autoSpaceDE w:val="0"/>
              <w:autoSpaceDN w:val="0"/>
              <w:bidi w:val="0"/>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noWrap w:val="0"/>
            <w:vAlign w:val="center"/>
          </w:tcPr>
          <w:p w14:paraId="256E5091">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75</w:t>
            </w:r>
          </w:p>
        </w:tc>
      </w:tr>
      <w:tr w14:paraId="6DEF44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501FA011">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continue"/>
            <w:noWrap w:val="0"/>
            <w:vAlign w:val="center"/>
          </w:tcPr>
          <w:p w14:paraId="7EC08ACF">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1251" w:type="pct"/>
            <w:noWrap w:val="0"/>
            <w:vAlign w:val="center"/>
          </w:tcPr>
          <w:p w14:paraId="4C2ECB47">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年平均</w:t>
            </w:r>
          </w:p>
        </w:tc>
        <w:tc>
          <w:tcPr>
            <w:tcW w:w="633" w:type="pct"/>
            <w:noWrap w:val="0"/>
            <w:vAlign w:val="center"/>
          </w:tcPr>
          <w:p w14:paraId="79999E6D">
            <w:pPr>
              <w:keepNext w:val="0"/>
              <w:keepLines w:val="0"/>
              <w:kinsoku/>
              <w:overflowPunct/>
              <w:topLinePunct w:val="0"/>
              <w:autoSpaceDE w:val="0"/>
              <w:autoSpaceDN w:val="0"/>
              <w:bidi w:val="0"/>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noWrap w:val="0"/>
            <w:vAlign w:val="center"/>
          </w:tcPr>
          <w:p w14:paraId="49C5DCB1">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35</w:t>
            </w:r>
          </w:p>
        </w:tc>
      </w:tr>
      <w:tr w14:paraId="0A1011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061E260E">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restart"/>
            <w:noWrap w:val="0"/>
            <w:vAlign w:val="center"/>
          </w:tcPr>
          <w:p w14:paraId="57D716AB">
            <w:pPr>
              <w:keepNext w:val="0"/>
              <w:keepLines w:val="0"/>
              <w:widowControl/>
              <w:kinsoku/>
              <w:overflowPunct/>
              <w:topLinePunct w:val="0"/>
              <w:autoSpaceDE w:val="0"/>
              <w:autoSpaceDN w:val="0"/>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w:t>
            </w:r>
          </w:p>
        </w:tc>
        <w:tc>
          <w:tcPr>
            <w:tcW w:w="1251" w:type="pct"/>
            <w:noWrap w:val="0"/>
            <w:vAlign w:val="center"/>
          </w:tcPr>
          <w:p w14:paraId="2B1FF7D2">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1小时平均</w:t>
            </w:r>
          </w:p>
        </w:tc>
        <w:tc>
          <w:tcPr>
            <w:tcW w:w="633" w:type="pct"/>
            <w:noWrap w:val="0"/>
            <w:vAlign w:val="center"/>
          </w:tcPr>
          <w:p w14:paraId="3C1B5954">
            <w:pPr>
              <w:keepNext w:val="0"/>
              <w:keepLines w:val="0"/>
              <w:kinsoku/>
              <w:overflowPunct/>
              <w:topLinePunct w:val="0"/>
              <w:autoSpaceDE w:val="0"/>
              <w:autoSpaceDN w:val="0"/>
              <w:bidi w:val="0"/>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p>
        </w:tc>
        <w:tc>
          <w:tcPr>
            <w:tcW w:w="874" w:type="pct"/>
            <w:noWrap w:val="0"/>
            <w:vAlign w:val="center"/>
          </w:tcPr>
          <w:p w14:paraId="129ABDBF">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10</w:t>
            </w:r>
          </w:p>
        </w:tc>
      </w:tr>
      <w:tr w14:paraId="5497AB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40B23BFC">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continue"/>
            <w:noWrap w:val="0"/>
            <w:vAlign w:val="center"/>
          </w:tcPr>
          <w:p w14:paraId="62553D7B">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1251" w:type="pct"/>
            <w:noWrap w:val="0"/>
            <w:vAlign w:val="center"/>
          </w:tcPr>
          <w:p w14:paraId="06C722C3">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24小时平均</w:t>
            </w:r>
          </w:p>
        </w:tc>
        <w:tc>
          <w:tcPr>
            <w:tcW w:w="633" w:type="pct"/>
            <w:noWrap w:val="0"/>
            <w:vAlign w:val="center"/>
          </w:tcPr>
          <w:p w14:paraId="2B258EB0">
            <w:pPr>
              <w:keepNext w:val="0"/>
              <w:keepLines w:val="0"/>
              <w:kinsoku/>
              <w:overflowPunct/>
              <w:topLinePunct w:val="0"/>
              <w:autoSpaceDE w:val="0"/>
              <w:autoSpaceDN w:val="0"/>
              <w:bidi w:val="0"/>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p>
        </w:tc>
        <w:tc>
          <w:tcPr>
            <w:tcW w:w="874" w:type="pct"/>
            <w:noWrap w:val="0"/>
            <w:vAlign w:val="center"/>
          </w:tcPr>
          <w:p w14:paraId="796CAB9E">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4</w:t>
            </w:r>
          </w:p>
        </w:tc>
      </w:tr>
      <w:tr w14:paraId="5A9A2C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49E9353B">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restart"/>
            <w:noWrap w:val="0"/>
            <w:vAlign w:val="center"/>
          </w:tcPr>
          <w:p w14:paraId="1458858C">
            <w:pPr>
              <w:keepNext w:val="0"/>
              <w:keepLines w:val="0"/>
              <w:widowControl/>
              <w:kinsoku/>
              <w:overflowPunct/>
              <w:topLinePunct w:val="0"/>
              <w:autoSpaceDE w:val="0"/>
              <w:autoSpaceDN w:val="0"/>
              <w:bidi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O</w:t>
            </w:r>
            <w:r>
              <w:rPr>
                <w:rFonts w:hint="default" w:ascii="Times New Roman" w:hAnsi="Times New Roman" w:cs="Times New Roman"/>
                <w:color w:val="auto"/>
                <w:sz w:val="21"/>
                <w:szCs w:val="21"/>
                <w:vertAlign w:val="subscript"/>
              </w:rPr>
              <w:t>3</w:t>
            </w:r>
          </w:p>
        </w:tc>
        <w:tc>
          <w:tcPr>
            <w:tcW w:w="1251" w:type="pct"/>
            <w:noWrap w:val="0"/>
            <w:vAlign w:val="center"/>
          </w:tcPr>
          <w:p w14:paraId="6791823E">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1小时平均</w:t>
            </w:r>
          </w:p>
        </w:tc>
        <w:tc>
          <w:tcPr>
            <w:tcW w:w="633" w:type="pct"/>
            <w:noWrap w:val="0"/>
            <w:vAlign w:val="center"/>
          </w:tcPr>
          <w:p w14:paraId="292A58FA">
            <w:pPr>
              <w:keepNext w:val="0"/>
              <w:keepLines w:val="0"/>
              <w:kinsoku/>
              <w:overflowPunct/>
              <w:topLinePunct w:val="0"/>
              <w:autoSpaceDE w:val="0"/>
              <w:autoSpaceDN w:val="0"/>
              <w:bidi w:val="0"/>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noWrap w:val="0"/>
            <w:vAlign w:val="center"/>
          </w:tcPr>
          <w:p w14:paraId="57C8A81D">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eastAsia="宋体" w:cs="Times New Roman"/>
                <w:color w:val="auto"/>
                <w:kern w:val="2"/>
                <w:sz w:val="21"/>
                <w:szCs w:val="21"/>
                <w:lang w:val="en-US" w:eastAsia="zh-CN"/>
              </w:rPr>
            </w:pPr>
            <w:r>
              <w:rPr>
                <w:rFonts w:hint="default" w:ascii="Times New Roman" w:hAnsi="Times New Roman" w:cs="Times New Roman"/>
                <w:color w:val="auto"/>
                <w:kern w:val="2"/>
                <w:sz w:val="21"/>
                <w:szCs w:val="21"/>
              </w:rPr>
              <w:t>200</w:t>
            </w:r>
          </w:p>
        </w:tc>
      </w:tr>
      <w:tr w14:paraId="54F80D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1C678A56">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continue"/>
            <w:noWrap w:val="0"/>
            <w:vAlign w:val="center"/>
          </w:tcPr>
          <w:p w14:paraId="7235B7C1">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1251" w:type="pct"/>
            <w:noWrap w:val="0"/>
            <w:vAlign w:val="center"/>
          </w:tcPr>
          <w:p w14:paraId="79DBFE5A">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日最大8小时平均</w:t>
            </w:r>
          </w:p>
        </w:tc>
        <w:tc>
          <w:tcPr>
            <w:tcW w:w="633" w:type="pct"/>
            <w:noWrap w:val="0"/>
            <w:vAlign w:val="center"/>
          </w:tcPr>
          <w:p w14:paraId="69C8ECB4">
            <w:pPr>
              <w:keepNext w:val="0"/>
              <w:keepLines w:val="0"/>
              <w:kinsoku/>
              <w:overflowPunct/>
              <w:topLinePunct w:val="0"/>
              <w:autoSpaceDE w:val="0"/>
              <w:autoSpaceDN w:val="0"/>
              <w:bidi w:val="0"/>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noWrap w:val="0"/>
            <w:vAlign w:val="center"/>
          </w:tcPr>
          <w:p w14:paraId="58AF9AF9">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160</w:t>
            </w:r>
          </w:p>
        </w:tc>
      </w:tr>
      <w:tr w14:paraId="6079B0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5FB4D81F">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restart"/>
            <w:noWrap w:val="0"/>
            <w:vAlign w:val="center"/>
          </w:tcPr>
          <w:p w14:paraId="4B4599EB">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kern w:val="2"/>
                <w:sz w:val="21"/>
                <w:szCs w:val="21"/>
              </w:rPr>
              <w:t>TSP</w:t>
            </w:r>
          </w:p>
        </w:tc>
        <w:tc>
          <w:tcPr>
            <w:tcW w:w="1251" w:type="pct"/>
            <w:noWrap w:val="0"/>
            <w:vAlign w:val="center"/>
          </w:tcPr>
          <w:p w14:paraId="70DBB7A2">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24小时平均</w:t>
            </w:r>
          </w:p>
        </w:tc>
        <w:tc>
          <w:tcPr>
            <w:tcW w:w="633" w:type="pct"/>
            <w:noWrap w:val="0"/>
            <w:vAlign w:val="center"/>
          </w:tcPr>
          <w:p w14:paraId="6E2DFA4D">
            <w:pPr>
              <w:keepNext w:val="0"/>
              <w:keepLines w:val="0"/>
              <w:kinsoku/>
              <w:overflowPunct/>
              <w:topLinePunct w:val="0"/>
              <w:autoSpaceDE w:val="0"/>
              <w:autoSpaceDN w:val="0"/>
              <w:bidi w:val="0"/>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noWrap w:val="0"/>
            <w:vAlign w:val="center"/>
          </w:tcPr>
          <w:p w14:paraId="31A7726C">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eastAsia="宋体" w:cs="Times New Roman"/>
                <w:color w:val="auto"/>
                <w:kern w:val="2"/>
                <w:sz w:val="21"/>
                <w:szCs w:val="21"/>
                <w:lang w:val="en-US" w:eastAsia="zh-CN"/>
              </w:rPr>
            </w:pPr>
            <w:r>
              <w:rPr>
                <w:rFonts w:hint="default" w:ascii="Times New Roman" w:hAnsi="Times New Roman" w:cs="Times New Roman"/>
                <w:color w:val="auto"/>
                <w:kern w:val="2"/>
                <w:sz w:val="21"/>
                <w:szCs w:val="21"/>
              </w:rPr>
              <w:t>300</w:t>
            </w:r>
          </w:p>
        </w:tc>
      </w:tr>
      <w:tr w14:paraId="28F2D8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522BE682">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continue"/>
            <w:noWrap w:val="0"/>
            <w:vAlign w:val="center"/>
          </w:tcPr>
          <w:p w14:paraId="320891AB">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1251" w:type="pct"/>
            <w:noWrap w:val="0"/>
            <w:vAlign w:val="center"/>
          </w:tcPr>
          <w:p w14:paraId="2CA0BBCE">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年平均</w:t>
            </w:r>
          </w:p>
        </w:tc>
        <w:tc>
          <w:tcPr>
            <w:tcW w:w="633" w:type="pct"/>
            <w:noWrap w:val="0"/>
            <w:vAlign w:val="center"/>
          </w:tcPr>
          <w:p w14:paraId="5BB19E10">
            <w:pPr>
              <w:keepNext w:val="0"/>
              <w:keepLines w:val="0"/>
              <w:kinsoku/>
              <w:overflowPunct/>
              <w:topLinePunct w:val="0"/>
              <w:autoSpaceDE w:val="0"/>
              <w:autoSpaceDN w:val="0"/>
              <w:bidi w:val="0"/>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tcBorders>
              <w:right w:val="nil"/>
            </w:tcBorders>
            <w:noWrap w:val="0"/>
            <w:vAlign w:val="center"/>
          </w:tcPr>
          <w:p w14:paraId="43A550C2">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200</w:t>
            </w:r>
          </w:p>
        </w:tc>
      </w:tr>
      <w:tr w14:paraId="190973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432BBF79">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restart"/>
            <w:noWrap w:val="0"/>
            <w:vAlign w:val="center"/>
          </w:tcPr>
          <w:p w14:paraId="707D0246">
            <w:pPr>
              <w:keepNext w:val="0"/>
              <w:keepLines w:val="0"/>
              <w:widowControl/>
              <w:kinsoku/>
              <w:overflowPunct/>
              <w:topLinePunct w:val="0"/>
              <w:bidi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NOx</w:t>
            </w:r>
          </w:p>
        </w:tc>
        <w:tc>
          <w:tcPr>
            <w:tcW w:w="1251" w:type="pct"/>
            <w:noWrap w:val="0"/>
            <w:vAlign w:val="center"/>
          </w:tcPr>
          <w:p w14:paraId="73BA923E">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年平均</w:t>
            </w:r>
          </w:p>
        </w:tc>
        <w:tc>
          <w:tcPr>
            <w:tcW w:w="633" w:type="pct"/>
            <w:noWrap w:val="0"/>
            <w:vAlign w:val="center"/>
          </w:tcPr>
          <w:p w14:paraId="0222F35E">
            <w:pPr>
              <w:keepNext w:val="0"/>
              <w:keepLines w:val="0"/>
              <w:kinsoku/>
              <w:overflowPunct/>
              <w:topLinePunct w:val="0"/>
              <w:autoSpaceDE w:val="0"/>
              <w:autoSpaceDN w:val="0"/>
              <w:bidi w:val="0"/>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tcBorders>
              <w:right w:val="nil"/>
            </w:tcBorders>
            <w:noWrap w:val="0"/>
            <w:vAlign w:val="center"/>
          </w:tcPr>
          <w:p w14:paraId="63C4B770">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eastAsia="宋体" w:cs="Times New Roman"/>
                <w:color w:val="auto"/>
                <w:kern w:val="2"/>
                <w:sz w:val="21"/>
                <w:szCs w:val="21"/>
                <w:lang w:val="en-US" w:eastAsia="zh-CN"/>
              </w:rPr>
            </w:pPr>
            <w:r>
              <w:rPr>
                <w:rFonts w:hint="eastAsia" w:ascii="Times New Roman" w:cs="Times New Roman"/>
                <w:color w:val="auto"/>
                <w:kern w:val="2"/>
                <w:sz w:val="21"/>
                <w:szCs w:val="21"/>
                <w:lang w:val="en-US" w:eastAsia="zh-CN"/>
              </w:rPr>
              <w:t>50</w:t>
            </w:r>
          </w:p>
        </w:tc>
      </w:tr>
      <w:tr w14:paraId="0638F8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36A3AE7C">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continue"/>
            <w:noWrap w:val="0"/>
            <w:vAlign w:val="center"/>
          </w:tcPr>
          <w:p w14:paraId="305901A7">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1251" w:type="pct"/>
            <w:noWrap w:val="0"/>
            <w:vAlign w:val="center"/>
          </w:tcPr>
          <w:p w14:paraId="6393BB13">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24小时平均</w:t>
            </w:r>
          </w:p>
        </w:tc>
        <w:tc>
          <w:tcPr>
            <w:tcW w:w="633" w:type="pct"/>
            <w:noWrap w:val="0"/>
            <w:vAlign w:val="center"/>
          </w:tcPr>
          <w:p w14:paraId="3AD66D34">
            <w:pPr>
              <w:keepNext w:val="0"/>
              <w:keepLines w:val="0"/>
              <w:kinsoku/>
              <w:overflowPunct/>
              <w:topLinePunct w:val="0"/>
              <w:autoSpaceDE w:val="0"/>
              <w:autoSpaceDN w:val="0"/>
              <w:bidi w:val="0"/>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tcBorders>
              <w:right w:val="nil"/>
            </w:tcBorders>
            <w:noWrap w:val="0"/>
            <w:vAlign w:val="center"/>
          </w:tcPr>
          <w:p w14:paraId="4BD7DD4A">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eastAsia="宋体" w:cs="Times New Roman"/>
                <w:color w:val="auto"/>
                <w:kern w:val="2"/>
                <w:sz w:val="21"/>
                <w:szCs w:val="21"/>
                <w:lang w:val="en-US" w:eastAsia="zh-CN"/>
              </w:rPr>
            </w:pPr>
            <w:r>
              <w:rPr>
                <w:rFonts w:hint="eastAsia" w:ascii="Times New Roman" w:cs="Times New Roman"/>
                <w:color w:val="auto"/>
                <w:kern w:val="2"/>
                <w:sz w:val="21"/>
                <w:szCs w:val="21"/>
                <w:lang w:val="en-US" w:eastAsia="zh-CN"/>
              </w:rPr>
              <w:t>100</w:t>
            </w:r>
          </w:p>
        </w:tc>
      </w:tr>
      <w:tr w14:paraId="330626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55F0137E">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873" w:type="pct"/>
            <w:vMerge w:val="continue"/>
            <w:noWrap w:val="0"/>
            <w:vAlign w:val="center"/>
          </w:tcPr>
          <w:p w14:paraId="4CC83BD3">
            <w:pPr>
              <w:keepNext w:val="0"/>
              <w:keepLines w:val="0"/>
              <w:widowControl/>
              <w:kinsoku/>
              <w:overflowPunct/>
              <w:topLinePunct w:val="0"/>
              <w:bidi w:val="0"/>
              <w:jc w:val="left"/>
              <w:rPr>
                <w:rFonts w:hint="default" w:ascii="Times New Roman" w:hAnsi="Times New Roman" w:cs="Times New Roman"/>
                <w:color w:val="auto"/>
                <w:sz w:val="21"/>
                <w:szCs w:val="21"/>
              </w:rPr>
            </w:pPr>
          </w:p>
        </w:tc>
        <w:tc>
          <w:tcPr>
            <w:tcW w:w="1251" w:type="pct"/>
            <w:noWrap w:val="0"/>
            <w:vAlign w:val="center"/>
          </w:tcPr>
          <w:p w14:paraId="62583703">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1小时平均</w:t>
            </w:r>
          </w:p>
        </w:tc>
        <w:tc>
          <w:tcPr>
            <w:tcW w:w="633" w:type="pct"/>
            <w:noWrap w:val="0"/>
            <w:vAlign w:val="center"/>
          </w:tcPr>
          <w:p w14:paraId="037A0C62">
            <w:pPr>
              <w:keepNext w:val="0"/>
              <w:keepLines w:val="0"/>
              <w:kinsoku/>
              <w:overflowPunct/>
              <w:topLinePunct w:val="0"/>
              <w:autoSpaceDE w:val="0"/>
              <w:autoSpaceDN w:val="0"/>
              <w:bidi w:val="0"/>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tcBorders>
              <w:right w:val="nil"/>
            </w:tcBorders>
            <w:noWrap w:val="0"/>
            <w:vAlign w:val="center"/>
          </w:tcPr>
          <w:p w14:paraId="534F5D25">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eastAsia="宋体" w:cs="Times New Roman"/>
                <w:color w:val="auto"/>
                <w:kern w:val="2"/>
                <w:sz w:val="21"/>
                <w:szCs w:val="21"/>
                <w:lang w:val="en-US" w:eastAsia="zh-CN"/>
              </w:rPr>
            </w:pPr>
            <w:r>
              <w:rPr>
                <w:rFonts w:hint="eastAsia" w:ascii="Times New Roman" w:cs="Times New Roman"/>
                <w:color w:val="auto"/>
                <w:kern w:val="2"/>
                <w:sz w:val="21"/>
                <w:szCs w:val="21"/>
                <w:lang w:val="en-US" w:eastAsia="zh-CN"/>
              </w:rPr>
              <w:t>250</w:t>
            </w:r>
          </w:p>
        </w:tc>
      </w:tr>
      <w:tr w14:paraId="4ABBF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restart"/>
            <w:noWrap w:val="0"/>
            <w:vAlign w:val="center"/>
          </w:tcPr>
          <w:p w14:paraId="0BE9D1EC">
            <w:pPr>
              <w:keepNext w:val="0"/>
              <w:keepLines w:val="0"/>
              <w:pageBreakBefore w:val="0"/>
              <w:widowControl/>
              <w:shd w:val="clear" w:color="auto" w:fill="auto"/>
              <w:kinsoku/>
              <w:wordWrap/>
              <w:overflowPunct/>
              <w:topLinePunct w:val="0"/>
              <w:bidi w:val="0"/>
              <w:snapToGrid/>
              <w:spacing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《环境影响评价技术导则 大气环境》</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HJ2.2-2018）附录D</w:t>
            </w:r>
          </w:p>
        </w:tc>
        <w:tc>
          <w:tcPr>
            <w:tcW w:w="873" w:type="pct"/>
            <w:noWrap w:val="0"/>
            <w:vAlign w:val="center"/>
          </w:tcPr>
          <w:p w14:paraId="478297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vertAlign w:val="baseline"/>
                <w:lang w:val="en-US" w:eastAsia="zh-CN"/>
              </w:rPr>
              <w:t>丙烯腈</w:t>
            </w:r>
          </w:p>
        </w:tc>
        <w:tc>
          <w:tcPr>
            <w:tcW w:w="1251" w:type="pct"/>
            <w:noWrap w:val="0"/>
            <w:vAlign w:val="center"/>
          </w:tcPr>
          <w:p w14:paraId="33E96A27">
            <w:pPr>
              <w:keepNext w:val="0"/>
              <w:keepLines w:val="0"/>
              <w:pageBreakBefore w:val="0"/>
              <w:shd w:val="clear" w:color="auto" w:fill="auto"/>
              <w:kinsoku/>
              <w:wordWrap/>
              <w:overflowPunct/>
              <w:topLinePunct w:val="0"/>
              <w:autoSpaceDE w:val="0"/>
              <w:autoSpaceDN w:val="0"/>
              <w:bidi w:val="0"/>
              <w:adjustRightInd/>
              <w:snapToGrid/>
              <w:spacing w:line="240" w:lineRule="auto"/>
              <w:ind w:left="0" w:left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kern w:val="2"/>
                <w:sz w:val="21"/>
                <w:szCs w:val="21"/>
              </w:rPr>
              <w:t>1小时平均</w:t>
            </w:r>
          </w:p>
        </w:tc>
        <w:tc>
          <w:tcPr>
            <w:tcW w:w="633" w:type="pct"/>
            <w:noWrap w:val="0"/>
            <w:vAlign w:val="center"/>
          </w:tcPr>
          <w:p w14:paraId="010AC3FA">
            <w:pPr>
              <w:keepNext w:val="0"/>
              <w:keepLines w:val="0"/>
              <w:pageBreakBefore w:val="0"/>
              <w:shd w:val="clear" w:color="auto" w:fill="auto"/>
              <w:kinsoku/>
              <w:wordWrap/>
              <w:overflowPunct/>
              <w:topLinePunct w:val="0"/>
              <w:autoSpaceDE w:val="0"/>
              <w:autoSpaceDN w:val="0"/>
              <w:bidi w:val="0"/>
              <w:snapToGrid/>
              <w:spacing w:line="240" w:lineRule="auto"/>
              <w:ind w:left="0" w:leftChars="0" w:firstLine="0" w:firstLine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tcBorders>
              <w:right w:val="nil"/>
            </w:tcBorders>
            <w:noWrap w:val="0"/>
            <w:vAlign w:val="center"/>
          </w:tcPr>
          <w:p w14:paraId="1599A31A">
            <w:pPr>
              <w:pStyle w:val="38"/>
              <w:keepNext w:val="0"/>
              <w:keepLines w:val="0"/>
              <w:pageBreakBefore w:val="0"/>
              <w:shd w:val="clear" w:color="auto" w:fill="auto"/>
              <w:kinsoku/>
              <w:wordWrap/>
              <w:overflowPunct/>
              <w:topLinePunct w:val="0"/>
              <w:autoSpaceDE w:val="0"/>
              <w:autoSpaceDN w:val="0"/>
              <w:bidi w:val="0"/>
              <w:adjustRightInd/>
              <w:snapToGrid/>
              <w:spacing w:line="240" w:lineRule="auto"/>
              <w:ind w:left="0" w:leftChars="0"/>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50</w:t>
            </w:r>
          </w:p>
        </w:tc>
      </w:tr>
      <w:tr w14:paraId="3ED1E8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3DB936FF">
            <w:pPr>
              <w:keepNext w:val="0"/>
              <w:keepLines w:val="0"/>
              <w:pageBreakBefore w:val="0"/>
              <w:widowControl/>
              <w:shd w:val="clear" w:color="auto" w:fill="auto"/>
              <w:kinsoku/>
              <w:wordWrap/>
              <w:overflowPunct/>
              <w:topLinePunct w:val="0"/>
              <w:bidi w:val="0"/>
              <w:snapToGrid/>
              <w:spacing w:line="240" w:lineRule="auto"/>
              <w:ind w:left="0" w:leftChars="0" w:firstLine="0" w:firstLineChars="0"/>
              <w:jc w:val="center"/>
              <w:rPr>
                <w:rFonts w:hint="default" w:ascii="Times New Roman" w:hAnsi="Times New Roman" w:eastAsia="宋体" w:cs="Times New Roman"/>
                <w:color w:val="auto"/>
                <w:sz w:val="21"/>
                <w:szCs w:val="21"/>
                <w:highlight w:val="none"/>
              </w:rPr>
            </w:pPr>
          </w:p>
        </w:tc>
        <w:tc>
          <w:tcPr>
            <w:tcW w:w="873" w:type="pct"/>
            <w:noWrap w:val="0"/>
            <w:vAlign w:val="center"/>
          </w:tcPr>
          <w:p w14:paraId="73E9F3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vertAlign w:val="baseline"/>
                <w:lang w:val="en-US" w:eastAsia="zh-CN"/>
              </w:rPr>
              <w:t>苯乙烯</w:t>
            </w:r>
          </w:p>
        </w:tc>
        <w:tc>
          <w:tcPr>
            <w:tcW w:w="1251" w:type="pct"/>
            <w:noWrap w:val="0"/>
            <w:vAlign w:val="center"/>
          </w:tcPr>
          <w:p w14:paraId="6B05A589">
            <w:pPr>
              <w:keepNext w:val="0"/>
              <w:keepLines w:val="0"/>
              <w:pageBreakBefore w:val="0"/>
              <w:shd w:val="clear" w:color="auto" w:fill="auto"/>
              <w:kinsoku/>
              <w:wordWrap/>
              <w:overflowPunct/>
              <w:topLinePunct w:val="0"/>
              <w:autoSpaceDE w:val="0"/>
              <w:autoSpaceDN w:val="0"/>
              <w:bidi w:val="0"/>
              <w:adjustRightInd/>
              <w:snapToGrid/>
              <w:spacing w:line="240" w:lineRule="auto"/>
              <w:ind w:left="0" w:leftChars="0"/>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1小时平均</w:t>
            </w:r>
          </w:p>
        </w:tc>
        <w:tc>
          <w:tcPr>
            <w:tcW w:w="633" w:type="pct"/>
            <w:noWrap w:val="0"/>
            <w:vAlign w:val="center"/>
          </w:tcPr>
          <w:p w14:paraId="48DF46D2">
            <w:pPr>
              <w:keepNext w:val="0"/>
              <w:keepLines w:val="0"/>
              <w:pageBreakBefore w:val="0"/>
              <w:shd w:val="clear" w:color="auto" w:fill="auto"/>
              <w:kinsoku/>
              <w:wordWrap/>
              <w:overflowPunct/>
              <w:topLinePunct w:val="0"/>
              <w:autoSpaceDE w:val="0"/>
              <w:autoSpaceDN w:val="0"/>
              <w:bidi w:val="0"/>
              <w:snapToGrid/>
              <w:spacing w:line="240" w:lineRule="auto"/>
              <w:ind w:left="0" w:leftChars="0" w:firstLine="0" w:firstLineChars="0"/>
              <w:jc w:val="center"/>
              <w:textAlignment w:val="bottom"/>
              <w:rPr>
                <w:rFonts w:hint="default" w:ascii="Times New Roman" w:hAnsi="Times New Roman" w:eastAsia="宋体" w:cs="Times New Roman"/>
                <w:bCs/>
                <w:color w:val="auto"/>
                <w:sz w:val="21"/>
                <w:highlight w:val="none"/>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tcBorders>
              <w:right w:val="nil"/>
            </w:tcBorders>
            <w:noWrap w:val="0"/>
            <w:vAlign w:val="center"/>
          </w:tcPr>
          <w:p w14:paraId="7E459E16">
            <w:pPr>
              <w:pStyle w:val="38"/>
              <w:keepNext w:val="0"/>
              <w:keepLines w:val="0"/>
              <w:pageBreakBefore w:val="0"/>
              <w:shd w:val="clear" w:color="auto" w:fill="auto"/>
              <w:kinsoku/>
              <w:wordWrap/>
              <w:overflowPunct/>
              <w:topLinePunct w:val="0"/>
              <w:autoSpaceDE w:val="0"/>
              <w:autoSpaceDN w:val="0"/>
              <w:bidi w:val="0"/>
              <w:adjustRightInd/>
              <w:snapToGrid/>
              <w:spacing w:line="240" w:lineRule="auto"/>
              <w:ind w:left="0" w:leftChars="0"/>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10</w:t>
            </w:r>
          </w:p>
        </w:tc>
      </w:tr>
      <w:tr w14:paraId="165EC2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590D4D40">
            <w:pPr>
              <w:keepNext w:val="0"/>
              <w:keepLines w:val="0"/>
              <w:pageBreakBefore w:val="0"/>
              <w:widowControl/>
              <w:shd w:val="clear" w:color="auto" w:fill="auto"/>
              <w:kinsoku/>
              <w:wordWrap/>
              <w:overflowPunct/>
              <w:topLinePunct w:val="0"/>
              <w:bidi w:val="0"/>
              <w:snapToGrid/>
              <w:spacing w:line="240" w:lineRule="auto"/>
              <w:ind w:left="0" w:leftChars="0" w:firstLine="0" w:firstLineChars="0"/>
              <w:jc w:val="center"/>
              <w:rPr>
                <w:rFonts w:hint="default" w:ascii="Times New Roman" w:hAnsi="Times New Roman" w:eastAsia="宋体" w:cs="Times New Roman"/>
                <w:color w:val="auto"/>
                <w:sz w:val="21"/>
                <w:szCs w:val="21"/>
                <w:highlight w:val="none"/>
              </w:rPr>
            </w:pPr>
          </w:p>
        </w:tc>
        <w:tc>
          <w:tcPr>
            <w:tcW w:w="873" w:type="pct"/>
            <w:noWrap w:val="0"/>
            <w:vAlign w:val="center"/>
          </w:tcPr>
          <w:p w14:paraId="55CDDC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vertAlign w:val="baseline"/>
                <w:lang w:val="en-US" w:eastAsia="zh-CN"/>
              </w:rPr>
              <w:t>甲苯</w:t>
            </w:r>
          </w:p>
        </w:tc>
        <w:tc>
          <w:tcPr>
            <w:tcW w:w="1251" w:type="pct"/>
            <w:noWrap w:val="0"/>
            <w:vAlign w:val="center"/>
          </w:tcPr>
          <w:p w14:paraId="01FC20BD">
            <w:pPr>
              <w:keepNext w:val="0"/>
              <w:keepLines w:val="0"/>
              <w:pageBreakBefore w:val="0"/>
              <w:shd w:val="clear" w:color="auto" w:fill="auto"/>
              <w:kinsoku/>
              <w:wordWrap/>
              <w:overflowPunct/>
              <w:topLinePunct w:val="0"/>
              <w:autoSpaceDE w:val="0"/>
              <w:autoSpaceDN w:val="0"/>
              <w:bidi w:val="0"/>
              <w:adjustRightInd/>
              <w:snapToGrid/>
              <w:spacing w:line="240" w:lineRule="auto"/>
              <w:ind w:left="0" w:leftChars="0"/>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1小时平均</w:t>
            </w:r>
          </w:p>
        </w:tc>
        <w:tc>
          <w:tcPr>
            <w:tcW w:w="633" w:type="pct"/>
            <w:noWrap w:val="0"/>
            <w:vAlign w:val="center"/>
          </w:tcPr>
          <w:p w14:paraId="3C28C960">
            <w:pPr>
              <w:keepNext w:val="0"/>
              <w:keepLines w:val="0"/>
              <w:pageBreakBefore w:val="0"/>
              <w:shd w:val="clear" w:color="auto" w:fill="auto"/>
              <w:kinsoku/>
              <w:wordWrap/>
              <w:overflowPunct/>
              <w:topLinePunct w:val="0"/>
              <w:autoSpaceDE w:val="0"/>
              <w:autoSpaceDN w:val="0"/>
              <w:bidi w:val="0"/>
              <w:snapToGrid/>
              <w:spacing w:line="240" w:lineRule="auto"/>
              <w:ind w:left="0" w:leftChars="0" w:firstLine="0" w:firstLineChars="0"/>
              <w:jc w:val="center"/>
              <w:textAlignment w:val="bottom"/>
              <w:rPr>
                <w:rFonts w:hint="default" w:ascii="Times New Roman" w:hAnsi="Times New Roman" w:eastAsia="宋体" w:cs="Times New Roman"/>
                <w:bCs/>
                <w:color w:val="auto"/>
                <w:sz w:val="21"/>
                <w:highlight w:val="none"/>
              </w:rPr>
            </w:pP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p>
        </w:tc>
        <w:tc>
          <w:tcPr>
            <w:tcW w:w="874" w:type="pct"/>
            <w:tcBorders>
              <w:right w:val="nil"/>
            </w:tcBorders>
            <w:noWrap w:val="0"/>
            <w:vAlign w:val="center"/>
          </w:tcPr>
          <w:p w14:paraId="2BFA7192">
            <w:pPr>
              <w:pStyle w:val="38"/>
              <w:keepNext w:val="0"/>
              <w:keepLines w:val="0"/>
              <w:pageBreakBefore w:val="0"/>
              <w:shd w:val="clear" w:color="auto" w:fill="auto"/>
              <w:kinsoku/>
              <w:wordWrap/>
              <w:overflowPunct/>
              <w:topLinePunct w:val="0"/>
              <w:autoSpaceDE w:val="0"/>
              <w:autoSpaceDN w:val="0"/>
              <w:bidi w:val="0"/>
              <w:adjustRightInd/>
              <w:snapToGrid/>
              <w:spacing w:line="240" w:lineRule="auto"/>
              <w:ind w:left="0" w:leftChars="0"/>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200</w:t>
            </w:r>
          </w:p>
        </w:tc>
      </w:tr>
      <w:tr w14:paraId="0D2A9D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vMerge w:val="continue"/>
            <w:noWrap w:val="0"/>
            <w:vAlign w:val="center"/>
          </w:tcPr>
          <w:p w14:paraId="4AB23589">
            <w:pPr>
              <w:keepNext w:val="0"/>
              <w:keepLines w:val="0"/>
              <w:pageBreakBefore w:val="0"/>
              <w:widowControl/>
              <w:shd w:val="clear" w:color="auto" w:fill="auto"/>
              <w:kinsoku/>
              <w:wordWrap/>
              <w:overflowPunct/>
              <w:topLinePunct w:val="0"/>
              <w:bidi w:val="0"/>
              <w:snapToGrid/>
              <w:spacing w:line="240" w:lineRule="auto"/>
              <w:ind w:left="0" w:leftChars="0" w:firstLine="0" w:firstLineChars="0"/>
              <w:jc w:val="center"/>
              <w:rPr>
                <w:rFonts w:hint="default" w:ascii="Times New Roman" w:hAnsi="Times New Roman" w:eastAsia="宋体" w:cs="Times New Roman"/>
                <w:color w:val="auto"/>
                <w:sz w:val="21"/>
                <w:szCs w:val="21"/>
                <w:highlight w:val="none"/>
              </w:rPr>
            </w:pPr>
          </w:p>
        </w:tc>
        <w:tc>
          <w:tcPr>
            <w:tcW w:w="873" w:type="pct"/>
            <w:shd w:val="clear" w:color="auto" w:fill="auto"/>
            <w:noWrap w:val="0"/>
            <w:vAlign w:val="center"/>
          </w:tcPr>
          <w:p w14:paraId="5EC63EAF">
            <w:pPr>
              <w:keepNext w:val="0"/>
              <w:keepLines w:val="0"/>
              <w:pageBreakBefore w:val="0"/>
              <w:widowControl/>
              <w:shd w:val="clear" w:color="auto" w:fill="auto"/>
              <w:kinsoku/>
              <w:wordWrap/>
              <w:overflowPunct/>
              <w:topLinePunct w:val="0"/>
              <w:bidi w:val="0"/>
              <w:snapToGrid/>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氨</w:t>
            </w:r>
          </w:p>
        </w:tc>
        <w:tc>
          <w:tcPr>
            <w:tcW w:w="1251" w:type="pct"/>
            <w:shd w:val="clear" w:color="auto" w:fill="auto"/>
            <w:noWrap w:val="0"/>
            <w:vAlign w:val="center"/>
          </w:tcPr>
          <w:p w14:paraId="57BC8606">
            <w:pPr>
              <w:pStyle w:val="38"/>
              <w:keepNext w:val="0"/>
              <w:keepLines w:val="0"/>
              <w:pageBreakBefore w:val="0"/>
              <w:shd w:val="clear" w:color="auto" w:fill="auto"/>
              <w:kinsoku/>
              <w:wordWrap/>
              <w:overflowPunct/>
              <w:topLinePunct w:val="0"/>
              <w:autoSpaceDE w:val="0"/>
              <w:autoSpaceDN w:val="0"/>
              <w:bidi w:val="0"/>
              <w:adjustRightInd/>
              <w:snapToGrid/>
              <w:spacing w:line="240" w:lineRule="auto"/>
              <w:ind w:left="0" w:leftChars="0"/>
              <w:jc w:val="center"/>
              <w:textAlignment w:val="bottom"/>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kern w:val="2"/>
                <w:sz w:val="21"/>
                <w:szCs w:val="21"/>
              </w:rPr>
              <w:t>1小时平均</w:t>
            </w:r>
          </w:p>
        </w:tc>
        <w:tc>
          <w:tcPr>
            <w:tcW w:w="633" w:type="pct"/>
            <w:shd w:val="clear" w:color="auto" w:fill="auto"/>
            <w:noWrap w:val="0"/>
            <w:vAlign w:val="center"/>
          </w:tcPr>
          <w:p w14:paraId="47B3BF33">
            <w:pPr>
              <w:keepNext w:val="0"/>
              <w:keepLines w:val="0"/>
              <w:pageBreakBefore w:val="0"/>
              <w:shd w:val="clear" w:color="auto" w:fill="auto"/>
              <w:kinsoku/>
              <w:wordWrap/>
              <w:overflowPunct/>
              <w:topLinePunct w:val="0"/>
              <w:autoSpaceDE w:val="0"/>
              <w:autoSpaceDN w:val="0"/>
              <w:bidi w:val="0"/>
              <w:snapToGrid/>
              <w:spacing w:line="240" w:lineRule="auto"/>
              <w:ind w:left="0" w:leftChars="0" w:firstLine="0" w:firstLineChars="0"/>
              <w:jc w:val="center"/>
              <w:textAlignment w:val="bottom"/>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bCs/>
                <w:color w:val="auto"/>
                <w:sz w:val="21"/>
                <w:highlight w:val="none"/>
              </w:rPr>
              <w:t>μ</w:t>
            </w:r>
            <w:r>
              <w:rPr>
                <w:rFonts w:hint="default" w:ascii="Times New Roman" w:hAnsi="Times New Roman" w:eastAsia="宋体" w:cs="Times New Roman"/>
                <w:color w:val="auto"/>
                <w:sz w:val="21"/>
                <w:highlight w:val="none"/>
              </w:rPr>
              <w:t>g/m</w:t>
            </w:r>
            <w:r>
              <w:rPr>
                <w:rFonts w:hint="default" w:ascii="Times New Roman" w:hAnsi="Times New Roman" w:eastAsia="宋体" w:cs="Times New Roman"/>
                <w:color w:val="auto"/>
                <w:sz w:val="21"/>
                <w:highlight w:val="none"/>
                <w:vertAlign w:val="superscript"/>
              </w:rPr>
              <w:t>3</w:t>
            </w:r>
          </w:p>
        </w:tc>
        <w:tc>
          <w:tcPr>
            <w:tcW w:w="874" w:type="pct"/>
            <w:tcBorders>
              <w:right w:val="nil"/>
            </w:tcBorders>
            <w:shd w:val="clear" w:color="auto" w:fill="auto"/>
            <w:noWrap w:val="0"/>
            <w:vAlign w:val="center"/>
          </w:tcPr>
          <w:p w14:paraId="2FDF7A92">
            <w:pPr>
              <w:pStyle w:val="38"/>
              <w:keepNext w:val="0"/>
              <w:keepLines w:val="0"/>
              <w:pageBreakBefore w:val="0"/>
              <w:shd w:val="clear" w:color="auto" w:fill="auto"/>
              <w:kinsoku/>
              <w:wordWrap/>
              <w:overflowPunct/>
              <w:topLinePunct w:val="0"/>
              <w:autoSpaceDE w:val="0"/>
              <w:autoSpaceDN w:val="0"/>
              <w:bidi w:val="0"/>
              <w:adjustRightInd/>
              <w:snapToGrid/>
              <w:spacing w:line="240" w:lineRule="auto"/>
              <w:ind w:left="0" w:leftChars="0"/>
              <w:jc w:val="center"/>
              <w:textAlignment w:val="bottom"/>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200</w:t>
            </w:r>
          </w:p>
        </w:tc>
      </w:tr>
      <w:tr w14:paraId="25257E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367" w:type="pct"/>
            <w:noWrap w:val="0"/>
            <w:vAlign w:val="center"/>
          </w:tcPr>
          <w:p w14:paraId="3F55CE9C">
            <w:pPr>
              <w:keepNext w:val="0"/>
              <w:keepLines w:val="0"/>
              <w:pageBreakBefore w:val="0"/>
              <w:widowControl/>
              <w:shd w:val="clear" w:color="auto" w:fill="auto"/>
              <w:kinsoku/>
              <w:wordWrap/>
              <w:overflowPunct/>
              <w:topLinePunct w:val="0"/>
              <w:bidi w:val="0"/>
              <w:snapToGrid/>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color w:val="auto"/>
                <w:sz w:val="21"/>
                <w:szCs w:val="21"/>
              </w:rPr>
              <w:t>《大气污染物综合排放标准详解》</w:t>
            </w:r>
          </w:p>
        </w:tc>
        <w:tc>
          <w:tcPr>
            <w:tcW w:w="873" w:type="pct"/>
            <w:noWrap w:val="0"/>
            <w:vAlign w:val="center"/>
          </w:tcPr>
          <w:p w14:paraId="214D99BA">
            <w:pPr>
              <w:keepNext w:val="0"/>
              <w:keepLines w:val="0"/>
              <w:pageBreakBefore w:val="0"/>
              <w:widowControl/>
              <w:shd w:val="clear" w:color="auto" w:fill="auto"/>
              <w:kinsoku/>
              <w:wordWrap/>
              <w:overflowPunct/>
              <w:topLinePunct w:val="0"/>
              <w:bidi w:val="0"/>
              <w:snapToGrid/>
              <w:spacing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vertAlign w:val="baseline"/>
                <w:lang w:val="en-US" w:eastAsia="zh-CN"/>
              </w:rPr>
              <w:t>非甲烷总烃</w:t>
            </w:r>
          </w:p>
        </w:tc>
        <w:tc>
          <w:tcPr>
            <w:tcW w:w="1251" w:type="pct"/>
            <w:noWrap w:val="0"/>
            <w:vAlign w:val="center"/>
          </w:tcPr>
          <w:p w14:paraId="08984F6D">
            <w:pPr>
              <w:pStyle w:val="38"/>
              <w:keepNext w:val="0"/>
              <w:keepLines w:val="0"/>
              <w:pageBreakBefore w:val="0"/>
              <w:shd w:val="clear" w:color="auto" w:fill="auto"/>
              <w:kinsoku/>
              <w:wordWrap/>
              <w:overflowPunct/>
              <w:topLinePunct w:val="0"/>
              <w:autoSpaceDE w:val="0"/>
              <w:autoSpaceDN w:val="0"/>
              <w:bidi w:val="0"/>
              <w:adjustRightInd/>
              <w:snapToGrid/>
              <w:spacing w:line="240" w:lineRule="auto"/>
              <w:ind w:left="0" w:leftChars="0"/>
              <w:jc w:val="center"/>
              <w:textAlignment w:val="bottom"/>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1小时平均</w:t>
            </w:r>
          </w:p>
        </w:tc>
        <w:tc>
          <w:tcPr>
            <w:tcW w:w="633" w:type="pct"/>
            <w:noWrap w:val="0"/>
            <w:vAlign w:val="center"/>
          </w:tcPr>
          <w:p w14:paraId="7A694242">
            <w:pPr>
              <w:keepNext w:val="0"/>
              <w:keepLines w:val="0"/>
              <w:pageBreakBefore w:val="0"/>
              <w:shd w:val="clear" w:color="auto" w:fill="auto"/>
              <w:kinsoku/>
              <w:wordWrap/>
              <w:overflowPunct/>
              <w:topLinePunct w:val="0"/>
              <w:autoSpaceDE w:val="0"/>
              <w:autoSpaceDN w:val="0"/>
              <w:bidi w:val="0"/>
              <w:snapToGrid/>
              <w:spacing w:line="240" w:lineRule="auto"/>
              <w:ind w:left="0" w:leftChars="0" w:firstLine="0" w:firstLineChars="0"/>
              <w:jc w:val="center"/>
              <w:textAlignment w:val="bottom"/>
              <w:rPr>
                <w:rFonts w:hint="default" w:ascii="Times New Roman" w:hAnsi="Times New Roman" w:eastAsia="宋体" w:cs="Times New Roman"/>
                <w:bCs/>
                <w:color w:val="auto"/>
                <w:sz w:val="21"/>
                <w:highlight w:val="none"/>
              </w:rPr>
            </w:pPr>
            <w:r>
              <w:rPr>
                <w:rFonts w:hint="default" w:ascii="Times New Roman" w:hAnsi="Times New Roman" w:eastAsia="宋体" w:cs="Times New Roman"/>
                <w:bCs/>
                <w:color w:val="auto"/>
                <w:sz w:val="21"/>
                <w:highlight w:val="none"/>
              </w:rPr>
              <w:t>mg/m</w:t>
            </w:r>
            <w:r>
              <w:rPr>
                <w:rFonts w:hint="default" w:ascii="Times New Roman" w:hAnsi="Times New Roman" w:eastAsia="宋体" w:cs="Times New Roman"/>
                <w:bCs/>
                <w:color w:val="auto"/>
                <w:sz w:val="21"/>
                <w:highlight w:val="none"/>
                <w:vertAlign w:val="superscript"/>
              </w:rPr>
              <w:t>3</w:t>
            </w:r>
          </w:p>
        </w:tc>
        <w:tc>
          <w:tcPr>
            <w:tcW w:w="874" w:type="pct"/>
            <w:tcBorders>
              <w:right w:val="nil"/>
            </w:tcBorders>
            <w:noWrap w:val="0"/>
            <w:vAlign w:val="center"/>
          </w:tcPr>
          <w:p w14:paraId="2CF56EC6">
            <w:pPr>
              <w:pStyle w:val="38"/>
              <w:keepNext w:val="0"/>
              <w:keepLines w:val="0"/>
              <w:pageBreakBefore w:val="0"/>
              <w:shd w:val="clear" w:color="auto" w:fill="auto"/>
              <w:kinsoku/>
              <w:wordWrap/>
              <w:overflowPunct/>
              <w:topLinePunct w:val="0"/>
              <w:autoSpaceDE w:val="0"/>
              <w:autoSpaceDN w:val="0"/>
              <w:bidi w:val="0"/>
              <w:adjustRightInd/>
              <w:snapToGrid/>
              <w:spacing w:line="240" w:lineRule="auto"/>
              <w:ind w:left="0" w:leftChars="0"/>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2.0</w:t>
            </w:r>
          </w:p>
        </w:tc>
      </w:tr>
    </w:tbl>
    <w:p w14:paraId="6C42D7A1">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（2）地表水环境</w:t>
      </w:r>
      <w:r>
        <w:rPr>
          <w:rFonts w:hint="default" w:ascii="Times New Roman" w:hAnsi="Times New Roman" w:eastAsia="宋体" w:cs="Times New Roman"/>
          <w:color w:val="auto"/>
          <w:spacing w:val="0"/>
          <w:kern w:val="0"/>
          <w:position w:val="0"/>
          <w:sz w:val="24"/>
          <w:szCs w:val="24"/>
          <w:highlight w:val="none"/>
          <w:lang w:eastAsia="zh-CN"/>
        </w:rPr>
        <w:t>质量标准</w:t>
      </w:r>
    </w:p>
    <w:p w14:paraId="6E3F972F">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color w:val="auto"/>
          <w:sz w:val="24"/>
          <w:szCs w:val="24"/>
          <w:lang w:val="en-US" w:eastAsia="zh-CN"/>
        </w:rPr>
        <w:t>拉林河（五常公路桥-入松花江河口）水质目标为III类。</w:t>
      </w:r>
      <w:r>
        <w:rPr>
          <w:rFonts w:hint="default" w:ascii="Times New Roman" w:hAnsi="Times New Roman" w:eastAsia="宋体" w:cs="Times New Roman"/>
          <w:color w:val="auto"/>
          <w:sz w:val="24"/>
          <w:highlight w:val="none"/>
          <w:lang w:val="en-US" w:eastAsia="zh-CN"/>
        </w:rPr>
        <w:t>其标准限值见表2.5-</w:t>
      </w: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w:t>
      </w:r>
    </w:p>
    <w:p w14:paraId="227AF3D4">
      <w:pPr>
        <w:pStyle w:val="13"/>
        <w:keepNext w:val="0"/>
        <w:keepLines w:val="0"/>
        <w:pageBreakBefore w:val="0"/>
        <w:widowControl/>
        <w:numPr>
          <w:ilvl w:val="0"/>
          <w:numId w:val="0"/>
        </w:numPr>
        <w:kinsoku/>
        <w:wordWrap/>
        <w:overflowPunct/>
        <w:topLinePunct w:val="0"/>
        <w:autoSpaceDE/>
        <w:autoSpaceDN/>
        <w:bidi w:val="0"/>
        <w:adjustRightInd/>
        <w:snapToGrid w:val="0"/>
        <w:spacing w:beforeLines="0" w:afterLines="0" w:line="240" w:lineRule="auto"/>
        <w:ind w:right="0" w:right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表2.5-</w:t>
      </w:r>
      <w:r>
        <w:rPr>
          <w:rFonts w:hint="eastAsia" w:ascii="Times New Roman" w:hAnsi="Times New Roman" w:cs="Times New Roman"/>
          <w:b/>
          <w:bCs/>
          <w:color w:val="auto"/>
          <w:sz w:val="24"/>
          <w:szCs w:val="24"/>
          <w:highlight w:val="none"/>
          <w:lang w:val="en-US" w:eastAsia="zh-CN"/>
        </w:rPr>
        <w:t>2</w:t>
      </w:r>
      <w:r>
        <w:rPr>
          <w:rFonts w:hint="default" w:ascii="Times New Roman" w:hAnsi="Times New Roman" w:cs="Times New Roman"/>
          <w:b/>
          <w:bCs/>
          <w:color w:val="auto"/>
          <w:sz w:val="24"/>
          <w:szCs w:val="24"/>
          <w:highlight w:val="none"/>
          <w:lang w:val="en-US" w:eastAsia="zh-CN"/>
        </w:rPr>
        <w:t xml:space="preserve">  地表水环境质量标准</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1408"/>
        <w:gridCol w:w="3337"/>
        <w:gridCol w:w="2127"/>
        <w:gridCol w:w="1152"/>
        <w:gridCol w:w="1264"/>
      </w:tblGrid>
      <w:tr w14:paraId="4BA0FC4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69" w:hRule="atLeast"/>
          <w:jc w:val="center"/>
        </w:trPr>
        <w:tc>
          <w:tcPr>
            <w:tcW w:w="758" w:type="pct"/>
            <w:vMerge w:val="restart"/>
            <w:tcBorders>
              <w:tl2br w:val="nil"/>
              <w:tr2bl w:val="nil"/>
            </w:tcBorders>
            <w:noWrap w:val="0"/>
            <w:vAlign w:val="center"/>
          </w:tcPr>
          <w:p w14:paraId="4627ABA8">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类别</w:t>
            </w:r>
          </w:p>
        </w:tc>
        <w:tc>
          <w:tcPr>
            <w:tcW w:w="1796" w:type="pct"/>
            <w:vMerge w:val="restart"/>
            <w:tcBorders>
              <w:tl2br w:val="nil"/>
              <w:tr2bl w:val="nil"/>
            </w:tcBorders>
            <w:noWrap w:val="0"/>
            <w:vAlign w:val="center"/>
          </w:tcPr>
          <w:p w14:paraId="1C990372">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标准名称及级（类）别</w:t>
            </w:r>
          </w:p>
        </w:tc>
        <w:tc>
          <w:tcPr>
            <w:tcW w:w="1145" w:type="pct"/>
            <w:vMerge w:val="restart"/>
            <w:tcBorders>
              <w:tl2br w:val="nil"/>
              <w:tr2bl w:val="nil"/>
            </w:tcBorders>
            <w:noWrap w:val="0"/>
            <w:vAlign w:val="center"/>
          </w:tcPr>
          <w:p w14:paraId="42BF2D50">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污染因子</w:t>
            </w:r>
          </w:p>
        </w:tc>
        <w:tc>
          <w:tcPr>
            <w:tcW w:w="1300" w:type="pct"/>
            <w:gridSpan w:val="2"/>
            <w:tcBorders>
              <w:tl2br w:val="nil"/>
              <w:tr2bl w:val="nil"/>
            </w:tcBorders>
            <w:noWrap w:val="0"/>
            <w:vAlign w:val="center"/>
          </w:tcPr>
          <w:p w14:paraId="68F68469">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标准值</w:t>
            </w:r>
          </w:p>
        </w:tc>
      </w:tr>
      <w:tr w14:paraId="2008B4C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26" w:hRule="atLeast"/>
          <w:tblHeader/>
          <w:jc w:val="center"/>
        </w:trPr>
        <w:tc>
          <w:tcPr>
            <w:tcW w:w="758" w:type="pct"/>
            <w:vMerge w:val="continue"/>
            <w:tcBorders>
              <w:tl2br w:val="nil"/>
              <w:tr2bl w:val="nil"/>
            </w:tcBorders>
            <w:noWrap w:val="0"/>
            <w:vAlign w:val="center"/>
          </w:tcPr>
          <w:p w14:paraId="4D907327">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1796" w:type="pct"/>
            <w:vMerge w:val="continue"/>
            <w:tcBorders>
              <w:tl2br w:val="nil"/>
              <w:tr2bl w:val="nil"/>
            </w:tcBorders>
            <w:noWrap w:val="0"/>
            <w:vAlign w:val="center"/>
          </w:tcPr>
          <w:p w14:paraId="30CF52DC">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1145" w:type="pct"/>
            <w:vMerge w:val="continue"/>
            <w:tcBorders>
              <w:tl2br w:val="nil"/>
              <w:tr2bl w:val="nil"/>
            </w:tcBorders>
            <w:noWrap w:val="0"/>
            <w:vAlign w:val="center"/>
          </w:tcPr>
          <w:p w14:paraId="441D1F6F">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620" w:type="pct"/>
            <w:tcBorders>
              <w:tl2br w:val="nil"/>
              <w:tr2bl w:val="nil"/>
            </w:tcBorders>
            <w:noWrap w:val="0"/>
            <w:vAlign w:val="center"/>
          </w:tcPr>
          <w:p w14:paraId="513E86DC">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单位</w:t>
            </w:r>
          </w:p>
        </w:tc>
        <w:tc>
          <w:tcPr>
            <w:tcW w:w="680" w:type="pct"/>
            <w:tcBorders>
              <w:tl2br w:val="nil"/>
              <w:tr2bl w:val="nil"/>
            </w:tcBorders>
            <w:noWrap w:val="0"/>
            <w:vAlign w:val="center"/>
          </w:tcPr>
          <w:p w14:paraId="75FF261B">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数值</w:t>
            </w:r>
          </w:p>
        </w:tc>
      </w:tr>
      <w:tr w14:paraId="1A4F42D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tblHeader/>
          <w:jc w:val="center"/>
        </w:trPr>
        <w:tc>
          <w:tcPr>
            <w:tcW w:w="758" w:type="pct"/>
            <w:vMerge w:val="restart"/>
            <w:tcBorders>
              <w:tl2br w:val="nil"/>
              <w:tr2bl w:val="nil"/>
            </w:tcBorders>
            <w:noWrap w:val="0"/>
            <w:vAlign w:val="center"/>
          </w:tcPr>
          <w:p w14:paraId="32601DBD">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地表水环境</w:t>
            </w:r>
          </w:p>
        </w:tc>
        <w:tc>
          <w:tcPr>
            <w:tcW w:w="1796" w:type="pct"/>
            <w:vMerge w:val="restart"/>
            <w:tcBorders>
              <w:tl2br w:val="nil"/>
              <w:tr2bl w:val="nil"/>
            </w:tcBorders>
            <w:noWrap w:val="0"/>
            <w:vAlign w:val="center"/>
          </w:tcPr>
          <w:p w14:paraId="231EF570">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《地表水环境质量标准》（GB3838-2002）</w:t>
            </w:r>
          </w:p>
          <w:p w14:paraId="11326F0A">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highlight w:val="none"/>
              </w:rPr>
              <w:t>Ⅲ</w:t>
            </w:r>
            <w:r>
              <w:rPr>
                <w:rFonts w:hint="default" w:ascii="Times New Roman" w:hAnsi="Times New Roman" w:cs="Times New Roman"/>
                <w:color w:val="auto"/>
                <w:spacing w:val="16"/>
                <w:sz w:val="21"/>
                <w:szCs w:val="21"/>
                <w:highlight w:val="none"/>
              </w:rPr>
              <w:t>类</w:t>
            </w:r>
            <w:r>
              <w:rPr>
                <w:rFonts w:hint="default" w:ascii="Times New Roman" w:hAnsi="Times New Roman" w:cs="Times New Roman"/>
                <w:color w:val="auto"/>
                <w:sz w:val="21"/>
                <w:szCs w:val="21"/>
                <w:highlight w:val="none"/>
              </w:rPr>
              <w:t>标准</w:t>
            </w:r>
          </w:p>
        </w:tc>
        <w:tc>
          <w:tcPr>
            <w:tcW w:w="1145" w:type="pct"/>
            <w:tcBorders>
              <w:tl2br w:val="nil"/>
              <w:tr2bl w:val="nil"/>
            </w:tcBorders>
            <w:noWrap w:val="0"/>
            <w:vAlign w:val="center"/>
          </w:tcPr>
          <w:p w14:paraId="065D0FFA">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pH</w:t>
            </w:r>
          </w:p>
        </w:tc>
        <w:tc>
          <w:tcPr>
            <w:tcW w:w="620" w:type="pct"/>
            <w:tcBorders>
              <w:tl2br w:val="nil"/>
              <w:tr2bl w:val="nil"/>
            </w:tcBorders>
            <w:noWrap w:val="0"/>
            <w:vAlign w:val="center"/>
          </w:tcPr>
          <w:p w14:paraId="257F1D0C">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无量纲</w:t>
            </w:r>
          </w:p>
        </w:tc>
        <w:tc>
          <w:tcPr>
            <w:tcW w:w="680" w:type="pct"/>
            <w:tcBorders>
              <w:tl2br w:val="nil"/>
              <w:tr2bl w:val="nil"/>
            </w:tcBorders>
            <w:noWrap w:val="0"/>
            <w:vAlign w:val="center"/>
          </w:tcPr>
          <w:p w14:paraId="6DC9AAAB">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6~9</w:t>
            </w:r>
          </w:p>
        </w:tc>
      </w:tr>
      <w:tr w14:paraId="5EA53C7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tblHeader/>
          <w:jc w:val="center"/>
        </w:trPr>
        <w:tc>
          <w:tcPr>
            <w:tcW w:w="758" w:type="pct"/>
            <w:vMerge w:val="continue"/>
            <w:tcBorders>
              <w:tl2br w:val="nil"/>
              <w:tr2bl w:val="nil"/>
            </w:tcBorders>
            <w:noWrap w:val="0"/>
            <w:vAlign w:val="center"/>
          </w:tcPr>
          <w:p w14:paraId="692097BB">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1796" w:type="pct"/>
            <w:vMerge w:val="continue"/>
            <w:tcBorders>
              <w:tl2br w:val="nil"/>
              <w:tr2bl w:val="nil"/>
            </w:tcBorders>
            <w:noWrap w:val="0"/>
            <w:vAlign w:val="center"/>
          </w:tcPr>
          <w:p w14:paraId="3E3B2304">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4"/>
                <w:highlight w:val="none"/>
              </w:rPr>
            </w:pPr>
          </w:p>
        </w:tc>
        <w:tc>
          <w:tcPr>
            <w:tcW w:w="1145" w:type="pct"/>
            <w:tcBorders>
              <w:tl2br w:val="nil"/>
              <w:tr2bl w:val="nil"/>
            </w:tcBorders>
            <w:noWrap w:val="0"/>
            <w:vAlign w:val="center"/>
          </w:tcPr>
          <w:p w14:paraId="211E05AD">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溶解氧</w:t>
            </w:r>
          </w:p>
        </w:tc>
        <w:tc>
          <w:tcPr>
            <w:tcW w:w="620" w:type="pct"/>
            <w:vMerge w:val="restart"/>
            <w:tcBorders>
              <w:tl2br w:val="nil"/>
              <w:tr2bl w:val="nil"/>
            </w:tcBorders>
            <w:noWrap w:val="0"/>
            <w:vAlign w:val="center"/>
          </w:tcPr>
          <w:p w14:paraId="089B9C1F">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680" w:type="pct"/>
            <w:tcBorders>
              <w:tl2br w:val="nil"/>
              <w:tr2bl w:val="nil"/>
            </w:tcBorders>
            <w:noWrap w:val="0"/>
            <w:vAlign w:val="center"/>
          </w:tcPr>
          <w:p w14:paraId="7820748F">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r>
      <w:tr w14:paraId="0046F73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tblHeader/>
          <w:jc w:val="center"/>
        </w:trPr>
        <w:tc>
          <w:tcPr>
            <w:tcW w:w="758" w:type="pct"/>
            <w:vMerge w:val="continue"/>
            <w:tcBorders>
              <w:tl2br w:val="nil"/>
              <w:tr2bl w:val="nil"/>
            </w:tcBorders>
            <w:noWrap w:val="0"/>
            <w:vAlign w:val="center"/>
          </w:tcPr>
          <w:p w14:paraId="1222CF0A">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1796" w:type="pct"/>
            <w:vMerge w:val="continue"/>
            <w:tcBorders>
              <w:tl2br w:val="nil"/>
              <w:tr2bl w:val="nil"/>
            </w:tcBorders>
            <w:noWrap w:val="0"/>
            <w:vAlign w:val="center"/>
          </w:tcPr>
          <w:p w14:paraId="180F89DD">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1145" w:type="pct"/>
            <w:tcBorders>
              <w:tl2br w:val="nil"/>
              <w:tr2bl w:val="nil"/>
            </w:tcBorders>
            <w:noWrap w:val="0"/>
            <w:vAlign w:val="center"/>
          </w:tcPr>
          <w:p w14:paraId="66795A1B">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COD</w:t>
            </w:r>
          </w:p>
        </w:tc>
        <w:tc>
          <w:tcPr>
            <w:tcW w:w="620" w:type="pct"/>
            <w:vMerge w:val="continue"/>
            <w:tcBorders>
              <w:tl2br w:val="nil"/>
              <w:tr2bl w:val="nil"/>
            </w:tcBorders>
            <w:noWrap w:val="0"/>
            <w:vAlign w:val="center"/>
          </w:tcPr>
          <w:p w14:paraId="7AB78F23">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680" w:type="pct"/>
            <w:tcBorders>
              <w:tl2br w:val="nil"/>
              <w:tr2bl w:val="nil"/>
            </w:tcBorders>
            <w:noWrap w:val="0"/>
            <w:vAlign w:val="center"/>
          </w:tcPr>
          <w:p w14:paraId="2D5342F2">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20</w:t>
            </w:r>
          </w:p>
        </w:tc>
      </w:tr>
      <w:tr w14:paraId="5257F33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tblHeader/>
          <w:jc w:val="center"/>
        </w:trPr>
        <w:tc>
          <w:tcPr>
            <w:tcW w:w="758" w:type="pct"/>
            <w:vMerge w:val="continue"/>
            <w:tcBorders>
              <w:tl2br w:val="nil"/>
              <w:tr2bl w:val="nil"/>
            </w:tcBorders>
            <w:noWrap w:val="0"/>
            <w:vAlign w:val="center"/>
          </w:tcPr>
          <w:p w14:paraId="53175AFB">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1796" w:type="pct"/>
            <w:vMerge w:val="continue"/>
            <w:tcBorders>
              <w:tl2br w:val="nil"/>
              <w:tr2bl w:val="nil"/>
            </w:tcBorders>
            <w:noWrap w:val="0"/>
            <w:vAlign w:val="center"/>
          </w:tcPr>
          <w:p w14:paraId="1404AFA8">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1145" w:type="pct"/>
            <w:tcBorders>
              <w:tl2br w:val="nil"/>
              <w:tr2bl w:val="nil"/>
            </w:tcBorders>
            <w:noWrap w:val="0"/>
            <w:vAlign w:val="center"/>
          </w:tcPr>
          <w:p w14:paraId="682E0492">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pacing w:val="-20"/>
                <w:sz w:val="21"/>
                <w:szCs w:val="21"/>
                <w:highlight w:val="none"/>
              </w:rPr>
            </w:pPr>
            <w:r>
              <w:rPr>
                <w:rFonts w:hint="default" w:ascii="Times New Roman" w:hAnsi="Times New Roman" w:cs="Times New Roman"/>
                <w:color w:val="auto"/>
                <w:sz w:val="21"/>
                <w:szCs w:val="21"/>
                <w:highlight w:val="none"/>
              </w:rPr>
              <w:t>BOD</w:t>
            </w:r>
            <w:r>
              <w:rPr>
                <w:rFonts w:hint="default" w:ascii="Times New Roman" w:hAnsi="Times New Roman" w:cs="Times New Roman"/>
                <w:color w:val="auto"/>
                <w:sz w:val="21"/>
                <w:szCs w:val="21"/>
                <w:highlight w:val="none"/>
                <w:vertAlign w:val="subscript"/>
              </w:rPr>
              <w:t>5</w:t>
            </w:r>
          </w:p>
        </w:tc>
        <w:tc>
          <w:tcPr>
            <w:tcW w:w="620" w:type="pct"/>
            <w:vMerge w:val="continue"/>
            <w:tcBorders>
              <w:tl2br w:val="nil"/>
              <w:tr2bl w:val="nil"/>
            </w:tcBorders>
            <w:noWrap w:val="0"/>
            <w:vAlign w:val="center"/>
          </w:tcPr>
          <w:p w14:paraId="4D1E80B6">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680" w:type="pct"/>
            <w:tcBorders>
              <w:tl2br w:val="nil"/>
              <w:tr2bl w:val="nil"/>
            </w:tcBorders>
            <w:noWrap w:val="0"/>
            <w:vAlign w:val="center"/>
          </w:tcPr>
          <w:p w14:paraId="3D10E97B">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4</w:t>
            </w:r>
          </w:p>
        </w:tc>
      </w:tr>
      <w:tr w14:paraId="3AE589F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tblHeader/>
          <w:jc w:val="center"/>
        </w:trPr>
        <w:tc>
          <w:tcPr>
            <w:tcW w:w="758" w:type="pct"/>
            <w:vMerge w:val="continue"/>
            <w:tcBorders>
              <w:tl2br w:val="nil"/>
              <w:tr2bl w:val="nil"/>
            </w:tcBorders>
            <w:noWrap w:val="0"/>
            <w:vAlign w:val="center"/>
          </w:tcPr>
          <w:p w14:paraId="05805612">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1796" w:type="pct"/>
            <w:vMerge w:val="continue"/>
            <w:tcBorders>
              <w:tl2br w:val="nil"/>
              <w:tr2bl w:val="nil"/>
            </w:tcBorders>
            <w:noWrap w:val="0"/>
            <w:vAlign w:val="center"/>
          </w:tcPr>
          <w:p w14:paraId="547F637E">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1145" w:type="pct"/>
            <w:tcBorders>
              <w:tl2br w:val="nil"/>
              <w:tr2bl w:val="nil"/>
            </w:tcBorders>
            <w:noWrap w:val="0"/>
            <w:vAlign w:val="center"/>
          </w:tcPr>
          <w:p w14:paraId="64618313">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p>
        </w:tc>
        <w:tc>
          <w:tcPr>
            <w:tcW w:w="620" w:type="pct"/>
            <w:vMerge w:val="continue"/>
            <w:tcBorders>
              <w:tl2br w:val="nil"/>
              <w:tr2bl w:val="nil"/>
            </w:tcBorders>
            <w:noWrap w:val="0"/>
            <w:vAlign w:val="center"/>
          </w:tcPr>
          <w:p w14:paraId="7F16E51C">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680" w:type="pct"/>
            <w:tcBorders>
              <w:tl2br w:val="nil"/>
              <w:tr2bl w:val="nil"/>
            </w:tcBorders>
            <w:noWrap w:val="0"/>
            <w:vAlign w:val="center"/>
          </w:tcPr>
          <w:p w14:paraId="414F568C">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1.0</w:t>
            </w:r>
          </w:p>
        </w:tc>
      </w:tr>
      <w:tr w14:paraId="036E17A7">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tblHeader/>
          <w:jc w:val="center"/>
        </w:trPr>
        <w:tc>
          <w:tcPr>
            <w:tcW w:w="758" w:type="pct"/>
            <w:vMerge w:val="continue"/>
            <w:tcBorders>
              <w:tl2br w:val="nil"/>
              <w:tr2bl w:val="nil"/>
            </w:tcBorders>
            <w:noWrap w:val="0"/>
            <w:vAlign w:val="center"/>
          </w:tcPr>
          <w:p w14:paraId="3070E171">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1796" w:type="pct"/>
            <w:vMerge w:val="continue"/>
            <w:tcBorders>
              <w:tl2br w:val="nil"/>
              <w:tr2bl w:val="nil"/>
            </w:tcBorders>
            <w:noWrap w:val="0"/>
            <w:vAlign w:val="center"/>
          </w:tcPr>
          <w:p w14:paraId="1CBC3B3C">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1145" w:type="pct"/>
            <w:tcBorders>
              <w:tl2br w:val="nil"/>
              <w:tr2bl w:val="nil"/>
            </w:tcBorders>
            <w:noWrap w:val="0"/>
            <w:vAlign w:val="center"/>
          </w:tcPr>
          <w:p w14:paraId="329507CF">
            <w:pPr>
              <w:pStyle w:val="39"/>
              <w:keepNext w:val="0"/>
              <w:keepLines w:val="0"/>
              <w:pageBreakBefore w:val="0"/>
              <w:widowControl w:val="0"/>
              <w:kinsoku/>
              <w:wordWrap/>
              <w:overflowPunct/>
              <w:topLinePunct w:val="0"/>
              <w:bidi w:val="0"/>
              <w:adjustRightInd/>
              <w:snapToGrid/>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Cs w:val="21"/>
                <w:highlight w:val="none"/>
                <w:lang w:val="en-US" w:eastAsia="zh-CN"/>
              </w:rPr>
              <w:t>T-P</w:t>
            </w:r>
          </w:p>
        </w:tc>
        <w:tc>
          <w:tcPr>
            <w:tcW w:w="620" w:type="pct"/>
            <w:vMerge w:val="continue"/>
            <w:tcBorders>
              <w:tl2br w:val="nil"/>
              <w:tr2bl w:val="nil"/>
            </w:tcBorders>
            <w:noWrap w:val="0"/>
            <w:vAlign w:val="center"/>
          </w:tcPr>
          <w:p w14:paraId="2417FF6F">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680" w:type="pct"/>
            <w:tcBorders>
              <w:tl2br w:val="nil"/>
              <w:tr2bl w:val="nil"/>
            </w:tcBorders>
            <w:noWrap w:val="0"/>
            <w:vAlign w:val="center"/>
          </w:tcPr>
          <w:p w14:paraId="56948166">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0.2</w:t>
            </w:r>
          </w:p>
        </w:tc>
      </w:tr>
      <w:tr w14:paraId="20102A1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tblHeader/>
          <w:jc w:val="center"/>
        </w:trPr>
        <w:tc>
          <w:tcPr>
            <w:tcW w:w="758" w:type="pct"/>
            <w:vMerge w:val="continue"/>
            <w:tcBorders>
              <w:tl2br w:val="nil"/>
              <w:tr2bl w:val="nil"/>
            </w:tcBorders>
            <w:noWrap w:val="0"/>
            <w:vAlign w:val="center"/>
          </w:tcPr>
          <w:p w14:paraId="2973186C">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1796" w:type="pct"/>
            <w:vMerge w:val="continue"/>
            <w:tcBorders>
              <w:tl2br w:val="nil"/>
              <w:tr2bl w:val="nil"/>
            </w:tcBorders>
            <w:noWrap w:val="0"/>
            <w:vAlign w:val="center"/>
          </w:tcPr>
          <w:p w14:paraId="2DBB3333">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1145" w:type="pct"/>
            <w:tcBorders>
              <w:tl2br w:val="nil"/>
              <w:tr2bl w:val="nil"/>
            </w:tcBorders>
            <w:noWrap w:val="0"/>
            <w:vAlign w:val="center"/>
          </w:tcPr>
          <w:p w14:paraId="614B2D10">
            <w:pPr>
              <w:pStyle w:val="39"/>
              <w:keepNext w:val="0"/>
              <w:keepLines w:val="0"/>
              <w:pageBreakBefore w:val="0"/>
              <w:widowControl w:val="0"/>
              <w:kinsoku/>
              <w:wordWrap/>
              <w:overflowPunct/>
              <w:topLinePunct w:val="0"/>
              <w:bidi w:val="0"/>
              <w:adjustRightInd/>
              <w:snapToGrid/>
              <w:spacing w:line="240" w:lineRule="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高锰酸盐指数</w:t>
            </w:r>
          </w:p>
        </w:tc>
        <w:tc>
          <w:tcPr>
            <w:tcW w:w="620" w:type="pct"/>
            <w:vMerge w:val="continue"/>
            <w:tcBorders>
              <w:tl2br w:val="nil"/>
              <w:tr2bl w:val="nil"/>
            </w:tcBorders>
            <w:noWrap w:val="0"/>
            <w:vAlign w:val="center"/>
          </w:tcPr>
          <w:p w14:paraId="1D818BE8">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680" w:type="pct"/>
            <w:tcBorders>
              <w:tl2br w:val="nil"/>
              <w:tr2bl w:val="nil"/>
            </w:tcBorders>
            <w:noWrap w:val="0"/>
            <w:vAlign w:val="center"/>
          </w:tcPr>
          <w:p w14:paraId="48A9B174">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6</w:t>
            </w:r>
          </w:p>
        </w:tc>
      </w:tr>
      <w:tr w14:paraId="7799B20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397" w:hRule="atLeast"/>
          <w:tblHeader/>
          <w:jc w:val="center"/>
        </w:trPr>
        <w:tc>
          <w:tcPr>
            <w:tcW w:w="758" w:type="pct"/>
            <w:vMerge w:val="continue"/>
            <w:tcBorders>
              <w:tl2br w:val="nil"/>
              <w:tr2bl w:val="nil"/>
            </w:tcBorders>
            <w:noWrap w:val="0"/>
            <w:vAlign w:val="center"/>
          </w:tcPr>
          <w:p w14:paraId="36DF2229">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1796" w:type="pct"/>
            <w:vMerge w:val="continue"/>
            <w:tcBorders>
              <w:tl2br w:val="nil"/>
              <w:tr2bl w:val="nil"/>
            </w:tcBorders>
            <w:noWrap w:val="0"/>
            <w:vAlign w:val="center"/>
          </w:tcPr>
          <w:p w14:paraId="1921972D">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1145" w:type="pct"/>
            <w:tcBorders>
              <w:tl2br w:val="nil"/>
              <w:tr2bl w:val="nil"/>
            </w:tcBorders>
            <w:noWrap w:val="0"/>
            <w:vAlign w:val="center"/>
          </w:tcPr>
          <w:p w14:paraId="2CD36DC8">
            <w:pPr>
              <w:pStyle w:val="39"/>
              <w:keepNext w:val="0"/>
              <w:keepLines w:val="0"/>
              <w:pageBreakBefore w:val="0"/>
              <w:widowControl w:val="0"/>
              <w:kinsoku/>
              <w:wordWrap/>
              <w:overflowPunct/>
              <w:topLinePunct w:val="0"/>
              <w:bidi w:val="0"/>
              <w:adjustRightInd/>
              <w:snapToGrid/>
              <w:spacing w:line="240" w:lineRule="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总氮</w:t>
            </w:r>
          </w:p>
        </w:tc>
        <w:tc>
          <w:tcPr>
            <w:tcW w:w="620" w:type="pct"/>
            <w:vMerge w:val="continue"/>
            <w:tcBorders>
              <w:tl2br w:val="nil"/>
              <w:tr2bl w:val="nil"/>
            </w:tcBorders>
            <w:noWrap w:val="0"/>
            <w:vAlign w:val="center"/>
          </w:tcPr>
          <w:p w14:paraId="048E9DCD">
            <w:pPr>
              <w:pStyle w:val="35"/>
              <w:keepNext w:val="0"/>
              <w:keepLines w:val="0"/>
              <w:pageBreakBefore w:val="0"/>
              <w:widowControl w:val="0"/>
              <w:kinsoku/>
              <w:wordWrap/>
              <w:overflowPunct/>
              <w:topLinePunct w:val="0"/>
              <w:autoSpaceDE w:val="0"/>
              <w:autoSpaceDN w:val="0"/>
              <w:bidi w:val="0"/>
              <w:adjustRightInd/>
              <w:snapToGrid/>
              <w:spacing w:line="240" w:lineRule="auto"/>
              <w:jc w:val="center"/>
              <w:textAlignment w:val="bottom"/>
              <w:rPr>
                <w:rFonts w:hint="default" w:ascii="Times New Roman" w:hAnsi="Times New Roman" w:cs="Times New Roman"/>
                <w:color w:val="auto"/>
                <w:sz w:val="21"/>
                <w:szCs w:val="21"/>
                <w:highlight w:val="none"/>
              </w:rPr>
            </w:pPr>
          </w:p>
        </w:tc>
        <w:tc>
          <w:tcPr>
            <w:tcW w:w="680" w:type="pct"/>
            <w:tcBorders>
              <w:tl2br w:val="nil"/>
              <w:tr2bl w:val="nil"/>
            </w:tcBorders>
            <w:noWrap w:val="0"/>
            <w:vAlign w:val="center"/>
          </w:tcPr>
          <w:p w14:paraId="5A96ED08">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1.0</w:t>
            </w:r>
          </w:p>
        </w:tc>
      </w:tr>
    </w:tbl>
    <w:p w14:paraId="4220C71A">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（3）声环境</w:t>
      </w:r>
      <w:r>
        <w:rPr>
          <w:rFonts w:hint="default" w:ascii="Times New Roman" w:hAnsi="Times New Roman" w:eastAsia="宋体" w:cs="Times New Roman"/>
          <w:color w:val="auto"/>
          <w:spacing w:val="0"/>
          <w:kern w:val="0"/>
          <w:position w:val="0"/>
          <w:sz w:val="24"/>
          <w:szCs w:val="24"/>
          <w:highlight w:val="none"/>
          <w:lang w:eastAsia="zh-CN"/>
        </w:rPr>
        <w:t>质量标准</w:t>
      </w:r>
    </w:p>
    <w:p w14:paraId="1802A5DB">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本项目所在区域为2类声环境功能区，执行《声环境质量标准》（GB3096-2008）中的</w:t>
      </w:r>
      <w:r>
        <w:rPr>
          <w:rFonts w:hint="eastAsia"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lang w:val="en-US" w:eastAsia="zh-CN"/>
        </w:rPr>
        <w:t>类</w:t>
      </w:r>
      <w:r>
        <w:rPr>
          <w:rFonts w:hint="eastAsia" w:ascii="Times New Roman" w:hAnsi="Times New Roman" w:cs="Times New Roman"/>
          <w:color w:val="auto"/>
          <w:sz w:val="24"/>
          <w:szCs w:val="24"/>
          <w:lang w:val="en-US" w:eastAsia="zh-CN"/>
        </w:rPr>
        <w:t>区</w:t>
      </w:r>
      <w:r>
        <w:rPr>
          <w:rFonts w:hint="default" w:ascii="Times New Roman" w:hAnsi="Times New Roman" w:cs="Times New Roman"/>
          <w:color w:val="auto"/>
          <w:sz w:val="24"/>
          <w:szCs w:val="24"/>
          <w:lang w:val="en-US" w:eastAsia="zh-CN"/>
        </w:rPr>
        <w:t>标准，本项目声环境质量标准执行情况见表2.</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lang w:val="en-US" w:eastAsia="zh-CN"/>
        </w:rPr>
        <w:t>。</w:t>
      </w:r>
    </w:p>
    <w:p w14:paraId="143073A5">
      <w:pPr>
        <w:pStyle w:val="13"/>
        <w:keepNext w:val="0"/>
        <w:keepLines w:val="0"/>
        <w:pageBreakBefore w:val="0"/>
        <w:widowControl/>
        <w:numPr>
          <w:ilvl w:val="0"/>
          <w:numId w:val="0"/>
        </w:numPr>
        <w:kinsoku/>
        <w:wordWrap/>
        <w:overflowPunct/>
        <w:topLinePunct w:val="0"/>
        <w:autoSpaceDE/>
        <w:autoSpaceDN/>
        <w:bidi w:val="0"/>
        <w:adjustRightInd/>
        <w:snapToGrid w:val="0"/>
        <w:spacing w:beforeLines="0" w:afterLines="0" w:line="240" w:lineRule="auto"/>
        <w:ind w:right="0" w:rightChars="0"/>
        <w:jc w:val="center"/>
        <w:textAlignment w:val="auto"/>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表</w:t>
      </w:r>
      <w:r>
        <w:rPr>
          <w:rFonts w:hint="eastAsia" w:ascii="Times New Roman" w:hAnsi="Times New Roman" w:cs="Times New Roman"/>
          <w:b/>
          <w:bCs/>
          <w:color w:val="auto"/>
          <w:sz w:val="24"/>
          <w:szCs w:val="24"/>
          <w:highlight w:val="none"/>
          <w:lang w:val="en-US" w:eastAsia="zh-CN"/>
        </w:rPr>
        <w:t>2.5-3</w:t>
      </w:r>
      <w:r>
        <w:rPr>
          <w:rFonts w:hint="default" w:ascii="Times New Roman" w:hAnsi="Times New Roman" w:cs="Times New Roman"/>
          <w:b/>
          <w:bCs/>
          <w:color w:val="auto"/>
          <w:sz w:val="24"/>
          <w:szCs w:val="24"/>
          <w:highlight w:val="none"/>
          <w:lang w:val="en-US" w:eastAsia="zh-CN"/>
        </w:rPr>
        <w:t xml:space="preserve">  本项目声环境质量标准执行情况表</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155"/>
        <w:gridCol w:w="4419"/>
        <w:gridCol w:w="1029"/>
        <w:gridCol w:w="1113"/>
        <w:gridCol w:w="1568"/>
      </w:tblGrid>
      <w:tr w14:paraId="59CA517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97" w:hRule="atLeast"/>
          <w:jc w:val="center"/>
        </w:trPr>
        <w:tc>
          <w:tcPr>
            <w:tcW w:w="622" w:type="pct"/>
            <w:vMerge w:val="restart"/>
            <w:tcBorders>
              <w:tl2br w:val="nil"/>
              <w:tr2bl w:val="nil"/>
            </w:tcBorders>
            <w:vAlign w:val="center"/>
          </w:tcPr>
          <w:p w14:paraId="11A0FAAC">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类别</w:t>
            </w:r>
          </w:p>
        </w:tc>
        <w:tc>
          <w:tcPr>
            <w:tcW w:w="2379" w:type="pct"/>
            <w:vMerge w:val="restart"/>
            <w:tcBorders>
              <w:tl2br w:val="nil"/>
              <w:tr2bl w:val="nil"/>
            </w:tcBorders>
            <w:vAlign w:val="center"/>
          </w:tcPr>
          <w:p w14:paraId="26E899E9">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标准名称及级（类）别</w:t>
            </w:r>
          </w:p>
        </w:tc>
        <w:tc>
          <w:tcPr>
            <w:tcW w:w="1997" w:type="pct"/>
            <w:gridSpan w:val="3"/>
            <w:tcBorders>
              <w:tl2br w:val="nil"/>
              <w:tr2bl w:val="nil"/>
            </w:tcBorders>
            <w:vAlign w:val="center"/>
          </w:tcPr>
          <w:p w14:paraId="3FFA12F5">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标准值</w:t>
            </w:r>
          </w:p>
        </w:tc>
      </w:tr>
      <w:tr w14:paraId="0087454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97" w:hRule="atLeast"/>
          <w:tblHeader/>
          <w:jc w:val="center"/>
        </w:trPr>
        <w:tc>
          <w:tcPr>
            <w:tcW w:w="622" w:type="pct"/>
            <w:vMerge w:val="continue"/>
            <w:tcBorders>
              <w:tl2br w:val="nil"/>
              <w:tr2bl w:val="nil"/>
            </w:tcBorders>
            <w:vAlign w:val="center"/>
          </w:tcPr>
          <w:p w14:paraId="55D72D33">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2379" w:type="pct"/>
            <w:vMerge w:val="continue"/>
            <w:tcBorders>
              <w:tl2br w:val="nil"/>
              <w:tr2bl w:val="nil"/>
            </w:tcBorders>
            <w:vAlign w:val="center"/>
          </w:tcPr>
          <w:p w14:paraId="2AF0EC2F">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1153" w:type="pct"/>
            <w:gridSpan w:val="2"/>
            <w:tcBorders>
              <w:tl2br w:val="nil"/>
              <w:tr2bl w:val="nil"/>
            </w:tcBorders>
            <w:vAlign w:val="center"/>
          </w:tcPr>
          <w:p w14:paraId="0392CDBD">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单位</w:t>
            </w:r>
          </w:p>
        </w:tc>
        <w:tc>
          <w:tcPr>
            <w:tcW w:w="844" w:type="pct"/>
            <w:tcBorders>
              <w:tl2br w:val="nil"/>
              <w:tr2bl w:val="nil"/>
            </w:tcBorders>
            <w:vAlign w:val="center"/>
          </w:tcPr>
          <w:p w14:paraId="169CCA89">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数值</w:t>
            </w:r>
          </w:p>
        </w:tc>
      </w:tr>
      <w:tr w14:paraId="13C5BCC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97" w:hRule="atLeast"/>
          <w:tblHeader/>
          <w:jc w:val="center"/>
        </w:trPr>
        <w:tc>
          <w:tcPr>
            <w:tcW w:w="622" w:type="pct"/>
            <w:vMerge w:val="restart"/>
            <w:tcBorders>
              <w:tl2br w:val="nil"/>
              <w:tr2bl w:val="nil"/>
            </w:tcBorders>
            <w:vAlign w:val="center"/>
          </w:tcPr>
          <w:p w14:paraId="43C4BE11">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声环境</w:t>
            </w:r>
          </w:p>
        </w:tc>
        <w:tc>
          <w:tcPr>
            <w:tcW w:w="2379" w:type="pct"/>
            <w:vMerge w:val="restart"/>
            <w:tcBorders>
              <w:tl2br w:val="nil"/>
              <w:tr2bl w:val="nil"/>
            </w:tcBorders>
            <w:vAlign w:val="center"/>
          </w:tcPr>
          <w:p w14:paraId="74CA363B">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《声环境质量标准》（GB3096-2008）</w:t>
            </w:r>
          </w:p>
          <w:p w14:paraId="6EA0A5EA">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中的</w:t>
            </w:r>
            <w:r>
              <w:rPr>
                <w:rFonts w:hint="default" w:ascii="Times New Roman" w:hAnsi="Times New Roman" w:cs="Times New Roman"/>
                <w:color w:val="000000" w:themeColor="text1"/>
                <w:highlight w:val="none"/>
                <w:lang w:val="en-US" w:eastAsia="zh-CN"/>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类</w:t>
            </w:r>
            <w:r>
              <w:rPr>
                <w:rFonts w:hint="default" w:ascii="Times New Roman" w:hAnsi="Times New Roman" w:cs="Times New Roman"/>
                <w:color w:val="000000" w:themeColor="text1"/>
                <w:highlight w:val="none"/>
                <w:lang w:val="en-US" w:eastAsia="zh-CN"/>
                <w14:textFill>
                  <w14:solidFill>
                    <w14:schemeClr w14:val="tx1"/>
                  </w14:solidFill>
                </w14:textFill>
              </w:rPr>
              <w:t>区</w:t>
            </w:r>
            <w:r>
              <w:rPr>
                <w:rFonts w:hint="default" w:ascii="Times New Roman" w:hAnsi="Times New Roman" w:cs="Times New Roman"/>
                <w:color w:val="000000" w:themeColor="text1"/>
                <w:highlight w:val="none"/>
                <w14:textFill>
                  <w14:solidFill>
                    <w14:schemeClr w14:val="tx1"/>
                  </w14:solidFill>
                </w14:textFill>
              </w:rPr>
              <w:t>标准</w:t>
            </w:r>
          </w:p>
        </w:tc>
        <w:tc>
          <w:tcPr>
            <w:tcW w:w="554" w:type="pct"/>
            <w:vMerge w:val="restart"/>
            <w:tcBorders>
              <w:tl2br w:val="nil"/>
              <w:tr2bl w:val="nil"/>
            </w:tcBorders>
            <w:vAlign w:val="center"/>
          </w:tcPr>
          <w:p w14:paraId="4FE5B246">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dB(A)</w:t>
            </w:r>
          </w:p>
        </w:tc>
        <w:tc>
          <w:tcPr>
            <w:tcW w:w="599" w:type="pct"/>
            <w:tcBorders>
              <w:tl2br w:val="nil"/>
              <w:tr2bl w:val="nil"/>
            </w:tcBorders>
            <w:vAlign w:val="center"/>
          </w:tcPr>
          <w:p w14:paraId="2D600FBB">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昼间</w:t>
            </w:r>
          </w:p>
        </w:tc>
        <w:tc>
          <w:tcPr>
            <w:tcW w:w="844" w:type="pct"/>
            <w:tcBorders>
              <w:tl2br w:val="nil"/>
              <w:tr2bl w:val="nil"/>
            </w:tcBorders>
            <w:vAlign w:val="center"/>
          </w:tcPr>
          <w:p w14:paraId="3E67512F">
            <w:pPr>
              <w:pStyle w:val="37"/>
              <w:bidi w:val="0"/>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60</w:t>
            </w:r>
          </w:p>
        </w:tc>
      </w:tr>
      <w:tr w14:paraId="73D1749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97" w:hRule="atLeast"/>
          <w:tblHeader/>
          <w:jc w:val="center"/>
        </w:trPr>
        <w:tc>
          <w:tcPr>
            <w:tcW w:w="622" w:type="pct"/>
            <w:vMerge w:val="continue"/>
            <w:tcBorders>
              <w:tl2br w:val="nil"/>
              <w:tr2bl w:val="nil"/>
            </w:tcBorders>
            <w:vAlign w:val="center"/>
          </w:tcPr>
          <w:p w14:paraId="5B23CFA6">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2379" w:type="pct"/>
            <w:vMerge w:val="continue"/>
            <w:tcBorders>
              <w:tl2br w:val="nil"/>
              <w:tr2bl w:val="nil"/>
            </w:tcBorders>
            <w:vAlign w:val="center"/>
          </w:tcPr>
          <w:p w14:paraId="13B930F9">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554" w:type="pct"/>
            <w:vMerge w:val="continue"/>
            <w:tcBorders>
              <w:tl2br w:val="nil"/>
              <w:tr2bl w:val="nil"/>
            </w:tcBorders>
            <w:vAlign w:val="center"/>
          </w:tcPr>
          <w:p w14:paraId="21E65CB3">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599" w:type="pct"/>
            <w:tcBorders>
              <w:tl2br w:val="nil"/>
              <w:tr2bl w:val="nil"/>
            </w:tcBorders>
            <w:vAlign w:val="center"/>
          </w:tcPr>
          <w:p w14:paraId="2199F1A7">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夜间</w:t>
            </w:r>
          </w:p>
        </w:tc>
        <w:tc>
          <w:tcPr>
            <w:tcW w:w="844" w:type="pct"/>
            <w:tcBorders>
              <w:tl2br w:val="nil"/>
              <w:tr2bl w:val="nil"/>
            </w:tcBorders>
            <w:vAlign w:val="center"/>
          </w:tcPr>
          <w:p w14:paraId="3AA415C2">
            <w:pPr>
              <w:pStyle w:val="37"/>
              <w:bidi w:val="0"/>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r>
              <w:rPr>
                <w:rFonts w:hint="default" w:ascii="Times New Roman" w:hAnsi="Times New Roman" w:cs="Times New Roman"/>
                <w:color w:val="000000" w:themeColor="text1"/>
                <w:highlight w:val="none"/>
                <w:lang w:val="en-US" w:eastAsia="zh-CN"/>
                <w14:textFill>
                  <w14:solidFill>
                    <w14:schemeClr w14:val="tx1"/>
                  </w14:solidFill>
                </w14:textFill>
              </w:rPr>
              <w:t>0</w:t>
            </w:r>
          </w:p>
        </w:tc>
      </w:tr>
    </w:tbl>
    <w:p w14:paraId="1BC9BC67">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lang w:val="en-US" w:eastAsia="zh-CN"/>
        </w:rPr>
        <w:t>地下水环境</w:t>
      </w:r>
    </w:p>
    <w:p w14:paraId="35BC3D18">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本项目地下水环境质量执行《地下水质量标准》（GB/T14848-2017）中Ⅲ类标准，</w:t>
      </w:r>
      <w:r>
        <w:rPr>
          <w:rFonts w:hint="eastAsia" w:ascii="Times New Roman" w:hAnsi="Times New Roman" w:cs="Times New Roman"/>
          <w:color w:val="auto"/>
          <w:sz w:val="24"/>
          <w:szCs w:val="24"/>
          <w:lang w:val="en-US" w:eastAsia="zh-CN"/>
        </w:rPr>
        <w:t>石油类参照</w:t>
      </w:r>
      <w:r>
        <w:rPr>
          <w:rFonts w:hint="default" w:ascii="Times New Roman" w:hAnsi="Times New Roman" w:cs="Times New Roman"/>
          <w:color w:val="auto"/>
          <w:sz w:val="24"/>
          <w:szCs w:val="24"/>
          <w:lang w:val="en-US" w:eastAsia="zh-CN"/>
        </w:rPr>
        <w:t>《地表水环境质量标准》（GB3838-2002）中Ⅲ类标准</w:t>
      </w:r>
      <w:r>
        <w:rPr>
          <w:rFonts w:hint="eastAsia" w:ascii="Times New Roman" w:hAnsi="Times New Roman" w:cs="Times New Roman"/>
          <w:color w:val="auto"/>
          <w:sz w:val="24"/>
          <w:szCs w:val="24"/>
          <w:lang w:val="en-US" w:eastAsia="zh-CN"/>
        </w:rPr>
        <w:t>，本项目</w:t>
      </w:r>
      <w:r>
        <w:rPr>
          <w:rFonts w:hint="default" w:ascii="Times New Roman" w:hAnsi="Times New Roman" w:cs="Times New Roman"/>
          <w:color w:val="auto"/>
          <w:sz w:val="24"/>
          <w:szCs w:val="24"/>
          <w:lang w:val="en-US" w:eastAsia="zh-CN"/>
        </w:rPr>
        <w:t>地下水环境质量标准见表2.</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lang w:val="en-US" w:eastAsia="zh-CN"/>
        </w:rPr>
        <w:t>。</w:t>
      </w:r>
    </w:p>
    <w:p w14:paraId="0D7EC3B3">
      <w:pPr>
        <w:bidi w:val="0"/>
        <w:jc w:val="center"/>
        <w:rPr>
          <w:rFonts w:hint="default" w:ascii="Times New Roman" w:hAnsi="Times New Roman" w:eastAsia="Arial" w:cs="Times New Roman"/>
          <w:b/>
          <w:bCs/>
          <w:snapToGrid w:val="0"/>
          <w:color w:val="auto"/>
          <w:kern w:val="0"/>
          <w:sz w:val="24"/>
          <w:szCs w:val="24"/>
          <w:highlight w:val="none"/>
          <w:lang w:val="en-US" w:eastAsia="zh-CN" w:bidi="ar-SA"/>
        </w:rPr>
      </w:pPr>
      <w:r>
        <w:rPr>
          <w:rFonts w:hint="default" w:ascii="Times New Roman" w:hAnsi="Times New Roman" w:eastAsia="Arial" w:cs="Times New Roman"/>
          <w:b/>
          <w:bCs/>
          <w:snapToGrid w:val="0"/>
          <w:color w:val="auto"/>
          <w:kern w:val="0"/>
          <w:sz w:val="24"/>
          <w:szCs w:val="24"/>
          <w:highlight w:val="none"/>
          <w:lang w:val="en-US" w:eastAsia="zh-CN" w:bidi="ar-SA"/>
        </w:rPr>
        <w:t>表2</w:t>
      </w:r>
      <w:r>
        <w:rPr>
          <w:rFonts w:hint="eastAsia" w:ascii="Times New Roman" w:hAnsi="Times New Roman" w:eastAsia="Arial" w:cs="Times New Roman"/>
          <w:b/>
          <w:bCs/>
          <w:snapToGrid w:val="0"/>
          <w:color w:val="auto"/>
          <w:kern w:val="0"/>
          <w:sz w:val="24"/>
          <w:szCs w:val="24"/>
          <w:highlight w:val="none"/>
          <w:lang w:val="en-US" w:eastAsia="zh-CN" w:bidi="ar-SA"/>
        </w:rPr>
        <w:t>.5</w:t>
      </w:r>
      <w:r>
        <w:rPr>
          <w:rFonts w:hint="default" w:ascii="Times New Roman" w:hAnsi="Times New Roman" w:eastAsia="Arial" w:cs="Times New Roman"/>
          <w:b/>
          <w:bCs/>
          <w:snapToGrid w:val="0"/>
          <w:color w:val="auto"/>
          <w:kern w:val="0"/>
          <w:sz w:val="24"/>
          <w:szCs w:val="24"/>
          <w:highlight w:val="none"/>
          <w:lang w:val="en-US" w:eastAsia="zh-CN" w:bidi="ar-SA"/>
        </w:rPr>
        <w:t>-</w:t>
      </w:r>
      <w:r>
        <w:rPr>
          <w:rFonts w:hint="eastAsia" w:ascii="Times New Roman" w:hAnsi="Times New Roman" w:cs="Times New Roman"/>
          <w:b/>
          <w:bCs/>
          <w:snapToGrid w:val="0"/>
          <w:color w:val="auto"/>
          <w:kern w:val="0"/>
          <w:sz w:val="24"/>
          <w:szCs w:val="24"/>
          <w:highlight w:val="none"/>
          <w:lang w:val="en-US" w:eastAsia="zh-CN" w:bidi="ar-SA"/>
        </w:rPr>
        <w:t>4</w:t>
      </w:r>
      <w:r>
        <w:rPr>
          <w:rFonts w:hint="default" w:ascii="Times New Roman" w:hAnsi="Times New Roman" w:eastAsia="Arial" w:cs="Times New Roman"/>
          <w:b/>
          <w:bCs/>
          <w:snapToGrid w:val="0"/>
          <w:color w:val="auto"/>
          <w:kern w:val="0"/>
          <w:sz w:val="24"/>
          <w:szCs w:val="24"/>
          <w:highlight w:val="none"/>
          <w:lang w:val="en-US" w:eastAsia="zh-CN" w:bidi="ar-SA"/>
        </w:rPr>
        <w:t xml:space="preserve">  本项目地下水环境质量标准执行表</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44"/>
        <w:gridCol w:w="3435"/>
        <w:gridCol w:w="2101"/>
        <w:gridCol w:w="1089"/>
        <w:gridCol w:w="1315"/>
      </w:tblGrid>
      <w:tr w14:paraId="6CD3FE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restart"/>
            <w:tcBorders>
              <w:tl2br w:val="nil"/>
              <w:tr2bl w:val="nil"/>
            </w:tcBorders>
            <w:vAlign w:val="center"/>
          </w:tcPr>
          <w:p w14:paraId="4C79EF58">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类别</w:t>
            </w:r>
          </w:p>
        </w:tc>
        <w:tc>
          <w:tcPr>
            <w:tcW w:w="1849" w:type="pct"/>
            <w:vMerge w:val="restart"/>
            <w:tcBorders>
              <w:tl2br w:val="nil"/>
              <w:tr2bl w:val="nil"/>
            </w:tcBorders>
            <w:vAlign w:val="center"/>
          </w:tcPr>
          <w:p w14:paraId="337B7D24">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标准名称及级（类）别</w:t>
            </w:r>
          </w:p>
        </w:tc>
        <w:tc>
          <w:tcPr>
            <w:tcW w:w="1131" w:type="pct"/>
            <w:vMerge w:val="restart"/>
            <w:tcBorders>
              <w:tl2br w:val="nil"/>
              <w:tr2bl w:val="nil"/>
            </w:tcBorders>
            <w:vAlign w:val="center"/>
          </w:tcPr>
          <w:p w14:paraId="33DFDA4A">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污染因子</w:t>
            </w:r>
          </w:p>
        </w:tc>
        <w:tc>
          <w:tcPr>
            <w:tcW w:w="1294" w:type="pct"/>
            <w:gridSpan w:val="2"/>
            <w:tcBorders>
              <w:tl2br w:val="nil"/>
              <w:tr2bl w:val="nil"/>
            </w:tcBorders>
            <w:vAlign w:val="center"/>
          </w:tcPr>
          <w:p w14:paraId="04F5B14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标准值</w:t>
            </w:r>
          </w:p>
        </w:tc>
      </w:tr>
      <w:tr w14:paraId="7CEFCD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tblHeader/>
          <w:jc w:val="center"/>
        </w:trPr>
        <w:tc>
          <w:tcPr>
            <w:tcW w:w="724" w:type="pct"/>
            <w:vMerge w:val="continue"/>
            <w:tcBorders>
              <w:tl2br w:val="nil"/>
              <w:tr2bl w:val="nil"/>
            </w:tcBorders>
            <w:vAlign w:val="center"/>
          </w:tcPr>
          <w:p w14:paraId="378BF1D2">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15865B57">
            <w:pPr>
              <w:pStyle w:val="37"/>
              <w:bidi w:val="0"/>
              <w:rPr>
                <w:rFonts w:hint="default" w:ascii="Times New Roman" w:hAnsi="Times New Roman" w:cs="Times New Roman"/>
                <w:color w:val="auto"/>
                <w:highlight w:val="none"/>
              </w:rPr>
            </w:pPr>
          </w:p>
        </w:tc>
        <w:tc>
          <w:tcPr>
            <w:tcW w:w="1131" w:type="pct"/>
            <w:vMerge w:val="continue"/>
            <w:tcBorders>
              <w:tl2br w:val="nil"/>
              <w:tr2bl w:val="nil"/>
            </w:tcBorders>
            <w:vAlign w:val="center"/>
          </w:tcPr>
          <w:p w14:paraId="06BB13F8">
            <w:pPr>
              <w:pStyle w:val="37"/>
              <w:bidi w:val="0"/>
              <w:rPr>
                <w:rFonts w:hint="default" w:ascii="Times New Roman" w:hAnsi="Times New Roman" w:cs="Times New Roman"/>
                <w:color w:val="auto"/>
                <w:highlight w:val="none"/>
              </w:rPr>
            </w:pPr>
          </w:p>
        </w:tc>
        <w:tc>
          <w:tcPr>
            <w:tcW w:w="586" w:type="pct"/>
            <w:tcBorders>
              <w:tl2br w:val="nil"/>
              <w:tr2bl w:val="nil"/>
            </w:tcBorders>
            <w:vAlign w:val="center"/>
          </w:tcPr>
          <w:p w14:paraId="47F01F18">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c>
          <w:tcPr>
            <w:tcW w:w="708" w:type="pct"/>
            <w:tcBorders>
              <w:tl2br w:val="nil"/>
              <w:tr2bl w:val="nil"/>
            </w:tcBorders>
            <w:vAlign w:val="center"/>
          </w:tcPr>
          <w:p w14:paraId="64C2DAC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数值</w:t>
            </w:r>
          </w:p>
        </w:tc>
      </w:tr>
      <w:tr w14:paraId="411018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restart"/>
            <w:tcBorders>
              <w:tl2br w:val="nil"/>
              <w:tr2bl w:val="nil"/>
            </w:tcBorders>
            <w:vAlign w:val="center"/>
          </w:tcPr>
          <w:p w14:paraId="2FB9B8B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地下水环境</w:t>
            </w:r>
          </w:p>
        </w:tc>
        <w:tc>
          <w:tcPr>
            <w:tcW w:w="1849" w:type="pct"/>
            <w:vMerge w:val="restart"/>
            <w:tcBorders>
              <w:tl2br w:val="nil"/>
              <w:tr2bl w:val="nil"/>
            </w:tcBorders>
            <w:vAlign w:val="center"/>
          </w:tcPr>
          <w:p w14:paraId="31AC533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《地下水质量标准》（GB/T14848-2017）中Ⅲ类标准</w:t>
            </w:r>
          </w:p>
        </w:tc>
        <w:tc>
          <w:tcPr>
            <w:tcW w:w="1131" w:type="pct"/>
            <w:tcBorders>
              <w:tl2br w:val="nil"/>
              <w:tr2bl w:val="nil"/>
            </w:tcBorders>
            <w:vAlign w:val="center"/>
          </w:tcPr>
          <w:p w14:paraId="4CA7867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pH</w:t>
            </w:r>
          </w:p>
        </w:tc>
        <w:tc>
          <w:tcPr>
            <w:tcW w:w="586" w:type="pct"/>
            <w:tcBorders>
              <w:tl2br w:val="nil"/>
              <w:tr2bl w:val="nil"/>
            </w:tcBorders>
            <w:vAlign w:val="center"/>
          </w:tcPr>
          <w:p w14:paraId="6893EC34">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无量纲</w:t>
            </w:r>
          </w:p>
        </w:tc>
        <w:tc>
          <w:tcPr>
            <w:tcW w:w="708" w:type="pct"/>
            <w:tcBorders>
              <w:tl2br w:val="nil"/>
              <w:tr2bl w:val="nil"/>
            </w:tcBorders>
            <w:vAlign w:val="center"/>
          </w:tcPr>
          <w:p w14:paraId="475B440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6.5~8.5</w:t>
            </w:r>
          </w:p>
        </w:tc>
      </w:tr>
      <w:tr w14:paraId="430BA6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6502A500">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697F442E">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1E46A04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586" w:type="pct"/>
            <w:vMerge w:val="restart"/>
            <w:tcBorders>
              <w:tl2br w:val="nil"/>
              <w:tr2bl w:val="nil"/>
            </w:tcBorders>
            <w:vAlign w:val="center"/>
          </w:tcPr>
          <w:p w14:paraId="31D3E45A">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c>
          <w:tcPr>
            <w:tcW w:w="708" w:type="pct"/>
            <w:tcBorders>
              <w:tl2br w:val="nil"/>
              <w:tr2bl w:val="nil"/>
            </w:tcBorders>
            <w:vAlign w:val="center"/>
          </w:tcPr>
          <w:p w14:paraId="13273213">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≤0.50</w:t>
            </w:r>
          </w:p>
        </w:tc>
      </w:tr>
      <w:tr w14:paraId="622F8E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00C9079A">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1DCB850A">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7E9F9ED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硝酸盐氮</w:t>
            </w:r>
          </w:p>
        </w:tc>
        <w:tc>
          <w:tcPr>
            <w:tcW w:w="586" w:type="pct"/>
            <w:vMerge w:val="continue"/>
            <w:tcBorders>
              <w:tl2br w:val="nil"/>
              <w:tr2bl w:val="nil"/>
            </w:tcBorders>
            <w:vAlign w:val="center"/>
          </w:tcPr>
          <w:p w14:paraId="3E49C483">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2C99A563">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r>
      <w:tr w14:paraId="2B0570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3E8B38EB">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5374C5F8">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76594FF3">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亚硝酸盐氮</w:t>
            </w:r>
          </w:p>
        </w:tc>
        <w:tc>
          <w:tcPr>
            <w:tcW w:w="586" w:type="pct"/>
            <w:vMerge w:val="continue"/>
            <w:tcBorders>
              <w:tl2br w:val="nil"/>
              <w:tr2bl w:val="nil"/>
            </w:tcBorders>
            <w:vAlign w:val="center"/>
          </w:tcPr>
          <w:p w14:paraId="3789248E">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459E65A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r>
      <w:tr w14:paraId="52D99A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0A351740">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60A23E6D">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02212E4B">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挥发性酚类</w:t>
            </w:r>
          </w:p>
        </w:tc>
        <w:tc>
          <w:tcPr>
            <w:tcW w:w="586" w:type="pct"/>
            <w:vMerge w:val="continue"/>
            <w:tcBorders>
              <w:tl2br w:val="nil"/>
              <w:tr2bl w:val="nil"/>
            </w:tcBorders>
            <w:vAlign w:val="center"/>
          </w:tcPr>
          <w:p w14:paraId="6DA4498E">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7CF933C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≤0.002</w:t>
            </w:r>
          </w:p>
        </w:tc>
      </w:tr>
      <w:tr w14:paraId="0D421B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102EAA85">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37ECA475">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141DA858">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氰化物</w:t>
            </w:r>
          </w:p>
        </w:tc>
        <w:tc>
          <w:tcPr>
            <w:tcW w:w="586" w:type="pct"/>
            <w:vMerge w:val="continue"/>
            <w:tcBorders>
              <w:tl2br w:val="nil"/>
              <w:tr2bl w:val="nil"/>
            </w:tcBorders>
            <w:vAlign w:val="center"/>
          </w:tcPr>
          <w:p w14:paraId="214B65D9">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533B3AB4">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≤0.05</w:t>
            </w:r>
          </w:p>
        </w:tc>
      </w:tr>
      <w:tr w14:paraId="02C3EC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3E7207D9">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3E82A8FE">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4A9245B8">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砷</w:t>
            </w:r>
          </w:p>
        </w:tc>
        <w:tc>
          <w:tcPr>
            <w:tcW w:w="586" w:type="pct"/>
            <w:vMerge w:val="continue"/>
            <w:tcBorders>
              <w:tl2br w:val="nil"/>
              <w:tr2bl w:val="nil"/>
            </w:tcBorders>
            <w:vAlign w:val="center"/>
          </w:tcPr>
          <w:p w14:paraId="4CB15A0D">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435EC373">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≤0.01</w:t>
            </w:r>
          </w:p>
        </w:tc>
      </w:tr>
      <w:tr w14:paraId="54F796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39678FFA">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3DA6011A">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17EBDCA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汞</w:t>
            </w:r>
          </w:p>
        </w:tc>
        <w:tc>
          <w:tcPr>
            <w:tcW w:w="586" w:type="pct"/>
            <w:vMerge w:val="continue"/>
            <w:tcBorders>
              <w:tl2br w:val="nil"/>
              <w:tr2bl w:val="nil"/>
            </w:tcBorders>
            <w:vAlign w:val="center"/>
          </w:tcPr>
          <w:p w14:paraId="353631B3">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262B2BA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≤0.001</w:t>
            </w:r>
          </w:p>
        </w:tc>
      </w:tr>
      <w:tr w14:paraId="03329D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742CA2BA">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1C2525A3">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78E7AAC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六价铬</w:t>
            </w:r>
          </w:p>
        </w:tc>
        <w:tc>
          <w:tcPr>
            <w:tcW w:w="586" w:type="pct"/>
            <w:vMerge w:val="continue"/>
            <w:tcBorders>
              <w:tl2br w:val="nil"/>
              <w:tr2bl w:val="nil"/>
            </w:tcBorders>
            <w:vAlign w:val="center"/>
          </w:tcPr>
          <w:p w14:paraId="2FA369B9">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291025F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≤0.05</w:t>
            </w:r>
          </w:p>
        </w:tc>
      </w:tr>
      <w:tr w14:paraId="691439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680031B3">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24109F07">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32C5FADA">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总硬度</w:t>
            </w:r>
          </w:p>
        </w:tc>
        <w:tc>
          <w:tcPr>
            <w:tcW w:w="586" w:type="pct"/>
            <w:vMerge w:val="continue"/>
            <w:tcBorders>
              <w:tl2br w:val="nil"/>
              <w:tr2bl w:val="nil"/>
            </w:tcBorders>
            <w:vAlign w:val="center"/>
          </w:tcPr>
          <w:p w14:paraId="7F473B44">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3648326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≤450</w:t>
            </w:r>
          </w:p>
        </w:tc>
      </w:tr>
      <w:tr w14:paraId="04FBEE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13A8E67A">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0277A35F">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280F049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铅</w:t>
            </w:r>
          </w:p>
        </w:tc>
        <w:tc>
          <w:tcPr>
            <w:tcW w:w="586" w:type="pct"/>
            <w:vMerge w:val="continue"/>
            <w:tcBorders>
              <w:tl2br w:val="nil"/>
              <w:tr2bl w:val="nil"/>
            </w:tcBorders>
            <w:vAlign w:val="center"/>
          </w:tcPr>
          <w:p w14:paraId="304F3675">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4D04EF7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≤0.01</w:t>
            </w:r>
          </w:p>
        </w:tc>
      </w:tr>
      <w:tr w14:paraId="47361A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0B8FCD9C">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67212A17">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36113F7A">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氟化物</w:t>
            </w:r>
          </w:p>
        </w:tc>
        <w:tc>
          <w:tcPr>
            <w:tcW w:w="586" w:type="pct"/>
            <w:vMerge w:val="continue"/>
            <w:tcBorders>
              <w:tl2br w:val="nil"/>
              <w:tr2bl w:val="nil"/>
            </w:tcBorders>
            <w:vAlign w:val="center"/>
          </w:tcPr>
          <w:p w14:paraId="6F5CBAEB">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7A88D9EB">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r>
      <w:tr w14:paraId="2CA645B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22D9A958">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5DCAD075">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7306A7D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镉</w:t>
            </w:r>
          </w:p>
        </w:tc>
        <w:tc>
          <w:tcPr>
            <w:tcW w:w="586" w:type="pct"/>
            <w:vMerge w:val="continue"/>
            <w:tcBorders>
              <w:tl2br w:val="nil"/>
              <w:tr2bl w:val="nil"/>
            </w:tcBorders>
            <w:vAlign w:val="center"/>
          </w:tcPr>
          <w:p w14:paraId="5304D010">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665D299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≤0.005</w:t>
            </w:r>
          </w:p>
        </w:tc>
      </w:tr>
      <w:tr w14:paraId="56D1CF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6B06F75B">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748E1878">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720A8D9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铁</w:t>
            </w:r>
          </w:p>
        </w:tc>
        <w:tc>
          <w:tcPr>
            <w:tcW w:w="586" w:type="pct"/>
            <w:vMerge w:val="continue"/>
            <w:tcBorders>
              <w:tl2br w:val="nil"/>
              <w:tr2bl w:val="nil"/>
            </w:tcBorders>
            <w:vAlign w:val="center"/>
          </w:tcPr>
          <w:p w14:paraId="0F968A96">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0A573E6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≤0.3</w:t>
            </w:r>
          </w:p>
        </w:tc>
      </w:tr>
      <w:tr w14:paraId="6946005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17AF22F2">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55212ECB">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2338F78B">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锰</w:t>
            </w:r>
          </w:p>
        </w:tc>
        <w:tc>
          <w:tcPr>
            <w:tcW w:w="586" w:type="pct"/>
            <w:vMerge w:val="continue"/>
            <w:tcBorders>
              <w:tl2br w:val="nil"/>
              <w:tr2bl w:val="nil"/>
            </w:tcBorders>
            <w:vAlign w:val="center"/>
          </w:tcPr>
          <w:p w14:paraId="32DEB826">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0838277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≤0.1</w:t>
            </w:r>
          </w:p>
        </w:tc>
      </w:tr>
      <w:tr w14:paraId="1B7D34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13E7EA9E">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615E467C">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13DDE19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铜</w:t>
            </w:r>
          </w:p>
        </w:tc>
        <w:tc>
          <w:tcPr>
            <w:tcW w:w="586" w:type="pct"/>
            <w:vMerge w:val="continue"/>
            <w:tcBorders>
              <w:tl2br w:val="nil"/>
              <w:tr2bl w:val="nil"/>
            </w:tcBorders>
            <w:vAlign w:val="center"/>
          </w:tcPr>
          <w:p w14:paraId="6B55B9DC">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70AD557B">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r>
      <w:tr w14:paraId="6801B6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781118C7">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59E1E3FC">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6E5492F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溶解性总固体</w:t>
            </w:r>
          </w:p>
        </w:tc>
        <w:tc>
          <w:tcPr>
            <w:tcW w:w="586" w:type="pct"/>
            <w:vMerge w:val="continue"/>
            <w:tcBorders>
              <w:tl2br w:val="nil"/>
              <w:tr2bl w:val="nil"/>
            </w:tcBorders>
            <w:vAlign w:val="center"/>
          </w:tcPr>
          <w:p w14:paraId="6A4262D0">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2459294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≤1000</w:t>
            </w:r>
          </w:p>
        </w:tc>
      </w:tr>
      <w:tr w14:paraId="1DBB37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2FDFAF7B">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03F150B8">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20A9AE54">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耗氧量</w:t>
            </w:r>
          </w:p>
        </w:tc>
        <w:tc>
          <w:tcPr>
            <w:tcW w:w="586" w:type="pct"/>
            <w:vMerge w:val="continue"/>
            <w:tcBorders>
              <w:tl2br w:val="nil"/>
              <w:tr2bl w:val="nil"/>
            </w:tcBorders>
            <w:vAlign w:val="center"/>
          </w:tcPr>
          <w:p w14:paraId="231E4993">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61DE99D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r>
      <w:tr w14:paraId="5E807EA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28BF8176">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55A9A648">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665A36A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硫酸盐</w:t>
            </w:r>
          </w:p>
        </w:tc>
        <w:tc>
          <w:tcPr>
            <w:tcW w:w="586" w:type="pct"/>
            <w:vMerge w:val="continue"/>
            <w:tcBorders>
              <w:tl2br w:val="nil"/>
              <w:tr2bl w:val="nil"/>
            </w:tcBorders>
            <w:vAlign w:val="center"/>
          </w:tcPr>
          <w:p w14:paraId="30DFB073">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00CC4E1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≤250</w:t>
            </w:r>
          </w:p>
        </w:tc>
      </w:tr>
      <w:tr w14:paraId="38C2CE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4CDAF0A0">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466E7321">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2D44EF1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氯化物</w:t>
            </w:r>
          </w:p>
        </w:tc>
        <w:tc>
          <w:tcPr>
            <w:tcW w:w="586" w:type="pct"/>
            <w:vMerge w:val="continue"/>
            <w:tcBorders>
              <w:tl2br w:val="nil"/>
              <w:tr2bl w:val="nil"/>
            </w:tcBorders>
            <w:vAlign w:val="center"/>
          </w:tcPr>
          <w:p w14:paraId="56F5CDB1">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2B0EDCC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≤250</w:t>
            </w:r>
          </w:p>
        </w:tc>
      </w:tr>
      <w:tr w14:paraId="1FFF68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550FB204">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4DCD0F65">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555A49C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总大肠菌群</w:t>
            </w:r>
          </w:p>
        </w:tc>
        <w:tc>
          <w:tcPr>
            <w:tcW w:w="586" w:type="pct"/>
            <w:vMerge w:val="continue"/>
            <w:tcBorders>
              <w:tl2br w:val="nil"/>
              <w:tr2bl w:val="nil"/>
            </w:tcBorders>
            <w:vAlign w:val="center"/>
          </w:tcPr>
          <w:p w14:paraId="5EFBA9E3">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2FA2BCCA">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r>
      <w:tr w14:paraId="4915EB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21F24770">
            <w:pPr>
              <w:pStyle w:val="37"/>
              <w:bidi w:val="0"/>
              <w:rPr>
                <w:rFonts w:hint="default" w:ascii="Times New Roman" w:hAnsi="Times New Roman" w:cs="Times New Roman"/>
                <w:color w:val="auto"/>
                <w:highlight w:val="none"/>
              </w:rPr>
            </w:pPr>
          </w:p>
        </w:tc>
        <w:tc>
          <w:tcPr>
            <w:tcW w:w="1849" w:type="pct"/>
            <w:vMerge w:val="continue"/>
            <w:tcBorders>
              <w:tl2br w:val="nil"/>
              <w:tr2bl w:val="nil"/>
            </w:tcBorders>
            <w:vAlign w:val="center"/>
          </w:tcPr>
          <w:p w14:paraId="466F959E">
            <w:pPr>
              <w:pStyle w:val="37"/>
              <w:bidi w:val="0"/>
              <w:rPr>
                <w:rFonts w:hint="default" w:ascii="Times New Roman" w:hAnsi="Times New Roman" w:cs="Times New Roman"/>
                <w:color w:val="auto"/>
                <w:highlight w:val="none"/>
              </w:rPr>
            </w:pPr>
          </w:p>
        </w:tc>
        <w:tc>
          <w:tcPr>
            <w:tcW w:w="1131" w:type="pct"/>
            <w:tcBorders>
              <w:tl2br w:val="nil"/>
              <w:tr2bl w:val="nil"/>
            </w:tcBorders>
            <w:vAlign w:val="center"/>
          </w:tcPr>
          <w:p w14:paraId="3DD4E003">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菌落总数</w:t>
            </w:r>
          </w:p>
        </w:tc>
        <w:tc>
          <w:tcPr>
            <w:tcW w:w="586" w:type="pct"/>
            <w:vMerge w:val="continue"/>
            <w:tcBorders>
              <w:tl2br w:val="nil"/>
              <w:tr2bl w:val="nil"/>
            </w:tcBorders>
            <w:vAlign w:val="center"/>
          </w:tcPr>
          <w:p w14:paraId="17B5F3C9">
            <w:pPr>
              <w:pStyle w:val="37"/>
              <w:bidi w:val="0"/>
              <w:rPr>
                <w:rFonts w:hint="default" w:ascii="Times New Roman" w:hAnsi="Times New Roman" w:cs="Times New Roman"/>
                <w:color w:val="auto"/>
                <w:highlight w:val="none"/>
              </w:rPr>
            </w:pPr>
          </w:p>
        </w:tc>
        <w:tc>
          <w:tcPr>
            <w:tcW w:w="708" w:type="pct"/>
            <w:tcBorders>
              <w:tl2br w:val="nil"/>
              <w:tr2bl w:val="nil"/>
            </w:tcBorders>
            <w:vAlign w:val="center"/>
          </w:tcPr>
          <w:p w14:paraId="75994080">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r>
      <w:tr w14:paraId="31BF2C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4" w:type="pct"/>
            <w:vMerge w:val="continue"/>
            <w:tcBorders>
              <w:tl2br w:val="nil"/>
              <w:tr2bl w:val="nil"/>
            </w:tcBorders>
            <w:vAlign w:val="center"/>
          </w:tcPr>
          <w:p w14:paraId="5C9DECA1">
            <w:pPr>
              <w:pStyle w:val="37"/>
              <w:bidi w:val="0"/>
              <w:rPr>
                <w:rFonts w:hint="default" w:ascii="Times New Roman" w:hAnsi="Times New Roman" w:cs="Times New Roman"/>
                <w:color w:val="FF0000"/>
                <w:highlight w:val="none"/>
              </w:rPr>
            </w:pPr>
          </w:p>
        </w:tc>
        <w:tc>
          <w:tcPr>
            <w:tcW w:w="1849" w:type="pct"/>
            <w:tcBorders>
              <w:tl2br w:val="nil"/>
              <w:tr2bl w:val="nil"/>
            </w:tcBorders>
            <w:vAlign w:val="center"/>
          </w:tcPr>
          <w:p w14:paraId="1EC9A10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《地表水环境质量标准》（GB3838-2002）中</w:t>
            </w:r>
            <w:r>
              <w:rPr>
                <w:rFonts w:hint="default" w:ascii="Times New Roman" w:hAnsi="Times New Roman" w:cs="Times New Roman"/>
                <w:color w:val="auto"/>
                <w:highlight w:val="none"/>
                <w:lang w:val="en-US" w:eastAsia="zh-CN"/>
              </w:rPr>
              <w:t>Ⅲ</w:t>
            </w:r>
            <w:r>
              <w:rPr>
                <w:rFonts w:hint="default" w:ascii="Times New Roman" w:hAnsi="Times New Roman" w:cs="Times New Roman"/>
                <w:color w:val="auto"/>
                <w:highlight w:val="none"/>
              </w:rPr>
              <w:t>类标准</w:t>
            </w:r>
          </w:p>
        </w:tc>
        <w:tc>
          <w:tcPr>
            <w:tcW w:w="1131" w:type="pct"/>
            <w:tcBorders>
              <w:tl2br w:val="nil"/>
              <w:tr2bl w:val="nil"/>
            </w:tcBorders>
            <w:vAlign w:val="center"/>
          </w:tcPr>
          <w:p w14:paraId="173287BA">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石油类</w:t>
            </w:r>
          </w:p>
        </w:tc>
        <w:tc>
          <w:tcPr>
            <w:tcW w:w="586" w:type="pct"/>
            <w:tcBorders>
              <w:tl2br w:val="nil"/>
              <w:tr2bl w:val="nil"/>
            </w:tcBorders>
            <w:vAlign w:val="center"/>
          </w:tcPr>
          <w:p w14:paraId="67E4320B">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c>
          <w:tcPr>
            <w:tcW w:w="708" w:type="pct"/>
            <w:tcBorders>
              <w:tl2br w:val="nil"/>
              <w:tr2bl w:val="nil"/>
            </w:tcBorders>
            <w:vAlign w:val="center"/>
          </w:tcPr>
          <w:p w14:paraId="18CAEFC3">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0.05</w:t>
            </w:r>
          </w:p>
        </w:tc>
      </w:tr>
    </w:tbl>
    <w:p w14:paraId="7578266C">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pacing w:val="0"/>
          <w:position w:val="0"/>
          <w:sz w:val="24"/>
          <w:szCs w:val="24"/>
        </w:rPr>
      </w:pPr>
      <w:r>
        <w:rPr>
          <w:rFonts w:hint="default" w:ascii="Times New Roman" w:hAnsi="Times New Roman" w:eastAsia="宋体" w:cs="Times New Roman"/>
          <w:color w:val="auto"/>
          <w:spacing w:val="0"/>
          <w:position w:val="0"/>
          <w:sz w:val="24"/>
          <w:szCs w:val="24"/>
        </w:rPr>
        <w:t>（</w:t>
      </w:r>
      <w:r>
        <w:rPr>
          <w:rFonts w:hint="eastAsia" w:ascii="Times New Roman" w:hAnsi="Times New Roman" w:eastAsia="宋体" w:cs="Times New Roman"/>
          <w:color w:val="auto"/>
          <w:spacing w:val="0"/>
          <w:position w:val="0"/>
          <w:sz w:val="24"/>
          <w:szCs w:val="24"/>
          <w:lang w:val="en-US" w:eastAsia="zh-CN"/>
        </w:rPr>
        <w:t>5</w:t>
      </w:r>
      <w:r>
        <w:rPr>
          <w:rFonts w:hint="default" w:ascii="Times New Roman" w:hAnsi="Times New Roman" w:eastAsia="宋体" w:cs="Times New Roman"/>
          <w:color w:val="auto"/>
          <w:spacing w:val="0"/>
          <w:position w:val="0"/>
          <w:sz w:val="24"/>
          <w:szCs w:val="24"/>
        </w:rPr>
        <w:t>）土壤环境质量标准</w:t>
      </w:r>
    </w:p>
    <w:p w14:paraId="5E356C29">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pacing w:val="0"/>
          <w:position w:val="0"/>
          <w:sz w:val="24"/>
          <w:szCs w:val="24"/>
        </w:rPr>
      </w:pPr>
      <w:r>
        <w:rPr>
          <w:rFonts w:hint="default" w:ascii="Times New Roman" w:hAnsi="Times New Roman" w:eastAsia="宋体" w:cs="Times New Roman"/>
          <w:color w:val="auto"/>
          <w:spacing w:val="0"/>
          <w:position w:val="0"/>
          <w:sz w:val="24"/>
          <w:szCs w:val="24"/>
        </w:rPr>
        <w:t>本项目</w:t>
      </w:r>
      <w:r>
        <w:rPr>
          <w:rFonts w:hint="default" w:ascii="Times New Roman" w:hAnsi="Times New Roman" w:eastAsia="宋体" w:cs="Times New Roman"/>
          <w:color w:val="auto"/>
          <w:spacing w:val="0"/>
          <w:position w:val="0"/>
          <w:sz w:val="24"/>
          <w:szCs w:val="24"/>
          <w:lang w:val="en-US" w:eastAsia="zh-CN"/>
        </w:rPr>
        <w:t>土壤环境</w:t>
      </w:r>
      <w:r>
        <w:rPr>
          <w:rFonts w:hint="default" w:ascii="Times New Roman" w:hAnsi="Times New Roman" w:eastAsia="宋体" w:cs="Times New Roman"/>
          <w:color w:val="auto"/>
          <w:spacing w:val="0"/>
          <w:position w:val="0"/>
          <w:sz w:val="24"/>
          <w:szCs w:val="24"/>
          <w:lang w:val="en-US"/>
        </w:rPr>
        <w:t>执行《土壤环境质量建设用地土壤污染风险管控标准（试行）》（GB36600-2018）表1建设用地土壤污染风险筛选值和《土壤环境质量农用地土壤污染风险管控标准（试行）》（GB15618-2018）表1农用地土壤污染风险筛选值</w:t>
      </w:r>
      <w:r>
        <w:rPr>
          <w:rFonts w:hint="default" w:ascii="Times New Roman" w:hAnsi="Times New Roman" w:eastAsia="宋体" w:cs="Times New Roman"/>
          <w:color w:val="auto"/>
          <w:spacing w:val="0"/>
          <w:position w:val="0"/>
          <w:sz w:val="24"/>
          <w:szCs w:val="24"/>
          <w:lang w:val="en-US" w:eastAsia="zh-CN"/>
        </w:rPr>
        <w:t>。本项目土壤环境质量标准执行情况见表2.</w:t>
      </w:r>
      <w:r>
        <w:rPr>
          <w:rFonts w:hint="eastAsia" w:ascii="Times New Roman" w:hAnsi="Times New Roman" w:eastAsia="宋体" w:cs="Times New Roman"/>
          <w:color w:val="auto"/>
          <w:spacing w:val="0"/>
          <w:position w:val="0"/>
          <w:sz w:val="24"/>
          <w:szCs w:val="24"/>
          <w:lang w:val="en-US" w:eastAsia="zh-CN"/>
        </w:rPr>
        <w:t>5</w:t>
      </w:r>
      <w:r>
        <w:rPr>
          <w:rFonts w:hint="default" w:ascii="Times New Roman" w:hAnsi="Times New Roman" w:eastAsia="宋体" w:cs="Times New Roman"/>
          <w:color w:val="auto"/>
          <w:spacing w:val="0"/>
          <w:position w:val="0"/>
          <w:sz w:val="24"/>
          <w:szCs w:val="24"/>
          <w:lang w:val="en-US" w:eastAsia="zh-CN"/>
        </w:rPr>
        <w:t>-</w:t>
      </w:r>
      <w:r>
        <w:rPr>
          <w:rFonts w:hint="eastAsia" w:ascii="Times New Roman" w:hAnsi="Times New Roman" w:eastAsia="宋体" w:cs="Times New Roman"/>
          <w:color w:val="auto"/>
          <w:spacing w:val="0"/>
          <w:position w:val="0"/>
          <w:sz w:val="24"/>
          <w:szCs w:val="24"/>
          <w:lang w:val="en-US" w:eastAsia="zh-CN"/>
        </w:rPr>
        <w:t>5</w:t>
      </w:r>
      <w:r>
        <w:rPr>
          <w:rFonts w:hint="default" w:ascii="Times New Roman" w:hAnsi="Times New Roman" w:eastAsia="宋体" w:cs="Times New Roman"/>
          <w:color w:val="auto"/>
          <w:spacing w:val="0"/>
          <w:position w:val="0"/>
          <w:sz w:val="24"/>
          <w:szCs w:val="24"/>
          <w:lang w:val="en-US" w:eastAsia="zh-CN"/>
        </w:rPr>
        <w:t>、表2.</w:t>
      </w:r>
      <w:r>
        <w:rPr>
          <w:rFonts w:hint="eastAsia" w:ascii="Times New Roman" w:hAnsi="Times New Roman" w:eastAsia="宋体" w:cs="Times New Roman"/>
          <w:color w:val="auto"/>
          <w:spacing w:val="0"/>
          <w:position w:val="0"/>
          <w:sz w:val="24"/>
          <w:szCs w:val="24"/>
          <w:lang w:val="en-US" w:eastAsia="zh-CN"/>
        </w:rPr>
        <w:t>5</w:t>
      </w:r>
      <w:r>
        <w:rPr>
          <w:rFonts w:hint="default" w:ascii="Times New Roman" w:hAnsi="Times New Roman" w:eastAsia="宋体" w:cs="Times New Roman"/>
          <w:color w:val="auto"/>
          <w:spacing w:val="0"/>
          <w:position w:val="0"/>
          <w:sz w:val="24"/>
          <w:szCs w:val="24"/>
          <w:lang w:val="en-US" w:eastAsia="zh-CN"/>
        </w:rPr>
        <w:t>-</w:t>
      </w:r>
      <w:r>
        <w:rPr>
          <w:rFonts w:hint="eastAsia" w:ascii="Times New Roman" w:hAnsi="Times New Roman" w:eastAsia="宋体" w:cs="Times New Roman"/>
          <w:color w:val="auto"/>
          <w:spacing w:val="0"/>
          <w:position w:val="0"/>
          <w:sz w:val="24"/>
          <w:szCs w:val="24"/>
          <w:lang w:val="en-US" w:eastAsia="zh-CN"/>
        </w:rPr>
        <w:t>6</w:t>
      </w:r>
      <w:r>
        <w:rPr>
          <w:rFonts w:hint="default" w:ascii="Times New Roman" w:hAnsi="Times New Roman" w:eastAsia="宋体" w:cs="Times New Roman"/>
          <w:color w:val="auto"/>
          <w:spacing w:val="0"/>
          <w:position w:val="0"/>
          <w:sz w:val="24"/>
          <w:szCs w:val="24"/>
        </w:rPr>
        <w:t>。</w:t>
      </w:r>
    </w:p>
    <w:p w14:paraId="0884A5B8">
      <w:pPr>
        <w:bidi w:val="0"/>
        <w:jc w:val="center"/>
        <w:rPr>
          <w:rFonts w:hint="default" w:ascii="Times New Roman" w:hAnsi="Times New Roman" w:eastAsia="Arial" w:cs="Times New Roman"/>
          <w:b/>
          <w:bCs/>
          <w:snapToGrid w:val="0"/>
          <w:color w:val="auto"/>
          <w:kern w:val="0"/>
          <w:sz w:val="24"/>
          <w:szCs w:val="24"/>
          <w:highlight w:val="none"/>
          <w:lang w:val="en-US" w:eastAsia="zh-CN" w:bidi="ar-SA"/>
        </w:rPr>
      </w:pPr>
      <w:r>
        <w:rPr>
          <w:rFonts w:hint="default" w:ascii="Times New Roman" w:hAnsi="Times New Roman" w:eastAsia="Arial" w:cs="Times New Roman"/>
          <w:b/>
          <w:bCs/>
          <w:snapToGrid w:val="0"/>
          <w:color w:val="auto"/>
          <w:kern w:val="0"/>
          <w:sz w:val="24"/>
          <w:szCs w:val="24"/>
          <w:highlight w:val="none"/>
          <w:lang w:val="en-US" w:eastAsia="zh-CN" w:bidi="ar-SA"/>
        </w:rPr>
        <w:t>表2.5-</w:t>
      </w:r>
      <w:r>
        <w:rPr>
          <w:rFonts w:hint="eastAsia" w:ascii="Times New Roman" w:hAnsi="Times New Roman" w:cs="Times New Roman"/>
          <w:b/>
          <w:bCs/>
          <w:snapToGrid w:val="0"/>
          <w:color w:val="auto"/>
          <w:kern w:val="0"/>
          <w:sz w:val="24"/>
          <w:szCs w:val="24"/>
          <w:highlight w:val="none"/>
          <w:lang w:val="en-US" w:eastAsia="zh-CN" w:bidi="ar-SA"/>
        </w:rPr>
        <w:t>5</w:t>
      </w:r>
      <w:r>
        <w:rPr>
          <w:rFonts w:hint="default" w:ascii="Times New Roman" w:hAnsi="Times New Roman" w:eastAsia="Arial" w:cs="Times New Roman"/>
          <w:b/>
          <w:bCs/>
          <w:snapToGrid w:val="0"/>
          <w:color w:val="auto"/>
          <w:kern w:val="0"/>
          <w:sz w:val="24"/>
          <w:szCs w:val="24"/>
          <w:highlight w:val="none"/>
          <w:lang w:val="en-US" w:eastAsia="zh-CN" w:bidi="ar-SA"/>
        </w:rPr>
        <w:t xml:space="preserve">  建设用地土壤环境质量标准</w:t>
      </w:r>
    </w:p>
    <w:tbl>
      <w:tblPr>
        <w:tblStyle w:val="22"/>
        <w:tblW w:w="4999"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798"/>
        <w:gridCol w:w="3895"/>
        <w:gridCol w:w="2188"/>
        <w:gridCol w:w="2189"/>
      </w:tblGrid>
      <w:tr w14:paraId="61629A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87" w:type="pct"/>
            <w:gridSpan w:val="2"/>
            <w:vMerge w:val="restart"/>
            <w:vAlign w:val="center"/>
          </w:tcPr>
          <w:p w14:paraId="0B2E7CF9">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污染因子</w:t>
            </w:r>
          </w:p>
        </w:tc>
        <w:tc>
          <w:tcPr>
            <w:tcW w:w="2412" w:type="pct"/>
            <w:gridSpan w:val="2"/>
            <w:vAlign w:val="center"/>
          </w:tcPr>
          <w:p w14:paraId="4864A16C">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标准值   单位：mg/kg</w:t>
            </w:r>
          </w:p>
        </w:tc>
      </w:tr>
      <w:tr w14:paraId="10A0FA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587" w:type="pct"/>
            <w:gridSpan w:val="2"/>
            <w:vMerge w:val="continue"/>
            <w:vAlign w:val="center"/>
          </w:tcPr>
          <w:p w14:paraId="69E492C4">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p>
        </w:tc>
        <w:tc>
          <w:tcPr>
            <w:tcW w:w="1206" w:type="pct"/>
            <w:vAlign w:val="center"/>
          </w:tcPr>
          <w:p w14:paraId="4838F9C0">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第一类用地</w:t>
            </w:r>
          </w:p>
        </w:tc>
        <w:tc>
          <w:tcPr>
            <w:tcW w:w="1206" w:type="pct"/>
            <w:vAlign w:val="center"/>
          </w:tcPr>
          <w:p w14:paraId="45DF0F19">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第二类用地</w:t>
            </w:r>
          </w:p>
        </w:tc>
      </w:tr>
      <w:tr w14:paraId="282E19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00" w:type="pct"/>
            <w:gridSpan w:val="4"/>
            <w:vAlign w:val="center"/>
          </w:tcPr>
          <w:p w14:paraId="5E59E656">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重金属和无机物</w:t>
            </w:r>
          </w:p>
        </w:tc>
      </w:tr>
      <w:tr w14:paraId="59CCA5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5C2E47A6">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2146" w:type="pct"/>
            <w:vAlign w:val="center"/>
          </w:tcPr>
          <w:p w14:paraId="2994C86C">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As</w:t>
            </w:r>
          </w:p>
        </w:tc>
        <w:tc>
          <w:tcPr>
            <w:tcW w:w="1206" w:type="pct"/>
            <w:vAlign w:val="center"/>
          </w:tcPr>
          <w:p w14:paraId="0000467B">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w:t>
            </w:r>
          </w:p>
        </w:tc>
        <w:tc>
          <w:tcPr>
            <w:tcW w:w="1206" w:type="pct"/>
            <w:vAlign w:val="center"/>
          </w:tcPr>
          <w:p w14:paraId="7101AA0D">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60</w:t>
            </w:r>
          </w:p>
        </w:tc>
      </w:tr>
      <w:tr w14:paraId="2A50FD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2BFD608F">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w:t>
            </w:r>
          </w:p>
        </w:tc>
        <w:tc>
          <w:tcPr>
            <w:tcW w:w="2146" w:type="pct"/>
            <w:vAlign w:val="center"/>
          </w:tcPr>
          <w:p w14:paraId="62ABF953">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Cd</w:t>
            </w:r>
          </w:p>
        </w:tc>
        <w:tc>
          <w:tcPr>
            <w:tcW w:w="1206" w:type="pct"/>
            <w:vAlign w:val="center"/>
          </w:tcPr>
          <w:p w14:paraId="6AE1AE94">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w:t>
            </w:r>
          </w:p>
        </w:tc>
        <w:tc>
          <w:tcPr>
            <w:tcW w:w="1206" w:type="pct"/>
            <w:vAlign w:val="center"/>
          </w:tcPr>
          <w:p w14:paraId="16FCEE7D">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65</w:t>
            </w:r>
          </w:p>
        </w:tc>
      </w:tr>
      <w:tr w14:paraId="2C905D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49266B51">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w:t>
            </w:r>
          </w:p>
        </w:tc>
        <w:tc>
          <w:tcPr>
            <w:tcW w:w="2146" w:type="pct"/>
            <w:vAlign w:val="center"/>
          </w:tcPr>
          <w:p w14:paraId="2FBBFADA">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Cr（六价）</w:t>
            </w:r>
          </w:p>
        </w:tc>
        <w:tc>
          <w:tcPr>
            <w:tcW w:w="1206" w:type="pct"/>
            <w:vAlign w:val="center"/>
          </w:tcPr>
          <w:p w14:paraId="21C03D57">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3.0</w:t>
            </w:r>
          </w:p>
        </w:tc>
        <w:tc>
          <w:tcPr>
            <w:tcW w:w="1206" w:type="pct"/>
            <w:vAlign w:val="center"/>
          </w:tcPr>
          <w:p w14:paraId="7D0EF0F5">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5.7</w:t>
            </w:r>
          </w:p>
        </w:tc>
      </w:tr>
      <w:tr w14:paraId="5D34D4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55F68AF2">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w:t>
            </w:r>
          </w:p>
        </w:tc>
        <w:tc>
          <w:tcPr>
            <w:tcW w:w="2146" w:type="pct"/>
            <w:vAlign w:val="center"/>
          </w:tcPr>
          <w:p w14:paraId="2FD19047">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Cu</w:t>
            </w:r>
          </w:p>
        </w:tc>
        <w:tc>
          <w:tcPr>
            <w:tcW w:w="1206" w:type="pct"/>
            <w:vAlign w:val="center"/>
          </w:tcPr>
          <w:p w14:paraId="075C4F83">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2000</w:t>
            </w:r>
          </w:p>
        </w:tc>
        <w:tc>
          <w:tcPr>
            <w:tcW w:w="1206" w:type="pct"/>
            <w:vAlign w:val="center"/>
          </w:tcPr>
          <w:p w14:paraId="1897FBFA">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18000</w:t>
            </w:r>
          </w:p>
        </w:tc>
      </w:tr>
      <w:tr w14:paraId="074057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53A38413">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w:t>
            </w:r>
          </w:p>
        </w:tc>
        <w:tc>
          <w:tcPr>
            <w:tcW w:w="2146" w:type="pct"/>
            <w:vAlign w:val="center"/>
          </w:tcPr>
          <w:p w14:paraId="735EB8F2">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Pb</w:t>
            </w:r>
          </w:p>
        </w:tc>
        <w:tc>
          <w:tcPr>
            <w:tcW w:w="1206" w:type="pct"/>
            <w:vAlign w:val="center"/>
          </w:tcPr>
          <w:p w14:paraId="4BA3E3F8">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400</w:t>
            </w:r>
          </w:p>
        </w:tc>
        <w:tc>
          <w:tcPr>
            <w:tcW w:w="1206" w:type="pct"/>
            <w:vAlign w:val="center"/>
          </w:tcPr>
          <w:p w14:paraId="724ED464">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800</w:t>
            </w:r>
          </w:p>
        </w:tc>
      </w:tr>
      <w:tr w14:paraId="4DDD0A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2A374608">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w:t>
            </w:r>
          </w:p>
        </w:tc>
        <w:tc>
          <w:tcPr>
            <w:tcW w:w="2146" w:type="pct"/>
            <w:vAlign w:val="center"/>
          </w:tcPr>
          <w:p w14:paraId="1EA94B7B">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Hg</w:t>
            </w:r>
          </w:p>
        </w:tc>
        <w:tc>
          <w:tcPr>
            <w:tcW w:w="1206" w:type="pct"/>
            <w:vAlign w:val="center"/>
          </w:tcPr>
          <w:p w14:paraId="5C2D9776">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w:t>
            </w:r>
          </w:p>
        </w:tc>
        <w:tc>
          <w:tcPr>
            <w:tcW w:w="1206" w:type="pct"/>
            <w:vAlign w:val="center"/>
          </w:tcPr>
          <w:p w14:paraId="00D77B9D">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38</w:t>
            </w:r>
          </w:p>
        </w:tc>
      </w:tr>
      <w:tr w14:paraId="713605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0723C14F">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w:t>
            </w:r>
          </w:p>
        </w:tc>
        <w:tc>
          <w:tcPr>
            <w:tcW w:w="2146" w:type="pct"/>
            <w:vAlign w:val="center"/>
          </w:tcPr>
          <w:p w14:paraId="01A6CFEB">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Ni</w:t>
            </w:r>
          </w:p>
        </w:tc>
        <w:tc>
          <w:tcPr>
            <w:tcW w:w="1206" w:type="pct"/>
            <w:vAlign w:val="center"/>
          </w:tcPr>
          <w:p w14:paraId="2F0BCC22">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150</w:t>
            </w:r>
          </w:p>
        </w:tc>
        <w:tc>
          <w:tcPr>
            <w:tcW w:w="1206" w:type="pct"/>
            <w:vAlign w:val="center"/>
          </w:tcPr>
          <w:p w14:paraId="29DD2075">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900</w:t>
            </w:r>
          </w:p>
        </w:tc>
      </w:tr>
      <w:tr w14:paraId="105985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00" w:type="pct"/>
            <w:gridSpan w:val="4"/>
            <w:vAlign w:val="center"/>
          </w:tcPr>
          <w:p w14:paraId="3F0D2A44">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挥发性有机物</w:t>
            </w:r>
          </w:p>
        </w:tc>
      </w:tr>
      <w:tr w14:paraId="301529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049B8127">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w:t>
            </w:r>
          </w:p>
        </w:tc>
        <w:tc>
          <w:tcPr>
            <w:tcW w:w="2146" w:type="pct"/>
            <w:vAlign w:val="center"/>
          </w:tcPr>
          <w:p w14:paraId="70D4586B">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四氯化碳</w:t>
            </w:r>
          </w:p>
        </w:tc>
        <w:tc>
          <w:tcPr>
            <w:tcW w:w="1206" w:type="pct"/>
            <w:vAlign w:val="center"/>
          </w:tcPr>
          <w:p w14:paraId="0FEF5AE2">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0.9</w:t>
            </w:r>
          </w:p>
        </w:tc>
        <w:tc>
          <w:tcPr>
            <w:tcW w:w="1206" w:type="pct"/>
            <w:vAlign w:val="center"/>
          </w:tcPr>
          <w:p w14:paraId="688416A8">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2.8</w:t>
            </w:r>
          </w:p>
        </w:tc>
      </w:tr>
      <w:tr w14:paraId="684030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5D6AA1BA">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w:t>
            </w:r>
          </w:p>
        </w:tc>
        <w:tc>
          <w:tcPr>
            <w:tcW w:w="2146" w:type="pct"/>
            <w:vAlign w:val="center"/>
          </w:tcPr>
          <w:p w14:paraId="63E9C17E">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氯仿</w:t>
            </w:r>
          </w:p>
        </w:tc>
        <w:tc>
          <w:tcPr>
            <w:tcW w:w="1206" w:type="pct"/>
            <w:vAlign w:val="center"/>
          </w:tcPr>
          <w:p w14:paraId="213654BD">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0.3</w:t>
            </w:r>
          </w:p>
        </w:tc>
        <w:tc>
          <w:tcPr>
            <w:tcW w:w="1206" w:type="pct"/>
            <w:vAlign w:val="center"/>
          </w:tcPr>
          <w:p w14:paraId="4587B51E">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0.9</w:t>
            </w:r>
          </w:p>
        </w:tc>
      </w:tr>
      <w:tr w14:paraId="6149F0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27680383">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w:t>
            </w:r>
          </w:p>
        </w:tc>
        <w:tc>
          <w:tcPr>
            <w:tcW w:w="2146" w:type="pct"/>
            <w:vAlign w:val="center"/>
          </w:tcPr>
          <w:p w14:paraId="177F5FBE">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氯甲烷</w:t>
            </w:r>
          </w:p>
        </w:tc>
        <w:tc>
          <w:tcPr>
            <w:tcW w:w="1206" w:type="pct"/>
            <w:vAlign w:val="center"/>
          </w:tcPr>
          <w:p w14:paraId="0E37ACA8">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w:t>
            </w:r>
          </w:p>
        </w:tc>
        <w:tc>
          <w:tcPr>
            <w:tcW w:w="1206" w:type="pct"/>
            <w:vAlign w:val="center"/>
          </w:tcPr>
          <w:p w14:paraId="0309255F">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37</w:t>
            </w:r>
          </w:p>
        </w:tc>
      </w:tr>
      <w:tr w14:paraId="72E03C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596FDA6D">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11</w:t>
            </w:r>
          </w:p>
        </w:tc>
        <w:tc>
          <w:tcPr>
            <w:tcW w:w="2146" w:type="pct"/>
            <w:vAlign w:val="center"/>
          </w:tcPr>
          <w:p w14:paraId="1F054549">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1,1-二氯乙烷</w:t>
            </w:r>
          </w:p>
        </w:tc>
        <w:tc>
          <w:tcPr>
            <w:tcW w:w="1206" w:type="pct"/>
            <w:vAlign w:val="center"/>
          </w:tcPr>
          <w:p w14:paraId="33CE2190">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w:t>
            </w:r>
          </w:p>
        </w:tc>
        <w:tc>
          <w:tcPr>
            <w:tcW w:w="1206" w:type="pct"/>
            <w:vAlign w:val="center"/>
          </w:tcPr>
          <w:p w14:paraId="40E8EBDA">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w:t>
            </w:r>
          </w:p>
        </w:tc>
      </w:tr>
      <w:tr w14:paraId="6AD4B7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6B043D5B">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w:t>
            </w:r>
          </w:p>
        </w:tc>
        <w:tc>
          <w:tcPr>
            <w:tcW w:w="2146" w:type="pct"/>
            <w:vAlign w:val="center"/>
          </w:tcPr>
          <w:p w14:paraId="4FF42612">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1,2-二氯乙烷</w:t>
            </w:r>
          </w:p>
        </w:tc>
        <w:tc>
          <w:tcPr>
            <w:tcW w:w="1206" w:type="pct"/>
            <w:vAlign w:val="center"/>
          </w:tcPr>
          <w:p w14:paraId="5DEBB26D">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0.52</w:t>
            </w:r>
          </w:p>
        </w:tc>
        <w:tc>
          <w:tcPr>
            <w:tcW w:w="1206" w:type="pct"/>
            <w:vAlign w:val="center"/>
          </w:tcPr>
          <w:p w14:paraId="52315014">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w:t>
            </w:r>
          </w:p>
        </w:tc>
      </w:tr>
      <w:tr w14:paraId="3CCD43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456E8EC7">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13</w:t>
            </w:r>
          </w:p>
        </w:tc>
        <w:tc>
          <w:tcPr>
            <w:tcW w:w="2146" w:type="pct"/>
            <w:vAlign w:val="center"/>
          </w:tcPr>
          <w:p w14:paraId="2BC032F0">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1,1-二氯乙烯</w:t>
            </w:r>
          </w:p>
        </w:tc>
        <w:tc>
          <w:tcPr>
            <w:tcW w:w="1206" w:type="pct"/>
            <w:vAlign w:val="center"/>
          </w:tcPr>
          <w:p w14:paraId="291CB757">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w:t>
            </w:r>
          </w:p>
        </w:tc>
        <w:tc>
          <w:tcPr>
            <w:tcW w:w="1206" w:type="pct"/>
            <w:vAlign w:val="center"/>
          </w:tcPr>
          <w:p w14:paraId="35CB5518">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66</w:t>
            </w:r>
          </w:p>
        </w:tc>
      </w:tr>
      <w:tr w14:paraId="6C06DA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367D1879">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14</w:t>
            </w:r>
          </w:p>
        </w:tc>
        <w:tc>
          <w:tcPr>
            <w:tcW w:w="2146" w:type="pct"/>
            <w:vAlign w:val="center"/>
          </w:tcPr>
          <w:p w14:paraId="59A00E3B">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顺-1,2-二氯乙烯</w:t>
            </w:r>
          </w:p>
        </w:tc>
        <w:tc>
          <w:tcPr>
            <w:tcW w:w="1206" w:type="pct"/>
            <w:vAlign w:val="center"/>
          </w:tcPr>
          <w:p w14:paraId="4A09F020">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66</w:t>
            </w:r>
          </w:p>
        </w:tc>
        <w:tc>
          <w:tcPr>
            <w:tcW w:w="1206" w:type="pct"/>
            <w:vAlign w:val="center"/>
          </w:tcPr>
          <w:p w14:paraId="7290BFAA">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596</w:t>
            </w:r>
          </w:p>
        </w:tc>
      </w:tr>
      <w:tr w14:paraId="20021E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5BFE8B26">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w:t>
            </w:r>
          </w:p>
        </w:tc>
        <w:tc>
          <w:tcPr>
            <w:tcW w:w="2146" w:type="pct"/>
            <w:vAlign w:val="center"/>
          </w:tcPr>
          <w:p w14:paraId="5F06BCF2">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反-1,2-二氯乙烯</w:t>
            </w:r>
          </w:p>
        </w:tc>
        <w:tc>
          <w:tcPr>
            <w:tcW w:w="1206" w:type="pct"/>
            <w:vAlign w:val="center"/>
          </w:tcPr>
          <w:p w14:paraId="57B3E689">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w:t>
            </w:r>
          </w:p>
        </w:tc>
        <w:tc>
          <w:tcPr>
            <w:tcW w:w="1206" w:type="pct"/>
            <w:vAlign w:val="center"/>
          </w:tcPr>
          <w:p w14:paraId="7813A8E8">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54</w:t>
            </w:r>
          </w:p>
        </w:tc>
      </w:tr>
      <w:tr w14:paraId="0F89FE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2E99DFF5">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16</w:t>
            </w:r>
          </w:p>
        </w:tc>
        <w:tc>
          <w:tcPr>
            <w:tcW w:w="2146" w:type="pct"/>
            <w:vAlign w:val="center"/>
          </w:tcPr>
          <w:p w14:paraId="04B3CC88">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二氯甲烷</w:t>
            </w:r>
          </w:p>
        </w:tc>
        <w:tc>
          <w:tcPr>
            <w:tcW w:w="1206" w:type="pct"/>
            <w:vAlign w:val="center"/>
          </w:tcPr>
          <w:p w14:paraId="1E3A746F">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94</w:t>
            </w:r>
          </w:p>
        </w:tc>
        <w:tc>
          <w:tcPr>
            <w:tcW w:w="1206" w:type="pct"/>
            <w:vAlign w:val="center"/>
          </w:tcPr>
          <w:p w14:paraId="751E9B1D">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616</w:t>
            </w:r>
          </w:p>
        </w:tc>
      </w:tr>
      <w:tr w14:paraId="529E4F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2773C21B">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17</w:t>
            </w:r>
          </w:p>
        </w:tc>
        <w:tc>
          <w:tcPr>
            <w:tcW w:w="2146" w:type="pct"/>
            <w:vAlign w:val="center"/>
          </w:tcPr>
          <w:p w14:paraId="095B01C5">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1,2-二氯丙烷</w:t>
            </w:r>
          </w:p>
        </w:tc>
        <w:tc>
          <w:tcPr>
            <w:tcW w:w="1206" w:type="pct"/>
            <w:vAlign w:val="center"/>
          </w:tcPr>
          <w:p w14:paraId="7A7A8919">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1206" w:type="pct"/>
            <w:vAlign w:val="center"/>
          </w:tcPr>
          <w:p w14:paraId="0E6E4758">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w:t>
            </w:r>
          </w:p>
        </w:tc>
      </w:tr>
      <w:tr w14:paraId="6ACFE8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5995CBBC">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18</w:t>
            </w:r>
          </w:p>
        </w:tc>
        <w:tc>
          <w:tcPr>
            <w:tcW w:w="2146" w:type="pct"/>
            <w:vAlign w:val="center"/>
          </w:tcPr>
          <w:p w14:paraId="6F4D03AC">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1,1,1,2-四氯乙烷</w:t>
            </w:r>
          </w:p>
        </w:tc>
        <w:tc>
          <w:tcPr>
            <w:tcW w:w="1206" w:type="pct"/>
            <w:vAlign w:val="center"/>
          </w:tcPr>
          <w:p w14:paraId="74F9214B">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2.6</w:t>
            </w:r>
          </w:p>
        </w:tc>
        <w:tc>
          <w:tcPr>
            <w:tcW w:w="1206" w:type="pct"/>
            <w:vAlign w:val="center"/>
          </w:tcPr>
          <w:p w14:paraId="035C70AF">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w:t>
            </w:r>
          </w:p>
        </w:tc>
      </w:tr>
      <w:tr w14:paraId="2F5CA4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39A78CE7">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19</w:t>
            </w:r>
          </w:p>
        </w:tc>
        <w:tc>
          <w:tcPr>
            <w:tcW w:w="2146" w:type="pct"/>
            <w:vAlign w:val="center"/>
          </w:tcPr>
          <w:p w14:paraId="607720C2">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1,1,2,2-四氯乙烷</w:t>
            </w:r>
          </w:p>
        </w:tc>
        <w:tc>
          <w:tcPr>
            <w:tcW w:w="1206" w:type="pct"/>
            <w:vAlign w:val="center"/>
          </w:tcPr>
          <w:p w14:paraId="5AD89461">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1.6</w:t>
            </w:r>
          </w:p>
        </w:tc>
        <w:tc>
          <w:tcPr>
            <w:tcW w:w="1206" w:type="pct"/>
            <w:vAlign w:val="center"/>
          </w:tcPr>
          <w:p w14:paraId="05630197">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6.8</w:t>
            </w:r>
          </w:p>
        </w:tc>
      </w:tr>
      <w:tr w14:paraId="50FE2D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287B7EF0">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w:t>
            </w:r>
          </w:p>
        </w:tc>
        <w:tc>
          <w:tcPr>
            <w:tcW w:w="2146" w:type="pct"/>
            <w:vAlign w:val="center"/>
          </w:tcPr>
          <w:p w14:paraId="0B5FD151">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四氯乙烯</w:t>
            </w:r>
          </w:p>
        </w:tc>
        <w:tc>
          <w:tcPr>
            <w:tcW w:w="1206" w:type="pct"/>
            <w:vAlign w:val="center"/>
          </w:tcPr>
          <w:p w14:paraId="7327B9AE">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11</w:t>
            </w:r>
          </w:p>
        </w:tc>
        <w:tc>
          <w:tcPr>
            <w:tcW w:w="1206" w:type="pct"/>
            <w:vAlign w:val="center"/>
          </w:tcPr>
          <w:p w14:paraId="711AF287">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53</w:t>
            </w:r>
          </w:p>
        </w:tc>
      </w:tr>
      <w:tr w14:paraId="67EE82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1D95DB1A">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21</w:t>
            </w:r>
          </w:p>
        </w:tc>
        <w:tc>
          <w:tcPr>
            <w:tcW w:w="2146" w:type="pct"/>
            <w:vAlign w:val="center"/>
          </w:tcPr>
          <w:p w14:paraId="2AB1C2AD">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1,1,1-三氯乙烷</w:t>
            </w:r>
          </w:p>
        </w:tc>
        <w:tc>
          <w:tcPr>
            <w:tcW w:w="1206" w:type="pct"/>
            <w:vAlign w:val="center"/>
          </w:tcPr>
          <w:p w14:paraId="5094A961">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701</w:t>
            </w:r>
          </w:p>
        </w:tc>
        <w:tc>
          <w:tcPr>
            <w:tcW w:w="1206" w:type="pct"/>
            <w:vAlign w:val="center"/>
          </w:tcPr>
          <w:p w14:paraId="56653B07">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840</w:t>
            </w:r>
          </w:p>
        </w:tc>
      </w:tr>
      <w:tr w14:paraId="635C6C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6D74556C">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22</w:t>
            </w:r>
          </w:p>
        </w:tc>
        <w:tc>
          <w:tcPr>
            <w:tcW w:w="2146" w:type="pct"/>
            <w:vAlign w:val="center"/>
          </w:tcPr>
          <w:p w14:paraId="30FCDE9C">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1,1,2-三氯乙烷</w:t>
            </w:r>
          </w:p>
        </w:tc>
        <w:tc>
          <w:tcPr>
            <w:tcW w:w="1206" w:type="pct"/>
            <w:vAlign w:val="center"/>
          </w:tcPr>
          <w:p w14:paraId="67A74BAC">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0.6</w:t>
            </w:r>
          </w:p>
        </w:tc>
        <w:tc>
          <w:tcPr>
            <w:tcW w:w="1206" w:type="pct"/>
            <w:vAlign w:val="center"/>
          </w:tcPr>
          <w:p w14:paraId="17DDDC32">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2.8</w:t>
            </w:r>
          </w:p>
        </w:tc>
      </w:tr>
      <w:tr w14:paraId="617421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4E8856E9">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23</w:t>
            </w:r>
          </w:p>
        </w:tc>
        <w:tc>
          <w:tcPr>
            <w:tcW w:w="2146" w:type="pct"/>
            <w:vAlign w:val="center"/>
          </w:tcPr>
          <w:p w14:paraId="7B8A40B5">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三氯乙烯</w:t>
            </w:r>
          </w:p>
        </w:tc>
        <w:tc>
          <w:tcPr>
            <w:tcW w:w="1206" w:type="pct"/>
            <w:vAlign w:val="center"/>
          </w:tcPr>
          <w:p w14:paraId="3BE5D944">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0.7</w:t>
            </w:r>
          </w:p>
        </w:tc>
        <w:tc>
          <w:tcPr>
            <w:tcW w:w="1206" w:type="pct"/>
            <w:vAlign w:val="center"/>
          </w:tcPr>
          <w:p w14:paraId="62D17BD1">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2.8</w:t>
            </w:r>
          </w:p>
        </w:tc>
      </w:tr>
      <w:tr w14:paraId="7EE99B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57C0AED0">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24</w:t>
            </w:r>
          </w:p>
        </w:tc>
        <w:tc>
          <w:tcPr>
            <w:tcW w:w="2146" w:type="pct"/>
            <w:vAlign w:val="center"/>
          </w:tcPr>
          <w:p w14:paraId="594A9EEC">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1,2,3-三氯丙烷</w:t>
            </w:r>
          </w:p>
        </w:tc>
        <w:tc>
          <w:tcPr>
            <w:tcW w:w="1206" w:type="pct"/>
            <w:vAlign w:val="center"/>
          </w:tcPr>
          <w:p w14:paraId="7ECB6194">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0.05</w:t>
            </w:r>
          </w:p>
        </w:tc>
        <w:tc>
          <w:tcPr>
            <w:tcW w:w="1206" w:type="pct"/>
            <w:vAlign w:val="center"/>
          </w:tcPr>
          <w:p w14:paraId="1611A3E6">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0.5</w:t>
            </w:r>
          </w:p>
        </w:tc>
      </w:tr>
      <w:tr w14:paraId="18C247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26D1EC61">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25</w:t>
            </w:r>
          </w:p>
        </w:tc>
        <w:tc>
          <w:tcPr>
            <w:tcW w:w="2146" w:type="pct"/>
            <w:vAlign w:val="center"/>
          </w:tcPr>
          <w:p w14:paraId="6239B3AB">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氯乙烯</w:t>
            </w:r>
          </w:p>
        </w:tc>
        <w:tc>
          <w:tcPr>
            <w:tcW w:w="1206" w:type="pct"/>
            <w:vAlign w:val="center"/>
          </w:tcPr>
          <w:p w14:paraId="6491C37C">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0.12</w:t>
            </w:r>
          </w:p>
        </w:tc>
        <w:tc>
          <w:tcPr>
            <w:tcW w:w="1206" w:type="pct"/>
            <w:vAlign w:val="center"/>
          </w:tcPr>
          <w:p w14:paraId="5A8EA2A1">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0.43</w:t>
            </w:r>
          </w:p>
        </w:tc>
      </w:tr>
      <w:tr w14:paraId="52A6AE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6DB66EDB">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26</w:t>
            </w:r>
          </w:p>
        </w:tc>
        <w:tc>
          <w:tcPr>
            <w:tcW w:w="2146" w:type="pct"/>
            <w:vAlign w:val="center"/>
          </w:tcPr>
          <w:p w14:paraId="63291FE3">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苯</w:t>
            </w:r>
          </w:p>
        </w:tc>
        <w:tc>
          <w:tcPr>
            <w:tcW w:w="1206" w:type="pct"/>
            <w:vAlign w:val="center"/>
          </w:tcPr>
          <w:p w14:paraId="18885DBE">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1206" w:type="pct"/>
            <w:vAlign w:val="center"/>
          </w:tcPr>
          <w:p w14:paraId="0FA53769">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w:t>
            </w:r>
          </w:p>
        </w:tc>
      </w:tr>
      <w:tr w14:paraId="1DD07E4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4D5C311E">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27</w:t>
            </w:r>
          </w:p>
        </w:tc>
        <w:tc>
          <w:tcPr>
            <w:tcW w:w="2146" w:type="pct"/>
            <w:vAlign w:val="center"/>
          </w:tcPr>
          <w:p w14:paraId="6E355A78">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氯苯</w:t>
            </w:r>
          </w:p>
        </w:tc>
        <w:tc>
          <w:tcPr>
            <w:tcW w:w="1206" w:type="pct"/>
            <w:vAlign w:val="center"/>
          </w:tcPr>
          <w:p w14:paraId="7096D4C3">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68</w:t>
            </w:r>
          </w:p>
        </w:tc>
        <w:tc>
          <w:tcPr>
            <w:tcW w:w="1206" w:type="pct"/>
            <w:vAlign w:val="center"/>
          </w:tcPr>
          <w:p w14:paraId="2E529E89">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270</w:t>
            </w:r>
          </w:p>
        </w:tc>
      </w:tr>
      <w:tr w14:paraId="4E2DDC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45D988D5">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28</w:t>
            </w:r>
          </w:p>
        </w:tc>
        <w:tc>
          <w:tcPr>
            <w:tcW w:w="2146" w:type="pct"/>
            <w:vAlign w:val="center"/>
          </w:tcPr>
          <w:p w14:paraId="418AB491">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1,2-二氯苯</w:t>
            </w:r>
          </w:p>
        </w:tc>
        <w:tc>
          <w:tcPr>
            <w:tcW w:w="1206" w:type="pct"/>
            <w:vAlign w:val="center"/>
          </w:tcPr>
          <w:p w14:paraId="2269BF64">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560</w:t>
            </w:r>
          </w:p>
        </w:tc>
        <w:tc>
          <w:tcPr>
            <w:tcW w:w="1206" w:type="pct"/>
            <w:vAlign w:val="center"/>
          </w:tcPr>
          <w:p w14:paraId="7C2FA312">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560</w:t>
            </w:r>
          </w:p>
        </w:tc>
      </w:tr>
      <w:tr w14:paraId="11C8BB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446AE513">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29</w:t>
            </w:r>
          </w:p>
        </w:tc>
        <w:tc>
          <w:tcPr>
            <w:tcW w:w="2146" w:type="pct"/>
            <w:vAlign w:val="center"/>
          </w:tcPr>
          <w:p w14:paraId="59DA1E6E">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1,4-二氯苯</w:t>
            </w:r>
          </w:p>
        </w:tc>
        <w:tc>
          <w:tcPr>
            <w:tcW w:w="1206" w:type="pct"/>
            <w:vAlign w:val="center"/>
          </w:tcPr>
          <w:p w14:paraId="3F2C7ABD">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5.6</w:t>
            </w:r>
          </w:p>
        </w:tc>
        <w:tc>
          <w:tcPr>
            <w:tcW w:w="1206" w:type="pct"/>
            <w:vAlign w:val="center"/>
          </w:tcPr>
          <w:p w14:paraId="7899A405">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w:t>
            </w:r>
          </w:p>
        </w:tc>
      </w:tr>
      <w:tr w14:paraId="3C7983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2D5DDFD8">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30</w:t>
            </w:r>
          </w:p>
        </w:tc>
        <w:tc>
          <w:tcPr>
            <w:tcW w:w="2146" w:type="pct"/>
            <w:vAlign w:val="center"/>
          </w:tcPr>
          <w:p w14:paraId="49B3B4B8">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乙苯</w:t>
            </w:r>
          </w:p>
        </w:tc>
        <w:tc>
          <w:tcPr>
            <w:tcW w:w="1206" w:type="pct"/>
            <w:vAlign w:val="center"/>
          </w:tcPr>
          <w:p w14:paraId="29866373">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7.2</w:t>
            </w:r>
          </w:p>
        </w:tc>
        <w:tc>
          <w:tcPr>
            <w:tcW w:w="1206" w:type="pct"/>
            <w:vAlign w:val="center"/>
          </w:tcPr>
          <w:p w14:paraId="755CAFB1">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28</w:t>
            </w:r>
          </w:p>
        </w:tc>
      </w:tr>
      <w:tr w14:paraId="49F665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4D65E702">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31</w:t>
            </w:r>
          </w:p>
        </w:tc>
        <w:tc>
          <w:tcPr>
            <w:tcW w:w="2146" w:type="pct"/>
            <w:vAlign w:val="center"/>
          </w:tcPr>
          <w:p w14:paraId="0D895324">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苯乙烯</w:t>
            </w:r>
          </w:p>
        </w:tc>
        <w:tc>
          <w:tcPr>
            <w:tcW w:w="1206" w:type="pct"/>
            <w:vAlign w:val="center"/>
          </w:tcPr>
          <w:p w14:paraId="6906267B">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1290</w:t>
            </w:r>
          </w:p>
        </w:tc>
        <w:tc>
          <w:tcPr>
            <w:tcW w:w="1206" w:type="pct"/>
            <w:vAlign w:val="center"/>
          </w:tcPr>
          <w:p w14:paraId="6C19DC31">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1290</w:t>
            </w:r>
          </w:p>
        </w:tc>
      </w:tr>
      <w:tr w14:paraId="6CDAEC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7ED8DCAB">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32</w:t>
            </w:r>
          </w:p>
        </w:tc>
        <w:tc>
          <w:tcPr>
            <w:tcW w:w="2146" w:type="pct"/>
            <w:vAlign w:val="center"/>
          </w:tcPr>
          <w:p w14:paraId="5992EAAD">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甲苯</w:t>
            </w:r>
          </w:p>
        </w:tc>
        <w:tc>
          <w:tcPr>
            <w:tcW w:w="1206" w:type="pct"/>
            <w:vAlign w:val="center"/>
          </w:tcPr>
          <w:p w14:paraId="5060B966">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1200</w:t>
            </w:r>
          </w:p>
        </w:tc>
        <w:tc>
          <w:tcPr>
            <w:tcW w:w="1206" w:type="pct"/>
            <w:vAlign w:val="center"/>
          </w:tcPr>
          <w:p w14:paraId="4423F3B7">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1200</w:t>
            </w:r>
          </w:p>
        </w:tc>
      </w:tr>
      <w:tr w14:paraId="6B881F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2D141549">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33</w:t>
            </w:r>
          </w:p>
        </w:tc>
        <w:tc>
          <w:tcPr>
            <w:tcW w:w="2146" w:type="pct"/>
            <w:vAlign w:val="center"/>
          </w:tcPr>
          <w:p w14:paraId="2DD7E8EB">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间二甲苯+对二甲苯</w:t>
            </w:r>
          </w:p>
        </w:tc>
        <w:tc>
          <w:tcPr>
            <w:tcW w:w="1206" w:type="pct"/>
            <w:vAlign w:val="center"/>
          </w:tcPr>
          <w:p w14:paraId="5F5EF45B">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163</w:t>
            </w:r>
          </w:p>
        </w:tc>
        <w:tc>
          <w:tcPr>
            <w:tcW w:w="1206" w:type="pct"/>
            <w:vAlign w:val="center"/>
          </w:tcPr>
          <w:p w14:paraId="5B1CA621">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570</w:t>
            </w:r>
          </w:p>
        </w:tc>
      </w:tr>
      <w:tr w14:paraId="57785E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13853C9F">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34</w:t>
            </w:r>
          </w:p>
        </w:tc>
        <w:tc>
          <w:tcPr>
            <w:tcW w:w="2146" w:type="pct"/>
            <w:vAlign w:val="center"/>
          </w:tcPr>
          <w:p w14:paraId="29623B54">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邻二甲苯</w:t>
            </w:r>
          </w:p>
        </w:tc>
        <w:tc>
          <w:tcPr>
            <w:tcW w:w="1206" w:type="pct"/>
            <w:vAlign w:val="center"/>
          </w:tcPr>
          <w:p w14:paraId="1A6007B1">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222</w:t>
            </w:r>
          </w:p>
        </w:tc>
        <w:tc>
          <w:tcPr>
            <w:tcW w:w="1206" w:type="pct"/>
            <w:vAlign w:val="center"/>
          </w:tcPr>
          <w:p w14:paraId="27BD8791">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640</w:t>
            </w:r>
          </w:p>
        </w:tc>
      </w:tr>
      <w:tr w14:paraId="7A9806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00" w:type="pct"/>
            <w:gridSpan w:val="4"/>
            <w:vAlign w:val="center"/>
          </w:tcPr>
          <w:p w14:paraId="101349EE">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半挥发性有机物</w:t>
            </w:r>
          </w:p>
        </w:tc>
      </w:tr>
      <w:tr w14:paraId="67D852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2E8E1799">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35</w:t>
            </w:r>
          </w:p>
        </w:tc>
        <w:tc>
          <w:tcPr>
            <w:tcW w:w="2146" w:type="pct"/>
            <w:vAlign w:val="center"/>
          </w:tcPr>
          <w:p w14:paraId="5F50ECEC">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硝基苯</w:t>
            </w:r>
          </w:p>
        </w:tc>
        <w:tc>
          <w:tcPr>
            <w:tcW w:w="1206" w:type="pct"/>
            <w:vAlign w:val="center"/>
          </w:tcPr>
          <w:p w14:paraId="422BF02A">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34</w:t>
            </w:r>
          </w:p>
        </w:tc>
        <w:tc>
          <w:tcPr>
            <w:tcW w:w="1206" w:type="pct"/>
            <w:vAlign w:val="center"/>
          </w:tcPr>
          <w:p w14:paraId="0BFD126A">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76</w:t>
            </w:r>
          </w:p>
        </w:tc>
      </w:tr>
      <w:tr w14:paraId="31FD99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289DEED7">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36</w:t>
            </w:r>
          </w:p>
        </w:tc>
        <w:tc>
          <w:tcPr>
            <w:tcW w:w="2146" w:type="pct"/>
            <w:vAlign w:val="center"/>
          </w:tcPr>
          <w:p w14:paraId="15F17728">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苯胺</w:t>
            </w:r>
          </w:p>
        </w:tc>
        <w:tc>
          <w:tcPr>
            <w:tcW w:w="1206" w:type="pct"/>
            <w:vAlign w:val="center"/>
          </w:tcPr>
          <w:p w14:paraId="460BB94A">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92</w:t>
            </w:r>
          </w:p>
        </w:tc>
        <w:tc>
          <w:tcPr>
            <w:tcW w:w="1206" w:type="pct"/>
            <w:vAlign w:val="center"/>
          </w:tcPr>
          <w:p w14:paraId="60E3CCF9">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260</w:t>
            </w:r>
          </w:p>
        </w:tc>
      </w:tr>
      <w:tr w14:paraId="086E56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755ADABB">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37</w:t>
            </w:r>
          </w:p>
        </w:tc>
        <w:tc>
          <w:tcPr>
            <w:tcW w:w="2146" w:type="pct"/>
            <w:vAlign w:val="center"/>
          </w:tcPr>
          <w:p w14:paraId="682853AE">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2-氯酚</w:t>
            </w:r>
          </w:p>
        </w:tc>
        <w:tc>
          <w:tcPr>
            <w:tcW w:w="1206" w:type="pct"/>
            <w:vAlign w:val="center"/>
          </w:tcPr>
          <w:p w14:paraId="2E7B5B5C">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250</w:t>
            </w:r>
          </w:p>
        </w:tc>
        <w:tc>
          <w:tcPr>
            <w:tcW w:w="1206" w:type="pct"/>
            <w:vAlign w:val="center"/>
          </w:tcPr>
          <w:p w14:paraId="0985E75C">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2256</w:t>
            </w:r>
          </w:p>
        </w:tc>
      </w:tr>
      <w:tr w14:paraId="065C26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6B26067A">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38</w:t>
            </w:r>
          </w:p>
        </w:tc>
        <w:tc>
          <w:tcPr>
            <w:tcW w:w="2146" w:type="pct"/>
            <w:vAlign w:val="center"/>
          </w:tcPr>
          <w:p w14:paraId="47F85907">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苯并[a]蒽</w:t>
            </w:r>
          </w:p>
        </w:tc>
        <w:tc>
          <w:tcPr>
            <w:tcW w:w="1206" w:type="pct"/>
            <w:vAlign w:val="center"/>
          </w:tcPr>
          <w:p w14:paraId="169EA66C">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5.5</w:t>
            </w:r>
          </w:p>
        </w:tc>
        <w:tc>
          <w:tcPr>
            <w:tcW w:w="1206" w:type="pct"/>
            <w:vAlign w:val="center"/>
          </w:tcPr>
          <w:p w14:paraId="3BFE214B">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w:t>
            </w:r>
          </w:p>
        </w:tc>
      </w:tr>
      <w:tr w14:paraId="22FAAF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618330A6">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39</w:t>
            </w:r>
          </w:p>
        </w:tc>
        <w:tc>
          <w:tcPr>
            <w:tcW w:w="2146" w:type="pct"/>
            <w:vAlign w:val="center"/>
          </w:tcPr>
          <w:p w14:paraId="4EA9E9F6">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苯并[a]芘</w:t>
            </w:r>
          </w:p>
        </w:tc>
        <w:tc>
          <w:tcPr>
            <w:tcW w:w="1206" w:type="pct"/>
            <w:vAlign w:val="center"/>
          </w:tcPr>
          <w:p w14:paraId="16D313B9">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0.55</w:t>
            </w:r>
          </w:p>
        </w:tc>
        <w:tc>
          <w:tcPr>
            <w:tcW w:w="1206" w:type="pct"/>
            <w:vAlign w:val="center"/>
          </w:tcPr>
          <w:p w14:paraId="20F8B2A7">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w:t>
            </w:r>
          </w:p>
        </w:tc>
      </w:tr>
      <w:tr w14:paraId="19C6E8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0763F165">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40</w:t>
            </w:r>
          </w:p>
        </w:tc>
        <w:tc>
          <w:tcPr>
            <w:tcW w:w="2146" w:type="pct"/>
            <w:vAlign w:val="center"/>
          </w:tcPr>
          <w:p w14:paraId="2E7CCD24">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苯并[b]荧蒽</w:t>
            </w:r>
          </w:p>
        </w:tc>
        <w:tc>
          <w:tcPr>
            <w:tcW w:w="1206" w:type="pct"/>
            <w:vAlign w:val="center"/>
          </w:tcPr>
          <w:p w14:paraId="646B71B6">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5.5</w:t>
            </w:r>
          </w:p>
        </w:tc>
        <w:tc>
          <w:tcPr>
            <w:tcW w:w="1206" w:type="pct"/>
            <w:vAlign w:val="center"/>
          </w:tcPr>
          <w:p w14:paraId="707711B7">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w:t>
            </w:r>
          </w:p>
        </w:tc>
      </w:tr>
      <w:tr w14:paraId="2A1C57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044EE3AC">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41</w:t>
            </w:r>
          </w:p>
        </w:tc>
        <w:tc>
          <w:tcPr>
            <w:tcW w:w="2146" w:type="pct"/>
            <w:vAlign w:val="center"/>
          </w:tcPr>
          <w:p w14:paraId="308F6C01">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苯并[k]荧蒽</w:t>
            </w:r>
          </w:p>
        </w:tc>
        <w:tc>
          <w:tcPr>
            <w:tcW w:w="1206" w:type="pct"/>
            <w:vAlign w:val="center"/>
          </w:tcPr>
          <w:p w14:paraId="24C5C80B">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55</w:t>
            </w:r>
          </w:p>
        </w:tc>
        <w:tc>
          <w:tcPr>
            <w:tcW w:w="1206" w:type="pct"/>
            <w:vAlign w:val="center"/>
          </w:tcPr>
          <w:p w14:paraId="5A852100">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151</w:t>
            </w:r>
          </w:p>
        </w:tc>
      </w:tr>
      <w:tr w14:paraId="74C856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2EB82AA0">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42</w:t>
            </w:r>
          </w:p>
        </w:tc>
        <w:tc>
          <w:tcPr>
            <w:tcW w:w="2146" w:type="pct"/>
            <w:vAlign w:val="center"/>
          </w:tcPr>
          <w:p w14:paraId="26432068">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䓛</w:t>
            </w:r>
          </w:p>
        </w:tc>
        <w:tc>
          <w:tcPr>
            <w:tcW w:w="1206" w:type="pct"/>
            <w:vAlign w:val="center"/>
          </w:tcPr>
          <w:p w14:paraId="426E1E21">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490</w:t>
            </w:r>
          </w:p>
        </w:tc>
        <w:tc>
          <w:tcPr>
            <w:tcW w:w="1206" w:type="pct"/>
            <w:vAlign w:val="center"/>
          </w:tcPr>
          <w:p w14:paraId="319E14C9">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1293</w:t>
            </w:r>
          </w:p>
        </w:tc>
      </w:tr>
      <w:tr w14:paraId="2F761F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3E1862D9">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43</w:t>
            </w:r>
          </w:p>
        </w:tc>
        <w:tc>
          <w:tcPr>
            <w:tcW w:w="2146" w:type="pct"/>
            <w:vAlign w:val="center"/>
          </w:tcPr>
          <w:p w14:paraId="2DD17E6D">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二苯并[a，h]蒽</w:t>
            </w:r>
          </w:p>
        </w:tc>
        <w:tc>
          <w:tcPr>
            <w:tcW w:w="1206" w:type="pct"/>
            <w:vAlign w:val="center"/>
          </w:tcPr>
          <w:p w14:paraId="4242A368">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0.55</w:t>
            </w:r>
          </w:p>
        </w:tc>
        <w:tc>
          <w:tcPr>
            <w:tcW w:w="1206" w:type="pct"/>
            <w:vAlign w:val="center"/>
          </w:tcPr>
          <w:p w14:paraId="661E85AF">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w:t>
            </w:r>
          </w:p>
        </w:tc>
      </w:tr>
      <w:tr w14:paraId="75582C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38654196">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44</w:t>
            </w:r>
          </w:p>
        </w:tc>
        <w:tc>
          <w:tcPr>
            <w:tcW w:w="2146" w:type="pct"/>
            <w:vAlign w:val="center"/>
          </w:tcPr>
          <w:p w14:paraId="6BDE64CD">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茚并[1,2,3-cd]芘</w:t>
            </w:r>
          </w:p>
        </w:tc>
        <w:tc>
          <w:tcPr>
            <w:tcW w:w="1206" w:type="pct"/>
            <w:vAlign w:val="center"/>
          </w:tcPr>
          <w:p w14:paraId="6D251925">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5.5</w:t>
            </w:r>
          </w:p>
        </w:tc>
        <w:tc>
          <w:tcPr>
            <w:tcW w:w="1206" w:type="pct"/>
            <w:vAlign w:val="center"/>
          </w:tcPr>
          <w:p w14:paraId="75137703">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w:t>
            </w:r>
          </w:p>
        </w:tc>
      </w:tr>
      <w:tr w14:paraId="002E06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67A4A9A2">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45</w:t>
            </w:r>
          </w:p>
        </w:tc>
        <w:tc>
          <w:tcPr>
            <w:tcW w:w="2146" w:type="pct"/>
            <w:vAlign w:val="center"/>
          </w:tcPr>
          <w:p w14:paraId="14BC1D44">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萘</w:t>
            </w:r>
          </w:p>
        </w:tc>
        <w:tc>
          <w:tcPr>
            <w:tcW w:w="1206" w:type="pct"/>
            <w:vAlign w:val="center"/>
          </w:tcPr>
          <w:p w14:paraId="33717911">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25</w:t>
            </w:r>
          </w:p>
        </w:tc>
        <w:tc>
          <w:tcPr>
            <w:tcW w:w="1206" w:type="pct"/>
            <w:vAlign w:val="center"/>
          </w:tcPr>
          <w:p w14:paraId="041BE868">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70</w:t>
            </w:r>
          </w:p>
        </w:tc>
      </w:tr>
      <w:tr w14:paraId="52BA13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40" w:type="pct"/>
            <w:vAlign w:val="center"/>
          </w:tcPr>
          <w:p w14:paraId="740EDADE">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46</w:t>
            </w:r>
          </w:p>
        </w:tc>
        <w:tc>
          <w:tcPr>
            <w:tcW w:w="2146" w:type="pct"/>
            <w:vAlign w:val="center"/>
          </w:tcPr>
          <w:p w14:paraId="354D9D75">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石油烃</w:t>
            </w:r>
          </w:p>
        </w:tc>
        <w:tc>
          <w:tcPr>
            <w:tcW w:w="1206" w:type="pct"/>
            <w:vAlign w:val="center"/>
          </w:tcPr>
          <w:p w14:paraId="6DB27C4D">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826</w:t>
            </w:r>
          </w:p>
        </w:tc>
        <w:tc>
          <w:tcPr>
            <w:tcW w:w="1206" w:type="pct"/>
            <w:vAlign w:val="center"/>
          </w:tcPr>
          <w:p w14:paraId="28EC846F">
            <w:pPr>
              <w:pStyle w:val="37"/>
              <w:keepNext w:val="0"/>
              <w:keepLines w:val="0"/>
              <w:pageBreakBefore w:val="0"/>
              <w:widowControl/>
              <w:kinsoku w:val="0"/>
              <w:wordWrap/>
              <w:overflowPunct/>
              <w:topLinePunct w:val="0"/>
              <w:autoSpaceDE w:val="0"/>
              <w:autoSpaceDN w:val="0"/>
              <w:bidi w:val="0"/>
              <w:adjustRightInd w:val="0"/>
              <w:snapToGrid w:val="0"/>
              <w:textAlignment w:val="baseline"/>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4500</w:t>
            </w:r>
          </w:p>
        </w:tc>
      </w:tr>
    </w:tbl>
    <w:p w14:paraId="0C00CEA1">
      <w:pPr>
        <w:bidi w:val="0"/>
        <w:jc w:val="center"/>
        <w:rPr>
          <w:rFonts w:hint="default" w:ascii="Times New Roman" w:hAnsi="Times New Roman" w:eastAsia="宋体" w:cs="Times New Roman"/>
          <w:b/>
          <w:bCs/>
          <w:color w:val="FF0000"/>
          <w:sz w:val="24"/>
          <w:szCs w:val="24"/>
          <w:highlight w:val="none"/>
          <w:lang w:val="en-US" w:eastAsia="zh-CN"/>
        </w:rPr>
      </w:pPr>
      <w:r>
        <w:rPr>
          <w:rFonts w:hint="default" w:ascii="Times New Roman" w:hAnsi="Times New Roman" w:eastAsia="Arial" w:cs="Times New Roman"/>
          <w:b/>
          <w:bCs/>
          <w:snapToGrid w:val="0"/>
          <w:color w:val="auto"/>
          <w:kern w:val="0"/>
          <w:sz w:val="24"/>
          <w:szCs w:val="24"/>
          <w:highlight w:val="none"/>
          <w:lang w:val="en-US" w:eastAsia="zh-CN" w:bidi="ar-SA"/>
        </w:rPr>
        <w:t>表2.5-</w:t>
      </w:r>
      <w:r>
        <w:rPr>
          <w:rFonts w:hint="eastAsia" w:ascii="Times New Roman" w:hAnsi="Times New Roman" w:cs="Times New Roman"/>
          <w:b/>
          <w:bCs/>
          <w:snapToGrid w:val="0"/>
          <w:color w:val="auto"/>
          <w:kern w:val="0"/>
          <w:sz w:val="24"/>
          <w:szCs w:val="24"/>
          <w:highlight w:val="none"/>
          <w:lang w:val="en-US" w:eastAsia="zh-CN" w:bidi="ar-SA"/>
        </w:rPr>
        <w:t>6</w:t>
      </w:r>
      <w:r>
        <w:rPr>
          <w:rFonts w:hint="default" w:ascii="Times New Roman" w:hAnsi="Times New Roman" w:eastAsia="Arial" w:cs="Times New Roman"/>
          <w:b/>
          <w:bCs/>
          <w:snapToGrid w:val="0"/>
          <w:color w:val="auto"/>
          <w:kern w:val="0"/>
          <w:sz w:val="24"/>
          <w:szCs w:val="24"/>
          <w:highlight w:val="none"/>
          <w:lang w:val="en-US" w:eastAsia="zh-CN" w:bidi="ar-SA"/>
        </w:rPr>
        <w:t xml:space="preserve">  </w:t>
      </w:r>
      <w:r>
        <w:rPr>
          <w:rFonts w:hint="eastAsia" w:ascii="Times New Roman" w:hAnsi="Times New Roman" w:cs="Times New Roman"/>
          <w:b/>
          <w:bCs/>
          <w:snapToGrid w:val="0"/>
          <w:color w:val="auto"/>
          <w:kern w:val="0"/>
          <w:sz w:val="24"/>
          <w:szCs w:val="24"/>
          <w:highlight w:val="none"/>
          <w:lang w:val="en-US" w:eastAsia="zh-CN" w:bidi="ar-SA"/>
        </w:rPr>
        <w:t>农用</w:t>
      </w:r>
      <w:r>
        <w:rPr>
          <w:rFonts w:hint="default" w:ascii="Times New Roman" w:hAnsi="Times New Roman" w:eastAsia="Arial" w:cs="Times New Roman"/>
          <w:b/>
          <w:bCs/>
          <w:snapToGrid w:val="0"/>
          <w:color w:val="auto"/>
          <w:kern w:val="0"/>
          <w:sz w:val="24"/>
          <w:szCs w:val="24"/>
          <w:highlight w:val="none"/>
          <w:lang w:val="en-US" w:eastAsia="zh-CN" w:bidi="ar-SA"/>
        </w:rPr>
        <w:t>地土壤环境质量标准</w:t>
      </w:r>
    </w:p>
    <w:tbl>
      <w:tblPr>
        <w:tblStyle w:val="2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3"/>
        <w:gridCol w:w="761"/>
        <w:gridCol w:w="1146"/>
        <w:gridCol w:w="1305"/>
        <w:gridCol w:w="1901"/>
        <w:gridCol w:w="1901"/>
        <w:gridCol w:w="1317"/>
      </w:tblGrid>
      <w:tr w14:paraId="2BAE49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3" w:type="pct"/>
            <w:vMerge w:val="restart"/>
            <w:noWrap w:val="0"/>
            <w:vAlign w:val="center"/>
          </w:tcPr>
          <w:p w14:paraId="427C6953">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序号</w:t>
            </w:r>
          </w:p>
        </w:tc>
        <w:tc>
          <w:tcPr>
            <w:tcW w:w="1027" w:type="pct"/>
            <w:gridSpan w:val="2"/>
            <w:vMerge w:val="restart"/>
            <w:noWrap w:val="0"/>
            <w:vAlign w:val="center"/>
          </w:tcPr>
          <w:p w14:paraId="08095DCF">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污染物项目</w:t>
            </w:r>
          </w:p>
        </w:tc>
        <w:tc>
          <w:tcPr>
            <w:tcW w:w="3458" w:type="pct"/>
            <w:gridSpan w:val="4"/>
            <w:noWrap w:val="0"/>
            <w:vAlign w:val="center"/>
          </w:tcPr>
          <w:p w14:paraId="215395FC">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风险筛选值   单位：mg/kg</w:t>
            </w:r>
          </w:p>
        </w:tc>
      </w:tr>
      <w:tr w14:paraId="10D9BD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3" w:type="pct"/>
            <w:vMerge w:val="continue"/>
            <w:noWrap w:val="0"/>
            <w:vAlign w:val="center"/>
          </w:tcPr>
          <w:p w14:paraId="6246863D">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1027" w:type="pct"/>
            <w:gridSpan w:val="2"/>
            <w:vMerge w:val="continue"/>
            <w:noWrap w:val="0"/>
            <w:vAlign w:val="center"/>
          </w:tcPr>
          <w:p w14:paraId="3BFC0636">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703" w:type="pct"/>
            <w:noWrap w:val="0"/>
            <w:vAlign w:val="center"/>
          </w:tcPr>
          <w:p w14:paraId="41BBF3E5">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pH≤5.5</w:t>
            </w:r>
          </w:p>
        </w:tc>
        <w:tc>
          <w:tcPr>
            <w:tcW w:w="1024" w:type="pct"/>
            <w:noWrap w:val="0"/>
            <w:vAlign w:val="center"/>
          </w:tcPr>
          <w:p w14:paraId="24442D06">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5.5&lt;pH≤6.5</w:t>
            </w:r>
          </w:p>
        </w:tc>
        <w:tc>
          <w:tcPr>
            <w:tcW w:w="1024" w:type="pct"/>
            <w:noWrap w:val="0"/>
            <w:vAlign w:val="center"/>
          </w:tcPr>
          <w:p w14:paraId="7E444DF8">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6.5&lt;pH≤7.5</w:t>
            </w:r>
          </w:p>
        </w:tc>
        <w:tc>
          <w:tcPr>
            <w:tcW w:w="706" w:type="pct"/>
            <w:noWrap w:val="0"/>
            <w:vAlign w:val="center"/>
          </w:tcPr>
          <w:p w14:paraId="2CADAC1A">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pH&gt;7.5</w:t>
            </w:r>
          </w:p>
        </w:tc>
      </w:tr>
      <w:tr w14:paraId="374908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3" w:type="pct"/>
            <w:vMerge w:val="restart"/>
            <w:noWrap w:val="0"/>
            <w:vAlign w:val="center"/>
          </w:tcPr>
          <w:p w14:paraId="3B70BD36">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410" w:type="pct"/>
            <w:vMerge w:val="restart"/>
            <w:noWrap w:val="0"/>
            <w:vAlign w:val="center"/>
          </w:tcPr>
          <w:p w14:paraId="34500A15">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镉</w:t>
            </w:r>
          </w:p>
        </w:tc>
        <w:tc>
          <w:tcPr>
            <w:tcW w:w="616" w:type="pct"/>
            <w:noWrap w:val="0"/>
            <w:vAlign w:val="center"/>
          </w:tcPr>
          <w:p w14:paraId="698A0F8C">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水田</w:t>
            </w:r>
          </w:p>
        </w:tc>
        <w:tc>
          <w:tcPr>
            <w:tcW w:w="703" w:type="pct"/>
            <w:noWrap w:val="0"/>
            <w:vAlign w:val="center"/>
          </w:tcPr>
          <w:p w14:paraId="6FE42308">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0.3</w:t>
            </w:r>
          </w:p>
        </w:tc>
        <w:tc>
          <w:tcPr>
            <w:tcW w:w="1024" w:type="pct"/>
            <w:noWrap w:val="0"/>
            <w:vAlign w:val="center"/>
          </w:tcPr>
          <w:p w14:paraId="46731CE7">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0.4</w:t>
            </w:r>
          </w:p>
        </w:tc>
        <w:tc>
          <w:tcPr>
            <w:tcW w:w="1024" w:type="pct"/>
            <w:noWrap w:val="0"/>
            <w:vAlign w:val="center"/>
          </w:tcPr>
          <w:p w14:paraId="3F898C72">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0.6</w:t>
            </w:r>
          </w:p>
        </w:tc>
        <w:tc>
          <w:tcPr>
            <w:tcW w:w="706" w:type="pct"/>
            <w:noWrap w:val="0"/>
            <w:vAlign w:val="center"/>
          </w:tcPr>
          <w:p w14:paraId="7605FBEF">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0.8</w:t>
            </w:r>
          </w:p>
        </w:tc>
      </w:tr>
      <w:tr w14:paraId="23D7B5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3" w:type="pct"/>
            <w:vMerge w:val="continue"/>
            <w:noWrap w:val="0"/>
            <w:vAlign w:val="center"/>
          </w:tcPr>
          <w:p w14:paraId="25F1ACFE">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410" w:type="pct"/>
            <w:vMerge w:val="continue"/>
            <w:noWrap w:val="0"/>
            <w:vAlign w:val="center"/>
          </w:tcPr>
          <w:p w14:paraId="3DF924D2">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616" w:type="pct"/>
            <w:noWrap w:val="0"/>
            <w:vAlign w:val="center"/>
          </w:tcPr>
          <w:p w14:paraId="7A7364D1">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其他</w:t>
            </w:r>
          </w:p>
        </w:tc>
        <w:tc>
          <w:tcPr>
            <w:tcW w:w="703" w:type="pct"/>
            <w:noWrap w:val="0"/>
            <w:vAlign w:val="center"/>
          </w:tcPr>
          <w:p w14:paraId="55D5C0AE">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0.3</w:t>
            </w:r>
          </w:p>
        </w:tc>
        <w:tc>
          <w:tcPr>
            <w:tcW w:w="1024" w:type="pct"/>
            <w:noWrap w:val="0"/>
            <w:vAlign w:val="center"/>
          </w:tcPr>
          <w:p w14:paraId="3D010922">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0.3</w:t>
            </w:r>
          </w:p>
        </w:tc>
        <w:tc>
          <w:tcPr>
            <w:tcW w:w="1024" w:type="pct"/>
            <w:noWrap w:val="0"/>
            <w:vAlign w:val="center"/>
          </w:tcPr>
          <w:p w14:paraId="2F632957">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0.3</w:t>
            </w:r>
          </w:p>
        </w:tc>
        <w:tc>
          <w:tcPr>
            <w:tcW w:w="706" w:type="pct"/>
            <w:noWrap w:val="0"/>
            <w:vAlign w:val="center"/>
          </w:tcPr>
          <w:p w14:paraId="4FFCC915">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0.6</w:t>
            </w:r>
          </w:p>
        </w:tc>
      </w:tr>
      <w:tr w14:paraId="0B8096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3" w:type="pct"/>
            <w:vMerge w:val="restart"/>
            <w:noWrap w:val="0"/>
            <w:vAlign w:val="center"/>
          </w:tcPr>
          <w:p w14:paraId="4F282251">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w:t>
            </w:r>
          </w:p>
        </w:tc>
        <w:tc>
          <w:tcPr>
            <w:tcW w:w="410" w:type="pct"/>
            <w:vMerge w:val="restart"/>
            <w:noWrap w:val="0"/>
            <w:vAlign w:val="center"/>
          </w:tcPr>
          <w:p w14:paraId="21D31340">
            <w:pPr>
              <w:pStyle w:val="37"/>
              <w:bidi w:val="0"/>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汞</w:t>
            </w:r>
          </w:p>
        </w:tc>
        <w:tc>
          <w:tcPr>
            <w:tcW w:w="616" w:type="pct"/>
            <w:noWrap w:val="0"/>
            <w:vAlign w:val="center"/>
          </w:tcPr>
          <w:p w14:paraId="5E32235A">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水田</w:t>
            </w:r>
          </w:p>
        </w:tc>
        <w:tc>
          <w:tcPr>
            <w:tcW w:w="703" w:type="pct"/>
            <w:noWrap w:val="0"/>
            <w:vAlign w:val="center"/>
          </w:tcPr>
          <w:p w14:paraId="355F62DA">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0.5</w:t>
            </w:r>
          </w:p>
        </w:tc>
        <w:tc>
          <w:tcPr>
            <w:tcW w:w="1024" w:type="pct"/>
            <w:noWrap w:val="0"/>
            <w:vAlign w:val="center"/>
          </w:tcPr>
          <w:p w14:paraId="405BF1DF">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0.5</w:t>
            </w:r>
          </w:p>
        </w:tc>
        <w:tc>
          <w:tcPr>
            <w:tcW w:w="1024" w:type="pct"/>
            <w:noWrap w:val="0"/>
            <w:vAlign w:val="center"/>
          </w:tcPr>
          <w:p w14:paraId="1D464FA4">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0.6</w:t>
            </w:r>
          </w:p>
        </w:tc>
        <w:tc>
          <w:tcPr>
            <w:tcW w:w="706" w:type="pct"/>
            <w:noWrap w:val="0"/>
            <w:vAlign w:val="center"/>
          </w:tcPr>
          <w:p w14:paraId="64B43D48">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p>
        </w:tc>
      </w:tr>
      <w:tr w14:paraId="2B156B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3" w:type="pct"/>
            <w:vMerge w:val="continue"/>
            <w:noWrap w:val="0"/>
            <w:vAlign w:val="center"/>
          </w:tcPr>
          <w:p w14:paraId="19819878">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410" w:type="pct"/>
            <w:vMerge w:val="continue"/>
            <w:noWrap w:val="0"/>
            <w:vAlign w:val="center"/>
          </w:tcPr>
          <w:p w14:paraId="6D2B66D3">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616" w:type="pct"/>
            <w:noWrap w:val="0"/>
            <w:vAlign w:val="center"/>
          </w:tcPr>
          <w:p w14:paraId="3A8A975B">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其他</w:t>
            </w:r>
          </w:p>
        </w:tc>
        <w:tc>
          <w:tcPr>
            <w:tcW w:w="703" w:type="pct"/>
            <w:noWrap w:val="0"/>
            <w:vAlign w:val="center"/>
          </w:tcPr>
          <w:p w14:paraId="4A661A07">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1.3</w:t>
            </w:r>
          </w:p>
        </w:tc>
        <w:tc>
          <w:tcPr>
            <w:tcW w:w="1024" w:type="pct"/>
            <w:noWrap w:val="0"/>
            <w:vAlign w:val="center"/>
          </w:tcPr>
          <w:p w14:paraId="38A0265D">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1.8</w:t>
            </w:r>
          </w:p>
        </w:tc>
        <w:tc>
          <w:tcPr>
            <w:tcW w:w="1024" w:type="pct"/>
            <w:noWrap w:val="0"/>
            <w:vAlign w:val="center"/>
          </w:tcPr>
          <w:p w14:paraId="51B6E01C">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2.4</w:t>
            </w:r>
          </w:p>
        </w:tc>
        <w:tc>
          <w:tcPr>
            <w:tcW w:w="706" w:type="pct"/>
            <w:noWrap w:val="0"/>
            <w:vAlign w:val="center"/>
          </w:tcPr>
          <w:p w14:paraId="5C5F50C6">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3.4</w:t>
            </w:r>
          </w:p>
        </w:tc>
      </w:tr>
      <w:tr w14:paraId="58C82E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3" w:type="pct"/>
            <w:vMerge w:val="restart"/>
            <w:noWrap w:val="0"/>
            <w:vAlign w:val="center"/>
          </w:tcPr>
          <w:p w14:paraId="703A7522">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w:t>
            </w:r>
          </w:p>
        </w:tc>
        <w:tc>
          <w:tcPr>
            <w:tcW w:w="410" w:type="pct"/>
            <w:vMerge w:val="restart"/>
            <w:noWrap w:val="0"/>
            <w:vAlign w:val="center"/>
          </w:tcPr>
          <w:p w14:paraId="70E68412">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砷</w:t>
            </w:r>
          </w:p>
        </w:tc>
        <w:tc>
          <w:tcPr>
            <w:tcW w:w="616" w:type="pct"/>
            <w:noWrap w:val="0"/>
            <w:vAlign w:val="center"/>
          </w:tcPr>
          <w:p w14:paraId="569CDF0A">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水田</w:t>
            </w:r>
          </w:p>
        </w:tc>
        <w:tc>
          <w:tcPr>
            <w:tcW w:w="703" w:type="pct"/>
            <w:noWrap w:val="0"/>
            <w:vAlign w:val="center"/>
          </w:tcPr>
          <w:p w14:paraId="13615E2F">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30</w:t>
            </w:r>
          </w:p>
        </w:tc>
        <w:tc>
          <w:tcPr>
            <w:tcW w:w="1024" w:type="pct"/>
            <w:noWrap w:val="0"/>
            <w:vAlign w:val="center"/>
          </w:tcPr>
          <w:p w14:paraId="19076E57">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30</w:t>
            </w:r>
          </w:p>
        </w:tc>
        <w:tc>
          <w:tcPr>
            <w:tcW w:w="1024" w:type="pct"/>
            <w:noWrap w:val="0"/>
            <w:vAlign w:val="center"/>
          </w:tcPr>
          <w:p w14:paraId="0F041142">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w:t>
            </w:r>
          </w:p>
        </w:tc>
        <w:tc>
          <w:tcPr>
            <w:tcW w:w="706" w:type="pct"/>
            <w:noWrap w:val="0"/>
            <w:vAlign w:val="center"/>
          </w:tcPr>
          <w:p w14:paraId="71B3D88B">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w:t>
            </w:r>
          </w:p>
        </w:tc>
      </w:tr>
      <w:tr w14:paraId="173A59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3" w:type="pct"/>
            <w:vMerge w:val="continue"/>
            <w:noWrap w:val="0"/>
            <w:vAlign w:val="center"/>
          </w:tcPr>
          <w:p w14:paraId="7D1C5ADA">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410" w:type="pct"/>
            <w:vMerge w:val="continue"/>
            <w:noWrap w:val="0"/>
            <w:vAlign w:val="center"/>
          </w:tcPr>
          <w:p w14:paraId="30B4DA9D">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616" w:type="pct"/>
            <w:noWrap w:val="0"/>
            <w:vAlign w:val="center"/>
          </w:tcPr>
          <w:p w14:paraId="3AA0322A">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其他</w:t>
            </w:r>
          </w:p>
        </w:tc>
        <w:tc>
          <w:tcPr>
            <w:tcW w:w="703" w:type="pct"/>
            <w:noWrap w:val="0"/>
            <w:vAlign w:val="center"/>
          </w:tcPr>
          <w:p w14:paraId="2BD3356B">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40</w:t>
            </w:r>
          </w:p>
        </w:tc>
        <w:tc>
          <w:tcPr>
            <w:tcW w:w="1024" w:type="pct"/>
            <w:noWrap w:val="0"/>
            <w:vAlign w:val="center"/>
          </w:tcPr>
          <w:p w14:paraId="1A2323ED">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40</w:t>
            </w:r>
          </w:p>
        </w:tc>
        <w:tc>
          <w:tcPr>
            <w:tcW w:w="1024" w:type="pct"/>
            <w:noWrap w:val="0"/>
            <w:vAlign w:val="center"/>
          </w:tcPr>
          <w:p w14:paraId="538CE6CB">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30</w:t>
            </w:r>
          </w:p>
        </w:tc>
        <w:tc>
          <w:tcPr>
            <w:tcW w:w="706" w:type="pct"/>
            <w:noWrap w:val="0"/>
            <w:vAlign w:val="center"/>
          </w:tcPr>
          <w:p w14:paraId="3A714622">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w:t>
            </w:r>
          </w:p>
        </w:tc>
      </w:tr>
      <w:tr w14:paraId="07F1AA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3" w:type="pct"/>
            <w:vMerge w:val="restart"/>
            <w:noWrap w:val="0"/>
            <w:vAlign w:val="center"/>
          </w:tcPr>
          <w:p w14:paraId="3C7CFD8A">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w:t>
            </w:r>
          </w:p>
        </w:tc>
        <w:tc>
          <w:tcPr>
            <w:tcW w:w="410" w:type="pct"/>
            <w:vMerge w:val="restart"/>
            <w:noWrap w:val="0"/>
            <w:vAlign w:val="center"/>
          </w:tcPr>
          <w:p w14:paraId="74B34ADF">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铅</w:t>
            </w:r>
          </w:p>
        </w:tc>
        <w:tc>
          <w:tcPr>
            <w:tcW w:w="616" w:type="pct"/>
            <w:noWrap w:val="0"/>
            <w:vAlign w:val="center"/>
          </w:tcPr>
          <w:p w14:paraId="73141FD4">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水田</w:t>
            </w:r>
          </w:p>
        </w:tc>
        <w:tc>
          <w:tcPr>
            <w:tcW w:w="703" w:type="pct"/>
            <w:noWrap w:val="0"/>
            <w:vAlign w:val="center"/>
          </w:tcPr>
          <w:p w14:paraId="7D10916D">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80</w:t>
            </w:r>
          </w:p>
        </w:tc>
        <w:tc>
          <w:tcPr>
            <w:tcW w:w="1024" w:type="pct"/>
            <w:noWrap w:val="0"/>
            <w:vAlign w:val="center"/>
          </w:tcPr>
          <w:p w14:paraId="06413A56">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100</w:t>
            </w:r>
          </w:p>
        </w:tc>
        <w:tc>
          <w:tcPr>
            <w:tcW w:w="1024" w:type="pct"/>
            <w:noWrap w:val="0"/>
            <w:vAlign w:val="center"/>
          </w:tcPr>
          <w:p w14:paraId="0CD1353F">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140</w:t>
            </w:r>
          </w:p>
        </w:tc>
        <w:tc>
          <w:tcPr>
            <w:tcW w:w="706" w:type="pct"/>
            <w:noWrap w:val="0"/>
            <w:vAlign w:val="center"/>
          </w:tcPr>
          <w:p w14:paraId="4B3210C5">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240</w:t>
            </w:r>
          </w:p>
        </w:tc>
      </w:tr>
      <w:tr w14:paraId="3CB11F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3" w:type="pct"/>
            <w:vMerge w:val="continue"/>
            <w:noWrap w:val="0"/>
            <w:vAlign w:val="center"/>
          </w:tcPr>
          <w:p w14:paraId="6D979457">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410" w:type="pct"/>
            <w:vMerge w:val="continue"/>
            <w:noWrap w:val="0"/>
            <w:vAlign w:val="center"/>
          </w:tcPr>
          <w:p w14:paraId="6AD08533">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616" w:type="pct"/>
            <w:noWrap w:val="0"/>
            <w:vAlign w:val="center"/>
          </w:tcPr>
          <w:p w14:paraId="37EA0114">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其他</w:t>
            </w:r>
          </w:p>
        </w:tc>
        <w:tc>
          <w:tcPr>
            <w:tcW w:w="703" w:type="pct"/>
            <w:noWrap w:val="0"/>
            <w:vAlign w:val="center"/>
          </w:tcPr>
          <w:p w14:paraId="2173BD50">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70</w:t>
            </w:r>
          </w:p>
        </w:tc>
        <w:tc>
          <w:tcPr>
            <w:tcW w:w="1024" w:type="pct"/>
            <w:noWrap w:val="0"/>
            <w:vAlign w:val="center"/>
          </w:tcPr>
          <w:p w14:paraId="464C0A5B">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w:t>
            </w:r>
          </w:p>
        </w:tc>
        <w:tc>
          <w:tcPr>
            <w:tcW w:w="1024" w:type="pct"/>
            <w:noWrap w:val="0"/>
            <w:vAlign w:val="center"/>
          </w:tcPr>
          <w:p w14:paraId="58A2CF11">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120</w:t>
            </w:r>
          </w:p>
        </w:tc>
        <w:tc>
          <w:tcPr>
            <w:tcW w:w="706" w:type="pct"/>
            <w:noWrap w:val="0"/>
            <w:vAlign w:val="center"/>
          </w:tcPr>
          <w:p w14:paraId="0E79B57E">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170</w:t>
            </w:r>
          </w:p>
        </w:tc>
      </w:tr>
      <w:tr w14:paraId="76D7D1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3" w:type="pct"/>
            <w:vMerge w:val="restart"/>
            <w:noWrap w:val="0"/>
            <w:vAlign w:val="center"/>
          </w:tcPr>
          <w:p w14:paraId="2F2C1500">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c>
          <w:tcPr>
            <w:tcW w:w="410" w:type="pct"/>
            <w:vMerge w:val="restart"/>
            <w:noWrap w:val="0"/>
            <w:vAlign w:val="center"/>
          </w:tcPr>
          <w:p w14:paraId="4ACE9491">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铬</w:t>
            </w:r>
          </w:p>
        </w:tc>
        <w:tc>
          <w:tcPr>
            <w:tcW w:w="616" w:type="pct"/>
            <w:noWrap w:val="0"/>
            <w:vAlign w:val="center"/>
          </w:tcPr>
          <w:p w14:paraId="06836B93">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水田</w:t>
            </w:r>
          </w:p>
        </w:tc>
        <w:tc>
          <w:tcPr>
            <w:tcW w:w="703" w:type="pct"/>
            <w:noWrap w:val="0"/>
            <w:vAlign w:val="center"/>
          </w:tcPr>
          <w:p w14:paraId="5712D2FE">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250</w:t>
            </w:r>
          </w:p>
        </w:tc>
        <w:tc>
          <w:tcPr>
            <w:tcW w:w="1024" w:type="pct"/>
            <w:noWrap w:val="0"/>
            <w:vAlign w:val="center"/>
          </w:tcPr>
          <w:p w14:paraId="4185A420">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250</w:t>
            </w:r>
          </w:p>
        </w:tc>
        <w:tc>
          <w:tcPr>
            <w:tcW w:w="1024" w:type="pct"/>
            <w:noWrap w:val="0"/>
            <w:vAlign w:val="center"/>
          </w:tcPr>
          <w:p w14:paraId="140F23B8">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300</w:t>
            </w:r>
          </w:p>
        </w:tc>
        <w:tc>
          <w:tcPr>
            <w:tcW w:w="706" w:type="pct"/>
            <w:noWrap w:val="0"/>
            <w:vAlign w:val="center"/>
          </w:tcPr>
          <w:p w14:paraId="1001CEBE">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350</w:t>
            </w:r>
          </w:p>
        </w:tc>
      </w:tr>
      <w:tr w14:paraId="2BFBD4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3" w:type="pct"/>
            <w:vMerge w:val="continue"/>
            <w:noWrap w:val="0"/>
            <w:vAlign w:val="center"/>
          </w:tcPr>
          <w:p w14:paraId="4A85912B">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410" w:type="pct"/>
            <w:vMerge w:val="continue"/>
            <w:noWrap w:val="0"/>
            <w:vAlign w:val="center"/>
          </w:tcPr>
          <w:p w14:paraId="41754BD2">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616" w:type="pct"/>
            <w:noWrap w:val="0"/>
            <w:vAlign w:val="center"/>
          </w:tcPr>
          <w:p w14:paraId="2B30DEDD">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其他</w:t>
            </w:r>
          </w:p>
        </w:tc>
        <w:tc>
          <w:tcPr>
            <w:tcW w:w="703" w:type="pct"/>
            <w:noWrap w:val="0"/>
            <w:vAlign w:val="center"/>
          </w:tcPr>
          <w:p w14:paraId="39817CB3">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150</w:t>
            </w:r>
          </w:p>
        </w:tc>
        <w:tc>
          <w:tcPr>
            <w:tcW w:w="1024" w:type="pct"/>
            <w:noWrap w:val="0"/>
            <w:vAlign w:val="center"/>
          </w:tcPr>
          <w:p w14:paraId="50E2FE12">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150</w:t>
            </w:r>
          </w:p>
        </w:tc>
        <w:tc>
          <w:tcPr>
            <w:tcW w:w="1024" w:type="pct"/>
            <w:noWrap w:val="0"/>
            <w:vAlign w:val="center"/>
          </w:tcPr>
          <w:p w14:paraId="73D3DA3F">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200</w:t>
            </w:r>
          </w:p>
        </w:tc>
        <w:tc>
          <w:tcPr>
            <w:tcW w:w="706" w:type="pct"/>
            <w:noWrap w:val="0"/>
            <w:vAlign w:val="center"/>
          </w:tcPr>
          <w:p w14:paraId="1E952B87">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250</w:t>
            </w:r>
          </w:p>
        </w:tc>
      </w:tr>
      <w:tr w14:paraId="780903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3" w:type="pct"/>
            <w:vMerge w:val="restart"/>
            <w:noWrap w:val="0"/>
            <w:vAlign w:val="center"/>
          </w:tcPr>
          <w:p w14:paraId="19597294">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w:t>
            </w:r>
          </w:p>
        </w:tc>
        <w:tc>
          <w:tcPr>
            <w:tcW w:w="410" w:type="pct"/>
            <w:vMerge w:val="restart"/>
            <w:noWrap w:val="0"/>
            <w:vAlign w:val="center"/>
          </w:tcPr>
          <w:p w14:paraId="5CF7F71E">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铜</w:t>
            </w:r>
          </w:p>
        </w:tc>
        <w:tc>
          <w:tcPr>
            <w:tcW w:w="616" w:type="pct"/>
            <w:noWrap w:val="0"/>
            <w:vAlign w:val="center"/>
          </w:tcPr>
          <w:p w14:paraId="6DBD618D">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水田</w:t>
            </w:r>
          </w:p>
        </w:tc>
        <w:tc>
          <w:tcPr>
            <w:tcW w:w="703" w:type="pct"/>
            <w:noWrap w:val="0"/>
            <w:vAlign w:val="center"/>
          </w:tcPr>
          <w:p w14:paraId="2AB635D1">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150</w:t>
            </w:r>
          </w:p>
        </w:tc>
        <w:tc>
          <w:tcPr>
            <w:tcW w:w="1024" w:type="pct"/>
            <w:noWrap w:val="0"/>
            <w:vAlign w:val="center"/>
          </w:tcPr>
          <w:p w14:paraId="388D8DF4">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150</w:t>
            </w:r>
          </w:p>
        </w:tc>
        <w:tc>
          <w:tcPr>
            <w:tcW w:w="1024" w:type="pct"/>
            <w:noWrap w:val="0"/>
            <w:vAlign w:val="center"/>
          </w:tcPr>
          <w:p w14:paraId="4C8F59A5">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200</w:t>
            </w:r>
          </w:p>
        </w:tc>
        <w:tc>
          <w:tcPr>
            <w:tcW w:w="706" w:type="pct"/>
            <w:noWrap w:val="0"/>
            <w:vAlign w:val="center"/>
          </w:tcPr>
          <w:p w14:paraId="7ADC58C1">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200</w:t>
            </w:r>
          </w:p>
        </w:tc>
      </w:tr>
      <w:tr w14:paraId="71360F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3" w:type="pct"/>
            <w:vMerge w:val="continue"/>
            <w:noWrap w:val="0"/>
            <w:vAlign w:val="center"/>
          </w:tcPr>
          <w:p w14:paraId="69ADBD03">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410" w:type="pct"/>
            <w:vMerge w:val="continue"/>
            <w:noWrap w:val="0"/>
            <w:vAlign w:val="center"/>
          </w:tcPr>
          <w:p w14:paraId="18F217D1">
            <w:pPr>
              <w:pStyle w:val="37"/>
              <w:bidi w:val="0"/>
              <w:rPr>
                <w:rFonts w:hint="default" w:ascii="Times New Roman" w:hAnsi="Times New Roman" w:cs="Times New Roman"/>
                <w:color w:val="000000" w:themeColor="text1"/>
                <w:highlight w:val="none"/>
                <w14:textFill>
                  <w14:solidFill>
                    <w14:schemeClr w14:val="tx1"/>
                  </w14:solidFill>
                </w14:textFill>
              </w:rPr>
            </w:pPr>
          </w:p>
        </w:tc>
        <w:tc>
          <w:tcPr>
            <w:tcW w:w="616" w:type="pct"/>
            <w:noWrap w:val="0"/>
            <w:vAlign w:val="center"/>
          </w:tcPr>
          <w:p w14:paraId="773AFF46">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其他</w:t>
            </w:r>
          </w:p>
        </w:tc>
        <w:tc>
          <w:tcPr>
            <w:tcW w:w="703" w:type="pct"/>
            <w:noWrap w:val="0"/>
            <w:vAlign w:val="center"/>
          </w:tcPr>
          <w:p w14:paraId="250A0FED">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w:t>
            </w:r>
          </w:p>
        </w:tc>
        <w:tc>
          <w:tcPr>
            <w:tcW w:w="1024" w:type="pct"/>
            <w:noWrap w:val="0"/>
            <w:vAlign w:val="center"/>
          </w:tcPr>
          <w:p w14:paraId="20B98F5E">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w:t>
            </w:r>
          </w:p>
        </w:tc>
        <w:tc>
          <w:tcPr>
            <w:tcW w:w="1024" w:type="pct"/>
            <w:noWrap w:val="0"/>
            <w:vAlign w:val="center"/>
          </w:tcPr>
          <w:p w14:paraId="1A5622E3">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100</w:t>
            </w:r>
          </w:p>
        </w:tc>
        <w:tc>
          <w:tcPr>
            <w:tcW w:w="706" w:type="pct"/>
            <w:noWrap w:val="0"/>
            <w:vAlign w:val="center"/>
          </w:tcPr>
          <w:p w14:paraId="6089DD9B">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100</w:t>
            </w:r>
          </w:p>
        </w:tc>
      </w:tr>
      <w:tr w14:paraId="7420F6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3" w:type="pct"/>
            <w:noWrap w:val="0"/>
            <w:vAlign w:val="center"/>
          </w:tcPr>
          <w:p w14:paraId="58E0AF9A">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w:t>
            </w:r>
          </w:p>
        </w:tc>
        <w:tc>
          <w:tcPr>
            <w:tcW w:w="1027" w:type="pct"/>
            <w:gridSpan w:val="2"/>
            <w:noWrap w:val="0"/>
            <w:vAlign w:val="center"/>
          </w:tcPr>
          <w:p w14:paraId="385EA968">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镍</w:t>
            </w:r>
          </w:p>
        </w:tc>
        <w:tc>
          <w:tcPr>
            <w:tcW w:w="703" w:type="pct"/>
            <w:noWrap w:val="0"/>
            <w:vAlign w:val="center"/>
          </w:tcPr>
          <w:p w14:paraId="29152A36">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60</w:t>
            </w:r>
          </w:p>
        </w:tc>
        <w:tc>
          <w:tcPr>
            <w:tcW w:w="1024" w:type="pct"/>
            <w:noWrap w:val="0"/>
            <w:vAlign w:val="center"/>
          </w:tcPr>
          <w:p w14:paraId="084380D1">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70</w:t>
            </w:r>
          </w:p>
        </w:tc>
        <w:tc>
          <w:tcPr>
            <w:tcW w:w="1024" w:type="pct"/>
            <w:noWrap w:val="0"/>
            <w:vAlign w:val="center"/>
          </w:tcPr>
          <w:p w14:paraId="7B5450A9">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100</w:t>
            </w:r>
          </w:p>
        </w:tc>
        <w:tc>
          <w:tcPr>
            <w:tcW w:w="706" w:type="pct"/>
            <w:noWrap w:val="0"/>
            <w:vAlign w:val="center"/>
          </w:tcPr>
          <w:p w14:paraId="0865329D">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190</w:t>
            </w:r>
          </w:p>
        </w:tc>
      </w:tr>
      <w:tr w14:paraId="10C24B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3" w:type="pct"/>
            <w:noWrap w:val="0"/>
            <w:vAlign w:val="center"/>
          </w:tcPr>
          <w:p w14:paraId="4BF3A498">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w:t>
            </w:r>
          </w:p>
        </w:tc>
        <w:tc>
          <w:tcPr>
            <w:tcW w:w="1027" w:type="pct"/>
            <w:gridSpan w:val="2"/>
            <w:noWrap w:val="0"/>
            <w:vAlign w:val="center"/>
          </w:tcPr>
          <w:p w14:paraId="7AB37955">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锌</w:t>
            </w:r>
          </w:p>
        </w:tc>
        <w:tc>
          <w:tcPr>
            <w:tcW w:w="703" w:type="pct"/>
            <w:noWrap w:val="0"/>
            <w:vAlign w:val="center"/>
          </w:tcPr>
          <w:p w14:paraId="7D7485ED">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200</w:t>
            </w:r>
          </w:p>
        </w:tc>
        <w:tc>
          <w:tcPr>
            <w:tcW w:w="1024" w:type="pct"/>
            <w:noWrap w:val="0"/>
            <w:vAlign w:val="center"/>
          </w:tcPr>
          <w:p w14:paraId="3C50102A">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200</w:t>
            </w:r>
          </w:p>
        </w:tc>
        <w:tc>
          <w:tcPr>
            <w:tcW w:w="1024" w:type="pct"/>
            <w:noWrap w:val="0"/>
            <w:vAlign w:val="center"/>
          </w:tcPr>
          <w:p w14:paraId="6D23DF69">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250</w:t>
            </w:r>
          </w:p>
        </w:tc>
        <w:tc>
          <w:tcPr>
            <w:tcW w:w="706" w:type="pct"/>
            <w:noWrap w:val="0"/>
            <w:vAlign w:val="center"/>
          </w:tcPr>
          <w:p w14:paraId="4E04BC42">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300</w:t>
            </w:r>
          </w:p>
        </w:tc>
      </w:tr>
      <w:tr w14:paraId="15221B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7"/>
            <w:noWrap w:val="0"/>
            <w:vAlign w:val="center"/>
          </w:tcPr>
          <w:p w14:paraId="56D32F75">
            <w:pPr>
              <w:pStyle w:val="37"/>
              <w:bidi w:val="0"/>
              <w:jc w:val="both"/>
              <w:rPr>
                <w:rFonts w:hint="default" w:ascii="Times New Roman" w:hAnsi="Times New Roman" w:cs="Times New Roman"/>
                <w:color w:val="000000" w:themeColor="text1"/>
                <w:highlight w:val="none"/>
                <w14:textFill>
                  <w14:solidFill>
                    <w14:schemeClr w14:val="tx1"/>
                  </w14:solidFill>
                </w14:textFill>
              </w:rPr>
            </w:pPr>
            <w:bookmarkStart w:id="14" w:name="OLE_LINK150"/>
            <w:r>
              <w:rPr>
                <w:rFonts w:hint="default" w:ascii="Times New Roman" w:hAnsi="Times New Roman" w:cs="Times New Roman"/>
                <w:color w:val="000000" w:themeColor="text1"/>
                <w:highlight w:val="none"/>
                <w14:textFill>
                  <w14:solidFill>
                    <w14:schemeClr w14:val="tx1"/>
                  </w14:solidFill>
                </w14:textFill>
              </w:rPr>
              <w:t>注：①重金属和类金属砷均按元素总量计。</w:t>
            </w:r>
          </w:p>
          <w:p w14:paraId="0D1EEC85">
            <w:pPr>
              <w:pStyle w:val="37"/>
              <w:bidi w:val="0"/>
              <w:jc w:val="both"/>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②对于水旱轮作地，采用其中较严格的风险筛选值。</w:t>
            </w:r>
            <w:bookmarkEnd w:id="14"/>
          </w:p>
        </w:tc>
      </w:tr>
    </w:tbl>
    <w:p w14:paraId="73DBC3ED">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default" w:ascii="Times New Roman" w:hAnsi="Times New Roman" w:eastAsia="宋体" w:cs="Times New Roman"/>
          <w:b/>
          <w:bCs/>
          <w:color w:val="auto"/>
          <w:spacing w:val="0"/>
          <w:position w:val="0"/>
          <w:sz w:val="30"/>
          <w:szCs w:val="30"/>
          <w:lang w:val="en-US" w:eastAsia="zh-CN"/>
        </w:rPr>
        <w:t>2.5.3污染物排放标准</w:t>
      </w:r>
    </w:p>
    <w:p w14:paraId="0FFE6B7A">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pacing w:val="0"/>
          <w:position w:val="0"/>
          <w:sz w:val="24"/>
          <w:szCs w:val="24"/>
        </w:rPr>
      </w:pPr>
      <w:r>
        <w:rPr>
          <w:rFonts w:hint="default" w:ascii="Times New Roman" w:hAnsi="Times New Roman" w:eastAsia="宋体" w:cs="Times New Roman"/>
          <w:color w:val="auto"/>
          <w:spacing w:val="0"/>
          <w:position w:val="0"/>
          <w:sz w:val="24"/>
          <w:szCs w:val="24"/>
        </w:rPr>
        <w:t>（1）废气污染物排放标准</w:t>
      </w:r>
    </w:p>
    <w:p w14:paraId="4EDC5ABB">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FF0000"/>
          <w:spacing w:val="0"/>
          <w:position w:val="0"/>
          <w:sz w:val="36"/>
          <w:szCs w:val="36"/>
          <w:lang w:val="en-US" w:eastAsia="zh-CN"/>
        </w:rPr>
      </w:pPr>
      <w:r>
        <w:rPr>
          <w:rFonts w:hint="default" w:ascii="Times New Roman" w:hAnsi="Times New Roman" w:eastAsia="宋体" w:cs="Times New Roman"/>
          <w:color w:val="auto"/>
          <w:spacing w:val="0"/>
          <w:position w:val="0"/>
          <w:sz w:val="24"/>
          <w:szCs w:val="24"/>
        </w:rPr>
        <w:t>施工</w:t>
      </w:r>
      <w:r>
        <w:rPr>
          <w:rFonts w:hint="default" w:ascii="Times New Roman" w:hAnsi="Times New Roman" w:eastAsia="宋体" w:cs="Times New Roman"/>
          <w:color w:val="auto"/>
          <w:spacing w:val="0"/>
          <w:position w:val="0"/>
          <w:sz w:val="24"/>
          <w:szCs w:val="24"/>
          <w:lang w:eastAsia="zh-CN"/>
        </w:rPr>
        <w:t>期</w:t>
      </w:r>
      <w:r>
        <w:rPr>
          <w:rFonts w:hint="default" w:ascii="Times New Roman" w:hAnsi="Times New Roman" w:eastAsia="宋体" w:cs="Times New Roman"/>
          <w:color w:val="auto"/>
          <w:spacing w:val="0"/>
          <w:position w:val="0"/>
          <w:sz w:val="24"/>
          <w:szCs w:val="24"/>
        </w:rPr>
        <w:t>扬尘排放执行《</w:t>
      </w:r>
      <w:r>
        <w:rPr>
          <w:rFonts w:hint="eastAsia" w:ascii="Times New Roman" w:hAnsi="Times New Roman" w:eastAsia="宋体" w:cs="Times New Roman"/>
          <w:color w:val="auto"/>
          <w:spacing w:val="0"/>
          <w:position w:val="0"/>
          <w:sz w:val="24"/>
          <w:szCs w:val="24"/>
          <w:lang w:eastAsia="zh-CN"/>
        </w:rPr>
        <w:t>大气污染物综合排放标准</w:t>
      </w:r>
      <w:r>
        <w:rPr>
          <w:rFonts w:hint="default" w:ascii="Times New Roman" w:hAnsi="Times New Roman" w:eastAsia="宋体" w:cs="Times New Roman"/>
          <w:color w:val="auto"/>
          <w:spacing w:val="0"/>
          <w:position w:val="0"/>
          <w:sz w:val="24"/>
          <w:szCs w:val="24"/>
        </w:rPr>
        <w:t>》（GB16297-1996）表2中无组织排放标准；</w:t>
      </w:r>
      <w:r>
        <w:rPr>
          <w:rFonts w:hint="eastAsia" w:ascii="Times New Roman" w:hAnsi="Times New Roman" w:eastAsia="宋体" w:cs="Times New Roman"/>
          <w:color w:val="auto"/>
          <w:spacing w:val="0"/>
          <w:position w:val="0"/>
          <w:sz w:val="24"/>
          <w:szCs w:val="24"/>
          <w:lang w:val="en-US" w:eastAsia="zh-CN"/>
        </w:rPr>
        <w:t>运营期注塑、发泡、喷胶废气有组织非甲烷总烃、苯乙烯、丙烯腈、乙苯、甲苯、1，3-丁二烯、酚类、氯苯类、二氯甲烷、氨排放执行《合成树脂工业污染物排放标准》（GB 31572-2015，含2024年修改单）中表4大气污染物排放限值，</w:t>
      </w:r>
      <w:r>
        <w:rPr>
          <w:rFonts w:hint="eastAsia" w:ascii="Times New Roman" w:hAnsi="Times New Roman" w:eastAsia="宋体" w:cs="Times New Roman"/>
          <w:bCs/>
          <w:color w:val="auto"/>
          <w:kern w:val="0"/>
          <w:sz w:val="24"/>
          <w:szCs w:val="24"/>
          <w:lang w:val="en-US" w:eastAsia="zh-CN"/>
        </w:rPr>
        <w:t>臭气浓度执行《恶臭污染物排放标准》（GB14554-93）表2排放标准；</w:t>
      </w:r>
      <w:r>
        <w:rPr>
          <w:rFonts w:hint="eastAsia" w:ascii="Times New Roman" w:hAnsi="Times New Roman" w:eastAsia="宋体" w:cs="Times New Roman"/>
          <w:color w:val="auto"/>
          <w:spacing w:val="0"/>
          <w:position w:val="0"/>
          <w:sz w:val="24"/>
          <w:szCs w:val="24"/>
          <w:lang w:val="en-US" w:eastAsia="zh-CN"/>
        </w:rPr>
        <w:t>喷涂生产车间废气有组织非甲烷总烃、颗粒物排放执行《大气污染物综合排放标准》（GB16297-1996）表2中二级排放限值；天然气燃烧废气烟尘、二氧化硫、氮氧化物、烟气黑度排放浓度满足《工业窑炉大气污染物排放标准》(GB 9078-1996)二级标准限值要求。厂区内非甲烷总烃无组织排放监控点浓度执行《挥发性有机物无组织排放控制标准》（GB37822-2019）中表A.1规定的限值；厂界无组织丙烯腈、酚类、氯苯类参考《大气污染物综合排放标准》（GB16297-1996）无组织限值要求；厂界苯乙烯、臭气浓度、氨执行《恶臭污染物排放标准》（GB14554-93）表1中二级排放标准；厂界无组织颗粒物、甲苯、非甲烷总烃执行《合成树脂工业污染物排放标准》（GB31572-2015）表9企业边界大气污染物浓度限值。</w:t>
      </w:r>
    </w:p>
    <w:p w14:paraId="5A376C03">
      <w:pPr>
        <w:pStyle w:val="13"/>
        <w:keepNext w:val="0"/>
        <w:keepLines w:val="0"/>
        <w:pageBreakBefore w:val="0"/>
        <w:widowControl/>
        <w:numPr>
          <w:ilvl w:val="0"/>
          <w:numId w:val="0"/>
        </w:numPr>
        <w:kinsoku/>
        <w:wordWrap/>
        <w:overflowPunct/>
        <w:topLinePunct w:val="0"/>
        <w:autoSpaceDE/>
        <w:autoSpaceDN/>
        <w:bidi w:val="0"/>
        <w:adjustRightInd/>
        <w:snapToGrid w:val="0"/>
        <w:spacing w:beforeLines="0" w:afterLines="0" w:line="240" w:lineRule="auto"/>
        <w:ind w:right="0" w:right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表2.5-</w:t>
      </w:r>
      <w:r>
        <w:rPr>
          <w:rFonts w:hint="eastAsia" w:ascii="Times New Roman" w:hAnsi="Times New Roman" w:eastAsia="宋体"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lang w:val="en-US" w:eastAsia="zh-CN"/>
        </w:rPr>
        <w:t xml:space="preserve">  </w:t>
      </w:r>
      <w:r>
        <w:rPr>
          <w:rFonts w:hint="eastAsia" w:ascii="Times New Roman" w:hAnsi="Times New Roman" w:eastAsia="宋体" w:cs="Times New Roman"/>
          <w:b/>
          <w:bCs/>
          <w:color w:val="auto"/>
          <w:sz w:val="24"/>
          <w:szCs w:val="24"/>
          <w:highlight w:val="none"/>
          <w:lang w:val="en-US" w:eastAsia="zh-CN"/>
        </w:rPr>
        <w:t>有组织</w:t>
      </w:r>
      <w:r>
        <w:rPr>
          <w:rFonts w:hint="default" w:ascii="Times New Roman" w:hAnsi="Times New Roman" w:eastAsia="宋体" w:cs="Times New Roman"/>
          <w:b/>
          <w:bCs/>
          <w:color w:val="auto"/>
          <w:sz w:val="24"/>
          <w:szCs w:val="24"/>
          <w:highlight w:val="none"/>
          <w:lang w:val="en-US" w:eastAsia="zh-CN"/>
        </w:rPr>
        <w:t>废气污染物排放标准</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9"/>
        <w:gridCol w:w="2426"/>
        <w:gridCol w:w="1641"/>
        <w:gridCol w:w="1124"/>
        <w:gridCol w:w="1009"/>
        <w:gridCol w:w="2009"/>
      </w:tblGrid>
      <w:tr w14:paraId="1D2603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0" w:type="pct"/>
            <w:noWrap w:val="0"/>
            <w:vAlign w:val="center"/>
          </w:tcPr>
          <w:p w14:paraId="12B6BCB2">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工序</w:t>
            </w:r>
          </w:p>
        </w:tc>
        <w:tc>
          <w:tcPr>
            <w:tcW w:w="1305" w:type="pct"/>
            <w:noWrap w:val="0"/>
            <w:vAlign w:val="center"/>
          </w:tcPr>
          <w:p w14:paraId="16D3917A">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污染物名称</w:t>
            </w:r>
          </w:p>
        </w:tc>
        <w:tc>
          <w:tcPr>
            <w:tcW w:w="883" w:type="pct"/>
            <w:noWrap w:val="0"/>
            <w:vAlign w:val="center"/>
          </w:tcPr>
          <w:p w14:paraId="1886D550">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排放限值</w:t>
            </w:r>
          </w:p>
          <w:p w14:paraId="2DFE3D28">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605" w:type="pct"/>
            <w:noWrap w:val="0"/>
            <w:vAlign w:val="center"/>
          </w:tcPr>
          <w:p w14:paraId="4549AF8A">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排放速率</w:t>
            </w:r>
          </w:p>
          <w:p w14:paraId="34AEF85B">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（kg/h）</w:t>
            </w:r>
          </w:p>
        </w:tc>
        <w:tc>
          <w:tcPr>
            <w:tcW w:w="543" w:type="pct"/>
            <w:noWrap w:val="0"/>
            <w:vAlign w:val="center"/>
          </w:tcPr>
          <w:p w14:paraId="0B0DDFEB">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排气筒高度(m)</w:t>
            </w:r>
          </w:p>
        </w:tc>
        <w:tc>
          <w:tcPr>
            <w:tcW w:w="1081" w:type="pct"/>
            <w:noWrap w:val="0"/>
            <w:vAlign w:val="center"/>
          </w:tcPr>
          <w:p w14:paraId="195BE87F">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标准来源</w:t>
            </w:r>
          </w:p>
        </w:tc>
      </w:tr>
      <w:tr w14:paraId="1B4F39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0" w:type="pct"/>
            <w:vMerge w:val="restart"/>
            <w:noWrap w:val="0"/>
            <w:vAlign w:val="center"/>
          </w:tcPr>
          <w:p w14:paraId="5F4C197F">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注塑</w:t>
            </w:r>
          </w:p>
        </w:tc>
        <w:tc>
          <w:tcPr>
            <w:tcW w:w="1305" w:type="pct"/>
            <w:noWrap w:val="0"/>
            <w:vAlign w:val="center"/>
          </w:tcPr>
          <w:p w14:paraId="3D53225A">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非甲烷总烃</w:t>
            </w:r>
          </w:p>
        </w:tc>
        <w:tc>
          <w:tcPr>
            <w:tcW w:w="883" w:type="pct"/>
            <w:noWrap w:val="0"/>
            <w:vAlign w:val="center"/>
          </w:tcPr>
          <w:p w14:paraId="712DCF18">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100</w:t>
            </w:r>
          </w:p>
        </w:tc>
        <w:tc>
          <w:tcPr>
            <w:tcW w:w="605" w:type="pct"/>
            <w:noWrap w:val="0"/>
            <w:vAlign w:val="center"/>
          </w:tcPr>
          <w:p w14:paraId="33125AEB">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43" w:type="pct"/>
            <w:vMerge w:val="restart"/>
            <w:noWrap w:val="0"/>
            <w:vAlign w:val="center"/>
          </w:tcPr>
          <w:p w14:paraId="3F9947D6">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1081" w:type="pct"/>
            <w:vMerge w:val="restart"/>
            <w:noWrap w:val="0"/>
            <w:vAlign w:val="center"/>
          </w:tcPr>
          <w:p w14:paraId="72FB8677">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《合成树脂工业污染物排放标准》（GB31572-2015）表4中标准限值</w:t>
            </w:r>
          </w:p>
        </w:tc>
      </w:tr>
      <w:tr w14:paraId="2296A4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0" w:type="pct"/>
            <w:vMerge w:val="continue"/>
            <w:noWrap w:val="0"/>
            <w:vAlign w:val="center"/>
          </w:tcPr>
          <w:p w14:paraId="65576B21">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pacing w:val="0"/>
                <w:position w:val="0"/>
                <w:sz w:val="21"/>
                <w:szCs w:val="21"/>
                <w:lang w:val="en-US" w:eastAsia="zh-CN"/>
              </w:rPr>
            </w:pPr>
          </w:p>
        </w:tc>
        <w:tc>
          <w:tcPr>
            <w:tcW w:w="1305" w:type="pct"/>
            <w:noWrap w:val="0"/>
            <w:vAlign w:val="center"/>
          </w:tcPr>
          <w:p w14:paraId="1BAEFCFA">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pacing w:val="0"/>
                <w:position w:val="0"/>
                <w:sz w:val="21"/>
                <w:szCs w:val="21"/>
                <w:lang w:val="en-US" w:eastAsia="zh-CN"/>
              </w:rPr>
              <w:t>苯乙烯</w:t>
            </w:r>
          </w:p>
        </w:tc>
        <w:tc>
          <w:tcPr>
            <w:tcW w:w="883" w:type="pct"/>
            <w:noWrap w:val="0"/>
            <w:vAlign w:val="center"/>
          </w:tcPr>
          <w:p w14:paraId="69F6DD19">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605" w:type="pct"/>
            <w:noWrap w:val="0"/>
            <w:vAlign w:val="center"/>
          </w:tcPr>
          <w:p w14:paraId="5A91FA44">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43" w:type="pct"/>
            <w:vMerge w:val="continue"/>
            <w:noWrap w:val="0"/>
            <w:vAlign w:val="center"/>
          </w:tcPr>
          <w:p w14:paraId="126A7D59">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081" w:type="pct"/>
            <w:vMerge w:val="continue"/>
            <w:noWrap w:val="0"/>
            <w:vAlign w:val="center"/>
          </w:tcPr>
          <w:p w14:paraId="26AF71FB">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5A6201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0" w:type="pct"/>
            <w:vMerge w:val="continue"/>
            <w:noWrap w:val="0"/>
            <w:vAlign w:val="center"/>
          </w:tcPr>
          <w:p w14:paraId="0CE3A67D">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pacing w:val="0"/>
                <w:position w:val="0"/>
                <w:sz w:val="21"/>
                <w:szCs w:val="21"/>
                <w:lang w:val="en-US" w:eastAsia="zh-CN"/>
              </w:rPr>
            </w:pPr>
          </w:p>
        </w:tc>
        <w:tc>
          <w:tcPr>
            <w:tcW w:w="1305" w:type="pct"/>
            <w:noWrap w:val="0"/>
            <w:vAlign w:val="center"/>
          </w:tcPr>
          <w:p w14:paraId="4EE9A6DC">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eastAsia" w:ascii="Times New Roman" w:hAnsi="Times New Roman" w:eastAsia="宋体" w:cs="Times New Roman"/>
                <w:color w:val="auto"/>
                <w:spacing w:val="0"/>
                <w:position w:val="0"/>
                <w:sz w:val="21"/>
                <w:szCs w:val="21"/>
                <w:lang w:val="en-US" w:eastAsia="zh-CN"/>
              </w:rPr>
              <w:t>丙烯腈</w:t>
            </w:r>
          </w:p>
        </w:tc>
        <w:tc>
          <w:tcPr>
            <w:tcW w:w="883" w:type="pct"/>
            <w:noWrap w:val="0"/>
            <w:vAlign w:val="center"/>
          </w:tcPr>
          <w:p w14:paraId="56ADF1F0">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605" w:type="pct"/>
            <w:noWrap w:val="0"/>
            <w:vAlign w:val="center"/>
          </w:tcPr>
          <w:p w14:paraId="6DC528BC">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543" w:type="pct"/>
            <w:vMerge w:val="continue"/>
            <w:noWrap w:val="0"/>
            <w:vAlign w:val="center"/>
          </w:tcPr>
          <w:p w14:paraId="2140ED09">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081" w:type="pct"/>
            <w:vMerge w:val="continue"/>
            <w:noWrap w:val="0"/>
            <w:vAlign w:val="center"/>
          </w:tcPr>
          <w:p w14:paraId="4879CEE8">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1428E4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0" w:type="pct"/>
            <w:vMerge w:val="continue"/>
            <w:shd w:val="clear" w:color="auto" w:fill="auto"/>
            <w:noWrap w:val="0"/>
            <w:vAlign w:val="center"/>
          </w:tcPr>
          <w:p w14:paraId="2ABDEA09">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pacing w:val="0"/>
                <w:position w:val="0"/>
                <w:sz w:val="21"/>
                <w:szCs w:val="21"/>
                <w:lang w:val="en-US" w:eastAsia="zh-CN"/>
              </w:rPr>
            </w:pPr>
          </w:p>
        </w:tc>
        <w:tc>
          <w:tcPr>
            <w:tcW w:w="1305" w:type="pct"/>
            <w:shd w:val="clear" w:color="auto" w:fill="auto"/>
            <w:noWrap w:val="0"/>
            <w:vAlign w:val="center"/>
          </w:tcPr>
          <w:p w14:paraId="53903671">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color w:val="auto"/>
                <w:spacing w:val="0"/>
                <w:position w:val="0"/>
                <w:sz w:val="21"/>
                <w:szCs w:val="21"/>
                <w:lang w:val="en-US" w:eastAsia="zh-CN"/>
              </w:rPr>
              <w:t>1,3-丁二烯</w:t>
            </w:r>
          </w:p>
        </w:tc>
        <w:tc>
          <w:tcPr>
            <w:tcW w:w="883" w:type="pct"/>
            <w:shd w:val="clear" w:color="auto" w:fill="auto"/>
            <w:noWrap w:val="0"/>
            <w:vAlign w:val="center"/>
          </w:tcPr>
          <w:p w14:paraId="41EDE7DE">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c>
          <w:tcPr>
            <w:tcW w:w="605" w:type="pct"/>
            <w:noWrap w:val="0"/>
            <w:vAlign w:val="center"/>
          </w:tcPr>
          <w:p w14:paraId="66E65FF5">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543" w:type="pct"/>
            <w:vMerge w:val="continue"/>
            <w:noWrap w:val="0"/>
            <w:vAlign w:val="center"/>
          </w:tcPr>
          <w:p w14:paraId="6F96B107">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081" w:type="pct"/>
            <w:vMerge w:val="continue"/>
            <w:noWrap w:val="0"/>
            <w:vAlign w:val="center"/>
          </w:tcPr>
          <w:p w14:paraId="1A724994">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3DB21F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0" w:type="pct"/>
            <w:vMerge w:val="continue"/>
            <w:shd w:val="clear" w:color="auto" w:fill="auto"/>
            <w:noWrap w:val="0"/>
            <w:vAlign w:val="center"/>
          </w:tcPr>
          <w:p w14:paraId="52085B51">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pacing w:val="0"/>
                <w:position w:val="0"/>
                <w:sz w:val="21"/>
                <w:szCs w:val="21"/>
                <w:lang w:val="en-US" w:eastAsia="zh-CN"/>
              </w:rPr>
            </w:pPr>
          </w:p>
        </w:tc>
        <w:tc>
          <w:tcPr>
            <w:tcW w:w="1305" w:type="pct"/>
            <w:shd w:val="clear" w:color="auto" w:fill="auto"/>
            <w:noWrap w:val="0"/>
            <w:vAlign w:val="center"/>
          </w:tcPr>
          <w:p w14:paraId="7B60353E">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eastAsia" w:ascii="Times New Roman" w:hAnsi="Times New Roman" w:eastAsia="宋体" w:cs="Times New Roman"/>
                <w:color w:val="auto"/>
                <w:spacing w:val="0"/>
                <w:position w:val="0"/>
                <w:sz w:val="21"/>
                <w:szCs w:val="21"/>
                <w:lang w:val="en-US" w:eastAsia="zh-CN"/>
              </w:rPr>
              <w:t>酚类</w:t>
            </w:r>
          </w:p>
        </w:tc>
        <w:tc>
          <w:tcPr>
            <w:tcW w:w="883" w:type="pct"/>
            <w:shd w:val="clear" w:color="auto" w:fill="auto"/>
            <w:noWrap w:val="0"/>
            <w:vAlign w:val="center"/>
          </w:tcPr>
          <w:p w14:paraId="3C99C564">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w:t>
            </w:r>
          </w:p>
        </w:tc>
        <w:tc>
          <w:tcPr>
            <w:tcW w:w="605" w:type="pct"/>
            <w:noWrap w:val="0"/>
            <w:vAlign w:val="center"/>
          </w:tcPr>
          <w:p w14:paraId="52A36CD7">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543" w:type="pct"/>
            <w:vMerge w:val="continue"/>
            <w:noWrap w:val="0"/>
            <w:vAlign w:val="center"/>
          </w:tcPr>
          <w:p w14:paraId="5C900F93">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081" w:type="pct"/>
            <w:vMerge w:val="continue"/>
            <w:noWrap w:val="0"/>
            <w:vAlign w:val="center"/>
          </w:tcPr>
          <w:p w14:paraId="491CA1D9">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1DC00B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0" w:type="pct"/>
            <w:vMerge w:val="continue"/>
            <w:shd w:val="clear" w:color="auto" w:fill="auto"/>
            <w:noWrap w:val="0"/>
            <w:vAlign w:val="center"/>
          </w:tcPr>
          <w:p w14:paraId="0B73AEC8">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p>
        </w:tc>
        <w:tc>
          <w:tcPr>
            <w:tcW w:w="1305" w:type="pct"/>
            <w:shd w:val="clear" w:color="auto" w:fill="auto"/>
            <w:noWrap w:val="0"/>
            <w:vAlign w:val="center"/>
          </w:tcPr>
          <w:p w14:paraId="0336CF10">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氨</w:t>
            </w:r>
          </w:p>
        </w:tc>
        <w:tc>
          <w:tcPr>
            <w:tcW w:w="883" w:type="pct"/>
            <w:shd w:val="clear" w:color="auto" w:fill="auto"/>
            <w:noWrap w:val="0"/>
            <w:vAlign w:val="center"/>
          </w:tcPr>
          <w:p w14:paraId="64D5B335">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30</w:t>
            </w:r>
          </w:p>
        </w:tc>
        <w:tc>
          <w:tcPr>
            <w:tcW w:w="605" w:type="pct"/>
            <w:noWrap w:val="0"/>
            <w:vAlign w:val="center"/>
          </w:tcPr>
          <w:p w14:paraId="00518CBF">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543" w:type="pct"/>
            <w:vMerge w:val="continue"/>
            <w:noWrap w:val="0"/>
            <w:vAlign w:val="center"/>
          </w:tcPr>
          <w:p w14:paraId="7DE59322">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081" w:type="pct"/>
            <w:vMerge w:val="continue"/>
            <w:noWrap w:val="0"/>
            <w:vAlign w:val="center"/>
          </w:tcPr>
          <w:p w14:paraId="147B7DF9">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23B913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0" w:type="pct"/>
            <w:vMerge w:val="continue"/>
            <w:noWrap w:val="0"/>
            <w:vAlign w:val="center"/>
          </w:tcPr>
          <w:p w14:paraId="72DF3A0A">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pacing w:val="0"/>
                <w:position w:val="0"/>
                <w:sz w:val="21"/>
                <w:szCs w:val="21"/>
                <w:lang w:val="en-US" w:eastAsia="zh-CN"/>
              </w:rPr>
            </w:pPr>
          </w:p>
        </w:tc>
        <w:tc>
          <w:tcPr>
            <w:tcW w:w="1305" w:type="pct"/>
            <w:noWrap w:val="0"/>
            <w:vAlign w:val="center"/>
          </w:tcPr>
          <w:p w14:paraId="3F560036">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pacing w:val="0"/>
                <w:position w:val="0"/>
                <w:sz w:val="21"/>
                <w:szCs w:val="21"/>
                <w:lang w:val="en-US" w:eastAsia="zh-CN"/>
              </w:rPr>
              <w:t>甲苯</w:t>
            </w:r>
          </w:p>
        </w:tc>
        <w:tc>
          <w:tcPr>
            <w:tcW w:w="883" w:type="pct"/>
            <w:noWrap w:val="0"/>
            <w:vAlign w:val="center"/>
          </w:tcPr>
          <w:p w14:paraId="0E571E9B">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605" w:type="pct"/>
            <w:noWrap w:val="0"/>
            <w:vAlign w:val="center"/>
          </w:tcPr>
          <w:p w14:paraId="409C205E">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543" w:type="pct"/>
            <w:vMerge w:val="continue"/>
            <w:noWrap w:val="0"/>
            <w:vAlign w:val="center"/>
          </w:tcPr>
          <w:p w14:paraId="224B1532">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081" w:type="pct"/>
            <w:vMerge w:val="continue"/>
            <w:noWrap w:val="0"/>
            <w:vAlign w:val="center"/>
          </w:tcPr>
          <w:p w14:paraId="684BC868">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0E586E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0" w:type="pct"/>
            <w:vMerge w:val="continue"/>
            <w:noWrap w:val="0"/>
            <w:vAlign w:val="center"/>
          </w:tcPr>
          <w:p w14:paraId="61ADE7F7">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pacing w:val="0"/>
                <w:position w:val="0"/>
                <w:sz w:val="21"/>
                <w:szCs w:val="21"/>
                <w:lang w:val="en-US" w:eastAsia="zh-CN"/>
              </w:rPr>
            </w:pPr>
          </w:p>
        </w:tc>
        <w:tc>
          <w:tcPr>
            <w:tcW w:w="1305" w:type="pct"/>
            <w:noWrap w:val="0"/>
            <w:vAlign w:val="center"/>
          </w:tcPr>
          <w:p w14:paraId="762C990B">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pacing w:val="0"/>
                <w:position w:val="0"/>
                <w:sz w:val="21"/>
                <w:szCs w:val="21"/>
                <w:lang w:val="en-US" w:eastAsia="zh-CN"/>
              </w:rPr>
              <w:t>乙苯</w:t>
            </w:r>
          </w:p>
        </w:tc>
        <w:tc>
          <w:tcPr>
            <w:tcW w:w="883" w:type="pct"/>
            <w:noWrap w:val="0"/>
            <w:vAlign w:val="center"/>
          </w:tcPr>
          <w:p w14:paraId="5457AE45">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w:t>
            </w:r>
          </w:p>
        </w:tc>
        <w:tc>
          <w:tcPr>
            <w:tcW w:w="605" w:type="pct"/>
            <w:noWrap w:val="0"/>
            <w:vAlign w:val="center"/>
          </w:tcPr>
          <w:p w14:paraId="23F808FF">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543" w:type="pct"/>
            <w:vMerge w:val="continue"/>
            <w:noWrap w:val="0"/>
            <w:vAlign w:val="center"/>
          </w:tcPr>
          <w:p w14:paraId="5EAC22A6">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081" w:type="pct"/>
            <w:vMerge w:val="continue"/>
            <w:noWrap w:val="0"/>
            <w:vAlign w:val="center"/>
          </w:tcPr>
          <w:p w14:paraId="113B99D1">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75F369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0" w:type="pct"/>
            <w:vMerge w:val="continue"/>
            <w:noWrap w:val="0"/>
            <w:vAlign w:val="center"/>
          </w:tcPr>
          <w:p w14:paraId="5336CE1E">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pacing w:val="0"/>
                <w:position w:val="0"/>
                <w:sz w:val="21"/>
                <w:szCs w:val="21"/>
                <w:lang w:val="en-US" w:eastAsia="zh-CN"/>
              </w:rPr>
            </w:pPr>
          </w:p>
        </w:tc>
        <w:tc>
          <w:tcPr>
            <w:tcW w:w="1305" w:type="pct"/>
            <w:noWrap w:val="0"/>
            <w:vAlign w:val="center"/>
          </w:tcPr>
          <w:p w14:paraId="37EFB418">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pacing w:val="0"/>
                <w:position w:val="0"/>
                <w:sz w:val="21"/>
                <w:szCs w:val="21"/>
                <w:lang w:val="en-US" w:eastAsia="zh-CN"/>
              </w:rPr>
              <w:t>氯苯类</w:t>
            </w:r>
          </w:p>
        </w:tc>
        <w:tc>
          <w:tcPr>
            <w:tcW w:w="883" w:type="pct"/>
            <w:noWrap w:val="0"/>
            <w:vAlign w:val="center"/>
          </w:tcPr>
          <w:p w14:paraId="01884347">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605" w:type="pct"/>
            <w:noWrap w:val="0"/>
            <w:vAlign w:val="center"/>
          </w:tcPr>
          <w:p w14:paraId="4759DF4E">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543" w:type="pct"/>
            <w:vMerge w:val="continue"/>
            <w:noWrap w:val="0"/>
            <w:vAlign w:val="center"/>
          </w:tcPr>
          <w:p w14:paraId="2F0F4673">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081" w:type="pct"/>
            <w:vMerge w:val="continue"/>
            <w:noWrap w:val="0"/>
            <w:vAlign w:val="center"/>
          </w:tcPr>
          <w:p w14:paraId="1126FBDF">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68D652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0" w:type="pct"/>
            <w:vMerge w:val="continue"/>
            <w:noWrap w:val="0"/>
            <w:vAlign w:val="center"/>
          </w:tcPr>
          <w:p w14:paraId="0BB449BB">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pacing w:val="0"/>
                <w:position w:val="0"/>
                <w:sz w:val="21"/>
                <w:szCs w:val="21"/>
                <w:lang w:val="en-US" w:eastAsia="zh-CN"/>
              </w:rPr>
            </w:pPr>
          </w:p>
        </w:tc>
        <w:tc>
          <w:tcPr>
            <w:tcW w:w="1305" w:type="pct"/>
            <w:noWrap w:val="0"/>
            <w:vAlign w:val="center"/>
          </w:tcPr>
          <w:p w14:paraId="5DBE57B7">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pacing w:val="0"/>
                <w:position w:val="0"/>
                <w:sz w:val="21"/>
                <w:szCs w:val="21"/>
                <w:lang w:val="en-US" w:eastAsia="zh-CN"/>
              </w:rPr>
              <w:t>二氯甲烷</w:t>
            </w:r>
            <w:r>
              <w:rPr>
                <w:rFonts w:hint="eastAsia" w:ascii="Times New Roman" w:hAnsi="Times New Roman" w:eastAsia="宋体" w:cs="Times New Roman"/>
                <w:color w:val="auto"/>
                <w:spacing w:val="0"/>
                <w:position w:val="0"/>
                <w:sz w:val="21"/>
                <w:szCs w:val="21"/>
                <w:vertAlign w:val="superscript"/>
                <w:lang w:val="en-US" w:eastAsia="zh-CN"/>
              </w:rPr>
              <w:t>（1）</w:t>
            </w:r>
          </w:p>
        </w:tc>
        <w:tc>
          <w:tcPr>
            <w:tcW w:w="883" w:type="pct"/>
            <w:noWrap w:val="0"/>
            <w:vAlign w:val="center"/>
          </w:tcPr>
          <w:p w14:paraId="13F594D2">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w:t>
            </w:r>
          </w:p>
        </w:tc>
        <w:tc>
          <w:tcPr>
            <w:tcW w:w="605" w:type="pct"/>
            <w:noWrap w:val="0"/>
            <w:vAlign w:val="center"/>
          </w:tcPr>
          <w:p w14:paraId="1E9754A7">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543" w:type="pct"/>
            <w:vMerge w:val="continue"/>
            <w:noWrap w:val="0"/>
            <w:vAlign w:val="center"/>
          </w:tcPr>
          <w:p w14:paraId="1DEBD5F7">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081" w:type="pct"/>
            <w:vMerge w:val="continue"/>
            <w:noWrap w:val="0"/>
            <w:vAlign w:val="center"/>
          </w:tcPr>
          <w:p w14:paraId="3704A0AC">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600BAF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0" w:type="pct"/>
            <w:vMerge w:val="continue"/>
            <w:noWrap w:val="0"/>
            <w:vAlign w:val="center"/>
          </w:tcPr>
          <w:p w14:paraId="58D476C8">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pacing w:val="0"/>
                <w:position w:val="0"/>
                <w:sz w:val="21"/>
                <w:szCs w:val="21"/>
                <w:lang w:val="en-US" w:eastAsia="zh-CN"/>
              </w:rPr>
            </w:pPr>
          </w:p>
        </w:tc>
        <w:tc>
          <w:tcPr>
            <w:tcW w:w="1305" w:type="pct"/>
            <w:noWrap w:val="0"/>
            <w:vAlign w:val="center"/>
          </w:tcPr>
          <w:p w14:paraId="3CFC8CB7">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eastAsia" w:ascii="Times New Roman" w:hAnsi="Times New Roman" w:eastAsia="宋体" w:cs="Times New Roman"/>
                <w:color w:val="auto"/>
                <w:spacing w:val="0"/>
                <w:position w:val="0"/>
                <w:sz w:val="21"/>
                <w:szCs w:val="21"/>
                <w:lang w:val="en-US" w:eastAsia="zh-CN"/>
              </w:rPr>
              <w:t>臭气浓度</w:t>
            </w:r>
          </w:p>
        </w:tc>
        <w:tc>
          <w:tcPr>
            <w:tcW w:w="883" w:type="pct"/>
            <w:noWrap w:val="0"/>
            <w:vAlign w:val="center"/>
          </w:tcPr>
          <w:p w14:paraId="04A1A572">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2000（无量纲）</w:t>
            </w:r>
          </w:p>
        </w:tc>
        <w:tc>
          <w:tcPr>
            <w:tcW w:w="605" w:type="pct"/>
            <w:noWrap w:val="0"/>
            <w:vAlign w:val="center"/>
          </w:tcPr>
          <w:p w14:paraId="1DE708FE">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p>
        </w:tc>
        <w:tc>
          <w:tcPr>
            <w:tcW w:w="543" w:type="pct"/>
            <w:vMerge w:val="continue"/>
            <w:noWrap w:val="0"/>
            <w:vAlign w:val="center"/>
          </w:tcPr>
          <w:p w14:paraId="13537842">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081" w:type="pct"/>
            <w:noWrap w:val="0"/>
            <w:vAlign w:val="center"/>
          </w:tcPr>
          <w:p w14:paraId="6D774A4E">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《恶臭污染物排放标准》（GB14554-93）表2排放标准</w:t>
            </w:r>
          </w:p>
        </w:tc>
      </w:tr>
      <w:tr w14:paraId="7E75D0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0" w:type="pct"/>
            <w:vMerge w:val="restart"/>
            <w:noWrap w:val="0"/>
            <w:vAlign w:val="center"/>
          </w:tcPr>
          <w:p w14:paraId="45BC53F4">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eastAsia" w:ascii="Times New Roman" w:hAnsi="Times New Roman" w:eastAsia="宋体" w:cs="Times New Roman"/>
                <w:color w:val="auto"/>
                <w:spacing w:val="0"/>
                <w:position w:val="0"/>
                <w:sz w:val="21"/>
                <w:szCs w:val="21"/>
                <w:lang w:val="en-US" w:eastAsia="zh-CN"/>
              </w:rPr>
              <w:t>喷涂</w:t>
            </w:r>
          </w:p>
        </w:tc>
        <w:tc>
          <w:tcPr>
            <w:tcW w:w="1305" w:type="pct"/>
            <w:noWrap w:val="0"/>
            <w:vAlign w:val="center"/>
          </w:tcPr>
          <w:p w14:paraId="21205228">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eastAsia" w:ascii="Times New Roman" w:hAnsi="Times New Roman" w:eastAsia="宋体" w:cs="Times New Roman"/>
                <w:color w:val="auto"/>
                <w:spacing w:val="0"/>
                <w:position w:val="0"/>
                <w:sz w:val="21"/>
                <w:szCs w:val="21"/>
                <w:lang w:val="en-US" w:eastAsia="zh-CN"/>
              </w:rPr>
              <w:t>非甲烷总烃</w:t>
            </w:r>
          </w:p>
        </w:tc>
        <w:tc>
          <w:tcPr>
            <w:tcW w:w="883" w:type="pct"/>
            <w:shd w:val="clear" w:color="auto" w:fill="auto"/>
            <w:noWrap w:val="0"/>
            <w:vAlign w:val="center"/>
          </w:tcPr>
          <w:p w14:paraId="36AEE46C">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120</w:t>
            </w:r>
          </w:p>
        </w:tc>
        <w:tc>
          <w:tcPr>
            <w:tcW w:w="605" w:type="pct"/>
            <w:shd w:val="clear" w:color="auto" w:fill="auto"/>
            <w:noWrap w:val="0"/>
            <w:vAlign w:val="center"/>
          </w:tcPr>
          <w:p w14:paraId="3270AF76">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26</w:t>
            </w:r>
          </w:p>
        </w:tc>
        <w:tc>
          <w:tcPr>
            <w:tcW w:w="543" w:type="pct"/>
            <w:vMerge w:val="restart"/>
            <w:noWrap w:val="0"/>
            <w:vAlign w:val="center"/>
          </w:tcPr>
          <w:p w14:paraId="76A6915E">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22.5</w:t>
            </w:r>
          </w:p>
        </w:tc>
        <w:tc>
          <w:tcPr>
            <w:tcW w:w="1081" w:type="pct"/>
            <w:vMerge w:val="restart"/>
            <w:noWrap w:val="0"/>
            <w:vAlign w:val="center"/>
          </w:tcPr>
          <w:p w14:paraId="56F629B5">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《大气污染物综合排放标准》（GB16297-1996）表2中二级排放限值</w:t>
            </w:r>
          </w:p>
        </w:tc>
      </w:tr>
      <w:tr w14:paraId="416987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0" w:type="pct"/>
            <w:vMerge w:val="continue"/>
            <w:noWrap w:val="0"/>
            <w:vAlign w:val="center"/>
          </w:tcPr>
          <w:p w14:paraId="70AF851A">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pacing w:val="0"/>
                <w:position w:val="0"/>
                <w:sz w:val="21"/>
                <w:szCs w:val="21"/>
                <w:lang w:val="en-US" w:eastAsia="zh-CN"/>
              </w:rPr>
            </w:pPr>
          </w:p>
        </w:tc>
        <w:tc>
          <w:tcPr>
            <w:tcW w:w="1305" w:type="pct"/>
            <w:noWrap w:val="0"/>
            <w:vAlign w:val="center"/>
          </w:tcPr>
          <w:p w14:paraId="08A3D969">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eastAsia" w:ascii="Times New Roman" w:hAnsi="Times New Roman" w:eastAsia="宋体" w:cs="Times New Roman"/>
                <w:color w:val="auto"/>
                <w:spacing w:val="0"/>
                <w:position w:val="0"/>
                <w:sz w:val="21"/>
                <w:szCs w:val="21"/>
                <w:lang w:val="en-US" w:eastAsia="zh-CN"/>
              </w:rPr>
              <w:t>颗粒物</w:t>
            </w:r>
          </w:p>
        </w:tc>
        <w:tc>
          <w:tcPr>
            <w:tcW w:w="883" w:type="pct"/>
            <w:shd w:val="clear" w:color="auto" w:fill="auto"/>
            <w:noWrap w:val="0"/>
            <w:vAlign w:val="center"/>
          </w:tcPr>
          <w:p w14:paraId="1F64CCCD">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120</w:t>
            </w:r>
          </w:p>
        </w:tc>
        <w:tc>
          <w:tcPr>
            <w:tcW w:w="605" w:type="pct"/>
            <w:shd w:val="clear" w:color="auto" w:fill="auto"/>
            <w:noWrap w:val="0"/>
            <w:vAlign w:val="center"/>
          </w:tcPr>
          <w:p w14:paraId="3F5983A0">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10.004</w:t>
            </w:r>
          </w:p>
        </w:tc>
        <w:tc>
          <w:tcPr>
            <w:tcW w:w="543" w:type="pct"/>
            <w:vMerge w:val="continue"/>
            <w:shd w:val="clear" w:color="auto" w:fill="auto"/>
            <w:noWrap w:val="0"/>
            <w:vAlign w:val="center"/>
          </w:tcPr>
          <w:p w14:paraId="0929B03E">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1081" w:type="pct"/>
            <w:vMerge w:val="continue"/>
            <w:noWrap w:val="0"/>
            <w:vAlign w:val="center"/>
          </w:tcPr>
          <w:p w14:paraId="7A53C684">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63B32C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0" w:type="pct"/>
            <w:vMerge w:val="restart"/>
            <w:noWrap w:val="0"/>
            <w:vAlign w:val="center"/>
          </w:tcPr>
          <w:p w14:paraId="28B28561">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eastAsia" w:ascii="Times New Roman" w:hAnsi="Times New Roman" w:eastAsia="宋体" w:cs="Times New Roman"/>
                <w:color w:val="auto"/>
                <w:spacing w:val="0"/>
                <w:position w:val="0"/>
                <w:sz w:val="21"/>
                <w:szCs w:val="21"/>
                <w:lang w:val="en-US" w:eastAsia="zh-CN"/>
              </w:rPr>
              <w:t>天然气燃烧</w:t>
            </w:r>
          </w:p>
        </w:tc>
        <w:tc>
          <w:tcPr>
            <w:tcW w:w="1305" w:type="pct"/>
            <w:noWrap w:val="0"/>
            <w:vAlign w:val="center"/>
          </w:tcPr>
          <w:p w14:paraId="7603F705">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eastAsia" w:ascii="Times New Roman" w:hAnsi="Times New Roman" w:eastAsia="宋体" w:cs="Times New Roman"/>
                <w:color w:val="auto"/>
                <w:spacing w:val="0"/>
                <w:position w:val="0"/>
                <w:sz w:val="21"/>
                <w:szCs w:val="21"/>
                <w:lang w:val="en-US" w:eastAsia="zh-CN"/>
              </w:rPr>
              <w:t>烟尘</w:t>
            </w:r>
          </w:p>
        </w:tc>
        <w:tc>
          <w:tcPr>
            <w:tcW w:w="883" w:type="pct"/>
            <w:noWrap w:val="0"/>
            <w:vAlign w:val="center"/>
          </w:tcPr>
          <w:p w14:paraId="2057A1F2">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w:t>
            </w:r>
          </w:p>
        </w:tc>
        <w:tc>
          <w:tcPr>
            <w:tcW w:w="605" w:type="pct"/>
            <w:noWrap w:val="0"/>
            <w:vAlign w:val="center"/>
          </w:tcPr>
          <w:p w14:paraId="1A2A361F">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43" w:type="pct"/>
            <w:vMerge w:val="restart"/>
            <w:noWrap w:val="0"/>
            <w:vAlign w:val="center"/>
          </w:tcPr>
          <w:p w14:paraId="6BFB8A1F">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20.5</w:t>
            </w:r>
          </w:p>
        </w:tc>
        <w:tc>
          <w:tcPr>
            <w:tcW w:w="1081" w:type="pct"/>
            <w:vMerge w:val="restart"/>
            <w:noWrap w:val="0"/>
            <w:vAlign w:val="center"/>
          </w:tcPr>
          <w:p w14:paraId="6102E37F">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《工业窑炉大气污染物排放标准》(GB 9078-1996)二级标准限值要求</w:t>
            </w:r>
          </w:p>
        </w:tc>
      </w:tr>
      <w:tr w14:paraId="6579F7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0" w:type="pct"/>
            <w:vMerge w:val="continue"/>
            <w:noWrap w:val="0"/>
            <w:vAlign w:val="center"/>
          </w:tcPr>
          <w:p w14:paraId="7763E56E">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pacing w:val="0"/>
                <w:position w:val="0"/>
                <w:sz w:val="21"/>
                <w:szCs w:val="21"/>
                <w:lang w:val="en-US" w:eastAsia="zh-CN"/>
              </w:rPr>
            </w:pPr>
          </w:p>
        </w:tc>
        <w:tc>
          <w:tcPr>
            <w:tcW w:w="1305" w:type="pct"/>
            <w:noWrap w:val="0"/>
            <w:vAlign w:val="center"/>
          </w:tcPr>
          <w:p w14:paraId="2F662C2A">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eastAsia" w:ascii="Times New Roman" w:hAnsi="Times New Roman" w:eastAsia="宋体" w:cs="Times New Roman"/>
                <w:color w:val="auto"/>
                <w:spacing w:val="0"/>
                <w:position w:val="0"/>
                <w:sz w:val="21"/>
                <w:szCs w:val="21"/>
                <w:lang w:val="en-US" w:eastAsia="zh-CN"/>
              </w:rPr>
              <w:t>二氧化硫</w:t>
            </w:r>
          </w:p>
        </w:tc>
        <w:tc>
          <w:tcPr>
            <w:tcW w:w="883" w:type="pct"/>
            <w:noWrap w:val="0"/>
            <w:vAlign w:val="center"/>
          </w:tcPr>
          <w:p w14:paraId="36510F78">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850</w:t>
            </w:r>
          </w:p>
        </w:tc>
        <w:tc>
          <w:tcPr>
            <w:tcW w:w="605" w:type="pct"/>
            <w:noWrap w:val="0"/>
            <w:vAlign w:val="center"/>
          </w:tcPr>
          <w:p w14:paraId="1E543B3B">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43" w:type="pct"/>
            <w:vMerge w:val="continue"/>
            <w:noWrap w:val="0"/>
            <w:vAlign w:val="center"/>
          </w:tcPr>
          <w:p w14:paraId="49019E85">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081" w:type="pct"/>
            <w:vMerge w:val="continue"/>
            <w:noWrap w:val="0"/>
            <w:vAlign w:val="center"/>
          </w:tcPr>
          <w:p w14:paraId="247B31D8">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627F92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0" w:type="pct"/>
            <w:vMerge w:val="continue"/>
            <w:noWrap w:val="0"/>
            <w:vAlign w:val="center"/>
          </w:tcPr>
          <w:p w14:paraId="60B5206D">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pacing w:val="0"/>
                <w:position w:val="0"/>
                <w:sz w:val="21"/>
                <w:szCs w:val="21"/>
                <w:lang w:val="en-US" w:eastAsia="zh-CN"/>
              </w:rPr>
            </w:pPr>
          </w:p>
        </w:tc>
        <w:tc>
          <w:tcPr>
            <w:tcW w:w="1305" w:type="pct"/>
            <w:noWrap w:val="0"/>
            <w:vAlign w:val="center"/>
          </w:tcPr>
          <w:p w14:paraId="2BA1D3C3">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eastAsia" w:ascii="Times New Roman" w:hAnsi="Times New Roman" w:eastAsia="宋体" w:cs="Times New Roman"/>
                <w:color w:val="auto"/>
                <w:spacing w:val="0"/>
                <w:position w:val="0"/>
                <w:sz w:val="21"/>
                <w:szCs w:val="21"/>
                <w:lang w:val="en-US" w:eastAsia="zh-CN"/>
              </w:rPr>
              <w:t>氮氧化物</w:t>
            </w:r>
          </w:p>
        </w:tc>
        <w:tc>
          <w:tcPr>
            <w:tcW w:w="883" w:type="pct"/>
            <w:noWrap w:val="0"/>
            <w:vAlign w:val="center"/>
          </w:tcPr>
          <w:p w14:paraId="17B00361">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605" w:type="pct"/>
            <w:noWrap w:val="0"/>
            <w:vAlign w:val="center"/>
          </w:tcPr>
          <w:p w14:paraId="0321C3F7">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43" w:type="pct"/>
            <w:vMerge w:val="continue"/>
            <w:noWrap w:val="0"/>
            <w:vAlign w:val="center"/>
          </w:tcPr>
          <w:p w14:paraId="7628B392">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081" w:type="pct"/>
            <w:vMerge w:val="continue"/>
            <w:noWrap w:val="0"/>
            <w:vAlign w:val="center"/>
          </w:tcPr>
          <w:p w14:paraId="5EB59CED">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3AC026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0" w:type="pct"/>
            <w:vMerge w:val="continue"/>
            <w:noWrap w:val="0"/>
            <w:vAlign w:val="center"/>
          </w:tcPr>
          <w:p w14:paraId="69AD8D4F">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pacing w:val="0"/>
                <w:position w:val="0"/>
                <w:sz w:val="21"/>
                <w:szCs w:val="21"/>
                <w:lang w:val="en-US" w:eastAsia="zh-CN"/>
              </w:rPr>
            </w:pPr>
          </w:p>
        </w:tc>
        <w:tc>
          <w:tcPr>
            <w:tcW w:w="1305" w:type="pct"/>
            <w:noWrap w:val="0"/>
            <w:vAlign w:val="center"/>
          </w:tcPr>
          <w:p w14:paraId="5F85DAD3">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eastAsia" w:ascii="Times New Roman" w:hAnsi="Times New Roman" w:eastAsia="宋体" w:cs="Times New Roman"/>
                <w:color w:val="auto"/>
                <w:spacing w:val="0"/>
                <w:position w:val="0"/>
                <w:sz w:val="21"/>
                <w:szCs w:val="21"/>
                <w:lang w:val="en-US" w:eastAsia="zh-CN"/>
              </w:rPr>
              <w:t>烟气黑度（林格曼黑度，级）</w:t>
            </w:r>
          </w:p>
        </w:tc>
        <w:tc>
          <w:tcPr>
            <w:tcW w:w="883" w:type="pct"/>
            <w:noWrap w:val="0"/>
            <w:vAlign w:val="center"/>
          </w:tcPr>
          <w:p w14:paraId="1741ABB3">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605" w:type="pct"/>
            <w:noWrap w:val="0"/>
            <w:vAlign w:val="center"/>
          </w:tcPr>
          <w:p w14:paraId="75DDC20D">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43" w:type="pct"/>
            <w:vMerge w:val="continue"/>
            <w:noWrap w:val="0"/>
            <w:vAlign w:val="center"/>
          </w:tcPr>
          <w:p w14:paraId="0333050D">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081" w:type="pct"/>
            <w:vMerge w:val="continue"/>
            <w:noWrap w:val="0"/>
            <w:vAlign w:val="center"/>
          </w:tcPr>
          <w:p w14:paraId="48285A50">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bl>
    <w:p w14:paraId="10CBD34C">
      <w:pPr>
        <w:pStyle w:val="13"/>
        <w:keepNext w:val="0"/>
        <w:keepLines w:val="0"/>
        <w:pageBreakBefore w:val="0"/>
        <w:widowControl/>
        <w:numPr>
          <w:ilvl w:val="0"/>
          <w:numId w:val="0"/>
        </w:numPr>
        <w:kinsoku/>
        <w:wordWrap/>
        <w:overflowPunct/>
        <w:topLinePunct w:val="0"/>
        <w:autoSpaceDE/>
        <w:autoSpaceDN/>
        <w:bidi w:val="0"/>
        <w:adjustRightInd/>
        <w:snapToGrid w:val="0"/>
        <w:spacing w:beforeLines="0" w:afterLines="0" w:line="240" w:lineRule="auto"/>
        <w:ind w:right="0" w:rightChars="0"/>
        <w:jc w:val="both"/>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snapToGrid w:val="0"/>
          <w:color w:val="auto"/>
          <w:spacing w:val="0"/>
          <w:kern w:val="0"/>
          <w:position w:val="0"/>
          <w:sz w:val="21"/>
          <w:szCs w:val="21"/>
          <w:lang w:val="en-US" w:eastAsia="zh-CN" w:bidi="ar-SA"/>
        </w:rPr>
        <w:t>注：待国家污染物监测方法标准发布后实施。</w:t>
      </w:r>
    </w:p>
    <w:p w14:paraId="0766FBCE">
      <w:pPr>
        <w:pStyle w:val="13"/>
        <w:keepNext w:val="0"/>
        <w:keepLines w:val="0"/>
        <w:pageBreakBefore w:val="0"/>
        <w:widowControl/>
        <w:numPr>
          <w:ilvl w:val="0"/>
          <w:numId w:val="0"/>
        </w:numPr>
        <w:kinsoku/>
        <w:wordWrap/>
        <w:overflowPunct/>
        <w:topLinePunct w:val="0"/>
        <w:autoSpaceDE/>
        <w:autoSpaceDN/>
        <w:bidi w:val="0"/>
        <w:adjustRightInd/>
        <w:snapToGrid w:val="0"/>
        <w:spacing w:beforeLines="0" w:afterLines="0" w:line="240" w:lineRule="auto"/>
        <w:ind w:right="0" w:right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表2.5-</w:t>
      </w:r>
      <w:r>
        <w:rPr>
          <w:rFonts w:hint="eastAsia" w:ascii="Times New Roman" w:hAnsi="Times New Roman" w:eastAsia="宋体"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lang w:val="en-US" w:eastAsia="zh-CN"/>
        </w:rPr>
        <w:t xml:space="preserve">  </w:t>
      </w:r>
      <w:r>
        <w:rPr>
          <w:rFonts w:hint="eastAsia" w:ascii="Times New Roman" w:hAnsi="Times New Roman" w:eastAsia="宋体" w:cs="Times New Roman"/>
          <w:b/>
          <w:bCs/>
          <w:color w:val="auto"/>
          <w:sz w:val="24"/>
          <w:szCs w:val="24"/>
          <w:highlight w:val="none"/>
          <w:lang w:val="en-US" w:eastAsia="zh-CN"/>
        </w:rPr>
        <w:t>无组织</w:t>
      </w:r>
      <w:r>
        <w:rPr>
          <w:rFonts w:hint="default" w:ascii="Times New Roman" w:hAnsi="Times New Roman" w:eastAsia="宋体" w:cs="Times New Roman"/>
          <w:b/>
          <w:bCs/>
          <w:color w:val="auto"/>
          <w:sz w:val="24"/>
          <w:szCs w:val="24"/>
          <w:highlight w:val="none"/>
          <w:lang w:val="en-US" w:eastAsia="zh-CN"/>
        </w:rPr>
        <w:t>废气污染物排放标准</w:t>
      </w:r>
    </w:p>
    <w:tbl>
      <w:tblPr>
        <w:tblStyle w:val="41"/>
        <w:tblW w:w="4997"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165"/>
        <w:gridCol w:w="3574"/>
        <w:gridCol w:w="1540"/>
        <w:gridCol w:w="1228"/>
        <w:gridCol w:w="1560"/>
      </w:tblGrid>
      <w:tr w14:paraId="6EE705B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42" w:type="pct"/>
            <w:vMerge w:val="restart"/>
            <w:tcBorders>
              <w:tl2br w:val="nil"/>
              <w:tr2bl w:val="nil"/>
            </w:tcBorders>
            <w:vAlign w:val="center"/>
          </w:tcPr>
          <w:p w14:paraId="25F077A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7"/>
                <w:sz w:val="21"/>
                <w:szCs w:val="21"/>
                <w:highlight w:val="none"/>
              </w:rPr>
              <w:t>排放方式</w:t>
            </w:r>
          </w:p>
        </w:tc>
        <w:tc>
          <w:tcPr>
            <w:tcW w:w="1970" w:type="pct"/>
            <w:vMerge w:val="restart"/>
            <w:tcBorders>
              <w:tl2br w:val="nil"/>
              <w:tr2bl w:val="nil"/>
            </w:tcBorders>
            <w:vAlign w:val="center"/>
          </w:tcPr>
          <w:p w14:paraId="428EE5D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7"/>
                <w:sz w:val="21"/>
                <w:szCs w:val="21"/>
                <w:highlight w:val="none"/>
              </w:rPr>
              <w:t>执行标准</w:t>
            </w:r>
          </w:p>
        </w:tc>
        <w:tc>
          <w:tcPr>
            <w:tcW w:w="849" w:type="pct"/>
            <w:vMerge w:val="restart"/>
            <w:tcBorders>
              <w:tl2br w:val="nil"/>
              <w:tr2bl w:val="nil"/>
            </w:tcBorders>
            <w:vAlign w:val="center"/>
          </w:tcPr>
          <w:p w14:paraId="384CD12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7"/>
                <w:sz w:val="21"/>
                <w:szCs w:val="21"/>
                <w:highlight w:val="none"/>
              </w:rPr>
              <w:t>污染物名称</w:t>
            </w:r>
          </w:p>
        </w:tc>
        <w:tc>
          <w:tcPr>
            <w:tcW w:w="1537" w:type="pct"/>
            <w:gridSpan w:val="2"/>
            <w:tcBorders>
              <w:tl2br w:val="nil"/>
              <w:tr2bl w:val="nil"/>
            </w:tcBorders>
            <w:vAlign w:val="center"/>
          </w:tcPr>
          <w:p w14:paraId="66B7AE2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9"/>
                <w:sz w:val="21"/>
                <w:szCs w:val="21"/>
                <w:highlight w:val="none"/>
              </w:rPr>
              <w:t>无组织排放监控浓度限值</w:t>
            </w:r>
          </w:p>
        </w:tc>
      </w:tr>
      <w:tr w14:paraId="2BB50AD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42" w:type="pct"/>
            <w:vMerge w:val="continue"/>
            <w:tcBorders>
              <w:tl2br w:val="nil"/>
              <w:tr2bl w:val="nil"/>
            </w:tcBorders>
            <w:vAlign w:val="center"/>
          </w:tcPr>
          <w:p w14:paraId="52BCE62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highlight w:val="none"/>
              </w:rPr>
            </w:pPr>
          </w:p>
        </w:tc>
        <w:tc>
          <w:tcPr>
            <w:tcW w:w="1970" w:type="pct"/>
            <w:vMerge w:val="continue"/>
            <w:tcBorders>
              <w:tl2br w:val="nil"/>
              <w:tr2bl w:val="nil"/>
            </w:tcBorders>
            <w:vAlign w:val="center"/>
          </w:tcPr>
          <w:p w14:paraId="24A2846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highlight w:val="none"/>
              </w:rPr>
            </w:pPr>
          </w:p>
        </w:tc>
        <w:tc>
          <w:tcPr>
            <w:tcW w:w="849" w:type="pct"/>
            <w:vMerge w:val="continue"/>
            <w:tcBorders>
              <w:tl2br w:val="nil"/>
              <w:tr2bl w:val="nil"/>
            </w:tcBorders>
            <w:vAlign w:val="center"/>
          </w:tcPr>
          <w:p w14:paraId="220CCCA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highlight w:val="none"/>
              </w:rPr>
            </w:pPr>
          </w:p>
        </w:tc>
        <w:tc>
          <w:tcPr>
            <w:tcW w:w="677" w:type="pct"/>
            <w:tcBorders>
              <w:tl2br w:val="nil"/>
              <w:tr2bl w:val="nil"/>
            </w:tcBorders>
            <w:vAlign w:val="center"/>
          </w:tcPr>
          <w:p w14:paraId="5FC27C5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6"/>
                <w:sz w:val="21"/>
                <w:szCs w:val="21"/>
                <w:highlight w:val="none"/>
              </w:rPr>
              <w:t>监控点</w:t>
            </w:r>
          </w:p>
        </w:tc>
        <w:tc>
          <w:tcPr>
            <w:tcW w:w="860" w:type="pct"/>
            <w:tcBorders>
              <w:tl2br w:val="nil"/>
              <w:tr2bl w:val="nil"/>
            </w:tcBorders>
            <w:vAlign w:val="center"/>
          </w:tcPr>
          <w:p w14:paraId="332A62D6">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pacing w:val="6"/>
                <w:sz w:val="21"/>
                <w:szCs w:val="21"/>
                <w:highlight w:val="none"/>
              </w:rPr>
              <w:t>浓度</w:t>
            </w:r>
            <w:r>
              <w:rPr>
                <w:rFonts w:hint="default" w:ascii="Times New Roman" w:hAnsi="Times New Roman" w:cs="Times New Roman"/>
                <w:color w:val="auto"/>
                <w:spacing w:val="6"/>
                <w:sz w:val="21"/>
                <w:szCs w:val="21"/>
                <w:highlight w:val="none"/>
              </w:rPr>
              <w:t>(</w:t>
            </w:r>
            <w:r>
              <w:rPr>
                <w:rFonts w:hint="default" w:ascii="Times New Roman" w:hAnsi="Times New Roman" w:cs="Times New Roman"/>
                <w:color w:val="auto"/>
                <w:sz w:val="21"/>
                <w:szCs w:val="21"/>
                <w:highlight w:val="none"/>
              </w:rPr>
              <w:t>mg</w:t>
            </w:r>
            <w:r>
              <w:rPr>
                <w:rFonts w:hint="default" w:ascii="Times New Roman" w:hAnsi="Times New Roman" w:cs="Times New Roman"/>
                <w:color w:val="auto"/>
                <w:spacing w:val="6"/>
                <w:sz w:val="21"/>
                <w:szCs w:val="21"/>
                <w:highlight w:val="none"/>
              </w:rPr>
              <w:t>/m</w:t>
            </w:r>
            <w:r>
              <w:rPr>
                <w:rFonts w:hint="default" w:ascii="Times New Roman" w:hAnsi="Times New Roman" w:cs="Times New Roman"/>
                <w:color w:val="auto"/>
                <w:spacing w:val="6"/>
                <w:sz w:val="21"/>
                <w:szCs w:val="21"/>
                <w:highlight w:val="none"/>
                <w:vertAlign w:val="superscript"/>
              </w:rPr>
              <w:t>3</w:t>
            </w:r>
            <w:r>
              <w:rPr>
                <w:rFonts w:hint="default" w:ascii="Times New Roman" w:hAnsi="Times New Roman" w:cs="Times New Roman"/>
                <w:color w:val="auto"/>
                <w:spacing w:val="6"/>
                <w:sz w:val="21"/>
                <w:szCs w:val="21"/>
                <w:highlight w:val="none"/>
              </w:rPr>
              <w:t>)</w:t>
            </w:r>
          </w:p>
        </w:tc>
      </w:tr>
      <w:tr w14:paraId="332AB32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42" w:type="pct"/>
            <w:vMerge w:val="restart"/>
            <w:tcBorders>
              <w:tl2br w:val="nil"/>
              <w:tr2bl w:val="nil"/>
            </w:tcBorders>
            <w:vAlign w:val="center"/>
          </w:tcPr>
          <w:p w14:paraId="23B2099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6"/>
                <w:position w:val="7"/>
                <w:sz w:val="21"/>
                <w:szCs w:val="21"/>
                <w:highlight w:val="none"/>
              </w:rPr>
              <w:t>无组织</w:t>
            </w:r>
          </w:p>
          <w:p w14:paraId="3ACF54E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rPr>
              <w:t>排放</w:t>
            </w:r>
          </w:p>
        </w:tc>
        <w:tc>
          <w:tcPr>
            <w:tcW w:w="1970" w:type="pct"/>
            <w:vMerge w:val="restart"/>
            <w:tcBorders>
              <w:tl2br w:val="nil"/>
              <w:tr2bl w:val="nil"/>
            </w:tcBorders>
            <w:vAlign w:val="center"/>
          </w:tcPr>
          <w:p w14:paraId="7D56C27E">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rPr>
            </w:pPr>
            <w:r>
              <w:rPr>
                <w:rFonts w:hint="eastAsia"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合成树脂工业污染物排放标准》（GB31572-2015）</w:t>
            </w:r>
            <w:r>
              <w:rPr>
                <w:rFonts w:hint="default" w:ascii="Times New Roman" w:hAnsi="Times New Roman" w:eastAsia="宋体" w:cs="Times New Roman"/>
                <w:color w:val="auto"/>
                <w:sz w:val="21"/>
                <w:szCs w:val="21"/>
                <w:highlight w:val="none"/>
                <w:lang w:val="en-US" w:eastAsia="zh-CN"/>
              </w:rPr>
              <w:t>表9企业边界大气污染物浓度限值</w:t>
            </w:r>
          </w:p>
        </w:tc>
        <w:tc>
          <w:tcPr>
            <w:tcW w:w="849" w:type="pct"/>
            <w:tcBorders>
              <w:tl2br w:val="nil"/>
              <w:tr2bl w:val="nil"/>
            </w:tcBorders>
            <w:vAlign w:val="center"/>
          </w:tcPr>
          <w:p w14:paraId="4F46C31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color w:val="auto"/>
                <w:spacing w:val="7"/>
                <w:sz w:val="21"/>
                <w:szCs w:val="21"/>
                <w:highlight w:val="none"/>
                <w:lang w:val="en-US" w:eastAsia="zh-CN"/>
              </w:rPr>
            </w:pPr>
            <w:r>
              <w:rPr>
                <w:rFonts w:hint="eastAsia" w:ascii="Times New Roman" w:hAnsi="Times New Roman" w:eastAsia="宋体" w:cs="Times New Roman"/>
                <w:color w:val="auto"/>
                <w:spacing w:val="7"/>
                <w:sz w:val="21"/>
                <w:szCs w:val="21"/>
                <w:highlight w:val="none"/>
                <w:lang w:val="en-US" w:eastAsia="zh-CN"/>
              </w:rPr>
              <w:t>颗粒物</w:t>
            </w:r>
          </w:p>
        </w:tc>
        <w:tc>
          <w:tcPr>
            <w:tcW w:w="677" w:type="pct"/>
            <w:vMerge w:val="restart"/>
            <w:tcBorders>
              <w:tl2br w:val="nil"/>
              <w:tr2bl w:val="nil"/>
            </w:tcBorders>
            <w:vAlign w:val="center"/>
          </w:tcPr>
          <w:p w14:paraId="457855C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7"/>
                <w:sz w:val="21"/>
                <w:szCs w:val="21"/>
                <w:highlight w:val="none"/>
                <w:lang w:val="en-US" w:eastAsia="zh-CN"/>
              </w:rPr>
            </w:pPr>
            <w:r>
              <w:rPr>
                <w:rFonts w:hint="eastAsia" w:ascii="Times New Roman" w:hAnsi="Times New Roman" w:eastAsia="宋体" w:cs="Times New Roman"/>
                <w:color w:val="auto"/>
                <w:spacing w:val="7"/>
                <w:sz w:val="21"/>
                <w:szCs w:val="21"/>
                <w:highlight w:val="none"/>
                <w:lang w:val="en-US" w:eastAsia="zh-CN"/>
              </w:rPr>
              <w:t>厂界</w:t>
            </w:r>
          </w:p>
        </w:tc>
        <w:tc>
          <w:tcPr>
            <w:tcW w:w="860" w:type="pct"/>
            <w:tcBorders>
              <w:tl2br w:val="nil"/>
              <w:tr2bl w:val="nil"/>
            </w:tcBorders>
            <w:vAlign w:val="center"/>
          </w:tcPr>
          <w:p w14:paraId="783BDED9">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pacing w:val="-4"/>
                <w:sz w:val="21"/>
                <w:szCs w:val="21"/>
                <w:highlight w:val="none"/>
              </w:rPr>
            </w:pPr>
            <w:r>
              <w:rPr>
                <w:rFonts w:hint="eastAsia" w:ascii="Times New Roman" w:hAnsi="Times New Roman" w:eastAsia="宋体" w:cs="Times New Roman"/>
                <w:color w:val="auto"/>
                <w:spacing w:val="7"/>
                <w:sz w:val="21"/>
                <w:szCs w:val="21"/>
                <w:highlight w:val="none"/>
                <w:lang w:val="en-US" w:eastAsia="zh-CN"/>
              </w:rPr>
              <w:t>1.0</w:t>
            </w:r>
          </w:p>
        </w:tc>
      </w:tr>
      <w:tr w14:paraId="1ECCFB5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42" w:type="pct"/>
            <w:vMerge w:val="continue"/>
            <w:tcBorders>
              <w:tl2br w:val="nil"/>
              <w:tr2bl w:val="nil"/>
            </w:tcBorders>
            <w:vAlign w:val="center"/>
          </w:tcPr>
          <w:p w14:paraId="5601FE3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rPr>
            </w:pPr>
          </w:p>
        </w:tc>
        <w:tc>
          <w:tcPr>
            <w:tcW w:w="1970" w:type="pct"/>
            <w:vMerge w:val="continue"/>
            <w:tcBorders>
              <w:tl2br w:val="nil"/>
              <w:tr2bl w:val="nil"/>
            </w:tcBorders>
            <w:vAlign w:val="center"/>
          </w:tcPr>
          <w:p w14:paraId="73338576">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rPr>
            </w:pPr>
          </w:p>
        </w:tc>
        <w:tc>
          <w:tcPr>
            <w:tcW w:w="849" w:type="pct"/>
            <w:tcBorders>
              <w:tl2br w:val="nil"/>
              <w:tr2bl w:val="nil"/>
            </w:tcBorders>
            <w:vAlign w:val="center"/>
          </w:tcPr>
          <w:p w14:paraId="4EB32FD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color w:val="auto"/>
                <w:spacing w:val="7"/>
                <w:sz w:val="21"/>
                <w:szCs w:val="21"/>
                <w:highlight w:val="none"/>
                <w:lang w:val="en-US" w:eastAsia="zh-CN"/>
              </w:rPr>
            </w:pPr>
            <w:r>
              <w:rPr>
                <w:rFonts w:hint="eastAsia" w:ascii="Times New Roman" w:hAnsi="Times New Roman" w:eastAsia="宋体" w:cs="Times New Roman"/>
                <w:color w:val="auto"/>
                <w:spacing w:val="7"/>
                <w:sz w:val="21"/>
                <w:szCs w:val="21"/>
                <w:highlight w:val="none"/>
                <w:lang w:val="en-US" w:eastAsia="zh-CN"/>
              </w:rPr>
              <w:t>非甲烷总烃</w:t>
            </w:r>
          </w:p>
        </w:tc>
        <w:tc>
          <w:tcPr>
            <w:tcW w:w="677" w:type="pct"/>
            <w:vMerge w:val="continue"/>
            <w:tcBorders>
              <w:tl2br w:val="nil"/>
              <w:tr2bl w:val="nil"/>
            </w:tcBorders>
            <w:vAlign w:val="center"/>
          </w:tcPr>
          <w:p w14:paraId="5EBA3C9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7"/>
                <w:sz w:val="21"/>
                <w:szCs w:val="21"/>
                <w:highlight w:val="none"/>
              </w:rPr>
            </w:pPr>
          </w:p>
        </w:tc>
        <w:tc>
          <w:tcPr>
            <w:tcW w:w="860" w:type="pct"/>
            <w:tcBorders>
              <w:tl2br w:val="nil"/>
              <w:tr2bl w:val="nil"/>
            </w:tcBorders>
            <w:vAlign w:val="center"/>
          </w:tcPr>
          <w:p w14:paraId="3BF6B554">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lang w:val="en-US" w:eastAsia="zh-CN"/>
              </w:rPr>
            </w:pPr>
            <w:r>
              <w:rPr>
                <w:rFonts w:hint="eastAsia" w:eastAsia="宋体" w:cs="Times New Roman"/>
                <w:color w:val="auto"/>
                <w:spacing w:val="-4"/>
                <w:sz w:val="21"/>
                <w:szCs w:val="21"/>
                <w:highlight w:val="none"/>
                <w:lang w:val="en-US" w:eastAsia="zh-CN"/>
              </w:rPr>
              <w:t>4.0</w:t>
            </w:r>
          </w:p>
        </w:tc>
      </w:tr>
      <w:tr w14:paraId="6834724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42" w:type="pct"/>
            <w:vMerge w:val="continue"/>
            <w:tcBorders>
              <w:tl2br w:val="nil"/>
              <w:tr2bl w:val="nil"/>
            </w:tcBorders>
            <w:vAlign w:val="center"/>
          </w:tcPr>
          <w:p w14:paraId="28ACEF1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rPr>
            </w:pPr>
          </w:p>
        </w:tc>
        <w:tc>
          <w:tcPr>
            <w:tcW w:w="1970" w:type="pct"/>
            <w:vMerge w:val="continue"/>
            <w:tcBorders>
              <w:tl2br w:val="nil"/>
              <w:tr2bl w:val="nil"/>
            </w:tcBorders>
            <w:vAlign w:val="center"/>
          </w:tcPr>
          <w:p w14:paraId="1F6CE97E">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rPr>
            </w:pPr>
          </w:p>
        </w:tc>
        <w:tc>
          <w:tcPr>
            <w:tcW w:w="849" w:type="pct"/>
            <w:tcBorders>
              <w:tl2br w:val="nil"/>
              <w:tr2bl w:val="nil"/>
            </w:tcBorders>
            <w:vAlign w:val="center"/>
          </w:tcPr>
          <w:p w14:paraId="2FE030C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color w:val="auto"/>
                <w:spacing w:val="7"/>
                <w:sz w:val="21"/>
                <w:szCs w:val="21"/>
                <w:highlight w:val="none"/>
                <w:lang w:val="en-US" w:eastAsia="zh-CN"/>
              </w:rPr>
            </w:pPr>
            <w:r>
              <w:rPr>
                <w:rFonts w:hint="eastAsia" w:ascii="Times New Roman" w:hAnsi="Times New Roman" w:eastAsia="宋体" w:cs="Times New Roman"/>
                <w:color w:val="auto"/>
                <w:spacing w:val="7"/>
                <w:sz w:val="21"/>
                <w:szCs w:val="21"/>
                <w:highlight w:val="none"/>
                <w:lang w:val="en-US" w:eastAsia="zh-CN"/>
              </w:rPr>
              <w:t>甲苯</w:t>
            </w:r>
          </w:p>
        </w:tc>
        <w:tc>
          <w:tcPr>
            <w:tcW w:w="677" w:type="pct"/>
            <w:vMerge w:val="continue"/>
            <w:tcBorders>
              <w:tl2br w:val="nil"/>
              <w:tr2bl w:val="nil"/>
            </w:tcBorders>
            <w:vAlign w:val="center"/>
          </w:tcPr>
          <w:p w14:paraId="51B693E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7"/>
                <w:sz w:val="21"/>
                <w:szCs w:val="21"/>
                <w:highlight w:val="none"/>
              </w:rPr>
            </w:pPr>
          </w:p>
        </w:tc>
        <w:tc>
          <w:tcPr>
            <w:tcW w:w="860" w:type="pct"/>
            <w:tcBorders>
              <w:tl2br w:val="nil"/>
              <w:tr2bl w:val="nil"/>
            </w:tcBorders>
            <w:vAlign w:val="center"/>
          </w:tcPr>
          <w:p w14:paraId="531E896C">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lang w:val="en-US" w:eastAsia="zh-CN"/>
              </w:rPr>
            </w:pPr>
            <w:r>
              <w:rPr>
                <w:rFonts w:hint="eastAsia" w:eastAsia="宋体" w:cs="Times New Roman"/>
                <w:color w:val="auto"/>
                <w:spacing w:val="-4"/>
                <w:sz w:val="21"/>
                <w:szCs w:val="21"/>
                <w:highlight w:val="none"/>
                <w:lang w:val="en-US" w:eastAsia="zh-CN"/>
              </w:rPr>
              <w:t>0.8</w:t>
            </w:r>
          </w:p>
        </w:tc>
      </w:tr>
      <w:tr w14:paraId="50A69E6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42" w:type="pct"/>
            <w:vMerge w:val="continue"/>
            <w:tcBorders>
              <w:tl2br w:val="nil"/>
              <w:tr2bl w:val="nil"/>
            </w:tcBorders>
            <w:vAlign w:val="center"/>
          </w:tcPr>
          <w:p w14:paraId="0D27CA4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rPr>
            </w:pPr>
          </w:p>
        </w:tc>
        <w:tc>
          <w:tcPr>
            <w:tcW w:w="1970" w:type="pct"/>
            <w:vMerge w:val="restart"/>
            <w:tcBorders>
              <w:tl2br w:val="nil"/>
              <w:tr2bl w:val="nil"/>
            </w:tcBorders>
            <w:vAlign w:val="center"/>
          </w:tcPr>
          <w:p w14:paraId="1731453C">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rPr>
            </w:pPr>
            <w:r>
              <w:rPr>
                <w:rFonts w:hint="eastAsia" w:eastAsia="宋体" w:cs="Times New Roman"/>
                <w:color w:val="auto"/>
                <w:sz w:val="21"/>
                <w:szCs w:val="21"/>
                <w:highlight w:val="none"/>
                <w:lang w:val="en-US" w:eastAsia="zh-CN"/>
              </w:rPr>
              <w:t>《恶臭污染物排放标准》（GB14554-93）表1中二级排放标准</w:t>
            </w:r>
          </w:p>
        </w:tc>
        <w:tc>
          <w:tcPr>
            <w:tcW w:w="849" w:type="pct"/>
            <w:tcBorders>
              <w:tl2br w:val="nil"/>
              <w:tr2bl w:val="nil"/>
            </w:tcBorders>
            <w:vAlign w:val="center"/>
          </w:tcPr>
          <w:p w14:paraId="70F75F4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color w:val="auto"/>
                <w:spacing w:val="7"/>
                <w:sz w:val="21"/>
                <w:szCs w:val="21"/>
                <w:highlight w:val="none"/>
                <w:lang w:val="en-US" w:eastAsia="zh-CN"/>
              </w:rPr>
            </w:pPr>
            <w:r>
              <w:rPr>
                <w:rFonts w:hint="eastAsia" w:ascii="Times New Roman" w:hAnsi="Times New Roman" w:eastAsia="宋体" w:cs="Times New Roman"/>
                <w:color w:val="auto"/>
                <w:spacing w:val="7"/>
                <w:sz w:val="21"/>
                <w:szCs w:val="21"/>
                <w:highlight w:val="none"/>
                <w:lang w:val="en-US" w:eastAsia="zh-CN"/>
              </w:rPr>
              <w:t>臭气浓度</w:t>
            </w:r>
          </w:p>
        </w:tc>
        <w:tc>
          <w:tcPr>
            <w:tcW w:w="677" w:type="pct"/>
            <w:vMerge w:val="restart"/>
            <w:tcBorders>
              <w:tl2br w:val="nil"/>
              <w:tr2bl w:val="nil"/>
            </w:tcBorders>
            <w:vAlign w:val="center"/>
          </w:tcPr>
          <w:p w14:paraId="28F8F08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7"/>
                <w:sz w:val="21"/>
                <w:szCs w:val="21"/>
                <w:highlight w:val="none"/>
                <w:lang w:val="en-US" w:eastAsia="zh-CN"/>
              </w:rPr>
            </w:pPr>
            <w:r>
              <w:rPr>
                <w:rFonts w:hint="eastAsia" w:ascii="Times New Roman" w:hAnsi="Times New Roman" w:eastAsia="宋体" w:cs="Times New Roman"/>
                <w:color w:val="auto"/>
                <w:spacing w:val="7"/>
                <w:sz w:val="21"/>
                <w:szCs w:val="21"/>
                <w:highlight w:val="none"/>
                <w:lang w:val="en-US" w:eastAsia="zh-CN"/>
              </w:rPr>
              <w:t>厂界</w:t>
            </w:r>
          </w:p>
        </w:tc>
        <w:tc>
          <w:tcPr>
            <w:tcW w:w="860" w:type="pct"/>
            <w:tcBorders>
              <w:tl2br w:val="nil"/>
              <w:tr2bl w:val="nil"/>
            </w:tcBorders>
            <w:vAlign w:val="center"/>
          </w:tcPr>
          <w:p w14:paraId="2FC06738">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lang w:val="en-US" w:eastAsia="zh-CN"/>
              </w:rPr>
            </w:pPr>
            <w:r>
              <w:rPr>
                <w:rFonts w:hint="eastAsia" w:eastAsia="宋体" w:cs="Times New Roman"/>
                <w:color w:val="auto"/>
                <w:spacing w:val="-4"/>
                <w:sz w:val="21"/>
                <w:szCs w:val="21"/>
                <w:highlight w:val="none"/>
                <w:lang w:val="en-US" w:eastAsia="zh-CN"/>
              </w:rPr>
              <w:t>20</w:t>
            </w:r>
          </w:p>
        </w:tc>
      </w:tr>
      <w:tr w14:paraId="59328C2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42" w:type="pct"/>
            <w:vMerge w:val="continue"/>
            <w:tcBorders>
              <w:tl2br w:val="nil"/>
              <w:tr2bl w:val="nil"/>
            </w:tcBorders>
            <w:vAlign w:val="center"/>
          </w:tcPr>
          <w:p w14:paraId="0B09FB3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rPr>
            </w:pPr>
          </w:p>
        </w:tc>
        <w:tc>
          <w:tcPr>
            <w:tcW w:w="1970" w:type="pct"/>
            <w:vMerge w:val="continue"/>
            <w:tcBorders>
              <w:tl2br w:val="nil"/>
              <w:tr2bl w:val="nil"/>
            </w:tcBorders>
            <w:vAlign w:val="center"/>
          </w:tcPr>
          <w:p w14:paraId="2637DC5E">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bCs/>
                <w:color w:val="auto"/>
                <w:kern w:val="0"/>
                <w:sz w:val="24"/>
                <w:szCs w:val="24"/>
                <w:lang w:val="en-US" w:eastAsia="zh-CN"/>
              </w:rPr>
            </w:pPr>
          </w:p>
        </w:tc>
        <w:tc>
          <w:tcPr>
            <w:tcW w:w="849" w:type="pct"/>
            <w:tcBorders>
              <w:tl2br w:val="nil"/>
              <w:tr2bl w:val="nil"/>
            </w:tcBorders>
            <w:vAlign w:val="center"/>
          </w:tcPr>
          <w:p w14:paraId="79FE404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苯乙烯</w:t>
            </w:r>
          </w:p>
        </w:tc>
        <w:tc>
          <w:tcPr>
            <w:tcW w:w="677" w:type="pct"/>
            <w:vMerge w:val="continue"/>
            <w:tcBorders>
              <w:tl2br w:val="nil"/>
              <w:tr2bl w:val="nil"/>
            </w:tcBorders>
            <w:vAlign w:val="center"/>
          </w:tcPr>
          <w:p w14:paraId="0FA41C8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7"/>
                <w:sz w:val="21"/>
                <w:szCs w:val="21"/>
                <w:highlight w:val="none"/>
                <w:lang w:val="en-US" w:eastAsia="zh-CN"/>
              </w:rPr>
            </w:pPr>
          </w:p>
        </w:tc>
        <w:tc>
          <w:tcPr>
            <w:tcW w:w="860" w:type="pct"/>
            <w:tcBorders>
              <w:tl2br w:val="nil"/>
              <w:tr2bl w:val="nil"/>
            </w:tcBorders>
            <w:vAlign w:val="center"/>
          </w:tcPr>
          <w:p w14:paraId="069AC414">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5.0</w:t>
            </w:r>
          </w:p>
        </w:tc>
      </w:tr>
      <w:tr w14:paraId="78B65C8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42" w:type="pct"/>
            <w:vMerge w:val="continue"/>
            <w:tcBorders>
              <w:tl2br w:val="nil"/>
              <w:tr2bl w:val="nil"/>
            </w:tcBorders>
            <w:vAlign w:val="center"/>
          </w:tcPr>
          <w:p w14:paraId="3208940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rPr>
            </w:pPr>
          </w:p>
        </w:tc>
        <w:tc>
          <w:tcPr>
            <w:tcW w:w="1970" w:type="pct"/>
            <w:vMerge w:val="continue"/>
            <w:tcBorders>
              <w:tl2br w:val="nil"/>
              <w:tr2bl w:val="nil"/>
            </w:tcBorders>
            <w:vAlign w:val="center"/>
          </w:tcPr>
          <w:p w14:paraId="604FA40A">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bCs/>
                <w:color w:val="auto"/>
                <w:kern w:val="0"/>
                <w:sz w:val="24"/>
                <w:szCs w:val="24"/>
                <w:lang w:val="en-US" w:eastAsia="zh-CN"/>
              </w:rPr>
            </w:pPr>
          </w:p>
        </w:tc>
        <w:tc>
          <w:tcPr>
            <w:tcW w:w="849" w:type="pct"/>
            <w:tcBorders>
              <w:tl2br w:val="nil"/>
              <w:tr2bl w:val="nil"/>
            </w:tcBorders>
            <w:vAlign w:val="center"/>
          </w:tcPr>
          <w:p w14:paraId="59B907F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color w:val="auto"/>
                <w:spacing w:val="7"/>
                <w:sz w:val="21"/>
                <w:szCs w:val="21"/>
                <w:highlight w:val="none"/>
                <w:lang w:val="en-US" w:eastAsia="zh-CN"/>
              </w:rPr>
            </w:pPr>
            <w:r>
              <w:rPr>
                <w:rFonts w:hint="default" w:ascii="Times New Roman" w:hAnsi="Times New Roman" w:eastAsia="宋体" w:cs="Times New Roman"/>
                <w:color w:val="auto"/>
                <w:spacing w:val="4"/>
                <w:sz w:val="21"/>
                <w:szCs w:val="21"/>
                <w:highlight w:val="none"/>
              </w:rPr>
              <w:t>氨</w:t>
            </w:r>
          </w:p>
        </w:tc>
        <w:tc>
          <w:tcPr>
            <w:tcW w:w="677" w:type="pct"/>
            <w:vMerge w:val="continue"/>
            <w:tcBorders>
              <w:tl2br w:val="nil"/>
              <w:tr2bl w:val="nil"/>
            </w:tcBorders>
            <w:vAlign w:val="center"/>
          </w:tcPr>
          <w:p w14:paraId="024F5BA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7"/>
                <w:sz w:val="21"/>
                <w:szCs w:val="21"/>
                <w:highlight w:val="none"/>
                <w:lang w:val="en-US" w:eastAsia="zh-CN"/>
              </w:rPr>
            </w:pPr>
          </w:p>
        </w:tc>
        <w:tc>
          <w:tcPr>
            <w:tcW w:w="860" w:type="pct"/>
            <w:tcBorders>
              <w:tl2br w:val="nil"/>
              <w:tr2bl w:val="nil"/>
            </w:tcBorders>
            <w:vAlign w:val="center"/>
          </w:tcPr>
          <w:p w14:paraId="5D5E52D4">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eastAsia="宋体" w:cs="Times New Roman"/>
                <w:color w:val="auto"/>
                <w:spacing w:val="-4"/>
                <w:sz w:val="21"/>
                <w:szCs w:val="21"/>
                <w:highlight w:val="none"/>
                <w:lang w:val="en-US" w:eastAsia="zh-CN"/>
              </w:rPr>
            </w:pPr>
            <w:r>
              <w:rPr>
                <w:rFonts w:hint="default" w:ascii="Times New Roman" w:hAnsi="Times New Roman" w:cs="Times New Roman"/>
                <w:color w:val="auto"/>
                <w:spacing w:val="-4"/>
                <w:sz w:val="21"/>
                <w:szCs w:val="21"/>
                <w:highlight w:val="none"/>
              </w:rPr>
              <w:t>1.5</w:t>
            </w:r>
          </w:p>
        </w:tc>
      </w:tr>
      <w:tr w14:paraId="5AB0A2D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42" w:type="pct"/>
            <w:vMerge w:val="continue"/>
            <w:tcBorders>
              <w:tl2br w:val="nil"/>
              <w:tr2bl w:val="nil"/>
            </w:tcBorders>
            <w:vAlign w:val="center"/>
          </w:tcPr>
          <w:p w14:paraId="2C3F3FB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rPr>
            </w:pPr>
          </w:p>
        </w:tc>
        <w:tc>
          <w:tcPr>
            <w:tcW w:w="1970" w:type="pct"/>
            <w:vMerge w:val="restart"/>
            <w:tcBorders>
              <w:tl2br w:val="nil"/>
              <w:tr2bl w:val="nil"/>
            </w:tcBorders>
            <w:vAlign w:val="center"/>
          </w:tcPr>
          <w:p w14:paraId="0E9B483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7"/>
                <w:sz w:val="21"/>
                <w:szCs w:val="21"/>
                <w:highlight w:val="none"/>
              </w:rPr>
              <w:t>《</w:t>
            </w:r>
            <w:r>
              <w:rPr>
                <w:rFonts w:hint="eastAsia" w:ascii="Times New Roman" w:hAnsi="Times New Roman" w:eastAsia="宋体" w:cs="Times New Roman"/>
                <w:color w:val="auto"/>
                <w:spacing w:val="7"/>
                <w:sz w:val="21"/>
                <w:szCs w:val="21"/>
                <w:highlight w:val="none"/>
                <w:lang w:eastAsia="zh-CN"/>
              </w:rPr>
              <w:t>大气污染物综合排放标准</w:t>
            </w:r>
            <w:r>
              <w:rPr>
                <w:rFonts w:hint="default" w:ascii="Times New Roman" w:hAnsi="Times New Roman" w:eastAsia="宋体" w:cs="Times New Roman"/>
                <w:color w:val="auto"/>
                <w:spacing w:val="7"/>
                <w:sz w:val="21"/>
                <w:szCs w:val="21"/>
                <w:highlight w:val="none"/>
              </w:rPr>
              <w:t>》</w:t>
            </w:r>
          </w:p>
          <w:p w14:paraId="5FF862A4">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rPr>
              <w:t>（</w:t>
            </w:r>
            <w:r>
              <w:rPr>
                <w:rFonts w:hint="default" w:ascii="Times New Roman" w:hAnsi="Times New Roman" w:cs="Times New Roman"/>
                <w:color w:val="auto"/>
                <w:sz w:val="21"/>
                <w:szCs w:val="21"/>
                <w:highlight w:val="none"/>
              </w:rPr>
              <w:t>GB</w:t>
            </w:r>
            <w:r>
              <w:rPr>
                <w:rFonts w:hint="default" w:ascii="Times New Roman" w:hAnsi="Times New Roman" w:cs="Times New Roman"/>
                <w:color w:val="auto"/>
                <w:spacing w:val="4"/>
                <w:sz w:val="21"/>
                <w:szCs w:val="21"/>
                <w:highlight w:val="none"/>
              </w:rPr>
              <w:t>16297-1996</w:t>
            </w:r>
            <w:r>
              <w:rPr>
                <w:rFonts w:hint="default" w:ascii="Times New Roman" w:hAnsi="Times New Roman" w:eastAsia="宋体" w:cs="Times New Roman"/>
                <w:color w:val="auto"/>
                <w:spacing w:val="4"/>
                <w:sz w:val="21"/>
                <w:szCs w:val="21"/>
                <w:highlight w:val="none"/>
              </w:rPr>
              <w:t>）表</w:t>
            </w:r>
            <w:r>
              <w:rPr>
                <w:rFonts w:hint="default" w:ascii="Times New Roman" w:hAnsi="Times New Roman" w:cs="Times New Roman"/>
                <w:color w:val="auto"/>
                <w:spacing w:val="4"/>
                <w:sz w:val="21"/>
                <w:szCs w:val="21"/>
                <w:highlight w:val="none"/>
              </w:rPr>
              <w:t>2</w:t>
            </w:r>
            <w:r>
              <w:rPr>
                <w:rFonts w:hint="default" w:ascii="Times New Roman" w:hAnsi="Times New Roman" w:cs="Times New Roman"/>
                <w:color w:val="auto"/>
                <w:spacing w:val="4"/>
                <w:sz w:val="21"/>
                <w:szCs w:val="21"/>
                <w:highlight w:val="none"/>
                <w:lang w:val="en-US" w:eastAsia="zh-CN"/>
              </w:rPr>
              <w:t>无组织限值要求</w:t>
            </w:r>
          </w:p>
        </w:tc>
        <w:tc>
          <w:tcPr>
            <w:tcW w:w="849" w:type="pct"/>
            <w:tcBorders>
              <w:tl2br w:val="nil"/>
              <w:tr2bl w:val="nil"/>
            </w:tcBorders>
            <w:vAlign w:val="center"/>
          </w:tcPr>
          <w:p w14:paraId="16577C9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7"/>
                <w:sz w:val="21"/>
                <w:szCs w:val="21"/>
                <w:highlight w:val="none"/>
              </w:rPr>
              <w:t>颗粒物</w:t>
            </w:r>
          </w:p>
        </w:tc>
        <w:tc>
          <w:tcPr>
            <w:tcW w:w="677" w:type="pct"/>
            <w:vMerge w:val="restart"/>
            <w:tcBorders>
              <w:tl2br w:val="nil"/>
              <w:tr2bl w:val="nil"/>
            </w:tcBorders>
            <w:vAlign w:val="center"/>
          </w:tcPr>
          <w:p w14:paraId="7F6FC68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7"/>
                <w:sz w:val="21"/>
                <w:szCs w:val="21"/>
                <w:highlight w:val="none"/>
              </w:rPr>
              <w:t>周围外浓度最高点</w:t>
            </w:r>
          </w:p>
        </w:tc>
        <w:tc>
          <w:tcPr>
            <w:tcW w:w="860" w:type="pct"/>
            <w:tcBorders>
              <w:tl2br w:val="nil"/>
              <w:tr2bl w:val="nil"/>
            </w:tcBorders>
            <w:vAlign w:val="center"/>
          </w:tcPr>
          <w:p w14:paraId="1CC1A342">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1.0</w:t>
            </w:r>
          </w:p>
        </w:tc>
      </w:tr>
      <w:tr w14:paraId="4035F33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42" w:type="pct"/>
            <w:vMerge w:val="continue"/>
            <w:tcBorders>
              <w:tl2br w:val="nil"/>
              <w:tr2bl w:val="nil"/>
            </w:tcBorders>
            <w:vAlign w:val="center"/>
          </w:tcPr>
          <w:p w14:paraId="416F281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rPr>
            </w:pPr>
          </w:p>
        </w:tc>
        <w:tc>
          <w:tcPr>
            <w:tcW w:w="1970" w:type="pct"/>
            <w:vMerge w:val="continue"/>
            <w:tcBorders>
              <w:tl2br w:val="nil"/>
              <w:tr2bl w:val="nil"/>
            </w:tcBorders>
            <w:vAlign w:val="center"/>
          </w:tcPr>
          <w:p w14:paraId="28A3FFDB">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rPr>
            </w:pPr>
          </w:p>
        </w:tc>
        <w:tc>
          <w:tcPr>
            <w:tcW w:w="849" w:type="pct"/>
            <w:tcBorders>
              <w:tl2br w:val="nil"/>
              <w:tr2bl w:val="nil"/>
            </w:tcBorders>
            <w:vAlign w:val="center"/>
          </w:tcPr>
          <w:p w14:paraId="51E4E131">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pacing w:val="7"/>
                <w:sz w:val="21"/>
                <w:szCs w:val="21"/>
                <w:highlight w:val="none"/>
              </w:rPr>
            </w:pPr>
            <w:r>
              <w:rPr>
                <w:rFonts w:hint="eastAsia" w:ascii="Times New Roman" w:hAnsi="Times New Roman" w:eastAsia="宋体" w:cs="Times New Roman"/>
                <w:color w:val="auto"/>
                <w:spacing w:val="0"/>
                <w:position w:val="0"/>
                <w:sz w:val="21"/>
                <w:szCs w:val="21"/>
                <w:lang w:val="en-US" w:eastAsia="zh-CN"/>
              </w:rPr>
              <w:t>丙烯腈</w:t>
            </w:r>
          </w:p>
        </w:tc>
        <w:tc>
          <w:tcPr>
            <w:tcW w:w="677" w:type="pct"/>
            <w:vMerge w:val="continue"/>
            <w:tcBorders>
              <w:tl2br w:val="nil"/>
              <w:tr2bl w:val="nil"/>
            </w:tcBorders>
            <w:vAlign w:val="center"/>
          </w:tcPr>
          <w:p w14:paraId="441F2B0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7"/>
                <w:sz w:val="21"/>
                <w:szCs w:val="21"/>
                <w:highlight w:val="none"/>
              </w:rPr>
            </w:pPr>
          </w:p>
        </w:tc>
        <w:tc>
          <w:tcPr>
            <w:tcW w:w="860" w:type="pct"/>
            <w:tcBorders>
              <w:tl2br w:val="nil"/>
              <w:tr2bl w:val="nil"/>
            </w:tcBorders>
            <w:vAlign w:val="center"/>
          </w:tcPr>
          <w:p w14:paraId="2E058AD8">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lang w:val="en-US" w:eastAsia="zh-CN"/>
              </w:rPr>
            </w:pPr>
            <w:r>
              <w:rPr>
                <w:rFonts w:hint="eastAsia" w:eastAsia="宋体" w:cs="Times New Roman"/>
                <w:color w:val="auto"/>
                <w:spacing w:val="-4"/>
                <w:sz w:val="21"/>
                <w:szCs w:val="21"/>
                <w:highlight w:val="none"/>
                <w:lang w:val="en-US" w:eastAsia="zh-CN"/>
              </w:rPr>
              <w:t>0.6</w:t>
            </w:r>
          </w:p>
        </w:tc>
      </w:tr>
      <w:tr w14:paraId="79AF84A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42" w:type="pct"/>
            <w:vMerge w:val="continue"/>
            <w:tcBorders>
              <w:tl2br w:val="nil"/>
              <w:tr2bl w:val="nil"/>
            </w:tcBorders>
            <w:vAlign w:val="center"/>
          </w:tcPr>
          <w:p w14:paraId="6665A8F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rPr>
            </w:pPr>
          </w:p>
        </w:tc>
        <w:tc>
          <w:tcPr>
            <w:tcW w:w="1970" w:type="pct"/>
            <w:vMerge w:val="continue"/>
            <w:tcBorders>
              <w:tl2br w:val="nil"/>
              <w:tr2bl w:val="nil"/>
            </w:tcBorders>
            <w:vAlign w:val="center"/>
          </w:tcPr>
          <w:p w14:paraId="605B64D2">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rPr>
            </w:pPr>
          </w:p>
        </w:tc>
        <w:tc>
          <w:tcPr>
            <w:tcW w:w="849" w:type="pct"/>
            <w:tcBorders>
              <w:tl2br w:val="nil"/>
              <w:tr2bl w:val="nil"/>
            </w:tcBorders>
            <w:shd w:val="clear" w:color="auto" w:fill="auto"/>
            <w:vAlign w:val="center"/>
          </w:tcPr>
          <w:p w14:paraId="78FB5612">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spacing w:val="0"/>
                <w:kern w:val="0"/>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酚类</w:t>
            </w:r>
          </w:p>
        </w:tc>
        <w:tc>
          <w:tcPr>
            <w:tcW w:w="677" w:type="pct"/>
            <w:vMerge w:val="continue"/>
            <w:tcBorders>
              <w:tl2br w:val="nil"/>
              <w:tr2bl w:val="nil"/>
            </w:tcBorders>
            <w:shd w:val="clear" w:color="auto" w:fill="auto"/>
            <w:vAlign w:val="center"/>
          </w:tcPr>
          <w:p w14:paraId="1D84AC2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7"/>
                <w:kern w:val="0"/>
                <w:sz w:val="21"/>
                <w:szCs w:val="21"/>
                <w:highlight w:val="none"/>
                <w:lang w:val="en-US" w:eastAsia="en-US" w:bidi="ar-SA"/>
              </w:rPr>
            </w:pPr>
          </w:p>
        </w:tc>
        <w:tc>
          <w:tcPr>
            <w:tcW w:w="860" w:type="pct"/>
            <w:tcBorders>
              <w:tl2br w:val="nil"/>
              <w:tr2bl w:val="nil"/>
            </w:tcBorders>
            <w:shd w:val="clear" w:color="auto" w:fill="auto"/>
            <w:vAlign w:val="center"/>
          </w:tcPr>
          <w:p w14:paraId="67C8F1BE">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eastAsia" w:ascii="Times New Roman" w:hAnsi="Times New Roman" w:eastAsia="宋体" w:cs="Times New Roman"/>
                <w:snapToGrid w:val="0"/>
                <w:color w:val="auto"/>
                <w:spacing w:val="-4"/>
                <w:kern w:val="0"/>
                <w:sz w:val="21"/>
                <w:szCs w:val="21"/>
                <w:highlight w:val="none"/>
                <w:lang w:val="en-US" w:eastAsia="zh-CN" w:bidi="ar-SA"/>
              </w:rPr>
            </w:pPr>
            <w:r>
              <w:rPr>
                <w:rFonts w:hint="eastAsia" w:eastAsia="宋体" w:cs="Times New Roman"/>
                <w:color w:val="auto"/>
                <w:spacing w:val="-4"/>
                <w:sz w:val="21"/>
                <w:szCs w:val="21"/>
                <w:highlight w:val="none"/>
                <w:lang w:val="en-US" w:eastAsia="zh-CN"/>
              </w:rPr>
              <w:t>0.08</w:t>
            </w:r>
          </w:p>
        </w:tc>
      </w:tr>
      <w:tr w14:paraId="0812DC3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42" w:type="pct"/>
            <w:vMerge w:val="continue"/>
            <w:tcBorders>
              <w:tl2br w:val="nil"/>
              <w:tr2bl w:val="nil"/>
            </w:tcBorders>
            <w:vAlign w:val="center"/>
          </w:tcPr>
          <w:p w14:paraId="4AF9BAD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rPr>
            </w:pPr>
          </w:p>
        </w:tc>
        <w:tc>
          <w:tcPr>
            <w:tcW w:w="1970" w:type="pct"/>
            <w:vMerge w:val="continue"/>
            <w:tcBorders>
              <w:tl2br w:val="nil"/>
              <w:tr2bl w:val="nil"/>
            </w:tcBorders>
            <w:vAlign w:val="center"/>
          </w:tcPr>
          <w:p w14:paraId="7F826480">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rPr>
            </w:pPr>
          </w:p>
        </w:tc>
        <w:tc>
          <w:tcPr>
            <w:tcW w:w="849" w:type="pct"/>
            <w:tcBorders>
              <w:tl2br w:val="nil"/>
              <w:tr2bl w:val="nil"/>
            </w:tcBorders>
            <w:shd w:val="clear" w:color="auto" w:fill="auto"/>
            <w:vAlign w:val="center"/>
          </w:tcPr>
          <w:p w14:paraId="4D17BD0B">
            <w:pPr>
              <w:pStyle w:val="40"/>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pacing w:val="0"/>
                <w:position w:val="0"/>
                <w:sz w:val="21"/>
                <w:szCs w:val="21"/>
                <w:lang w:val="en-US" w:eastAsia="zh-CN"/>
              </w:rPr>
              <w:t>氯苯类</w:t>
            </w:r>
          </w:p>
        </w:tc>
        <w:tc>
          <w:tcPr>
            <w:tcW w:w="677" w:type="pct"/>
            <w:vMerge w:val="continue"/>
            <w:tcBorders>
              <w:tl2br w:val="nil"/>
              <w:tr2bl w:val="nil"/>
            </w:tcBorders>
            <w:shd w:val="clear" w:color="auto" w:fill="auto"/>
            <w:vAlign w:val="center"/>
          </w:tcPr>
          <w:p w14:paraId="7FBE249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7"/>
                <w:kern w:val="0"/>
                <w:sz w:val="21"/>
                <w:szCs w:val="21"/>
                <w:highlight w:val="none"/>
                <w:lang w:val="en-US" w:eastAsia="en-US" w:bidi="ar-SA"/>
              </w:rPr>
            </w:pPr>
          </w:p>
        </w:tc>
        <w:tc>
          <w:tcPr>
            <w:tcW w:w="860" w:type="pct"/>
            <w:tcBorders>
              <w:tl2br w:val="nil"/>
              <w:tr2bl w:val="nil"/>
            </w:tcBorders>
            <w:shd w:val="clear" w:color="auto" w:fill="auto"/>
            <w:vAlign w:val="center"/>
          </w:tcPr>
          <w:p w14:paraId="4D157B51">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leftChars="0"/>
              <w:jc w:val="center"/>
              <w:textAlignment w:val="baseline"/>
              <w:rPr>
                <w:rFonts w:hint="default" w:ascii="Times New Roman" w:hAnsi="Times New Roman" w:eastAsia="宋体" w:cs="Times New Roman"/>
                <w:snapToGrid w:val="0"/>
                <w:color w:val="auto"/>
                <w:spacing w:val="-4"/>
                <w:kern w:val="0"/>
                <w:sz w:val="21"/>
                <w:szCs w:val="21"/>
                <w:highlight w:val="none"/>
                <w:lang w:val="en-US" w:eastAsia="zh-CN" w:bidi="ar-SA"/>
              </w:rPr>
            </w:pPr>
            <w:r>
              <w:rPr>
                <w:rFonts w:hint="eastAsia" w:eastAsia="宋体" w:cs="Times New Roman"/>
                <w:color w:val="auto"/>
                <w:spacing w:val="-4"/>
                <w:sz w:val="21"/>
                <w:szCs w:val="21"/>
                <w:highlight w:val="none"/>
                <w:lang w:val="en-US" w:eastAsia="zh-CN"/>
              </w:rPr>
              <w:t>0.4</w:t>
            </w:r>
          </w:p>
        </w:tc>
      </w:tr>
      <w:tr w14:paraId="3E937B3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42" w:type="pct"/>
            <w:vMerge w:val="continue"/>
            <w:tcBorders>
              <w:tl2br w:val="nil"/>
              <w:tr2bl w:val="nil"/>
            </w:tcBorders>
            <w:vAlign w:val="center"/>
          </w:tcPr>
          <w:p w14:paraId="12DC6CA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rPr>
            </w:pPr>
          </w:p>
        </w:tc>
        <w:tc>
          <w:tcPr>
            <w:tcW w:w="1970" w:type="pct"/>
            <w:vMerge w:val="restart"/>
            <w:tcBorders>
              <w:tl2br w:val="nil"/>
              <w:tr2bl w:val="nil"/>
            </w:tcBorders>
            <w:vAlign w:val="center"/>
          </w:tcPr>
          <w:p w14:paraId="03DD9FE1">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lang w:val="en-US" w:eastAsia="zh-CN"/>
              </w:rPr>
              <w:t>《挥发性有机物无组织排放控制标准》（GB37822-2019）中表A.1规定的限值</w:t>
            </w:r>
          </w:p>
        </w:tc>
        <w:tc>
          <w:tcPr>
            <w:tcW w:w="849" w:type="pct"/>
            <w:vMerge w:val="restart"/>
            <w:tcBorders>
              <w:tl2br w:val="nil"/>
              <w:tr2bl w:val="nil"/>
            </w:tcBorders>
            <w:vAlign w:val="center"/>
          </w:tcPr>
          <w:p w14:paraId="2CA4DC7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7"/>
                <w:sz w:val="21"/>
                <w:szCs w:val="21"/>
                <w:highlight w:val="none"/>
                <w:lang w:val="en-US" w:eastAsia="zh-CN"/>
              </w:rPr>
            </w:pPr>
            <w:r>
              <w:rPr>
                <w:rFonts w:hint="eastAsia" w:ascii="Times New Roman" w:hAnsi="Times New Roman" w:eastAsia="宋体" w:cs="Times New Roman"/>
                <w:color w:val="auto"/>
                <w:spacing w:val="7"/>
                <w:sz w:val="21"/>
                <w:szCs w:val="21"/>
                <w:highlight w:val="none"/>
                <w:lang w:val="en-US" w:eastAsia="zh-CN"/>
              </w:rPr>
              <w:t>非甲烷总烃</w:t>
            </w:r>
          </w:p>
        </w:tc>
        <w:tc>
          <w:tcPr>
            <w:tcW w:w="677" w:type="pct"/>
            <w:vMerge w:val="restart"/>
            <w:tcBorders>
              <w:tl2br w:val="nil"/>
              <w:tr2bl w:val="nil"/>
            </w:tcBorders>
            <w:vAlign w:val="center"/>
          </w:tcPr>
          <w:p w14:paraId="0FC7857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7"/>
                <w:sz w:val="21"/>
                <w:szCs w:val="21"/>
                <w:highlight w:val="none"/>
                <w:lang w:val="en-US" w:eastAsia="zh-CN"/>
              </w:rPr>
            </w:pPr>
            <w:r>
              <w:rPr>
                <w:rFonts w:hint="eastAsia" w:ascii="Times New Roman" w:hAnsi="Times New Roman" w:eastAsia="宋体" w:cs="Times New Roman"/>
                <w:color w:val="auto"/>
                <w:spacing w:val="7"/>
                <w:sz w:val="21"/>
                <w:szCs w:val="21"/>
                <w:highlight w:val="none"/>
                <w:lang w:val="en-US" w:eastAsia="zh-CN"/>
              </w:rPr>
              <w:t>厂房外</w:t>
            </w:r>
          </w:p>
        </w:tc>
        <w:tc>
          <w:tcPr>
            <w:tcW w:w="860" w:type="pct"/>
            <w:tcBorders>
              <w:tl2br w:val="nil"/>
              <w:tr2bl w:val="nil"/>
            </w:tcBorders>
            <w:vAlign w:val="center"/>
          </w:tcPr>
          <w:p w14:paraId="64043C54">
            <w:pPr>
              <w:pStyle w:val="78"/>
              <w:bidi w:val="0"/>
              <w:ind w:firstLine="0" w:firstLineChars="0"/>
              <w:rPr>
                <w:rFonts w:hint="default" w:ascii="Times New Roman" w:hAnsi="Times New Roman" w:cs="Times New Roman"/>
                <w:color w:val="auto"/>
                <w:spacing w:val="-4"/>
                <w:sz w:val="21"/>
                <w:szCs w:val="21"/>
                <w:highlight w:val="none"/>
              </w:rPr>
            </w:pPr>
            <w:r>
              <w:rPr>
                <w:rFonts w:hint="eastAsia"/>
                <w:color w:val="auto"/>
                <w:highlight w:val="none"/>
                <w:lang w:val="en-US" w:eastAsia="zh-CN"/>
              </w:rPr>
              <w:t>监控点处</w:t>
            </w:r>
            <w:r>
              <w:rPr>
                <w:rFonts w:hint="default"/>
                <w:color w:val="auto"/>
                <w:highlight w:val="none"/>
                <w:lang w:val="en-US" w:eastAsia="zh-CN"/>
              </w:rPr>
              <w:t>1h</w:t>
            </w:r>
            <w:r>
              <w:rPr>
                <w:rFonts w:hint="eastAsia"/>
                <w:color w:val="auto"/>
                <w:highlight w:val="none"/>
                <w:lang w:val="en-US" w:eastAsia="zh-CN"/>
              </w:rPr>
              <w:t>平均浓度值10</w:t>
            </w:r>
          </w:p>
        </w:tc>
      </w:tr>
      <w:tr w14:paraId="7DCA2EC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42" w:type="pct"/>
            <w:vMerge w:val="continue"/>
            <w:tcBorders>
              <w:tl2br w:val="nil"/>
              <w:tr2bl w:val="nil"/>
            </w:tcBorders>
            <w:vAlign w:val="center"/>
          </w:tcPr>
          <w:p w14:paraId="67E8CE5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highlight w:val="none"/>
              </w:rPr>
            </w:pPr>
          </w:p>
        </w:tc>
        <w:tc>
          <w:tcPr>
            <w:tcW w:w="1970" w:type="pct"/>
            <w:vMerge w:val="continue"/>
            <w:tcBorders>
              <w:tl2br w:val="nil"/>
              <w:tr2bl w:val="nil"/>
            </w:tcBorders>
            <w:vAlign w:val="center"/>
          </w:tcPr>
          <w:p w14:paraId="602F39C3">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4"/>
                <w:sz w:val="21"/>
                <w:szCs w:val="21"/>
                <w:highlight w:val="none"/>
              </w:rPr>
            </w:pPr>
          </w:p>
        </w:tc>
        <w:tc>
          <w:tcPr>
            <w:tcW w:w="849" w:type="pct"/>
            <w:vMerge w:val="continue"/>
            <w:tcBorders>
              <w:tl2br w:val="nil"/>
              <w:tr2bl w:val="nil"/>
            </w:tcBorders>
            <w:vAlign w:val="center"/>
          </w:tcPr>
          <w:p w14:paraId="5534DD2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7"/>
                <w:sz w:val="21"/>
                <w:szCs w:val="21"/>
                <w:highlight w:val="none"/>
              </w:rPr>
            </w:pPr>
          </w:p>
        </w:tc>
        <w:tc>
          <w:tcPr>
            <w:tcW w:w="677" w:type="pct"/>
            <w:vMerge w:val="continue"/>
            <w:tcBorders>
              <w:tl2br w:val="nil"/>
              <w:tr2bl w:val="nil"/>
            </w:tcBorders>
            <w:vAlign w:val="center"/>
          </w:tcPr>
          <w:p w14:paraId="08007D2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7"/>
                <w:sz w:val="21"/>
                <w:szCs w:val="21"/>
                <w:highlight w:val="none"/>
              </w:rPr>
            </w:pPr>
          </w:p>
        </w:tc>
        <w:tc>
          <w:tcPr>
            <w:tcW w:w="860" w:type="pct"/>
            <w:tcBorders>
              <w:tl2br w:val="nil"/>
              <w:tr2bl w:val="nil"/>
            </w:tcBorders>
            <w:vAlign w:val="center"/>
          </w:tcPr>
          <w:p w14:paraId="5E985A8F">
            <w:pPr>
              <w:pStyle w:val="78"/>
              <w:bidi w:val="0"/>
              <w:ind w:firstLine="0" w:firstLineChars="0"/>
              <w:rPr>
                <w:rFonts w:hint="default" w:ascii="Times New Roman" w:hAnsi="Times New Roman" w:cs="Times New Roman"/>
                <w:color w:val="auto"/>
                <w:spacing w:val="-4"/>
                <w:sz w:val="21"/>
                <w:szCs w:val="21"/>
                <w:highlight w:val="none"/>
                <w:lang w:val="en-US"/>
              </w:rPr>
            </w:pPr>
            <w:r>
              <w:rPr>
                <w:rFonts w:hint="eastAsia"/>
                <w:color w:val="auto"/>
                <w:highlight w:val="none"/>
                <w:lang w:val="en-US" w:eastAsia="zh-CN"/>
              </w:rPr>
              <w:t>监控点处任意一次浓度值30</w:t>
            </w:r>
          </w:p>
        </w:tc>
      </w:tr>
    </w:tbl>
    <w:p w14:paraId="7BE1831A">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pacing w:val="0"/>
          <w:position w:val="0"/>
          <w:sz w:val="24"/>
          <w:szCs w:val="24"/>
        </w:rPr>
      </w:pPr>
      <w:r>
        <w:rPr>
          <w:rFonts w:hint="default" w:ascii="Times New Roman" w:hAnsi="Times New Roman" w:eastAsia="宋体" w:cs="Times New Roman"/>
          <w:color w:val="auto"/>
          <w:spacing w:val="0"/>
          <w:position w:val="0"/>
          <w:sz w:val="24"/>
          <w:szCs w:val="24"/>
        </w:rPr>
        <w:t>（2）废水排放标准</w:t>
      </w:r>
    </w:p>
    <w:p w14:paraId="559C77CE">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pacing w:val="0"/>
          <w:position w:val="0"/>
          <w:sz w:val="24"/>
          <w:szCs w:val="24"/>
          <w:lang w:val="en-US" w:eastAsia="zh-CN"/>
        </w:rPr>
      </w:pPr>
      <w:r>
        <w:rPr>
          <w:rFonts w:hint="eastAsia" w:ascii="Times New Roman" w:hAnsi="Times New Roman" w:eastAsia="宋体" w:cs="Times New Roman"/>
          <w:color w:val="auto"/>
          <w:spacing w:val="0"/>
          <w:position w:val="0"/>
          <w:sz w:val="24"/>
          <w:szCs w:val="24"/>
          <w:lang w:val="en-US" w:eastAsia="zh-CN"/>
        </w:rPr>
        <w:t>生活污水与循环冷却水经市政管网排入牛家满族镇污水处理厂，</w:t>
      </w:r>
      <w:r>
        <w:rPr>
          <w:rFonts w:hint="default" w:ascii="Times New Roman" w:hAnsi="Times New Roman" w:eastAsia="宋体" w:cs="Times New Roman"/>
          <w:color w:val="auto"/>
          <w:spacing w:val="0"/>
          <w:position w:val="0"/>
          <w:sz w:val="24"/>
          <w:szCs w:val="24"/>
          <w:lang w:val="en-US" w:eastAsia="zh-CN"/>
        </w:rPr>
        <w:t>厂区总排口废水排放执行《污水综合排放标准》（GB8978-1996）表4中三级标准</w:t>
      </w:r>
      <w:r>
        <w:rPr>
          <w:rFonts w:hint="eastAsia" w:ascii="Times New Roman" w:hAnsi="Times New Roman" w:eastAsia="宋体" w:cs="Times New Roman"/>
          <w:color w:val="auto"/>
          <w:spacing w:val="0"/>
          <w:position w:val="0"/>
          <w:sz w:val="24"/>
          <w:szCs w:val="24"/>
          <w:lang w:val="en-US" w:eastAsia="zh-CN"/>
        </w:rPr>
        <w:t>。</w:t>
      </w:r>
    </w:p>
    <w:p w14:paraId="7C645DA4">
      <w:pPr>
        <w:pStyle w:val="13"/>
        <w:keepNext w:val="0"/>
        <w:keepLines w:val="0"/>
        <w:pageBreakBefore w:val="0"/>
        <w:widowControl/>
        <w:numPr>
          <w:ilvl w:val="0"/>
          <w:numId w:val="0"/>
        </w:numPr>
        <w:kinsoku/>
        <w:wordWrap/>
        <w:overflowPunct/>
        <w:topLinePunct w:val="0"/>
        <w:autoSpaceDE/>
        <w:autoSpaceDN/>
        <w:bidi w:val="0"/>
        <w:adjustRightInd/>
        <w:snapToGrid w:val="0"/>
        <w:spacing w:beforeLines="0" w:afterLines="0" w:line="240" w:lineRule="auto"/>
        <w:ind w:right="0" w:right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表2.5-</w:t>
      </w:r>
      <w:r>
        <w:rPr>
          <w:rFonts w:hint="eastAsia" w:ascii="Times New Roman" w:hAnsi="Times New Roman" w:eastAsia="宋体" w:cs="Times New Roman"/>
          <w:b/>
          <w:bCs/>
          <w:color w:val="auto"/>
          <w:sz w:val="24"/>
          <w:szCs w:val="24"/>
          <w:highlight w:val="none"/>
          <w:lang w:val="en-US" w:eastAsia="zh-CN"/>
        </w:rPr>
        <w:t>9</w:t>
      </w:r>
      <w:r>
        <w:rPr>
          <w:rFonts w:hint="default" w:ascii="Times New Roman" w:hAnsi="Times New Roman" w:eastAsia="宋体" w:cs="Times New Roman"/>
          <w:b/>
          <w:bCs/>
          <w:color w:val="auto"/>
          <w:sz w:val="24"/>
          <w:szCs w:val="24"/>
          <w:highlight w:val="none"/>
          <w:lang w:val="en-US" w:eastAsia="zh-CN"/>
        </w:rPr>
        <w:t xml:space="preserve">  废</w:t>
      </w:r>
      <w:r>
        <w:rPr>
          <w:rFonts w:hint="eastAsia" w:ascii="Times New Roman" w:hAnsi="Times New Roman" w:eastAsia="宋体" w:cs="Times New Roman"/>
          <w:b/>
          <w:bCs/>
          <w:color w:val="auto"/>
          <w:sz w:val="24"/>
          <w:szCs w:val="24"/>
          <w:highlight w:val="none"/>
          <w:lang w:val="en-US" w:eastAsia="zh-CN"/>
        </w:rPr>
        <w:t>水</w:t>
      </w:r>
      <w:r>
        <w:rPr>
          <w:rFonts w:hint="default" w:ascii="Times New Roman" w:hAnsi="Times New Roman" w:eastAsia="宋体" w:cs="Times New Roman"/>
          <w:b/>
          <w:bCs/>
          <w:color w:val="auto"/>
          <w:sz w:val="24"/>
          <w:szCs w:val="24"/>
          <w:highlight w:val="none"/>
          <w:lang w:val="en-US" w:eastAsia="zh-CN"/>
        </w:rPr>
        <w:t>污染物排放标准</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78"/>
        <w:gridCol w:w="1925"/>
        <w:gridCol w:w="1883"/>
        <w:gridCol w:w="1298"/>
        <w:gridCol w:w="1604"/>
      </w:tblGrid>
      <w:tr w14:paraId="67EBE9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65" w:type="dxa"/>
            <w:vMerge w:val="restart"/>
            <w:tcBorders>
              <w:tl2br w:val="nil"/>
              <w:tr2bl w:val="nil"/>
            </w:tcBorders>
            <w:vAlign w:val="center"/>
          </w:tcPr>
          <w:p w14:paraId="3851691E">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标准名称及级（类）别</w:t>
            </w:r>
          </w:p>
        </w:tc>
        <w:tc>
          <w:tcPr>
            <w:tcW w:w="1766" w:type="dxa"/>
            <w:vMerge w:val="restart"/>
            <w:tcBorders>
              <w:tl2br w:val="nil"/>
              <w:tr2bl w:val="nil"/>
            </w:tcBorders>
            <w:vAlign w:val="center"/>
          </w:tcPr>
          <w:p w14:paraId="4EEC767E">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污染因子</w:t>
            </w:r>
          </w:p>
        </w:tc>
        <w:tc>
          <w:tcPr>
            <w:tcW w:w="4391" w:type="dxa"/>
            <w:gridSpan w:val="3"/>
            <w:tcBorders>
              <w:tl2br w:val="nil"/>
              <w:tr2bl w:val="nil"/>
            </w:tcBorders>
            <w:vAlign w:val="center"/>
          </w:tcPr>
          <w:p w14:paraId="7AA7AD9B">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标准值</w:t>
            </w:r>
          </w:p>
        </w:tc>
      </w:tr>
      <w:tr w14:paraId="119214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65" w:type="dxa"/>
            <w:vMerge w:val="continue"/>
            <w:tcBorders>
              <w:tl2br w:val="nil"/>
              <w:tr2bl w:val="nil"/>
            </w:tcBorders>
            <w:vAlign w:val="center"/>
          </w:tcPr>
          <w:p w14:paraId="20B481B7">
            <w:pPr>
              <w:pStyle w:val="34"/>
              <w:widowControl w:val="0"/>
              <w:rPr>
                <w:rFonts w:hint="default" w:ascii="Times New Roman" w:hAnsi="Times New Roman" w:cs="Times New Roman"/>
                <w:color w:val="auto"/>
                <w:highlight w:val="none"/>
              </w:rPr>
            </w:pPr>
          </w:p>
        </w:tc>
        <w:tc>
          <w:tcPr>
            <w:tcW w:w="1766" w:type="dxa"/>
            <w:vMerge w:val="continue"/>
            <w:tcBorders>
              <w:tl2br w:val="nil"/>
              <w:tr2bl w:val="nil"/>
            </w:tcBorders>
            <w:vAlign w:val="center"/>
          </w:tcPr>
          <w:p w14:paraId="40A7FC90">
            <w:pPr>
              <w:pStyle w:val="34"/>
              <w:widowControl w:val="0"/>
              <w:rPr>
                <w:rFonts w:hint="default" w:ascii="Times New Roman" w:hAnsi="Times New Roman" w:cs="Times New Roman"/>
                <w:color w:val="auto"/>
                <w:highlight w:val="none"/>
              </w:rPr>
            </w:pPr>
          </w:p>
        </w:tc>
        <w:tc>
          <w:tcPr>
            <w:tcW w:w="2919" w:type="dxa"/>
            <w:gridSpan w:val="2"/>
            <w:tcBorders>
              <w:tl2br w:val="nil"/>
              <w:tr2bl w:val="nil"/>
            </w:tcBorders>
            <w:vAlign w:val="center"/>
          </w:tcPr>
          <w:p w14:paraId="1B00AA3E">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c>
          <w:tcPr>
            <w:tcW w:w="1472" w:type="dxa"/>
            <w:tcBorders>
              <w:tl2br w:val="nil"/>
              <w:tr2bl w:val="nil"/>
            </w:tcBorders>
            <w:vAlign w:val="center"/>
          </w:tcPr>
          <w:p w14:paraId="6579865F">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数值</w:t>
            </w:r>
          </w:p>
        </w:tc>
      </w:tr>
      <w:tr w14:paraId="2816E3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65" w:type="dxa"/>
            <w:vMerge w:val="restart"/>
            <w:tcBorders>
              <w:tl2br w:val="nil"/>
              <w:tr2bl w:val="nil"/>
            </w:tcBorders>
            <w:vAlign w:val="center"/>
          </w:tcPr>
          <w:p w14:paraId="56178D25">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《污水综合排放标准》（GB8978-1996）表4中三级标准</w:t>
            </w:r>
          </w:p>
        </w:tc>
        <w:tc>
          <w:tcPr>
            <w:tcW w:w="1766" w:type="dxa"/>
            <w:tcBorders>
              <w:tl2br w:val="nil"/>
              <w:tr2bl w:val="nil"/>
            </w:tcBorders>
            <w:vAlign w:val="center"/>
          </w:tcPr>
          <w:p w14:paraId="7230C679">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动植物油</w:t>
            </w:r>
          </w:p>
        </w:tc>
        <w:tc>
          <w:tcPr>
            <w:tcW w:w="1728" w:type="dxa"/>
            <w:tcBorders>
              <w:tl2br w:val="nil"/>
              <w:tr2bl w:val="nil"/>
            </w:tcBorders>
            <w:vAlign w:val="center"/>
          </w:tcPr>
          <w:p w14:paraId="7AE95BAD">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允许排放浓度</w:t>
            </w:r>
          </w:p>
        </w:tc>
        <w:tc>
          <w:tcPr>
            <w:tcW w:w="1191" w:type="dxa"/>
            <w:tcBorders>
              <w:tl2br w:val="nil"/>
              <w:tr2bl w:val="nil"/>
            </w:tcBorders>
            <w:vAlign w:val="center"/>
          </w:tcPr>
          <w:p w14:paraId="47D9AF6B">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c>
          <w:tcPr>
            <w:tcW w:w="1472" w:type="dxa"/>
            <w:tcBorders>
              <w:tl2br w:val="nil"/>
              <w:tr2bl w:val="nil"/>
            </w:tcBorders>
            <w:vAlign w:val="center"/>
          </w:tcPr>
          <w:p w14:paraId="690B3AF9">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100mg/L</w:t>
            </w:r>
          </w:p>
        </w:tc>
      </w:tr>
      <w:tr w14:paraId="229F39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65" w:type="dxa"/>
            <w:vMerge w:val="continue"/>
            <w:tcBorders>
              <w:tl2br w:val="nil"/>
              <w:tr2bl w:val="nil"/>
            </w:tcBorders>
            <w:vAlign w:val="center"/>
          </w:tcPr>
          <w:p w14:paraId="1928D9A8">
            <w:pPr>
              <w:pStyle w:val="34"/>
              <w:widowControl w:val="0"/>
              <w:rPr>
                <w:rFonts w:hint="default" w:ascii="Times New Roman" w:hAnsi="Times New Roman" w:cs="Times New Roman"/>
                <w:color w:val="auto"/>
                <w:highlight w:val="none"/>
              </w:rPr>
            </w:pPr>
          </w:p>
        </w:tc>
        <w:tc>
          <w:tcPr>
            <w:tcW w:w="1766" w:type="dxa"/>
            <w:tcBorders>
              <w:tl2br w:val="nil"/>
              <w:tr2bl w:val="nil"/>
            </w:tcBorders>
            <w:vAlign w:val="center"/>
          </w:tcPr>
          <w:p w14:paraId="35C8D5BA">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1728" w:type="dxa"/>
            <w:tcBorders>
              <w:tl2br w:val="nil"/>
              <w:tr2bl w:val="nil"/>
            </w:tcBorders>
            <w:vAlign w:val="center"/>
          </w:tcPr>
          <w:p w14:paraId="04604110">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允许排放浓度</w:t>
            </w:r>
          </w:p>
        </w:tc>
        <w:tc>
          <w:tcPr>
            <w:tcW w:w="1191" w:type="dxa"/>
            <w:tcBorders>
              <w:tl2br w:val="nil"/>
              <w:tr2bl w:val="nil"/>
            </w:tcBorders>
            <w:vAlign w:val="center"/>
          </w:tcPr>
          <w:p w14:paraId="1E32B43F">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c>
          <w:tcPr>
            <w:tcW w:w="1472" w:type="dxa"/>
            <w:tcBorders>
              <w:tl2br w:val="nil"/>
              <w:tr2bl w:val="nil"/>
            </w:tcBorders>
            <w:vAlign w:val="center"/>
          </w:tcPr>
          <w:p w14:paraId="6F08B904">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500mg/L</w:t>
            </w:r>
          </w:p>
        </w:tc>
      </w:tr>
      <w:tr w14:paraId="1E8D4E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65" w:type="dxa"/>
            <w:vMerge w:val="continue"/>
            <w:tcBorders>
              <w:tl2br w:val="nil"/>
              <w:tr2bl w:val="nil"/>
            </w:tcBorders>
            <w:vAlign w:val="center"/>
          </w:tcPr>
          <w:p w14:paraId="1E733E41">
            <w:pPr>
              <w:pStyle w:val="34"/>
              <w:widowControl w:val="0"/>
              <w:rPr>
                <w:rFonts w:hint="default" w:ascii="Times New Roman" w:hAnsi="Times New Roman" w:cs="Times New Roman"/>
                <w:color w:val="auto"/>
                <w:highlight w:val="none"/>
              </w:rPr>
            </w:pPr>
          </w:p>
        </w:tc>
        <w:tc>
          <w:tcPr>
            <w:tcW w:w="1766" w:type="dxa"/>
            <w:tcBorders>
              <w:tl2br w:val="nil"/>
              <w:tr2bl w:val="nil"/>
            </w:tcBorders>
            <w:vAlign w:val="center"/>
          </w:tcPr>
          <w:p w14:paraId="13DF8EDE">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1728" w:type="dxa"/>
            <w:tcBorders>
              <w:tl2br w:val="nil"/>
              <w:tr2bl w:val="nil"/>
            </w:tcBorders>
            <w:vAlign w:val="center"/>
          </w:tcPr>
          <w:p w14:paraId="2D27ED1E">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允许排放浓度</w:t>
            </w:r>
          </w:p>
        </w:tc>
        <w:tc>
          <w:tcPr>
            <w:tcW w:w="1191" w:type="dxa"/>
            <w:tcBorders>
              <w:tl2br w:val="nil"/>
              <w:tr2bl w:val="nil"/>
            </w:tcBorders>
            <w:vAlign w:val="center"/>
          </w:tcPr>
          <w:p w14:paraId="1DF9121E">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c>
          <w:tcPr>
            <w:tcW w:w="1472" w:type="dxa"/>
            <w:tcBorders>
              <w:tl2br w:val="nil"/>
              <w:tr2bl w:val="nil"/>
            </w:tcBorders>
            <w:vAlign w:val="center"/>
          </w:tcPr>
          <w:p w14:paraId="39B26AA5">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048E05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65" w:type="dxa"/>
            <w:vMerge w:val="continue"/>
            <w:tcBorders>
              <w:tl2br w:val="nil"/>
              <w:tr2bl w:val="nil"/>
            </w:tcBorders>
            <w:vAlign w:val="center"/>
          </w:tcPr>
          <w:p w14:paraId="05AA015A">
            <w:pPr>
              <w:pStyle w:val="34"/>
              <w:widowControl w:val="0"/>
              <w:rPr>
                <w:rFonts w:hint="default" w:ascii="Times New Roman" w:hAnsi="Times New Roman" w:cs="Times New Roman"/>
                <w:color w:val="auto"/>
                <w:highlight w:val="none"/>
              </w:rPr>
            </w:pPr>
          </w:p>
        </w:tc>
        <w:tc>
          <w:tcPr>
            <w:tcW w:w="1766" w:type="dxa"/>
            <w:tcBorders>
              <w:tl2br w:val="nil"/>
              <w:tr2bl w:val="nil"/>
            </w:tcBorders>
            <w:vAlign w:val="center"/>
          </w:tcPr>
          <w:p w14:paraId="6709CEE2">
            <w:pPr>
              <w:pStyle w:val="34"/>
              <w:widowControl w:val="0"/>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highlight w:val="none"/>
                <w:lang w:eastAsia="zh-CN"/>
              </w:rPr>
              <w:t>BOD</w:t>
            </w:r>
            <w:r>
              <w:rPr>
                <w:rFonts w:hint="eastAsia" w:ascii="Times New Roman" w:hAnsi="Times New Roman" w:cs="Times New Roman"/>
                <w:color w:val="auto"/>
                <w:highlight w:val="none"/>
                <w:vertAlign w:val="subscript"/>
                <w:lang w:eastAsia="zh-CN"/>
              </w:rPr>
              <w:t>5</w:t>
            </w:r>
          </w:p>
        </w:tc>
        <w:tc>
          <w:tcPr>
            <w:tcW w:w="1728" w:type="dxa"/>
            <w:tcBorders>
              <w:tl2br w:val="nil"/>
              <w:tr2bl w:val="nil"/>
            </w:tcBorders>
            <w:vAlign w:val="center"/>
          </w:tcPr>
          <w:p w14:paraId="7B1DA2E5">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允许排放浓度</w:t>
            </w:r>
          </w:p>
        </w:tc>
        <w:tc>
          <w:tcPr>
            <w:tcW w:w="1191" w:type="dxa"/>
            <w:tcBorders>
              <w:tl2br w:val="nil"/>
              <w:tr2bl w:val="nil"/>
            </w:tcBorders>
            <w:vAlign w:val="center"/>
          </w:tcPr>
          <w:p w14:paraId="583B565E">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c>
          <w:tcPr>
            <w:tcW w:w="1472" w:type="dxa"/>
            <w:tcBorders>
              <w:tl2br w:val="nil"/>
              <w:tr2bl w:val="nil"/>
            </w:tcBorders>
            <w:vAlign w:val="center"/>
          </w:tcPr>
          <w:p w14:paraId="7F23F61F">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300mg/L</w:t>
            </w:r>
          </w:p>
        </w:tc>
      </w:tr>
      <w:tr w14:paraId="662006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65" w:type="dxa"/>
            <w:vMerge w:val="continue"/>
            <w:tcBorders>
              <w:tl2br w:val="nil"/>
              <w:tr2bl w:val="nil"/>
            </w:tcBorders>
            <w:vAlign w:val="center"/>
          </w:tcPr>
          <w:p w14:paraId="57120A1D">
            <w:pPr>
              <w:pStyle w:val="34"/>
              <w:widowControl w:val="0"/>
              <w:rPr>
                <w:rFonts w:hint="default" w:ascii="Times New Roman" w:hAnsi="Times New Roman" w:cs="Times New Roman"/>
                <w:color w:val="auto"/>
                <w:highlight w:val="none"/>
              </w:rPr>
            </w:pPr>
          </w:p>
        </w:tc>
        <w:tc>
          <w:tcPr>
            <w:tcW w:w="1766" w:type="dxa"/>
            <w:tcBorders>
              <w:tl2br w:val="nil"/>
              <w:tr2bl w:val="nil"/>
            </w:tcBorders>
            <w:vAlign w:val="center"/>
          </w:tcPr>
          <w:p w14:paraId="0F71BCDF">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SS</w:t>
            </w:r>
          </w:p>
        </w:tc>
        <w:tc>
          <w:tcPr>
            <w:tcW w:w="1728" w:type="dxa"/>
            <w:tcBorders>
              <w:tl2br w:val="nil"/>
              <w:tr2bl w:val="nil"/>
            </w:tcBorders>
            <w:vAlign w:val="center"/>
          </w:tcPr>
          <w:p w14:paraId="12766C26">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允许排放浓度</w:t>
            </w:r>
          </w:p>
        </w:tc>
        <w:tc>
          <w:tcPr>
            <w:tcW w:w="1191" w:type="dxa"/>
            <w:tcBorders>
              <w:tl2br w:val="nil"/>
              <w:tr2bl w:val="nil"/>
            </w:tcBorders>
            <w:vAlign w:val="center"/>
          </w:tcPr>
          <w:p w14:paraId="6A5F17FD">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c>
          <w:tcPr>
            <w:tcW w:w="1472" w:type="dxa"/>
            <w:tcBorders>
              <w:tl2br w:val="nil"/>
              <w:tr2bl w:val="nil"/>
            </w:tcBorders>
            <w:vAlign w:val="center"/>
          </w:tcPr>
          <w:p w14:paraId="70172EC3">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400mg/L</w:t>
            </w:r>
          </w:p>
        </w:tc>
      </w:tr>
      <w:tr w14:paraId="4D55A8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65" w:type="dxa"/>
            <w:vMerge w:val="continue"/>
            <w:tcBorders>
              <w:tl2br w:val="nil"/>
              <w:tr2bl w:val="nil"/>
            </w:tcBorders>
            <w:vAlign w:val="center"/>
          </w:tcPr>
          <w:p w14:paraId="50C6276B">
            <w:pPr>
              <w:pStyle w:val="34"/>
              <w:widowControl w:val="0"/>
              <w:rPr>
                <w:rFonts w:hint="default" w:ascii="Times New Roman" w:hAnsi="Times New Roman" w:cs="Times New Roman"/>
                <w:color w:val="auto"/>
                <w:highlight w:val="none"/>
              </w:rPr>
            </w:pPr>
          </w:p>
        </w:tc>
        <w:tc>
          <w:tcPr>
            <w:tcW w:w="1766" w:type="dxa"/>
            <w:tcBorders>
              <w:tl2br w:val="nil"/>
              <w:tr2bl w:val="nil"/>
            </w:tcBorders>
            <w:vAlign w:val="center"/>
          </w:tcPr>
          <w:p w14:paraId="5062DC1C">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pH</w:t>
            </w:r>
          </w:p>
        </w:tc>
        <w:tc>
          <w:tcPr>
            <w:tcW w:w="4391" w:type="dxa"/>
            <w:gridSpan w:val="3"/>
            <w:tcBorders>
              <w:tl2br w:val="nil"/>
              <w:tr2bl w:val="nil"/>
            </w:tcBorders>
            <w:vAlign w:val="center"/>
          </w:tcPr>
          <w:p w14:paraId="19E64D99">
            <w:pPr>
              <w:pStyle w:val="34"/>
              <w:widowControl w:val="0"/>
              <w:rPr>
                <w:rFonts w:hint="default" w:ascii="Times New Roman" w:hAnsi="Times New Roman" w:cs="Times New Roman"/>
                <w:color w:val="auto"/>
                <w:highlight w:val="none"/>
              </w:rPr>
            </w:pPr>
            <w:r>
              <w:rPr>
                <w:rFonts w:hint="default" w:ascii="Times New Roman" w:hAnsi="Times New Roman" w:cs="Times New Roman"/>
                <w:color w:val="auto"/>
                <w:highlight w:val="none"/>
              </w:rPr>
              <w:t>6-9</w:t>
            </w:r>
          </w:p>
        </w:tc>
      </w:tr>
    </w:tbl>
    <w:p w14:paraId="0E4CCE40">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（3）噪声排放标准</w:t>
      </w:r>
    </w:p>
    <w:p w14:paraId="67BAB21A">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施工期噪声排放执行</w:t>
      </w:r>
      <w:r>
        <w:rPr>
          <w:rFonts w:hint="eastAsia" w:ascii="Times New Roman" w:hAnsi="Times New Roman" w:eastAsia="宋体" w:cs="Times New Roman"/>
          <w:color w:val="auto"/>
          <w:spacing w:val="0"/>
          <w:position w:val="0"/>
          <w:sz w:val="24"/>
          <w:szCs w:val="24"/>
          <w:lang w:val="en-US" w:eastAsia="zh-CN"/>
        </w:rPr>
        <w:t>《建筑施工噪声排放标准》（GB12523-2025）</w:t>
      </w:r>
      <w:r>
        <w:rPr>
          <w:rFonts w:hint="default" w:ascii="Times New Roman" w:hAnsi="Times New Roman" w:eastAsia="宋体" w:cs="Times New Roman"/>
          <w:color w:val="auto"/>
          <w:spacing w:val="0"/>
          <w:position w:val="0"/>
          <w:sz w:val="24"/>
          <w:szCs w:val="24"/>
          <w:lang w:val="en-US" w:eastAsia="zh-CN"/>
        </w:rPr>
        <w:t>。</w:t>
      </w:r>
    </w:p>
    <w:p w14:paraId="3D1BA9F5">
      <w:pPr>
        <w:pStyle w:val="13"/>
        <w:keepNext w:val="0"/>
        <w:keepLines w:val="0"/>
        <w:pageBreakBefore w:val="0"/>
        <w:widowControl/>
        <w:numPr>
          <w:ilvl w:val="0"/>
          <w:numId w:val="0"/>
        </w:numPr>
        <w:kinsoku/>
        <w:wordWrap/>
        <w:overflowPunct/>
        <w:topLinePunct w:val="0"/>
        <w:autoSpaceDE/>
        <w:autoSpaceDN/>
        <w:bidi w:val="0"/>
        <w:adjustRightInd/>
        <w:snapToGrid w:val="0"/>
        <w:spacing w:beforeLines="0" w:afterLines="0" w:line="240" w:lineRule="auto"/>
        <w:ind w:right="0" w:right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表2.5-</w:t>
      </w:r>
      <w:r>
        <w:rPr>
          <w:rFonts w:hint="eastAsia" w:ascii="Times New Roman" w:hAnsi="Times New Roman" w:eastAsia="宋体" w:cs="Times New Roman"/>
          <w:b/>
          <w:bCs/>
          <w:color w:val="auto"/>
          <w:sz w:val="24"/>
          <w:szCs w:val="24"/>
          <w:highlight w:val="none"/>
          <w:lang w:val="en-US" w:eastAsia="zh-CN"/>
        </w:rPr>
        <w:t>10</w:t>
      </w:r>
      <w:r>
        <w:rPr>
          <w:rFonts w:hint="default" w:ascii="Times New Roman" w:hAnsi="Times New Roman" w:eastAsia="宋体" w:cs="Times New Roman"/>
          <w:b/>
          <w:bCs/>
          <w:color w:val="auto"/>
          <w:sz w:val="24"/>
          <w:szCs w:val="24"/>
          <w:highlight w:val="none"/>
          <w:lang w:val="en-US" w:eastAsia="zh-CN"/>
        </w:rPr>
        <w:t xml:space="preserve">  建筑施工场界环境噪声排放标准</w:t>
      </w:r>
    </w:p>
    <w:tbl>
      <w:tblPr>
        <w:tblStyle w:val="41"/>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823"/>
        <w:gridCol w:w="1721"/>
        <w:gridCol w:w="1524"/>
      </w:tblGrid>
      <w:tr w14:paraId="069B0F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210" w:type="pct"/>
            <w:tcBorders>
              <w:top w:val="single" w:color="000000" w:sz="12" w:space="0"/>
              <w:left w:val="nil"/>
            </w:tcBorders>
            <w:vAlign w:val="center"/>
          </w:tcPr>
          <w:p w14:paraId="1DB6291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标准来源</w:t>
            </w:r>
          </w:p>
        </w:tc>
        <w:tc>
          <w:tcPr>
            <w:tcW w:w="949" w:type="pct"/>
            <w:tcBorders>
              <w:top w:val="single" w:color="000000" w:sz="12" w:space="0"/>
            </w:tcBorders>
            <w:vAlign w:val="center"/>
          </w:tcPr>
          <w:p w14:paraId="078C686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昼间</w:t>
            </w:r>
          </w:p>
        </w:tc>
        <w:tc>
          <w:tcPr>
            <w:tcW w:w="840" w:type="pct"/>
            <w:tcBorders>
              <w:top w:val="single" w:color="000000" w:sz="12" w:space="0"/>
              <w:right w:val="nil"/>
            </w:tcBorders>
            <w:vAlign w:val="center"/>
          </w:tcPr>
          <w:p w14:paraId="0EDFD9B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夜间</w:t>
            </w:r>
          </w:p>
        </w:tc>
      </w:tr>
      <w:tr w14:paraId="434017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210" w:type="pct"/>
            <w:tcBorders>
              <w:left w:val="nil"/>
              <w:bottom w:val="single" w:color="000000" w:sz="12" w:space="0"/>
            </w:tcBorders>
            <w:vAlign w:val="center"/>
          </w:tcPr>
          <w:p w14:paraId="1A8147A0">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eastAsia" w:ascii="Times New Roman" w:hAnsi="Times New Roman" w:eastAsia="宋体" w:cs="Times New Roman"/>
                <w:color w:val="auto"/>
                <w:sz w:val="21"/>
                <w:szCs w:val="21"/>
                <w:lang w:eastAsia="zh-CN"/>
              </w:rPr>
            </w:pPr>
            <w:r>
              <w:rPr>
                <w:rFonts w:hint="eastAsia" w:eastAsia="宋体" w:cs="Times New Roman"/>
                <w:color w:val="auto"/>
                <w:spacing w:val="7"/>
                <w:sz w:val="21"/>
                <w:szCs w:val="21"/>
                <w:lang w:eastAsia="zh-CN"/>
              </w:rPr>
              <w:t>《建筑施工噪声排放标准》（GB12523-2025）</w:t>
            </w:r>
          </w:p>
        </w:tc>
        <w:tc>
          <w:tcPr>
            <w:tcW w:w="949" w:type="pct"/>
            <w:tcBorders>
              <w:bottom w:val="single" w:color="000000" w:sz="12" w:space="0"/>
            </w:tcBorders>
            <w:vAlign w:val="center"/>
          </w:tcPr>
          <w:p w14:paraId="230B6CB3">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cs="Times New Roman"/>
                <w:color w:val="auto"/>
                <w:spacing w:val="6"/>
                <w:sz w:val="21"/>
                <w:szCs w:val="21"/>
              </w:rPr>
              <w:t>70</w:t>
            </w:r>
            <w:r>
              <w:rPr>
                <w:rFonts w:hint="default" w:ascii="Times New Roman" w:hAnsi="Times New Roman" w:cs="Times New Roman"/>
                <w:color w:val="auto"/>
                <w:sz w:val="21"/>
                <w:szCs w:val="21"/>
              </w:rPr>
              <w:t>dB</w:t>
            </w:r>
            <w:r>
              <w:rPr>
                <w:rFonts w:hint="default" w:ascii="Times New Roman" w:hAnsi="Times New Roman" w:eastAsia="宋体" w:cs="Times New Roman"/>
                <w:color w:val="auto"/>
                <w:spacing w:val="6"/>
                <w:sz w:val="21"/>
                <w:szCs w:val="21"/>
              </w:rPr>
              <w:t>（</w:t>
            </w:r>
            <w:r>
              <w:rPr>
                <w:rFonts w:hint="default" w:ascii="Times New Roman" w:hAnsi="Times New Roman" w:cs="Times New Roman"/>
                <w:color w:val="auto"/>
                <w:spacing w:val="6"/>
                <w:sz w:val="21"/>
                <w:szCs w:val="21"/>
              </w:rPr>
              <w:t>A</w:t>
            </w:r>
            <w:r>
              <w:rPr>
                <w:rFonts w:hint="default" w:ascii="Times New Roman" w:hAnsi="Times New Roman" w:eastAsia="宋体" w:cs="Times New Roman"/>
                <w:color w:val="auto"/>
                <w:spacing w:val="6"/>
                <w:sz w:val="21"/>
                <w:szCs w:val="21"/>
              </w:rPr>
              <w:t>）</w:t>
            </w:r>
          </w:p>
        </w:tc>
        <w:tc>
          <w:tcPr>
            <w:tcW w:w="840" w:type="pct"/>
            <w:tcBorders>
              <w:bottom w:val="single" w:color="000000" w:sz="12" w:space="0"/>
              <w:right w:val="nil"/>
            </w:tcBorders>
            <w:vAlign w:val="center"/>
          </w:tcPr>
          <w:p w14:paraId="48E71277">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cs="Times New Roman"/>
                <w:color w:val="auto"/>
                <w:spacing w:val="5"/>
                <w:sz w:val="21"/>
                <w:szCs w:val="21"/>
              </w:rPr>
              <w:t>55</w:t>
            </w:r>
            <w:r>
              <w:rPr>
                <w:rFonts w:hint="default" w:ascii="Times New Roman" w:hAnsi="Times New Roman" w:cs="Times New Roman"/>
                <w:color w:val="auto"/>
                <w:sz w:val="21"/>
                <w:szCs w:val="21"/>
              </w:rPr>
              <w:t>dB</w:t>
            </w:r>
            <w:r>
              <w:rPr>
                <w:rFonts w:hint="default" w:ascii="Times New Roman" w:hAnsi="Times New Roman" w:eastAsia="宋体" w:cs="Times New Roman"/>
                <w:color w:val="auto"/>
                <w:spacing w:val="5"/>
                <w:sz w:val="21"/>
                <w:szCs w:val="21"/>
              </w:rPr>
              <w:t>（</w:t>
            </w:r>
            <w:r>
              <w:rPr>
                <w:rFonts w:hint="default" w:ascii="Times New Roman" w:hAnsi="Times New Roman" w:cs="Times New Roman"/>
                <w:color w:val="auto"/>
                <w:spacing w:val="5"/>
                <w:sz w:val="21"/>
                <w:szCs w:val="21"/>
              </w:rPr>
              <w:t>A</w:t>
            </w:r>
            <w:r>
              <w:rPr>
                <w:rFonts w:hint="default" w:ascii="Times New Roman" w:hAnsi="Times New Roman" w:eastAsia="宋体" w:cs="Times New Roman"/>
                <w:color w:val="auto"/>
                <w:spacing w:val="5"/>
                <w:sz w:val="21"/>
                <w:szCs w:val="21"/>
              </w:rPr>
              <w:t>）</w:t>
            </w:r>
          </w:p>
        </w:tc>
      </w:tr>
    </w:tbl>
    <w:p w14:paraId="2203463A">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运行期执行《工业企业厂界环境噪声排放标准》（GB12348-2008）相应标准。</w:t>
      </w:r>
    </w:p>
    <w:p w14:paraId="65BBD24B">
      <w:pPr>
        <w:pStyle w:val="13"/>
        <w:keepNext w:val="0"/>
        <w:keepLines w:val="0"/>
        <w:pageBreakBefore w:val="0"/>
        <w:widowControl/>
        <w:numPr>
          <w:ilvl w:val="0"/>
          <w:numId w:val="0"/>
        </w:numPr>
        <w:kinsoku/>
        <w:wordWrap/>
        <w:overflowPunct/>
        <w:topLinePunct w:val="0"/>
        <w:autoSpaceDE/>
        <w:autoSpaceDN/>
        <w:bidi w:val="0"/>
        <w:adjustRightInd/>
        <w:snapToGrid w:val="0"/>
        <w:spacing w:beforeLines="0" w:afterLines="0" w:line="240" w:lineRule="auto"/>
        <w:ind w:right="0" w:right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表2.5</w:t>
      </w:r>
      <w:r>
        <w:rPr>
          <w:rFonts w:hint="eastAsia" w:ascii="Times New Roman" w:hAnsi="Times New Roman" w:eastAsia="宋体" w:cs="Times New Roman"/>
          <w:b/>
          <w:bCs/>
          <w:color w:val="auto"/>
          <w:sz w:val="24"/>
          <w:szCs w:val="24"/>
          <w:highlight w:val="none"/>
          <w:lang w:val="en-US" w:eastAsia="zh-CN"/>
        </w:rPr>
        <w:t>-11</w:t>
      </w:r>
      <w:r>
        <w:rPr>
          <w:rFonts w:hint="default" w:ascii="Times New Roman" w:hAnsi="Times New Roman" w:eastAsia="宋体" w:cs="Times New Roman"/>
          <w:b/>
          <w:bCs/>
          <w:color w:val="auto"/>
          <w:sz w:val="24"/>
          <w:szCs w:val="24"/>
          <w:highlight w:val="none"/>
          <w:lang w:val="en-US" w:eastAsia="zh-CN"/>
        </w:rPr>
        <w:t xml:space="preserve">  工业企业厂界环境噪声排放标准</w:t>
      </w:r>
    </w:p>
    <w:tbl>
      <w:tblPr>
        <w:tblStyle w:val="41"/>
        <w:tblW w:w="4997"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2648"/>
        <w:gridCol w:w="3207"/>
        <w:gridCol w:w="3212"/>
      </w:tblGrid>
      <w:tr w14:paraId="02E8E99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460" w:type="pct"/>
            <w:tcBorders>
              <w:tl2br w:val="nil"/>
              <w:tr2bl w:val="nil"/>
            </w:tcBorders>
            <w:vAlign w:val="center"/>
          </w:tcPr>
          <w:p w14:paraId="642DA9C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pacing w:val="5"/>
                <w:sz w:val="21"/>
                <w:szCs w:val="21"/>
                <w:lang w:eastAsia="zh-CN"/>
              </w:rPr>
              <w:t>声环境功能区</w:t>
            </w:r>
          </w:p>
        </w:tc>
        <w:tc>
          <w:tcPr>
            <w:tcW w:w="1768" w:type="pct"/>
            <w:tcBorders>
              <w:tl2br w:val="nil"/>
              <w:tr2bl w:val="nil"/>
            </w:tcBorders>
            <w:vAlign w:val="center"/>
          </w:tcPr>
          <w:p w14:paraId="421B11F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昼间</w:t>
            </w:r>
          </w:p>
        </w:tc>
        <w:tc>
          <w:tcPr>
            <w:tcW w:w="1771" w:type="pct"/>
            <w:tcBorders>
              <w:tl2br w:val="nil"/>
              <w:tr2bl w:val="nil"/>
            </w:tcBorders>
            <w:vAlign w:val="center"/>
          </w:tcPr>
          <w:p w14:paraId="12962EB3">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夜间</w:t>
            </w:r>
          </w:p>
        </w:tc>
      </w:tr>
      <w:tr w14:paraId="75F2D67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460" w:type="pct"/>
            <w:tcBorders>
              <w:tl2br w:val="nil"/>
              <w:tr2bl w:val="nil"/>
            </w:tcBorders>
            <w:vAlign w:val="center"/>
          </w:tcPr>
          <w:p w14:paraId="2D7D9D4C">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cs="Times New Roman"/>
                <w:color w:val="auto"/>
                <w:spacing w:val="3"/>
                <w:sz w:val="21"/>
                <w:szCs w:val="21"/>
              </w:rPr>
              <w:t>2</w:t>
            </w:r>
            <w:r>
              <w:rPr>
                <w:rFonts w:hint="default" w:ascii="Times New Roman" w:hAnsi="Times New Roman" w:eastAsia="宋体" w:cs="Times New Roman"/>
                <w:color w:val="auto"/>
                <w:spacing w:val="3"/>
                <w:sz w:val="21"/>
                <w:szCs w:val="21"/>
              </w:rPr>
              <w:t>类区</w:t>
            </w:r>
          </w:p>
        </w:tc>
        <w:tc>
          <w:tcPr>
            <w:tcW w:w="1768" w:type="pct"/>
            <w:tcBorders>
              <w:tl2br w:val="nil"/>
              <w:tr2bl w:val="nil"/>
            </w:tcBorders>
            <w:vAlign w:val="center"/>
          </w:tcPr>
          <w:p w14:paraId="6D09E514">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60dB</w:t>
            </w:r>
            <w:r>
              <w:rPr>
                <w:rFonts w:hint="default" w:ascii="Times New Roman" w:hAnsi="Times New Roman" w:eastAsia="宋体" w:cs="Times New Roman"/>
                <w:color w:val="auto"/>
                <w:spacing w:val="6"/>
                <w:sz w:val="21"/>
                <w:szCs w:val="21"/>
              </w:rPr>
              <w:t>（</w:t>
            </w:r>
            <w:r>
              <w:rPr>
                <w:rFonts w:hint="default" w:ascii="Times New Roman" w:hAnsi="Times New Roman" w:cs="Times New Roman"/>
                <w:color w:val="auto"/>
                <w:spacing w:val="6"/>
                <w:sz w:val="21"/>
                <w:szCs w:val="21"/>
              </w:rPr>
              <w:t>A</w:t>
            </w:r>
            <w:r>
              <w:rPr>
                <w:rFonts w:hint="default" w:ascii="Times New Roman" w:hAnsi="Times New Roman" w:eastAsia="宋体" w:cs="Times New Roman"/>
                <w:color w:val="auto"/>
                <w:spacing w:val="6"/>
                <w:sz w:val="21"/>
                <w:szCs w:val="21"/>
              </w:rPr>
              <w:t>）</w:t>
            </w:r>
          </w:p>
        </w:tc>
        <w:tc>
          <w:tcPr>
            <w:tcW w:w="1771" w:type="pct"/>
            <w:tcBorders>
              <w:tl2br w:val="nil"/>
              <w:tr2bl w:val="nil"/>
            </w:tcBorders>
            <w:vAlign w:val="center"/>
          </w:tcPr>
          <w:p w14:paraId="3E20E6FD">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r>
              <w:rPr>
                <w:rFonts w:hint="default" w:ascii="Times New Roman" w:hAnsi="Times New Roman" w:eastAsia="宋体" w:cs="Times New Roman"/>
                <w:color w:val="auto"/>
                <w:sz w:val="21"/>
                <w:szCs w:val="21"/>
                <w:lang w:val="en-US" w:eastAsia="zh-CN"/>
              </w:rPr>
              <w:t>0</w:t>
            </w:r>
            <w:r>
              <w:rPr>
                <w:rFonts w:hint="default" w:ascii="Times New Roman" w:hAnsi="Times New Roman" w:cs="Times New Roman"/>
                <w:color w:val="auto"/>
                <w:sz w:val="21"/>
                <w:szCs w:val="21"/>
              </w:rPr>
              <w:t>dB</w:t>
            </w:r>
            <w:r>
              <w:rPr>
                <w:rFonts w:hint="default" w:ascii="Times New Roman" w:hAnsi="Times New Roman" w:eastAsia="宋体" w:cs="Times New Roman"/>
                <w:color w:val="auto"/>
                <w:spacing w:val="6"/>
                <w:sz w:val="21"/>
                <w:szCs w:val="21"/>
              </w:rPr>
              <w:t>（</w:t>
            </w:r>
            <w:r>
              <w:rPr>
                <w:rFonts w:hint="default" w:ascii="Times New Roman" w:hAnsi="Times New Roman" w:cs="Times New Roman"/>
                <w:color w:val="auto"/>
                <w:spacing w:val="6"/>
                <w:sz w:val="21"/>
                <w:szCs w:val="21"/>
              </w:rPr>
              <w:t>A</w:t>
            </w:r>
            <w:r>
              <w:rPr>
                <w:rFonts w:hint="default" w:ascii="Times New Roman" w:hAnsi="Times New Roman" w:eastAsia="宋体" w:cs="Times New Roman"/>
                <w:color w:val="auto"/>
                <w:spacing w:val="6"/>
                <w:sz w:val="21"/>
                <w:szCs w:val="21"/>
              </w:rPr>
              <w:t>）</w:t>
            </w:r>
          </w:p>
        </w:tc>
      </w:tr>
    </w:tbl>
    <w:p w14:paraId="5E651938">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（4）固体废物排放标准</w:t>
      </w:r>
    </w:p>
    <w:p w14:paraId="621EBFF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pacing w:val="0"/>
          <w:position w:val="0"/>
          <w:sz w:val="24"/>
          <w:szCs w:val="24"/>
          <w:lang w:val="en-US" w:eastAsia="zh-CN"/>
        </w:rPr>
      </w:pPr>
      <w:r>
        <w:rPr>
          <w:rFonts w:hint="eastAsia" w:ascii="Times New Roman" w:hAnsi="Times New Roman" w:eastAsia="宋体" w:cs="Times New Roman"/>
          <w:color w:val="auto"/>
          <w:spacing w:val="0"/>
          <w:position w:val="0"/>
          <w:sz w:val="24"/>
          <w:szCs w:val="24"/>
          <w:lang w:val="en-US" w:eastAsia="zh-CN"/>
        </w:rPr>
        <w:t>运营期一般固体废物执行</w:t>
      </w:r>
      <w:r>
        <w:rPr>
          <w:rFonts w:hint="default" w:ascii="Times New Roman" w:hAnsi="Times New Roman" w:eastAsia="宋体" w:cs="Times New Roman"/>
          <w:color w:val="auto"/>
          <w:spacing w:val="0"/>
          <w:position w:val="0"/>
          <w:sz w:val="24"/>
          <w:szCs w:val="24"/>
          <w:lang w:val="en-US" w:eastAsia="zh-CN"/>
        </w:rPr>
        <w:t>《一般工业固体废物贮存和填埋污染控制标准》（GB18599-2020）；危险废物贮存应符合《危险废物贮存污染控制标准》（GB18597-2023）。</w:t>
      </w:r>
    </w:p>
    <w:p w14:paraId="5AF11258">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0"/>
          <w:position w:val="0"/>
          <w:sz w:val="32"/>
          <w:szCs w:val="32"/>
          <w:lang w:eastAsia="zh-CN"/>
        </w:rPr>
      </w:pPr>
      <w:bookmarkStart w:id="15" w:name="_Toc6888"/>
      <w:r>
        <w:rPr>
          <w:rFonts w:hint="default" w:ascii="Times New Roman" w:hAnsi="Times New Roman" w:eastAsia="微软雅黑" w:cs="Times New Roman"/>
          <w:color w:val="auto"/>
          <w:spacing w:val="0"/>
          <w:position w:val="0"/>
          <w:sz w:val="32"/>
          <w:szCs w:val="32"/>
          <w:lang w:eastAsia="zh-CN"/>
        </w:rPr>
        <w:t>2.</w:t>
      </w:r>
      <w:r>
        <w:rPr>
          <w:rFonts w:hint="default" w:ascii="Times New Roman" w:hAnsi="Times New Roman" w:eastAsia="微软雅黑" w:cs="Times New Roman"/>
          <w:color w:val="auto"/>
          <w:spacing w:val="0"/>
          <w:position w:val="0"/>
          <w:sz w:val="32"/>
          <w:szCs w:val="32"/>
          <w:lang w:val="en-US" w:eastAsia="zh-CN"/>
        </w:rPr>
        <w:t xml:space="preserve">6 </w:t>
      </w:r>
      <w:r>
        <w:rPr>
          <w:rFonts w:hint="default" w:ascii="Times New Roman" w:hAnsi="Times New Roman" w:eastAsia="微软雅黑" w:cs="Times New Roman"/>
          <w:color w:val="auto"/>
          <w:spacing w:val="0"/>
          <w:position w:val="0"/>
          <w:sz w:val="32"/>
          <w:szCs w:val="32"/>
          <w:lang w:eastAsia="zh-CN"/>
        </w:rPr>
        <w:t>评价工作等级和评价范围</w:t>
      </w:r>
      <w:bookmarkEnd w:id="15"/>
    </w:p>
    <w:p w14:paraId="310666B5">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default" w:ascii="Times New Roman" w:hAnsi="Times New Roman" w:eastAsia="宋体" w:cs="Times New Roman"/>
          <w:b/>
          <w:bCs/>
          <w:color w:val="auto"/>
          <w:spacing w:val="0"/>
          <w:position w:val="0"/>
          <w:sz w:val="30"/>
          <w:szCs w:val="30"/>
          <w:lang w:val="en-US" w:eastAsia="zh-CN"/>
        </w:rPr>
        <w:t>2.6.1评价等级</w:t>
      </w:r>
    </w:p>
    <w:p w14:paraId="20D52E2C">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微软雅黑" w:cs="Times New Roman"/>
          <w:color w:val="auto"/>
          <w:sz w:val="24"/>
          <w:szCs w:val="24"/>
        </w:rPr>
      </w:pPr>
      <w:r>
        <w:rPr>
          <w:rFonts w:hint="default" w:ascii="Times New Roman" w:hAnsi="Times New Roman" w:eastAsia="宋体" w:cs="Times New Roman"/>
          <w:b/>
          <w:bCs/>
          <w:color w:val="auto"/>
          <w:sz w:val="28"/>
          <w:szCs w:val="28"/>
        </w:rPr>
        <w:fldChar w:fldCharType="begin"/>
      </w:r>
      <w:r>
        <w:rPr>
          <w:rFonts w:hint="default" w:ascii="Times New Roman" w:hAnsi="Times New Roman" w:eastAsia="宋体" w:cs="Times New Roman"/>
          <w:b/>
          <w:bCs/>
          <w:color w:val="auto"/>
          <w:sz w:val="28"/>
          <w:szCs w:val="28"/>
        </w:rPr>
        <w:instrText xml:space="preserve"> HYPERLINK "2.3.1.1" </w:instrText>
      </w:r>
      <w:r>
        <w:rPr>
          <w:rFonts w:hint="default" w:ascii="Times New Roman" w:hAnsi="Times New Roman" w:eastAsia="宋体" w:cs="Times New Roman"/>
          <w:b/>
          <w:bCs/>
          <w:color w:val="auto"/>
          <w:sz w:val="28"/>
          <w:szCs w:val="28"/>
        </w:rPr>
        <w:fldChar w:fldCharType="separate"/>
      </w:r>
      <w:r>
        <w:rPr>
          <w:rFonts w:hint="default" w:ascii="Times New Roman" w:hAnsi="Times New Roman" w:eastAsia="宋体" w:cs="Times New Roman"/>
          <w:b/>
          <w:bCs/>
          <w:color w:val="auto"/>
          <w:spacing w:val="-1"/>
          <w:sz w:val="28"/>
          <w:szCs w:val="28"/>
        </w:rPr>
        <w:t>2.</w:t>
      </w:r>
      <w:r>
        <w:rPr>
          <w:rFonts w:hint="default" w:ascii="Times New Roman" w:hAnsi="Times New Roman" w:eastAsia="宋体" w:cs="Times New Roman"/>
          <w:b/>
          <w:bCs/>
          <w:color w:val="auto"/>
          <w:spacing w:val="-1"/>
          <w:sz w:val="28"/>
          <w:szCs w:val="28"/>
          <w:lang w:val="en-US" w:eastAsia="zh-CN"/>
        </w:rPr>
        <w:t>6</w:t>
      </w:r>
      <w:r>
        <w:rPr>
          <w:rFonts w:hint="default" w:ascii="Times New Roman" w:hAnsi="Times New Roman" w:eastAsia="宋体" w:cs="Times New Roman"/>
          <w:b/>
          <w:bCs/>
          <w:color w:val="auto"/>
          <w:spacing w:val="-1"/>
          <w:sz w:val="28"/>
          <w:szCs w:val="28"/>
        </w:rPr>
        <w:t>.1.1</w:t>
      </w:r>
      <w:r>
        <w:rPr>
          <w:rFonts w:hint="default" w:ascii="Times New Roman" w:hAnsi="Times New Roman" w:eastAsia="宋体" w:cs="Times New Roman"/>
          <w:b/>
          <w:bCs/>
          <w:color w:val="auto"/>
          <w:spacing w:val="-1"/>
          <w:sz w:val="28"/>
          <w:szCs w:val="28"/>
        </w:rPr>
        <w:fldChar w:fldCharType="end"/>
      </w:r>
      <w:r>
        <w:rPr>
          <w:rFonts w:hint="default" w:ascii="Times New Roman" w:hAnsi="Times New Roman" w:eastAsia="宋体" w:cs="Times New Roman"/>
          <w:b/>
          <w:bCs/>
          <w:color w:val="auto"/>
          <w:spacing w:val="-1"/>
          <w:sz w:val="28"/>
          <w:szCs w:val="28"/>
        </w:rPr>
        <w:t>大气环境评价等级</w:t>
      </w:r>
    </w:p>
    <w:p w14:paraId="56527434">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根据《环境影响评价</w:t>
      </w:r>
      <w:r>
        <w:rPr>
          <w:rFonts w:hint="default" w:ascii="Times New Roman" w:hAnsi="Times New Roman" w:cs="Times New Roman"/>
          <w:color w:val="auto"/>
          <w:sz w:val="24"/>
          <w:szCs w:val="24"/>
          <w:highlight w:val="none"/>
          <w:lang w:val="en-US" w:eastAsia="zh-CN"/>
        </w:rPr>
        <w:t>技术</w:t>
      </w:r>
      <w:r>
        <w:rPr>
          <w:rFonts w:hint="default" w:ascii="Times New Roman" w:hAnsi="Times New Roman" w:cs="Times New Roman"/>
          <w:color w:val="auto"/>
          <w:sz w:val="24"/>
          <w:szCs w:val="24"/>
          <w:highlight w:val="none"/>
        </w:rPr>
        <w:t>导则</w:t>
      </w:r>
      <w:r>
        <w:rPr>
          <w:rFonts w:hint="default" w:ascii="Times New Roman" w:hAnsi="Times New Roman"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rPr>
        <w:t>大气</w:t>
      </w:r>
      <w:r>
        <w:rPr>
          <w:rFonts w:hint="default" w:ascii="Times New Roman" w:hAnsi="Times New Roman" w:cs="Times New Roman"/>
          <w:color w:val="auto"/>
          <w:sz w:val="24"/>
          <w:szCs w:val="24"/>
          <w:highlight w:val="none"/>
          <w:lang w:val="en-US" w:eastAsia="zh-CN"/>
        </w:rPr>
        <w:t>环境</w:t>
      </w:r>
      <w:r>
        <w:rPr>
          <w:rFonts w:hint="default" w:ascii="Times New Roman" w:hAnsi="Times New Roman" w:cs="Times New Roman"/>
          <w:color w:val="auto"/>
          <w:sz w:val="24"/>
          <w:szCs w:val="24"/>
          <w:highlight w:val="none"/>
        </w:rPr>
        <w:t>》（HJ2.2-2018）的评价工作等级确定要求，采用估算模型计算项目污染源的最大环境影响，然后按评价工作分级判据进行分级。</w:t>
      </w:r>
    </w:p>
    <w:p w14:paraId="3D414F2E">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项目污染源初步调查结果，分别计算项目排放主要污染物的最大地面空气质量浓度占标率Pi（第i个污染物，简称“最大浓度占标率”），及第i个污染物的地面空气质量浓度达到标准值的10%时所对应的最远距离D10%。其中Pi定义为：</w:t>
      </w:r>
    </w:p>
    <w:p w14:paraId="2C0D1855">
      <w:pPr>
        <w:pStyle w:val="43"/>
        <w:keepLines w:val="0"/>
        <w:pageBreakBefore w:val="0"/>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object>
          <v:shape id="_x0000_i1025" o:spt="75" type="#_x0000_t75" style="height:46.7pt;width:109.95pt;" o:ole="t" filled="f" o:preferrelative="t" stroked="f" coordsize="21600,21600">
            <v:path/>
            <v:fill on="f" focussize="0,0"/>
            <v:stroke on="f"/>
            <v:imagedata r:id="rId27" o:title=""/>
            <o:lock v:ext="edit" aspectratio="t"/>
            <w10:wrap type="none"/>
            <w10:anchorlock/>
          </v:shape>
          <o:OLEObject Type="Embed" ProgID="Equation.KSEE3" ShapeID="_x0000_i1025" DrawAspect="Content" ObjectID="_1468075725" r:id="rId26">
            <o:LockedField>false</o:LockedField>
          </o:OLEObject>
        </w:object>
      </w:r>
    </w:p>
    <w:p w14:paraId="5CBAF16D">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w:t>
      </w:r>
    </w:p>
    <w:p w14:paraId="1B4928FF">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Pi—第i个污染物的最大地面浓度占标率，%；</w:t>
      </w:r>
    </w:p>
    <w:p w14:paraId="696E82C8">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Ci—采用估算模式计算出的第i个污染物的最大地面浓度；</w:t>
      </w:r>
    </w:p>
    <w:p w14:paraId="4D380FB6">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Ci—第i个污染物的环境空气质量标准，mg/m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p>
    <w:p w14:paraId="34A079F6">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Coi—第i个污染物的环境空气质量浓度标准，μ</w:t>
      </w:r>
      <w:r>
        <w:rPr>
          <w:rFonts w:hint="default" w:ascii="Times New Roman" w:hAnsi="Times New Roman" w:cs="Times New Roman"/>
          <w:color w:val="auto"/>
          <w:sz w:val="24"/>
          <w:szCs w:val="24"/>
          <w:highlight w:val="none"/>
          <w:lang w:val="en-US"/>
        </w:rPr>
        <w:t>g</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p>
    <w:p w14:paraId="3FE1864A">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rFonts w:hint="default" w:ascii="Times New Roman" w:hAnsi="Times New Roman" w:eastAsia="宋体" w:cs="Times New Roman"/>
          <w:b/>
          <w:bCs/>
          <w:snapToGrid w:val="0"/>
          <w:color w:val="FF0000"/>
          <w:kern w:val="0"/>
          <w:sz w:val="24"/>
          <w:szCs w:val="24"/>
          <w:highlight w:val="none"/>
          <w:lang w:val="en-US" w:eastAsia="zh-CN" w:bidi="ar-SA"/>
        </w:rPr>
      </w:pPr>
      <w:r>
        <w:rPr>
          <w:rFonts w:hint="default" w:ascii="Times New Roman" w:hAnsi="Times New Roman" w:cs="Times New Roman"/>
          <w:color w:val="auto"/>
          <w:sz w:val="24"/>
          <w:szCs w:val="24"/>
          <w:highlight w:val="none"/>
        </w:rPr>
        <w:t>评价工作等级按下表的分级判定进行划分。</w:t>
      </w:r>
    </w:p>
    <w:p w14:paraId="0351EA4C">
      <w:pPr>
        <w:bidi w:val="0"/>
        <w:jc w:val="center"/>
        <w:rPr>
          <w:rFonts w:hint="default" w:ascii="Times New Roman" w:hAnsi="Times New Roman" w:eastAsia="宋体" w:cs="Times New Roman"/>
          <w:b/>
          <w:bCs/>
          <w:snapToGrid w:val="0"/>
          <w:color w:val="auto"/>
          <w:kern w:val="0"/>
          <w:sz w:val="24"/>
          <w:szCs w:val="24"/>
          <w:highlight w:val="none"/>
          <w:lang w:val="en-US" w:eastAsia="zh-CN" w:bidi="ar-SA"/>
        </w:rPr>
      </w:pPr>
      <w:r>
        <w:rPr>
          <w:rFonts w:hint="default" w:ascii="Times New Roman" w:hAnsi="Times New Roman" w:eastAsia="宋体" w:cs="Times New Roman"/>
          <w:b/>
          <w:bCs/>
          <w:snapToGrid w:val="0"/>
          <w:color w:val="auto"/>
          <w:kern w:val="0"/>
          <w:sz w:val="24"/>
          <w:szCs w:val="24"/>
          <w:highlight w:val="none"/>
          <w:lang w:val="en-US" w:eastAsia="zh-CN" w:bidi="ar-SA"/>
        </w:rPr>
        <w:t>表</w:t>
      </w:r>
      <w:r>
        <w:rPr>
          <w:rFonts w:hint="eastAsia" w:ascii="Times New Roman" w:hAnsi="Times New Roman" w:eastAsia="宋体" w:cs="Times New Roman"/>
          <w:b/>
          <w:bCs/>
          <w:snapToGrid w:val="0"/>
          <w:color w:val="auto"/>
          <w:kern w:val="0"/>
          <w:sz w:val="24"/>
          <w:szCs w:val="24"/>
          <w:highlight w:val="none"/>
          <w:lang w:val="en-US" w:eastAsia="zh-CN" w:bidi="ar-SA"/>
        </w:rPr>
        <w:t>2.6</w:t>
      </w:r>
      <w:r>
        <w:rPr>
          <w:rFonts w:hint="default" w:ascii="Times New Roman" w:hAnsi="Times New Roman" w:eastAsia="宋体" w:cs="Times New Roman"/>
          <w:b/>
          <w:bCs/>
          <w:snapToGrid w:val="0"/>
          <w:color w:val="auto"/>
          <w:kern w:val="0"/>
          <w:sz w:val="24"/>
          <w:szCs w:val="24"/>
          <w:highlight w:val="none"/>
          <w:lang w:val="en-US" w:eastAsia="zh-CN" w:bidi="ar-SA"/>
        </w:rPr>
        <w:t>-</w:t>
      </w:r>
      <w:r>
        <w:rPr>
          <w:rFonts w:hint="default" w:ascii="Times New Roman" w:hAnsi="Times New Roman" w:eastAsia="宋体" w:cs="Times New Roman"/>
          <w:b/>
          <w:bCs/>
          <w:snapToGrid w:val="0"/>
          <w:color w:val="auto"/>
          <w:kern w:val="0"/>
          <w:sz w:val="24"/>
          <w:szCs w:val="24"/>
          <w:highlight w:val="none"/>
          <w:lang w:val="en-US" w:eastAsia="zh-CN" w:bidi="ar-SA"/>
        </w:rPr>
        <w:fldChar w:fldCharType="begin"/>
      </w:r>
      <w:r>
        <w:rPr>
          <w:rFonts w:hint="default" w:ascii="Times New Roman" w:hAnsi="Times New Roman" w:eastAsia="宋体" w:cs="Times New Roman"/>
          <w:b/>
          <w:bCs/>
          <w:snapToGrid w:val="0"/>
          <w:color w:val="auto"/>
          <w:kern w:val="0"/>
          <w:sz w:val="24"/>
          <w:szCs w:val="24"/>
          <w:highlight w:val="none"/>
          <w:lang w:val="en-US" w:eastAsia="zh-CN" w:bidi="ar-SA"/>
        </w:rPr>
        <w:instrText xml:space="preserve"> SEQ 表 \* ARABIC \s 2 </w:instrText>
      </w:r>
      <w:r>
        <w:rPr>
          <w:rFonts w:hint="default" w:ascii="Times New Roman" w:hAnsi="Times New Roman" w:eastAsia="宋体" w:cs="Times New Roman"/>
          <w:b/>
          <w:bCs/>
          <w:snapToGrid w:val="0"/>
          <w:color w:val="auto"/>
          <w:kern w:val="0"/>
          <w:sz w:val="24"/>
          <w:szCs w:val="24"/>
          <w:highlight w:val="none"/>
          <w:lang w:val="en-US" w:eastAsia="zh-CN" w:bidi="ar-SA"/>
        </w:rPr>
        <w:fldChar w:fldCharType="separate"/>
      </w:r>
      <w:r>
        <w:rPr>
          <w:rFonts w:hint="default" w:ascii="Times New Roman" w:hAnsi="Times New Roman" w:eastAsia="宋体" w:cs="Times New Roman"/>
          <w:b/>
          <w:bCs/>
          <w:snapToGrid w:val="0"/>
          <w:color w:val="auto"/>
          <w:kern w:val="0"/>
          <w:sz w:val="24"/>
          <w:szCs w:val="24"/>
          <w:highlight w:val="none"/>
          <w:lang w:val="en-US" w:eastAsia="zh-CN" w:bidi="ar-SA"/>
        </w:rPr>
        <w:t>1</w:t>
      </w:r>
      <w:r>
        <w:rPr>
          <w:rFonts w:hint="default" w:ascii="Times New Roman" w:hAnsi="Times New Roman" w:eastAsia="宋体" w:cs="Times New Roman"/>
          <w:b/>
          <w:bCs/>
          <w:snapToGrid w:val="0"/>
          <w:color w:val="auto"/>
          <w:kern w:val="0"/>
          <w:sz w:val="24"/>
          <w:szCs w:val="24"/>
          <w:highlight w:val="none"/>
          <w:lang w:val="en-US" w:eastAsia="zh-CN" w:bidi="ar-SA"/>
        </w:rPr>
        <w:fldChar w:fldCharType="end"/>
      </w:r>
      <w:r>
        <w:rPr>
          <w:rFonts w:hint="default" w:ascii="Times New Roman" w:hAnsi="Times New Roman" w:eastAsia="宋体" w:cs="Times New Roman"/>
          <w:b/>
          <w:bCs/>
          <w:snapToGrid w:val="0"/>
          <w:color w:val="auto"/>
          <w:kern w:val="0"/>
          <w:sz w:val="24"/>
          <w:szCs w:val="24"/>
          <w:highlight w:val="none"/>
          <w:lang w:val="en-US" w:eastAsia="zh-CN" w:bidi="ar-SA"/>
        </w:rPr>
        <w:t xml:space="preserve">  环境空气评价等级判别表</w:t>
      </w:r>
    </w:p>
    <w:tbl>
      <w:tblPr>
        <w:tblStyle w:val="22"/>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02"/>
        <w:gridCol w:w="6684"/>
      </w:tblGrid>
      <w:tr w14:paraId="2B0E0A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01" w:type="pct"/>
            <w:tcBorders>
              <w:left w:val="nil"/>
            </w:tcBorders>
            <w:noWrap w:val="0"/>
            <w:vAlign w:val="center"/>
          </w:tcPr>
          <w:p w14:paraId="096E986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评价工作等级</w:t>
            </w:r>
          </w:p>
        </w:tc>
        <w:tc>
          <w:tcPr>
            <w:tcW w:w="3598" w:type="pct"/>
            <w:tcBorders>
              <w:right w:val="nil"/>
            </w:tcBorders>
            <w:noWrap w:val="0"/>
            <w:vAlign w:val="center"/>
          </w:tcPr>
          <w:p w14:paraId="1C63E6C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评价工作分级判据</w:t>
            </w:r>
          </w:p>
        </w:tc>
      </w:tr>
      <w:tr w14:paraId="0DA939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01" w:type="pct"/>
            <w:tcBorders>
              <w:left w:val="nil"/>
            </w:tcBorders>
            <w:noWrap w:val="0"/>
            <w:vAlign w:val="center"/>
          </w:tcPr>
          <w:p w14:paraId="400DD8A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一级</w:t>
            </w:r>
          </w:p>
        </w:tc>
        <w:tc>
          <w:tcPr>
            <w:tcW w:w="3598" w:type="pct"/>
            <w:tcBorders>
              <w:right w:val="nil"/>
            </w:tcBorders>
            <w:noWrap w:val="0"/>
            <w:vAlign w:val="center"/>
          </w:tcPr>
          <w:p w14:paraId="58916C6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Pmax≥10%</w:t>
            </w:r>
          </w:p>
        </w:tc>
      </w:tr>
      <w:tr w14:paraId="262F4F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01" w:type="pct"/>
            <w:tcBorders>
              <w:left w:val="nil"/>
            </w:tcBorders>
            <w:noWrap w:val="0"/>
            <w:vAlign w:val="center"/>
          </w:tcPr>
          <w:p w14:paraId="353C48D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二级</w:t>
            </w:r>
          </w:p>
        </w:tc>
        <w:tc>
          <w:tcPr>
            <w:tcW w:w="3598" w:type="pct"/>
            <w:tcBorders>
              <w:right w:val="nil"/>
            </w:tcBorders>
            <w:noWrap w:val="0"/>
            <w:vAlign w:val="center"/>
          </w:tcPr>
          <w:p w14:paraId="53A72FD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1%≤Pmax＜10%</w:t>
            </w:r>
          </w:p>
        </w:tc>
      </w:tr>
      <w:tr w14:paraId="3A278E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01" w:type="pct"/>
            <w:tcBorders>
              <w:left w:val="nil"/>
            </w:tcBorders>
            <w:noWrap w:val="0"/>
            <w:vAlign w:val="center"/>
          </w:tcPr>
          <w:p w14:paraId="5BA21AE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三级</w:t>
            </w:r>
          </w:p>
        </w:tc>
        <w:tc>
          <w:tcPr>
            <w:tcW w:w="3598" w:type="pct"/>
            <w:tcBorders>
              <w:right w:val="nil"/>
            </w:tcBorders>
            <w:noWrap w:val="0"/>
            <w:vAlign w:val="center"/>
          </w:tcPr>
          <w:p w14:paraId="71E93CF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Pmax＜1%</w:t>
            </w:r>
          </w:p>
        </w:tc>
      </w:tr>
    </w:tbl>
    <w:p w14:paraId="504C9D0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rPr>
        <w:t>评价因子和评价标准筛选</w:t>
      </w:r>
    </w:p>
    <w:p w14:paraId="4CE4AD9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评价因子和评价标准见表</w:t>
      </w:r>
      <w:r>
        <w:rPr>
          <w:rFonts w:hint="default" w:ascii="Times New Roman" w:hAnsi="Times New Roman" w:cs="Times New Roman"/>
          <w:color w:val="auto"/>
          <w:sz w:val="24"/>
          <w:szCs w:val="24"/>
          <w:highlight w:val="none"/>
        </w:rPr>
        <w:t>2.</w:t>
      </w:r>
      <w:r>
        <w:rPr>
          <w:rFonts w:hint="eastAsia"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-2</w:t>
      </w:r>
      <w:r>
        <w:rPr>
          <w:rFonts w:hint="eastAsia" w:ascii="Times New Roman" w:hAnsi="Times New Roman" w:cs="Times New Roman"/>
          <w:color w:val="auto"/>
          <w:sz w:val="24"/>
          <w:szCs w:val="24"/>
          <w:highlight w:val="none"/>
        </w:rPr>
        <w:t>。</w:t>
      </w:r>
    </w:p>
    <w:p w14:paraId="5E9F32D4">
      <w:pPr>
        <w:pStyle w:val="44"/>
        <w:keepNext/>
        <w:keepLines w:val="0"/>
        <w:pageBreakBefore w:val="0"/>
        <w:widowControl w:val="0"/>
        <w:kinsoku/>
        <w:wordWrap/>
        <w:overflowPunct/>
        <w:topLinePunct w:val="0"/>
        <w:autoSpaceDE/>
        <w:autoSpaceDN/>
        <w:bidi w:val="0"/>
        <w:adjustRightInd/>
        <w:snapToGrid/>
        <w:spacing w:line="240" w:lineRule="auto"/>
        <w:ind w:right="0"/>
        <w:textAlignment w:val="auto"/>
        <w:rPr>
          <w:rFonts w:hint="eastAsia"/>
          <w:color w:val="auto"/>
          <w:highlight w:val="none"/>
        </w:rPr>
      </w:pPr>
      <w:r>
        <w:rPr>
          <w:rFonts w:hint="eastAsia"/>
          <w:color w:val="auto"/>
          <w:highlight w:val="none"/>
        </w:rPr>
        <w:t>表</w:t>
      </w:r>
      <w:r>
        <w:rPr>
          <w:color w:val="auto"/>
          <w:highlight w:val="none"/>
        </w:rPr>
        <w:t>2.</w:t>
      </w:r>
      <w:r>
        <w:rPr>
          <w:rFonts w:hint="eastAsia"/>
          <w:color w:val="auto"/>
          <w:highlight w:val="none"/>
          <w:lang w:val="en-US" w:eastAsia="zh-CN"/>
        </w:rPr>
        <w:t>6</w:t>
      </w:r>
      <w:r>
        <w:rPr>
          <w:color w:val="auto"/>
          <w:highlight w:val="none"/>
        </w:rPr>
        <w:t xml:space="preserve">-2  </w:t>
      </w:r>
      <w:r>
        <w:rPr>
          <w:rFonts w:hint="eastAsia"/>
          <w:color w:val="auto"/>
          <w:highlight w:val="none"/>
        </w:rPr>
        <w:t>评价因子和评价标准表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98"/>
        <w:gridCol w:w="1648"/>
        <w:gridCol w:w="2206"/>
        <w:gridCol w:w="3836"/>
      </w:tblGrid>
      <w:tr w14:paraId="6BC12E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860" w:type="pct"/>
            <w:tcBorders>
              <w:tl2br w:val="nil"/>
              <w:tr2bl w:val="nil"/>
            </w:tcBorders>
            <w:vAlign w:val="center"/>
          </w:tcPr>
          <w:p w14:paraId="572B497C">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评价因子</w:t>
            </w:r>
          </w:p>
        </w:tc>
        <w:tc>
          <w:tcPr>
            <w:tcW w:w="887" w:type="pct"/>
            <w:tcBorders>
              <w:tl2br w:val="nil"/>
              <w:tr2bl w:val="nil"/>
            </w:tcBorders>
            <w:vAlign w:val="center"/>
          </w:tcPr>
          <w:p w14:paraId="4910B8AB">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平均时段</w:t>
            </w:r>
          </w:p>
        </w:tc>
        <w:tc>
          <w:tcPr>
            <w:tcW w:w="1187" w:type="pct"/>
            <w:tcBorders>
              <w:tl2br w:val="nil"/>
              <w:tr2bl w:val="nil"/>
            </w:tcBorders>
            <w:vAlign w:val="center"/>
          </w:tcPr>
          <w:p w14:paraId="3D767F21">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标准值/（μg/m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w:t>
            </w:r>
          </w:p>
        </w:tc>
        <w:tc>
          <w:tcPr>
            <w:tcW w:w="2064" w:type="pct"/>
            <w:tcBorders>
              <w:tl2br w:val="nil"/>
              <w:tr2bl w:val="nil"/>
            </w:tcBorders>
            <w:vAlign w:val="center"/>
          </w:tcPr>
          <w:p w14:paraId="7C4001B5">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标准来源</w:t>
            </w:r>
          </w:p>
        </w:tc>
      </w:tr>
      <w:tr w14:paraId="1E6A54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860" w:type="pct"/>
            <w:tcBorders>
              <w:tl2br w:val="nil"/>
              <w:tr2bl w:val="nil"/>
            </w:tcBorders>
            <w:vAlign w:val="center"/>
          </w:tcPr>
          <w:p w14:paraId="09649469">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TSP</w:t>
            </w:r>
          </w:p>
        </w:tc>
        <w:tc>
          <w:tcPr>
            <w:tcW w:w="887" w:type="pct"/>
            <w:tcBorders>
              <w:tl2br w:val="nil"/>
              <w:tr2bl w:val="nil"/>
            </w:tcBorders>
            <w:vAlign w:val="center"/>
          </w:tcPr>
          <w:p w14:paraId="5F8A9326">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24小时平均</w:t>
            </w:r>
          </w:p>
        </w:tc>
        <w:tc>
          <w:tcPr>
            <w:tcW w:w="1187" w:type="pct"/>
            <w:tcBorders>
              <w:tl2br w:val="nil"/>
              <w:tr2bl w:val="nil"/>
            </w:tcBorders>
            <w:vAlign w:val="center"/>
          </w:tcPr>
          <w:p w14:paraId="1ED1A6AD">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300</w:t>
            </w:r>
          </w:p>
        </w:tc>
        <w:tc>
          <w:tcPr>
            <w:tcW w:w="2064" w:type="pct"/>
            <w:vMerge w:val="restart"/>
            <w:tcBorders>
              <w:tl2br w:val="nil"/>
              <w:tr2bl w:val="nil"/>
            </w:tcBorders>
            <w:vAlign w:val="center"/>
          </w:tcPr>
          <w:p w14:paraId="2885AF31">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《环境空气质量标准》（GB3095-2012）及其修改单表2中的二级标准限值</w:t>
            </w:r>
          </w:p>
        </w:tc>
      </w:tr>
      <w:tr w14:paraId="2743DA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860" w:type="pct"/>
            <w:tcBorders>
              <w:tl2br w:val="nil"/>
              <w:tr2bl w:val="nil"/>
            </w:tcBorders>
            <w:vAlign w:val="center"/>
          </w:tcPr>
          <w:p w14:paraId="30BBD924">
            <w:pPr>
              <w:kinsoku w:val="0"/>
              <w:overflowPunct w:val="0"/>
              <w:autoSpaceDE w:val="0"/>
              <w:autoSpaceDN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PM</w:t>
            </w:r>
            <w:r>
              <w:rPr>
                <w:rFonts w:hint="eastAsia" w:ascii="Times New Roman" w:hAnsi="Times New Roman" w:eastAsia="宋体" w:cs="Times New Roman"/>
                <w:color w:val="auto"/>
                <w:kern w:val="0"/>
                <w:sz w:val="21"/>
                <w:szCs w:val="21"/>
                <w:vertAlign w:val="subscript"/>
                <w:lang w:val="en-US" w:eastAsia="zh-CN"/>
              </w:rPr>
              <w:t>10</w:t>
            </w:r>
          </w:p>
        </w:tc>
        <w:tc>
          <w:tcPr>
            <w:tcW w:w="1648" w:type="dxa"/>
            <w:tcBorders>
              <w:tl2br w:val="nil"/>
              <w:tr2bl w:val="nil"/>
            </w:tcBorders>
            <w:vAlign w:val="center"/>
          </w:tcPr>
          <w:p w14:paraId="53FB1E1A">
            <w:pPr>
              <w:pStyle w:val="38"/>
              <w:keepNext w:val="0"/>
              <w:keepLines w:val="0"/>
              <w:kinsoku/>
              <w:overflowPunct/>
              <w:topLinePunct w:val="0"/>
              <w:autoSpaceDE w:val="0"/>
              <w:autoSpaceDN w:val="0"/>
              <w:bidi w:val="0"/>
              <w:spacing w:line="240" w:lineRule="auto"/>
              <w:jc w:val="center"/>
              <w:textAlignment w:val="bottom"/>
              <w:rPr>
                <w:rFonts w:hint="default" w:ascii="Times New Roman" w:hAnsi="Times New Roman" w:cs="Times New Roman"/>
                <w:color w:val="auto"/>
                <w:kern w:val="0"/>
                <w:sz w:val="21"/>
                <w:szCs w:val="21"/>
              </w:rPr>
            </w:pPr>
            <w:r>
              <w:rPr>
                <w:rFonts w:hint="default" w:ascii="Times New Roman" w:hAnsi="Times New Roman" w:cs="Times New Roman"/>
                <w:color w:val="auto"/>
                <w:kern w:val="2"/>
                <w:sz w:val="21"/>
                <w:szCs w:val="21"/>
              </w:rPr>
              <w:t>24小时平均</w:t>
            </w:r>
          </w:p>
        </w:tc>
        <w:tc>
          <w:tcPr>
            <w:tcW w:w="2206" w:type="dxa"/>
            <w:tcBorders>
              <w:tl2br w:val="nil"/>
              <w:tr2bl w:val="nil"/>
            </w:tcBorders>
            <w:vAlign w:val="center"/>
          </w:tcPr>
          <w:p w14:paraId="13925C67">
            <w:pPr>
              <w:keepNext w:val="0"/>
              <w:keepLines w:val="0"/>
              <w:kinsoku/>
              <w:overflowPunct/>
              <w:topLinePunct w:val="0"/>
              <w:autoSpaceDE w:val="0"/>
              <w:autoSpaceDN w:val="0"/>
              <w:bidi w:val="0"/>
              <w:jc w:val="center"/>
              <w:textAlignment w:val="bottom"/>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sz w:val="21"/>
                <w:szCs w:val="21"/>
                <w:lang w:val="en-US" w:eastAsia="zh-CN"/>
              </w:rPr>
              <w:t>150</w:t>
            </w:r>
          </w:p>
        </w:tc>
        <w:tc>
          <w:tcPr>
            <w:tcW w:w="2064" w:type="pct"/>
            <w:vMerge w:val="continue"/>
            <w:tcBorders>
              <w:tl2br w:val="nil"/>
              <w:tr2bl w:val="nil"/>
            </w:tcBorders>
            <w:vAlign w:val="center"/>
          </w:tcPr>
          <w:p w14:paraId="1329BB87">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p>
        </w:tc>
      </w:tr>
      <w:tr w14:paraId="76893D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5" w:hRule="atLeast"/>
          <w:tblHeader/>
          <w:jc w:val="center"/>
        </w:trPr>
        <w:tc>
          <w:tcPr>
            <w:tcW w:w="860" w:type="pct"/>
            <w:tcBorders>
              <w:tl2br w:val="nil"/>
              <w:tr2bl w:val="nil"/>
            </w:tcBorders>
            <w:shd w:val="clear" w:color="auto" w:fill="auto"/>
            <w:vAlign w:val="center"/>
          </w:tcPr>
          <w:p w14:paraId="1017DFA7">
            <w:pPr>
              <w:kinsoku w:val="0"/>
              <w:overflowPunct w:val="0"/>
              <w:autoSpaceDE w:val="0"/>
              <w:autoSpaceDN w:val="0"/>
              <w:spacing w:line="240" w:lineRule="auto"/>
              <w:ind w:firstLine="0" w:firstLineChars="0"/>
              <w:jc w:val="center"/>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kern w:val="0"/>
                <w:sz w:val="21"/>
                <w:szCs w:val="21"/>
              </w:rPr>
              <w:t>二氧化硫</w:t>
            </w:r>
          </w:p>
        </w:tc>
        <w:tc>
          <w:tcPr>
            <w:tcW w:w="887" w:type="pct"/>
            <w:tcBorders>
              <w:tl2br w:val="nil"/>
              <w:tr2bl w:val="nil"/>
            </w:tcBorders>
            <w:shd w:val="clear" w:color="auto" w:fill="auto"/>
            <w:vAlign w:val="center"/>
          </w:tcPr>
          <w:p w14:paraId="26F3BBC3">
            <w:pPr>
              <w:kinsoku w:val="0"/>
              <w:overflowPunct w:val="0"/>
              <w:autoSpaceDE w:val="0"/>
              <w:autoSpaceDN w:val="0"/>
              <w:spacing w:line="240" w:lineRule="auto"/>
              <w:ind w:firstLine="0" w:firstLineChars="0"/>
              <w:jc w:val="center"/>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kern w:val="0"/>
                <w:sz w:val="21"/>
                <w:szCs w:val="21"/>
              </w:rPr>
              <w:t>1小时平均</w:t>
            </w:r>
          </w:p>
        </w:tc>
        <w:tc>
          <w:tcPr>
            <w:tcW w:w="1187" w:type="pct"/>
            <w:tcBorders>
              <w:tl2br w:val="nil"/>
              <w:tr2bl w:val="nil"/>
            </w:tcBorders>
            <w:shd w:val="clear" w:color="auto" w:fill="auto"/>
            <w:vAlign w:val="center"/>
          </w:tcPr>
          <w:p w14:paraId="7FE4FBD5">
            <w:pPr>
              <w:kinsoku w:val="0"/>
              <w:overflowPunct w:val="0"/>
              <w:autoSpaceDE w:val="0"/>
              <w:autoSpaceDN w:val="0"/>
              <w:spacing w:line="240" w:lineRule="auto"/>
              <w:ind w:firstLine="0" w:firstLineChars="0"/>
              <w:jc w:val="center"/>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kern w:val="0"/>
                <w:sz w:val="21"/>
                <w:szCs w:val="21"/>
              </w:rPr>
              <w:t>500</w:t>
            </w:r>
          </w:p>
        </w:tc>
        <w:tc>
          <w:tcPr>
            <w:tcW w:w="2064" w:type="pct"/>
            <w:vMerge w:val="continue"/>
            <w:tcBorders>
              <w:tl2br w:val="nil"/>
              <w:tr2bl w:val="nil"/>
            </w:tcBorders>
            <w:vAlign w:val="center"/>
          </w:tcPr>
          <w:p w14:paraId="29A67489">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p>
        </w:tc>
      </w:tr>
      <w:tr w14:paraId="4ECCE4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860" w:type="pct"/>
            <w:tcBorders>
              <w:tl2br w:val="nil"/>
              <w:tr2bl w:val="nil"/>
            </w:tcBorders>
            <w:vAlign w:val="center"/>
          </w:tcPr>
          <w:p w14:paraId="2B250BA1">
            <w:pPr>
              <w:kinsoku w:val="0"/>
              <w:overflowPunct w:val="0"/>
              <w:autoSpaceDE w:val="0"/>
              <w:autoSpaceDN w:val="0"/>
              <w:spacing w:line="240" w:lineRule="auto"/>
              <w:ind w:firstLine="0" w:firstLineChars="0"/>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氮氧化物</w:t>
            </w:r>
          </w:p>
        </w:tc>
        <w:tc>
          <w:tcPr>
            <w:tcW w:w="887" w:type="pct"/>
            <w:tcBorders>
              <w:tl2br w:val="nil"/>
              <w:tr2bl w:val="nil"/>
            </w:tcBorders>
            <w:vAlign w:val="center"/>
          </w:tcPr>
          <w:p w14:paraId="156358B4">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1小时平均</w:t>
            </w:r>
          </w:p>
        </w:tc>
        <w:tc>
          <w:tcPr>
            <w:tcW w:w="1187" w:type="pct"/>
            <w:tcBorders>
              <w:tl2br w:val="nil"/>
              <w:tr2bl w:val="nil"/>
            </w:tcBorders>
            <w:vAlign w:val="center"/>
          </w:tcPr>
          <w:p w14:paraId="4126864D">
            <w:pPr>
              <w:kinsoku w:val="0"/>
              <w:overflowPunct w:val="0"/>
              <w:autoSpaceDE w:val="0"/>
              <w:autoSpaceDN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250</w:t>
            </w:r>
          </w:p>
        </w:tc>
        <w:tc>
          <w:tcPr>
            <w:tcW w:w="2064" w:type="pct"/>
            <w:vMerge w:val="continue"/>
            <w:tcBorders>
              <w:tl2br w:val="nil"/>
              <w:tr2bl w:val="nil"/>
            </w:tcBorders>
            <w:vAlign w:val="center"/>
          </w:tcPr>
          <w:p w14:paraId="6ABE1CAB">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p>
        </w:tc>
      </w:tr>
      <w:tr w14:paraId="1B16EF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4" w:hRule="atLeast"/>
          <w:tblHeader/>
          <w:jc w:val="center"/>
        </w:trPr>
        <w:tc>
          <w:tcPr>
            <w:tcW w:w="860" w:type="pct"/>
            <w:tcBorders>
              <w:tl2br w:val="nil"/>
              <w:tr2bl w:val="nil"/>
            </w:tcBorders>
            <w:vAlign w:val="center"/>
          </w:tcPr>
          <w:p w14:paraId="75B5F73B">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非甲烷总烃</w:t>
            </w:r>
          </w:p>
        </w:tc>
        <w:tc>
          <w:tcPr>
            <w:tcW w:w="887" w:type="pct"/>
            <w:tcBorders>
              <w:tl2br w:val="nil"/>
              <w:tr2bl w:val="nil"/>
            </w:tcBorders>
            <w:vAlign w:val="center"/>
          </w:tcPr>
          <w:p w14:paraId="10AD492E">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1小时平均</w:t>
            </w:r>
          </w:p>
        </w:tc>
        <w:tc>
          <w:tcPr>
            <w:tcW w:w="1187" w:type="pct"/>
            <w:tcBorders>
              <w:tl2br w:val="nil"/>
              <w:tr2bl w:val="nil"/>
            </w:tcBorders>
            <w:vAlign w:val="center"/>
          </w:tcPr>
          <w:p w14:paraId="3250EF15">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2000</w:t>
            </w:r>
          </w:p>
        </w:tc>
        <w:tc>
          <w:tcPr>
            <w:tcW w:w="2064" w:type="pct"/>
            <w:tcBorders>
              <w:tl2br w:val="nil"/>
              <w:tr2bl w:val="nil"/>
            </w:tcBorders>
            <w:vAlign w:val="center"/>
          </w:tcPr>
          <w:p w14:paraId="5D662560">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《大气污染物综合排放标准详解》（国家环境保护局科技标准司）</w:t>
            </w:r>
          </w:p>
        </w:tc>
      </w:tr>
      <w:tr w14:paraId="70BC4A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860" w:type="pct"/>
            <w:tcBorders>
              <w:tl2br w:val="nil"/>
              <w:tr2bl w:val="nil"/>
            </w:tcBorders>
            <w:vAlign w:val="center"/>
          </w:tcPr>
          <w:p w14:paraId="1C27691C">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甲苯</w:t>
            </w:r>
          </w:p>
        </w:tc>
        <w:tc>
          <w:tcPr>
            <w:tcW w:w="887" w:type="pct"/>
            <w:tcBorders>
              <w:tl2br w:val="nil"/>
              <w:tr2bl w:val="nil"/>
            </w:tcBorders>
            <w:vAlign w:val="center"/>
          </w:tcPr>
          <w:p w14:paraId="4A8A1F11">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1小时平均</w:t>
            </w:r>
          </w:p>
        </w:tc>
        <w:tc>
          <w:tcPr>
            <w:tcW w:w="1187" w:type="pct"/>
            <w:tcBorders>
              <w:tl2br w:val="nil"/>
              <w:tr2bl w:val="nil"/>
            </w:tcBorders>
            <w:vAlign w:val="center"/>
          </w:tcPr>
          <w:p w14:paraId="4A01F8AE">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200</w:t>
            </w:r>
          </w:p>
        </w:tc>
        <w:tc>
          <w:tcPr>
            <w:tcW w:w="2064" w:type="pct"/>
            <w:vMerge w:val="restart"/>
            <w:tcBorders>
              <w:tl2br w:val="nil"/>
              <w:tr2bl w:val="nil"/>
            </w:tcBorders>
            <w:vAlign w:val="center"/>
          </w:tcPr>
          <w:p w14:paraId="4CA0677A">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《环境影响评价技术导则 大气环境》（HJ2.2-2018）中附录D</w:t>
            </w:r>
          </w:p>
        </w:tc>
      </w:tr>
      <w:tr w14:paraId="745876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67" w:type="dxa"/>
            <w:tcBorders>
              <w:tl2br w:val="nil"/>
              <w:tr2bl w:val="nil"/>
            </w:tcBorders>
            <w:vAlign w:val="center"/>
          </w:tcPr>
          <w:p w14:paraId="063D2E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eastAsia" w:cs="Times New Roman"/>
                <w:color w:val="auto"/>
                <w:sz w:val="21"/>
                <w:szCs w:val="21"/>
                <w:vertAlign w:val="baseline"/>
                <w:lang w:val="en-US" w:eastAsia="zh-CN"/>
              </w:rPr>
              <w:t>丙烯腈</w:t>
            </w:r>
          </w:p>
        </w:tc>
        <w:tc>
          <w:tcPr>
            <w:tcW w:w="1512" w:type="dxa"/>
            <w:tcBorders>
              <w:tl2br w:val="nil"/>
              <w:tr2bl w:val="nil"/>
            </w:tcBorders>
            <w:vAlign w:val="center"/>
          </w:tcPr>
          <w:p w14:paraId="371B6800">
            <w:pPr>
              <w:keepNext w:val="0"/>
              <w:keepLines w:val="0"/>
              <w:pageBreakBefore w:val="0"/>
              <w:shd w:val="clear" w:color="auto" w:fill="auto"/>
              <w:kinsoku/>
              <w:wordWrap/>
              <w:overflowPunct/>
              <w:topLinePunct w:val="0"/>
              <w:autoSpaceDE w:val="0"/>
              <w:autoSpaceDN w:val="0"/>
              <w:bidi w:val="0"/>
              <w:adjustRightInd/>
              <w:snapToGrid/>
              <w:spacing w:line="240" w:lineRule="auto"/>
              <w:ind w:left="0" w:leftChars="0"/>
              <w:jc w:val="center"/>
              <w:textAlignment w:val="bottom"/>
              <w:rPr>
                <w:rFonts w:hint="default" w:ascii="Times New Roman" w:hAnsi="Times New Roman" w:cs="Times New Roman"/>
                <w:color w:val="auto"/>
                <w:kern w:val="0"/>
                <w:sz w:val="21"/>
                <w:szCs w:val="21"/>
              </w:rPr>
            </w:pPr>
            <w:r>
              <w:rPr>
                <w:rFonts w:hint="default" w:ascii="Times New Roman" w:hAnsi="Times New Roman" w:cs="Times New Roman"/>
                <w:color w:val="auto"/>
                <w:kern w:val="2"/>
                <w:sz w:val="21"/>
                <w:szCs w:val="21"/>
              </w:rPr>
              <w:t>1小时平均</w:t>
            </w:r>
          </w:p>
        </w:tc>
        <w:tc>
          <w:tcPr>
            <w:tcW w:w="2024" w:type="dxa"/>
            <w:tcBorders>
              <w:tl2br w:val="nil"/>
              <w:tr2bl w:val="nil"/>
            </w:tcBorders>
            <w:vAlign w:val="center"/>
          </w:tcPr>
          <w:p w14:paraId="30803446">
            <w:pPr>
              <w:pStyle w:val="38"/>
              <w:keepNext w:val="0"/>
              <w:keepLines w:val="0"/>
              <w:pageBreakBefore w:val="0"/>
              <w:shd w:val="clear" w:color="auto" w:fill="auto"/>
              <w:kinsoku/>
              <w:wordWrap/>
              <w:overflowPunct/>
              <w:topLinePunct w:val="0"/>
              <w:autoSpaceDE w:val="0"/>
              <w:autoSpaceDN w:val="0"/>
              <w:bidi w:val="0"/>
              <w:adjustRightInd/>
              <w:snapToGrid/>
              <w:spacing w:line="240" w:lineRule="auto"/>
              <w:ind w:left="0" w:leftChars="0"/>
              <w:jc w:val="center"/>
              <w:textAlignment w:val="bottom"/>
              <w:rPr>
                <w:rFonts w:hint="default" w:ascii="Times New Roman" w:hAnsi="Times New Roman" w:cs="Times New Roman"/>
                <w:color w:val="auto"/>
                <w:kern w:val="0"/>
                <w:sz w:val="21"/>
                <w:szCs w:val="21"/>
              </w:rPr>
            </w:pPr>
            <w:r>
              <w:rPr>
                <w:rFonts w:hint="eastAsia" w:ascii="Times New Roman" w:cs="Times New Roman"/>
                <w:color w:val="auto"/>
                <w:sz w:val="21"/>
                <w:szCs w:val="21"/>
                <w:highlight w:val="none"/>
                <w:lang w:val="en-US" w:eastAsia="zh-CN"/>
              </w:rPr>
              <w:t>50</w:t>
            </w:r>
          </w:p>
        </w:tc>
        <w:tc>
          <w:tcPr>
            <w:tcW w:w="2064" w:type="pct"/>
            <w:vMerge w:val="continue"/>
            <w:tcBorders>
              <w:tl2br w:val="nil"/>
              <w:tr2bl w:val="nil"/>
            </w:tcBorders>
            <w:vAlign w:val="center"/>
          </w:tcPr>
          <w:p w14:paraId="658171AA">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p>
        </w:tc>
      </w:tr>
      <w:tr w14:paraId="76BEF4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67" w:type="dxa"/>
            <w:tcBorders>
              <w:tl2br w:val="nil"/>
              <w:tr2bl w:val="nil"/>
            </w:tcBorders>
            <w:vAlign w:val="center"/>
          </w:tcPr>
          <w:p w14:paraId="08B3EB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eastAsia" w:cs="Times New Roman"/>
                <w:color w:val="auto"/>
                <w:sz w:val="21"/>
                <w:szCs w:val="21"/>
                <w:vertAlign w:val="baseline"/>
                <w:lang w:val="en-US" w:eastAsia="zh-CN"/>
              </w:rPr>
              <w:t>苯乙烯</w:t>
            </w:r>
          </w:p>
        </w:tc>
        <w:tc>
          <w:tcPr>
            <w:tcW w:w="1512" w:type="dxa"/>
            <w:tcBorders>
              <w:tl2br w:val="nil"/>
              <w:tr2bl w:val="nil"/>
            </w:tcBorders>
            <w:vAlign w:val="center"/>
          </w:tcPr>
          <w:p w14:paraId="76D9D660">
            <w:pPr>
              <w:keepNext w:val="0"/>
              <w:keepLines w:val="0"/>
              <w:pageBreakBefore w:val="0"/>
              <w:shd w:val="clear" w:color="auto" w:fill="auto"/>
              <w:kinsoku/>
              <w:wordWrap/>
              <w:overflowPunct/>
              <w:topLinePunct w:val="0"/>
              <w:autoSpaceDE w:val="0"/>
              <w:autoSpaceDN w:val="0"/>
              <w:bidi w:val="0"/>
              <w:adjustRightInd/>
              <w:snapToGrid/>
              <w:spacing w:line="240" w:lineRule="auto"/>
              <w:ind w:left="0" w:leftChars="0"/>
              <w:jc w:val="center"/>
              <w:textAlignment w:val="bottom"/>
              <w:rPr>
                <w:rFonts w:hint="default" w:ascii="Times New Roman" w:hAnsi="Times New Roman" w:cs="Times New Roman"/>
                <w:color w:val="auto"/>
                <w:kern w:val="0"/>
                <w:sz w:val="21"/>
                <w:szCs w:val="21"/>
              </w:rPr>
            </w:pPr>
            <w:r>
              <w:rPr>
                <w:rFonts w:hint="default" w:ascii="Times New Roman" w:hAnsi="Times New Roman" w:cs="Times New Roman"/>
                <w:color w:val="auto"/>
                <w:kern w:val="2"/>
                <w:sz w:val="21"/>
                <w:szCs w:val="21"/>
              </w:rPr>
              <w:t>1小时平均</w:t>
            </w:r>
          </w:p>
        </w:tc>
        <w:tc>
          <w:tcPr>
            <w:tcW w:w="2024" w:type="dxa"/>
            <w:tcBorders>
              <w:tl2br w:val="nil"/>
              <w:tr2bl w:val="nil"/>
            </w:tcBorders>
            <w:vAlign w:val="center"/>
          </w:tcPr>
          <w:p w14:paraId="3DF85BE9">
            <w:pPr>
              <w:pStyle w:val="38"/>
              <w:keepNext w:val="0"/>
              <w:keepLines w:val="0"/>
              <w:pageBreakBefore w:val="0"/>
              <w:shd w:val="clear" w:color="auto" w:fill="auto"/>
              <w:kinsoku/>
              <w:wordWrap/>
              <w:overflowPunct/>
              <w:topLinePunct w:val="0"/>
              <w:autoSpaceDE w:val="0"/>
              <w:autoSpaceDN w:val="0"/>
              <w:bidi w:val="0"/>
              <w:adjustRightInd/>
              <w:snapToGrid/>
              <w:spacing w:line="240" w:lineRule="auto"/>
              <w:ind w:left="0" w:leftChars="0"/>
              <w:jc w:val="center"/>
              <w:textAlignment w:val="bottom"/>
              <w:rPr>
                <w:rFonts w:hint="default" w:ascii="Times New Roman" w:hAnsi="Times New Roman" w:cs="Times New Roman"/>
                <w:color w:val="auto"/>
                <w:kern w:val="0"/>
                <w:sz w:val="21"/>
                <w:szCs w:val="21"/>
              </w:rPr>
            </w:pPr>
            <w:r>
              <w:rPr>
                <w:rFonts w:hint="eastAsia" w:ascii="Times New Roman" w:cs="Times New Roman"/>
                <w:color w:val="auto"/>
                <w:sz w:val="21"/>
                <w:szCs w:val="21"/>
                <w:highlight w:val="none"/>
                <w:lang w:val="en-US" w:eastAsia="zh-CN"/>
              </w:rPr>
              <w:t>10</w:t>
            </w:r>
          </w:p>
        </w:tc>
        <w:tc>
          <w:tcPr>
            <w:tcW w:w="2064" w:type="pct"/>
            <w:vMerge w:val="continue"/>
            <w:tcBorders>
              <w:tl2br w:val="nil"/>
              <w:tr2bl w:val="nil"/>
            </w:tcBorders>
            <w:vAlign w:val="center"/>
          </w:tcPr>
          <w:p w14:paraId="16998BB6">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p>
        </w:tc>
      </w:tr>
    </w:tbl>
    <w:p w14:paraId="1B196F20">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rFonts w:hint="eastAsia"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2</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rPr>
        <w:t>估算模型参数</w:t>
      </w:r>
    </w:p>
    <w:p w14:paraId="0C8DC52D">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rFonts w:hint="eastAsia"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本项目估算模型参数见表2.</w:t>
      </w:r>
      <w:r>
        <w:rPr>
          <w:rFonts w:hint="eastAsia" w:ascii="Times New Roman" w:hAnsi="Times New Roman" w:cs="Times New Roman"/>
          <w:color w:val="auto"/>
          <w:sz w:val="24"/>
          <w:szCs w:val="24"/>
          <w:highlight w:val="none"/>
          <w:lang w:val="en-US" w:eastAsia="zh-CN"/>
        </w:rPr>
        <w:t>6</w:t>
      </w:r>
      <w:r>
        <w:rPr>
          <w:rFonts w:hint="eastAsia" w:ascii="Times New Roman" w:hAnsi="Times New Roman" w:cs="Times New Roman"/>
          <w:color w:val="auto"/>
          <w:sz w:val="24"/>
          <w:szCs w:val="24"/>
          <w:highlight w:val="none"/>
        </w:rPr>
        <w:t>-3。</w:t>
      </w:r>
    </w:p>
    <w:p w14:paraId="4D134B2E">
      <w:pPr>
        <w:pStyle w:val="44"/>
        <w:keepNext/>
        <w:keepLines w:val="0"/>
        <w:pageBreakBefore w:val="0"/>
        <w:widowControl w:val="0"/>
        <w:kinsoku/>
        <w:wordWrap/>
        <w:overflowPunct/>
        <w:topLinePunct w:val="0"/>
        <w:autoSpaceDE/>
        <w:autoSpaceDN/>
        <w:bidi w:val="0"/>
        <w:adjustRightInd/>
        <w:snapToGrid/>
        <w:spacing w:line="240" w:lineRule="auto"/>
        <w:ind w:right="0"/>
        <w:textAlignment w:val="auto"/>
        <w:rPr>
          <w:color w:val="auto"/>
          <w:highlight w:val="none"/>
        </w:rPr>
      </w:pPr>
      <w:r>
        <w:rPr>
          <w:color w:val="auto"/>
          <w:highlight w:val="none"/>
        </w:rPr>
        <w:t>表</w:t>
      </w:r>
      <w:r>
        <w:rPr>
          <w:rFonts w:hint="eastAsia"/>
          <w:color w:val="auto"/>
          <w:highlight w:val="none"/>
          <w:lang w:val="en-US" w:eastAsia="zh-CN"/>
        </w:rPr>
        <w:t>2.6</w:t>
      </w:r>
      <w:r>
        <w:rPr>
          <w:color w:val="auto"/>
          <w:highlight w:val="none"/>
        </w:rPr>
        <w:t>-</w:t>
      </w:r>
      <w:r>
        <w:rPr>
          <w:rFonts w:hint="eastAsia"/>
          <w:color w:val="auto"/>
          <w:highlight w:val="none"/>
          <w:lang w:val="en-US" w:eastAsia="zh-CN"/>
        </w:rPr>
        <w:t>3</w:t>
      </w:r>
      <w:r>
        <w:rPr>
          <w:color w:val="auto"/>
          <w:highlight w:val="none"/>
        </w:rPr>
        <w:t xml:space="preserve">  估算模型参数表</w:t>
      </w:r>
    </w:p>
    <w:tbl>
      <w:tblPr>
        <w:tblStyle w:val="22"/>
        <w:tblW w:w="4997"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2483"/>
        <w:gridCol w:w="2941"/>
        <w:gridCol w:w="3858"/>
      </w:tblGrid>
      <w:tr w14:paraId="799FDB6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2921" w:type="pct"/>
            <w:gridSpan w:val="2"/>
            <w:tcBorders>
              <w:top w:val="single" w:color="auto" w:sz="12" w:space="0"/>
              <w:left w:val="nil"/>
              <w:bottom w:val="single" w:color="auto" w:sz="2" w:space="0"/>
              <w:right w:val="single" w:color="auto" w:sz="2" w:space="0"/>
            </w:tcBorders>
            <w:noWrap w:val="0"/>
            <w:vAlign w:val="center"/>
          </w:tcPr>
          <w:p w14:paraId="018DE7D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参数</w:t>
            </w:r>
          </w:p>
        </w:tc>
        <w:tc>
          <w:tcPr>
            <w:tcW w:w="2078" w:type="pct"/>
            <w:tcBorders>
              <w:top w:val="single" w:color="auto" w:sz="12" w:space="0"/>
              <w:left w:val="single" w:color="auto" w:sz="2" w:space="0"/>
              <w:bottom w:val="single" w:color="auto" w:sz="2" w:space="0"/>
              <w:right w:val="nil"/>
            </w:tcBorders>
            <w:noWrap w:val="0"/>
            <w:vAlign w:val="center"/>
          </w:tcPr>
          <w:p w14:paraId="2317FA38">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取值</w:t>
            </w:r>
          </w:p>
        </w:tc>
      </w:tr>
      <w:tr w14:paraId="6BDEE07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337" w:type="pct"/>
            <w:vMerge w:val="restart"/>
            <w:tcBorders>
              <w:top w:val="single" w:color="auto" w:sz="2" w:space="0"/>
              <w:left w:val="nil"/>
              <w:bottom w:val="single" w:color="auto" w:sz="2" w:space="0"/>
              <w:right w:val="single" w:color="auto" w:sz="2" w:space="0"/>
            </w:tcBorders>
            <w:noWrap w:val="0"/>
            <w:vAlign w:val="center"/>
          </w:tcPr>
          <w:p w14:paraId="0F2B1C88">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城市/农村选项</w:t>
            </w:r>
          </w:p>
        </w:tc>
        <w:tc>
          <w:tcPr>
            <w:tcW w:w="1583" w:type="pct"/>
            <w:tcBorders>
              <w:top w:val="single" w:color="auto" w:sz="2" w:space="0"/>
              <w:left w:val="single" w:color="auto" w:sz="2" w:space="0"/>
              <w:bottom w:val="single" w:color="auto" w:sz="2" w:space="0"/>
              <w:right w:val="single" w:color="auto" w:sz="2" w:space="0"/>
            </w:tcBorders>
            <w:noWrap w:val="0"/>
            <w:vAlign w:val="center"/>
          </w:tcPr>
          <w:p w14:paraId="4C1B98D4">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城市/农村</w:t>
            </w:r>
          </w:p>
        </w:tc>
        <w:tc>
          <w:tcPr>
            <w:tcW w:w="2078" w:type="pct"/>
            <w:tcBorders>
              <w:top w:val="single" w:color="auto" w:sz="2" w:space="0"/>
              <w:left w:val="single" w:color="auto" w:sz="2" w:space="0"/>
              <w:bottom w:val="single" w:color="auto" w:sz="2" w:space="0"/>
              <w:right w:val="nil"/>
            </w:tcBorders>
            <w:noWrap w:val="0"/>
            <w:vAlign w:val="center"/>
          </w:tcPr>
          <w:p w14:paraId="3A9A3041">
            <w:pPr>
              <w:pStyle w:val="37"/>
              <w:bidi w:val="0"/>
              <w:rPr>
                <w:rFonts w:hint="eastAsia" w:ascii="Times New Roman" w:hAnsi="Times New Roman" w:cs="Times New Roman"/>
                <w:color w:val="auto"/>
                <w:highlight w:val="none"/>
                <w:lang w:eastAsia="zh-CN"/>
              </w:rPr>
            </w:pPr>
            <w:r>
              <w:rPr>
                <w:rFonts w:hint="default" w:ascii="Times New Roman" w:hAnsi="Times New Roman" w:cs="Times New Roman"/>
                <w:color w:val="auto"/>
                <w:highlight w:val="none"/>
              </w:rPr>
              <w:t>农村</w:t>
            </w:r>
          </w:p>
        </w:tc>
      </w:tr>
      <w:tr w14:paraId="3DF8A85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337" w:type="pct"/>
            <w:vMerge w:val="continue"/>
            <w:tcBorders>
              <w:top w:val="single" w:color="auto" w:sz="2" w:space="0"/>
              <w:left w:val="nil"/>
              <w:bottom w:val="single" w:color="auto" w:sz="2" w:space="0"/>
              <w:right w:val="single" w:color="auto" w:sz="2" w:space="0"/>
            </w:tcBorders>
            <w:noWrap w:val="0"/>
            <w:vAlign w:val="center"/>
          </w:tcPr>
          <w:p w14:paraId="0A8587EF">
            <w:pPr>
              <w:bidi w:val="0"/>
              <w:rPr>
                <w:rFonts w:hint="default" w:ascii="Times New Roman" w:hAnsi="Times New Roman" w:cs="Times New Roman"/>
                <w:color w:val="auto"/>
                <w:highlight w:val="none"/>
              </w:rPr>
            </w:pPr>
          </w:p>
        </w:tc>
        <w:tc>
          <w:tcPr>
            <w:tcW w:w="1583" w:type="pct"/>
            <w:tcBorders>
              <w:top w:val="single" w:color="auto" w:sz="2" w:space="0"/>
              <w:left w:val="single" w:color="auto" w:sz="2" w:space="0"/>
              <w:bottom w:val="single" w:color="auto" w:sz="2" w:space="0"/>
              <w:right w:val="single" w:color="auto" w:sz="2" w:space="0"/>
            </w:tcBorders>
            <w:noWrap w:val="0"/>
            <w:vAlign w:val="center"/>
          </w:tcPr>
          <w:p w14:paraId="60BCF2F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人口数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城市人口数</w:t>
            </w:r>
            <w:r>
              <w:rPr>
                <w:rFonts w:hint="default" w:ascii="Times New Roman" w:hAnsi="Times New Roman" w:cs="Times New Roman"/>
                <w:color w:val="auto"/>
                <w:highlight w:val="none"/>
                <w:lang w:eastAsia="zh-CN"/>
              </w:rPr>
              <w:t>）</w:t>
            </w:r>
          </w:p>
        </w:tc>
        <w:tc>
          <w:tcPr>
            <w:tcW w:w="2078" w:type="pct"/>
            <w:tcBorders>
              <w:top w:val="single" w:color="auto" w:sz="2" w:space="0"/>
              <w:left w:val="single" w:color="auto" w:sz="2" w:space="0"/>
              <w:bottom w:val="single" w:color="auto" w:sz="2" w:space="0"/>
              <w:right w:val="nil"/>
            </w:tcBorders>
            <w:noWrap w:val="0"/>
            <w:vAlign w:val="center"/>
          </w:tcPr>
          <w:p w14:paraId="7153A79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4F731DC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2921" w:type="pct"/>
            <w:gridSpan w:val="2"/>
            <w:tcBorders>
              <w:top w:val="single" w:color="auto" w:sz="2" w:space="0"/>
              <w:left w:val="nil"/>
              <w:bottom w:val="single" w:color="auto" w:sz="2" w:space="0"/>
              <w:right w:val="single" w:color="auto" w:sz="2" w:space="0"/>
            </w:tcBorders>
            <w:noWrap w:val="0"/>
            <w:vAlign w:val="center"/>
          </w:tcPr>
          <w:p w14:paraId="38501AF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最高环境温度</w:t>
            </w:r>
          </w:p>
        </w:tc>
        <w:tc>
          <w:tcPr>
            <w:tcW w:w="3858" w:type="dxa"/>
            <w:tcBorders>
              <w:top w:val="single" w:color="auto" w:sz="2" w:space="0"/>
              <w:left w:val="single" w:color="auto" w:sz="2" w:space="0"/>
              <w:bottom w:val="single" w:color="auto" w:sz="2" w:space="0"/>
              <w:right w:val="nil"/>
            </w:tcBorders>
            <w:noWrap w:val="0"/>
            <w:vAlign w:val="center"/>
          </w:tcPr>
          <w:p w14:paraId="059D1BF1">
            <w:pPr>
              <w:pStyle w:val="37"/>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37.3</w:t>
            </w:r>
          </w:p>
        </w:tc>
      </w:tr>
      <w:tr w14:paraId="41A02C9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2921" w:type="pct"/>
            <w:gridSpan w:val="2"/>
            <w:tcBorders>
              <w:top w:val="single" w:color="auto" w:sz="2" w:space="0"/>
              <w:left w:val="nil"/>
              <w:bottom w:val="single" w:color="auto" w:sz="2" w:space="0"/>
              <w:right w:val="single" w:color="auto" w:sz="2" w:space="0"/>
            </w:tcBorders>
            <w:noWrap w:val="0"/>
            <w:vAlign w:val="center"/>
          </w:tcPr>
          <w:p w14:paraId="5FEDA20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最低环境温度</w:t>
            </w:r>
          </w:p>
        </w:tc>
        <w:tc>
          <w:tcPr>
            <w:tcW w:w="3858" w:type="dxa"/>
            <w:tcBorders>
              <w:top w:val="single" w:color="auto" w:sz="2" w:space="0"/>
              <w:left w:val="single" w:color="auto" w:sz="2" w:space="0"/>
              <w:bottom w:val="single" w:color="auto" w:sz="2" w:space="0"/>
              <w:right w:val="nil"/>
            </w:tcBorders>
            <w:noWrap w:val="0"/>
            <w:vAlign w:val="center"/>
          </w:tcPr>
          <w:p w14:paraId="5C0AA804">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-37.2</w:t>
            </w:r>
          </w:p>
        </w:tc>
      </w:tr>
      <w:tr w14:paraId="2C48F94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2921" w:type="pct"/>
            <w:gridSpan w:val="2"/>
            <w:tcBorders>
              <w:top w:val="single" w:color="auto" w:sz="2" w:space="0"/>
              <w:left w:val="nil"/>
              <w:bottom w:val="single" w:color="auto" w:sz="2" w:space="0"/>
              <w:right w:val="single" w:color="auto" w:sz="2" w:space="0"/>
            </w:tcBorders>
            <w:noWrap w:val="0"/>
            <w:vAlign w:val="center"/>
          </w:tcPr>
          <w:p w14:paraId="7D35031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土地利用类型</w:t>
            </w:r>
          </w:p>
        </w:tc>
        <w:tc>
          <w:tcPr>
            <w:tcW w:w="2078" w:type="pct"/>
            <w:tcBorders>
              <w:top w:val="single" w:color="auto" w:sz="2" w:space="0"/>
              <w:left w:val="single" w:color="auto" w:sz="2" w:space="0"/>
              <w:bottom w:val="single" w:color="auto" w:sz="2" w:space="0"/>
              <w:right w:val="nil"/>
            </w:tcBorders>
            <w:noWrap w:val="0"/>
            <w:vAlign w:val="center"/>
          </w:tcPr>
          <w:p w14:paraId="7D3E430D">
            <w:pPr>
              <w:pStyle w:val="37"/>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农作地</w:t>
            </w:r>
          </w:p>
        </w:tc>
      </w:tr>
      <w:tr w14:paraId="267ED7A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2921" w:type="pct"/>
            <w:gridSpan w:val="2"/>
            <w:tcBorders>
              <w:top w:val="single" w:color="auto" w:sz="2" w:space="0"/>
              <w:left w:val="nil"/>
              <w:bottom w:val="single" w:color="auto" w:sz="2" w:space="0"/>
              <w:right w:val="single" w:color="auto" w:sz="2" w:space="0"/>
            </w:tcBorders>
            <w:noWrap w:val="0"/>
            <w:vAlign w:val="center"/>
          </w:tcPr>
          <w:p w14:paraId="4893A33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区域湿度条件</w:t>
            </w:r>
          </w:p>
        </w:tc>
        <w:tc>
          <w:tcPr>
            <w:tcW w:w="2078" w:type="pct"/>
            <w:tcBorders>
              <w:top w:val="single" w:color="auto" w:sz="2" w:space="0"/>
              <w:left w:val="single" w:color="auto" w:sz="2" w:space="0"/>
              <w:bottom w:val="single" w:color="auto" w:sz="2" w:space="0"/>
              <w:right w:val="nil"/>
            </w:tcBorders>
            <w:noWrap w:val="0"/>
            <w:vAlign w:val="center"/>
          </w:tcPr>
          <w:p w14:paraId="3AC86B91">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中等湿度</w:t>
            </w:r>
          </w:p>
        </w:tc>
      </w:tr>
      <w:tr w14:paraId="3647520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337" w:type="pct"/>
            <w:vMerge w:val="restart"/>
            <w:tcBorders>
              <w:top w:val="single" w:color="auto" w:sz="2" w:space="0"/>
              <w:left w:val="nil"/>
              <w:bottom w:val="single" w:color="auto" w:sz="2" w:space="0"/>
              <w:right w:val="single" w:color="auto" w:sz="2" w:space="0"/>
            </w:tcBorders>
            <w:noWrap w:val="0"/>
            <w:vAlign w:val="center"/>
          </w:tcPr>
          <w:p w14:paraId="5B7CEFC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是否考虑地形</w:t>
            </w:r>
          </w:p>
        </w:tc>
        <w:tc>
          <w:tcPr>
            <w:tcW w:w="1583" w:type="pct"/>
            <w:tcBorders>
              <w:top w:val="single" w:color="auto" w:sz="2" w:space="0"/>
              <w:left w:val="single" w:color="auto" w:sz="2" w:space="0"/>
              <w:bottom w:val="single" w:color="auto" w:sz="2" w:space="0"/>
              <w:right w:val="single" w:color="auto" w:sz="2" w:space="0"/>
            </w:tcBorders>
            <w:noWrap w:val="0"/>
            <w:vAlign w:val="center"/>
          </w:tcPr>
          <w:p w14:paraId="416BBB2A">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考虑地形</w:t>
            </w:r>
          </w:p>
        </w:tc>
        <w:tc>
          <w:tcPr>
            <w:tcW w:w="2078" w:type="pct"/>
            <w:tcBorders>
              <w:top w:val="single" w:color="auto" w:sz="2" w:space="0"/>
              <w:left w:val="single" w:color="auto" w:sz="2" w:space="0"/>
              <w:bottom w:val="single" w:color="auto" w:sz="2" w:space="0"/>
              <w:right w:val="nil"/>
            </w:tcBorders>
            <w:noWrap w:val="0"/>
            <w:vAlign w:val="center"/>
          </w:tcPr>
          <w:p w14:paraId="26DADF4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是</w:t>
            </w:r>
          </w:p>
        </w:tc>
      </w:tr>
      <w:tr w14:paraId="0C72F30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337" w:type="pct"/>
            <w:vMerge w:val="continue"/>
            <w:tcBorders>
              <w:top w:val="single" w:color="auto" w:sz="2" w:space="0"/>
              <w:left w:val="nil"/>
              <w:bottom w:val="single" w:color="auto" w:sz="2" w:space="0"/>
              <w:right w:val="single" w:color="auto" w:sz="2" w:space="0"/>
            </w:tcBorders>
            <w:noWrap w:val="0"/>
            <w:vAlign w:val="center"/>
          </w:tcPr>
          <w:p w14:paraId="610C7DDC">
            <w:pPr>
              <w:bidi w:val="0"/>
              <w:rPr>
                <w:rFonts w:hint="default" w:ascii="Times New Roman" w:hAnsi="Times New Roman" w:cs="Times New Roman"/>
                <w:color w:val="auto"/>
                <w:highlight w:val="none"/>
              </w:rPr>
            </w:pPr>
          </w:p>
        </w:tc>
        <w:tc>
          <w:tcPr>
            <w:tcW w:w="1583" w:type="pct"/>
            <w:tcBorders>
              <w:top w:val="single" w:color="auto" w:sz="2" w:space="0"/>
              <w:left w:val="single" w:color="auto" w:sz="2" w:space="0"/>
              <w:bottom w:val="single" w:color="auto" w:sz="2" w:space="0"/>
              <w:right w:val="single" w:color="auto" w:sz="2" w:space="0"/>
            </w:tcBorders>
            <w:noWrap w:val="0"/>
            <w:vAlign w:val="center"/>
          </w:tcPr>
          <w:p w14:paraId="22D44AC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地形数据分辨率</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m</w:t>
            </w:r>
            <w:r>
              <w:rPr>
                <w:rFonts w:hint="default" w:ascii="Times New Roman" w:hAnsi="Times New Roman" w:cs="Times New Roman"/>
                <w:color w:val="auto"/>
                <w:highlight w:val="none"/>
                <w:lang w:eastAsia="zh-CN"/>
              </w:rPr>
              <w:t>）</w:t>
            </w:r>
          </w:p>
        </w:tc>
        <w:tc>
          <w:tcPr>
            <w:tcW w:w="2078" w:type="pct"/>
            <w:tcBorders>
              <w:top w:val="single" w:color="auto" w:sz="2" w:space="0"/>
              <w:left w:val="single" w:color="auto" w:sz="2" w:space="0"/>
              <w:bottom w:val="single" w:color="auto" w:sz="2" w:space="0"/>
              <w:right w:val="nil"/>
            </w:tcBorders>
            <w:noWrap w:val="0"/>
            <w:vAlign w:val="center"/>
          </w:tcPr>
          <w:p w14:paraId="00829D7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r>
      <w:tr w14:paraId="16DB0A5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337" w:type="pct"/>
            <w:vMerge w:val="restart"/>
            <w:tcBorders>
              <w:top w:val="single" w:color="auto" w:sz="2" w:space="0"/>
              <w:left w:val="nil"/>
              <w:bottom w:val="single" w:color="auto" w:sz="2" w:space="0"/>
              <w:right w:val="single" w:color="auto" w:sz="2" w:space="0"/>
            </w:tcBorders>
            <w:noWrap w:val="0"/>
            <w:vAlign w:val="center"/>
          </w:tcPr>
          <w:p w14:paraId="1C434AC4">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是否考虑岸线熏烟</w:t>
            </w:r>
          </w:p>
        </w:tc>
        <w:tc>
          <w:tcPr>
            <w:tcW w:w="1583" w:type="pct"/>
            <w:tcBorders>
              <w:top w:val="single" w:color="auto" w:sz="2" w:space="0"/>
              <w:left w:val="single" w:color="auto" w:sz="2" w:space="0"/>
              <w:bottom w:val="single" w:color="auto" w:sz="2" w:space="0"/>
              <w:right w:val="single" w:color="auto" w:sz="2" w:space="0"/>
            </w:tcBorders>
            <w:noWrap w:val="0"/>
            <w:vAlign w:val="center"/>
          </w:tcPr>
          <w:p w14:paraId="0D1E048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考虑岸线熏烟</w:t>
            </w:r>
          </w:p>
        </w:tc>
        <w:tc>
          <w:tcPr>
            <w:tcW w:w="2078" w:type="pct"/>
            <w:tcBorders>
              <w:top w:val="single" w:color="auto" w:sz="2" w:space="0"/>
              <w:left w:val="single" w:color="auto" w:sz="2" w:space="0"/>
              <w:bottom w:val="single" w:color="auto" w:sz="2" w:space="0"/>
              <w:right w:val="nil"/>
            </w:tcBorders>
            <w:noWrap w:val="0"/>
            <w:vAlign w:val="center"/>
          </w:tcPr>
          <w:p w14:paraId="7D6855D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否</w:t>
            </w:r>
          </w:p>
        </w:tc>
      </w:tr>
      <w:tr w14:paraId="54429F3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337" w:type="pct"/>
            <w:vMerge w:val="continue"/>
            <w:tcBorders>
              <w:top w:val="single" w:color="auto" w:sz="2" w:space="0"/>
              <w:left w:val="nil"/>
              <w:bottom w:val="single" w:color="auto" w:sz="2" w:space="0"/>
              <w:right w:val="single" w:color="auto" w:sz="2" w:space="0"/>
            </w:tcBorders>
            <w:noWrap w:val="0"/>
            <w:vAlign w:val="center"/>
          </w:tcPr>
          <w:p w14:paraId="50DD8948">
            <w:pPr>
              <w:bidi w:val="0"/>
              <w:rPr>
                <w:rFonts w:hint="default" w:ascii="Times New Roman" w:hAnsi="Times New Roman" w:cs="Times New Roman"/>
                <w:color w:val="auto"/>
                <w:highlight w:val="none"/>
              </w:rPr>
            </w:pPr>
          </w:p>
        </w:tc>
        <w:tc>
          <w:tcPr>
            <w:tcW w:w="1583" w:type="pct"/>
            <w:tcBorders>
              <w:top w:val="single" w:color="auto" w:sz="2" w:space="0"/>
              <w:left w:val="single" w:color="auto" w:sz="2" w:space="0"/>
              <w:bottom w:val="single" w:color="auto" w:sz="2" w:space="0"/>
              <w:right w:val="single" w:color="auto" w:sz="2" w:space="0"/>
            </w:tcBorders>
            <w:noWrap w:val="0"/>
            <w:vAlign w:val="center"/>
          </w:tcPr>
          <w:p w14:paraId="7039CB0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岸线距离/m</w:t>
            </w:r>
          </w:p>
        </w:tc>
        <w:tc>
          <w:tcPr>
            <w:tcW w:w="2078" w:type="pct"/>
            <w:tcBorders>
              <w:top w:val="single" w:color="auto" w:sz="2" w:space="0"/>
              <w:left w:val="single" w:color="auto" w:sz="2" w:space="0"/>
              <w:bottom w:val="single" w:color="auto" w:sz="2" w:space="0"/>
              <w:right w:val="nil"/>
            </w:tcBorders>
            <w:noWrap w:val="0"/>
            <w:vAlign w:val="center"/>
          </w:tcPr>
          <w:p w14:paraId="28F40AEB">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5C099FD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337" w:type="pct"/>
            <w:vMerge w:val="continue"/>
            <w:tcBorders>
              <w:top w:val="single" w:color="auto" w:sz="2" w:space="0"/>
              <w:left w:val="nil"/>
              <w:bottom w:val="single" w:color="auto" w:sz="12" w:space="0"/>
              <w:right w:val="single" w:color="auto" w:sz="2" w:space="0"/>
            </w:tcBorders>
            <w:noWrap w:val="0"/>
            <w:vAlign w:val="center"/>
          </w:tcPr>
          <w:p w14:paraId="11A9E800">
            <w:pPr>
              <w:bidi w:val="0"/>
              <w:rPr>
                <w:rFonts w:hint="default" w:ascii="Times New Roman" w:hAnsi="Times New Roman" w:cs="Times New Roman"/>
                <w:color w:val="auto"/>
                <w:highlight w:val="none"/>
              </w:rPr>
            </w:pPr>
          </w:p>
        </w:tc>
        <w:tc>
          <w:tcPr>
            <w:tcW w:w="1583" w:type="pct"/>
            <w:tcBorders>
              <w:top w:val="single" w:color="auto" w:sz="2" w:space="0"/>
              <w:left w:val="single" w:color="auto" w:sz="2" w:space="0"/>
              <w:bottom w:val="single" w:color="auto" w:sz="12" w:space="0"/>
              <w:right w:val="single" w:color="auto" w:sz="2" w:space="0"/>
            </w:tcBorders>
            <w:noWrap w:val="0"/>
            <w:vAlign w:val="center"/>
          </w:tcPr>
          <w:p w14:paraId="2757523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岸线方向/°</w:t>
            </w:r>
          </w:p>
        </w:tc>
        <w:tc>
          <w:tcPr>
            <w:tcW w:w="2078" w:type="pct"/>
            <w:tcBorders>
              <w:top w:val="single" w:color="auto" w:sz="2" w:space="0"/>
              <w:left w:val="single" w:color="auto" w:sz="2" w:space="0"/>
              <w:bottom w:val="single" w:color="auto" w:sz="12" w:space="0"/>
              <w:right w:val="nil"/>
            </w:tcBorders>
            <w:noWrap w:val="0"/>
            <w:vAlign w:val="center"/>
          </w:tcPr>
          <w:p w14:paraId="626B142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bl>
    <w:p w14:paraId="7AE7A28C">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估算模型参数选取如下：</w:t>
      </w:r>
    </w:p>
    <w:p w14:paraId="2A72FDD6">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val="en-US" w:eastAsia="zh-CN"/>
        </w:rPr>
        <w:t>①</w:t>
      </w:r>
      <w:r>
        <w:rPr>
          <w:rFonts w:hint="eastAsia" w:ascii="Times New Roman" w:hAnsi="Times New Roman" w:cs="Times New Roman"/>
          <w:color w:val="auto"/>
          <w:sz w:val="24"/>
          <w:szCs w:val="24"/>
          <w:highlight w:val="none"/>
          <w:lang w:eastAsia="zh-CN"/>
        </w:rPr>
        <w:t>根据《环境影响评价技术导则 大气环境》（HJ2.2-2018）“附录B的B.6.1城市/农村选项—当项目周边3km半径范围内一半以上面积属于城市建成区或者规划区时选择城市，否则选择农村”。本项目位于</w:t>
      </w:r>
      <w:r>
        <w:rPr>
          <w:rFonts w:hint="eastAsia" w:ascii="Times New Roman" w:hAnsi="Times New Roman" w:cs="Times New Roman"/>
          <w:color w:val="auto"/>
          <w:spacing w:val="15"/>
          <w:sz w:val="24"/>
          <w:szCs w:val="23"/>
          <w:highlight w:val="none"/>
          <w:lang w:val="en-US" w:eastAsia="zh-CN"/>
        </w:rPr>
        <w:t>黑龙江五常经济开发区</w:t>
      </w:r>
      <w:r>
        <w:rPr>
          <w:rFonts w:hint="eastAsia" w:ascii="Times New Roman" w:hAnsi="Times New Roman" w:cs="Times New Roman"/>
          <w:color w:val="auto"/>
          <w:sz w:val="24"/>
          <w:szCs w:val="24"/>
          <w:highlight w:val="none"/>
          <w:lang w:eastAsia="zh-CN"/>
        </w:rPr>
        <w:t>，判定范围内一半以上属于</w:t>
      </w:r>
      <w:r>
        <w:rPr>
          <w:rFonts w:hint="eastAsia" w:ascii="Times New Roman" w:hAnsi="Times New Roman" w:cs="Times New Roman"/>
          <w:color w:val="auto"/>
          <w:sz w:val="24"/>
          <w:szCs w:val="24"/>
          <w:highlight w:val="none"/>
          <w:lang w:val="en-US" w:eastAsia="zh-CN"/>
        </w:rPr>
        <w:t>农村</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故本项目选择农村</w:t>
      </w:r>
      <w:r>
        <w:rPr>
          <w:rFonts w:hint="eastAsia" w:ascii="Times New Roman" w:hAnsi="Times New Roman" w:cs="Times New Roman"/>
          <w:color w:val="auto"/>
          <w:sz w:val="24"/>
          <w:szCs w:val="24"/>
          <w:highlight w:val="none"/>
          <w:lang w:eastAsia="zh-CN"/>
        </w:rPr>
        <w:t>。</w:t>
      </w:r>
    </w:p>
    <w:p w14:paraId="79027C25">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val="en-US" w:eastAsia="zh-CN"/>
        </w:rPr>
        <w:t>②</w:t>
      </w:r>
      <w:r>
        <w:rPr>
          <w:rFonts w:hint="eastAsia" w:ascii="Times New Roman" w:hAnsi="Times New Roman" w:cs="Times New Roman"/>
          <w:color w:val="auto"/>
          <w:sz w:val="24"/>
          <w:szCs w:val="24"/>
          <w:highlight w:val="none"/>
          <w:lang w:eastAsia="zh-CN"/>
        </w:rPr>
        <w:t>根据《环境影响评价技术导则 大气环境》（HJ2.2-2018）“附录B的B.3.1—估算模型所需最高和最低环境温度，一般需选取评价区域近20年以上资料统计结果”。本项目</w:t>
      </w:r>
      <w:r>
        <w:rPr>
          <w:rFonts w:hint="default" w:ascii="Times New Roman" w:hAnsi="Times New Roman" w:cs="Times New Roman"/>
          <w:color w:val="auto"/>
          <w:sz w:val="24"/>
          <w:szCs w:val="24"/>
          <w:highlight w:val="none"/>
          <w:lang w:val="en-US" w:eastAsia="zh-CN"/>
        </w:rPr>
        <w:t>环境温度取值来源于</w:t>
      </w:r>
      <w:r>
        <w:rPr>
          <w:rFonts w:hint="eastAsia" w:ascii="Times New Roman" w:hAnsi="Times New Roman" w:cs="Times New Roman"/>
          <w:color w:val="auto"/>
          <w:sz w:val="24"/>
          <w:szCs w:val="24"/>
          <w:highlight w:val="none"/>
          <w:lang w:val="en-US" w:eastAsia="zh-CN"/>
        </w:rPr>
        <w:t>五常</w:t>
      </w:r>
      <w:r>
        <w:rPr>
          <w:rFonts w:hint="default" w:ascii="Times New Roman" w:hAnsi="Times New Roman" w:cs="Times New Roman"/>
          <w:color w:val="auto"/>
          <w:sz w:val="24"/>
          <w:szCs w:val="24"/>
          <w:highlight w:val="none"/>
          <w:lang w:val="en-US" w:eastAsia="zh-CN"/>
        </w:rPr>
        <w:t>市气象站（</w:t>
      </w:r>
      <w:r>
        <w:rPr>
          <w:rFonts w:hint="eastAsia" w:ascii="Times New Roman" w:hAnsi="Times New Roman" w:cs="Times New Roman"/>
          <w:color w:val="auto"/>
          <w:sz w:val="24"/>
          <w:szCs w:val="24"/>
          <w:highlight w:val="none"/>
          <w:lang w:val="en-US" w:eastAsia="zh-CN"/>
        </w:rPr>
        <w:t>54080</w:t>
      </w:r>
      <w:r>
        <w:rPr>
          <w:rFonts w:hint="default" w:ascii="Times New Roman" w:hAnsi="Times New Roman" w:cs="Times New Roman"/>
          <w:color w:val="auto"/>
          <w:sz w:val="24"/>
          <w:szCs w:val="24"/>
          <w:highlight w:val="none"/>
          <w:lang w:val="en-US" w:eastAsia="zh-CN"/>
        </w:rPr>
        <w:t>）近二十年气象数据统计。</w:t>
      </w:r>
    </w:p>
    <w:p w14:paraId="7BE52CE4">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val="en-US" w:eastAsia="zh-CN"/>
        </w:rPr>
        <w:t>③</w:t>
      </w:r>
      <w:r>
        <w:rPr>
          <w:rFonts w:hint="eastAsia" w:ascii="Times New Roman" w:hAnsi="Times New Roman" w:cs="Times New Roman"/>
          <w:color w:val="auto"/>
          <w:sz w:val="24"/>
          <w:szCs w:val="24"/>
          <w:highlight w:val="none"/>
          <w:lang w:eastAsia="zh-CN"/>
        </w:rPr>
        <w:t>根据《环境影响评价技术导则 大气环境》（HJ2.2-2018）“附录B的B.5地表参数—AERSCREEN的地表参数根据模型特点取项目周边3km范围内占地面积最大的土地利用类型来确定”。本项目周边3km范围内占地面积最大的土地利用类型为</w:t>
      </w:r>
      <w:r>
        <w:rPr>
          <w:rFonts w:hint="eastAsia" w:ascii="Times New Roman" w:hAnsi="Times New Roman" w:cs="Times New Roman"/>
          <w:color w:val="auto"/>
          <w:sz w:val="24"/>
          <w:szCs w:val="24"/>
          <w:highlight w:val="none"/>
          <w:lang w:val="en-US" w:eastAsia="zh-CN"/>
        </w:rPr>
        <w:t>耕地</w:t>
      </w:r>
      <w:r>
        <w:rPr>
          <w:rFonts w:hint="eastAsia" w:ascii="Times New Roman" w:hAnsi="Times New Roman" w:cs="Times New Roman"/>
          <w:color w:val="auto"/>
          <w:sz w:val="24"/>
          <w:szCs w:val="24"/>
          <w:highlight w:val="none"/>
          <w:lang w:eastAsia="zh-CN"/>
        </w:rPr>
        <w:t>，因此本次大气环境影响评价的土地利用类型为</w:t>
      </w:r>
      <w:r>
        <w:rPr>
          <w:rFonts w:hint="eastAsia" w:ascii="Times New Roman" w:hAnsi="Times New Roman" w:cs="Times New Roman"/>
          <w:color w:val="auto"/>
          <w:sz w:val="24"/>
          <w:szCs w:val="24"/>
          <w:highlight w:val="none"/>
          <w:lang w:val="en-US" w:eastAsia="zh-CN"/>
        </w:rPr>
        <w:t>农作地</w:t>
      </w:r>
      <w:r>
        <w:rPr>
          <w:rFonts w:hint="eastAsia" w:ascii="Times New Roman" w:hAnsi="Times New Roman" w:cs="Times New Roman"/>
          <w:color w:val="auto"/>
          <w:sz w:val="24"/>
          <w:szCs w:val="24"/>
          <w:highlight w:val="none"/>
          <w:lang w:eastAsia="zh-CN"/>
        </w:rPr>
        <w:t>。</w:t>
      </w:r>
    </w:p>
    <w:p w14:paraId="1C024ABD">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val="en-US" w:eastAsia="zh-CN"/>
        </w:rPr>
        <w:t>④</w:t>
      </w:r>
      <w:r>
        <w:rPr>
          <w:rFonts w:hint="eastAsia" w:ascii="Times New Roman" w:hAnsi="Times New Roman" w:cs="Times New Roman"/>
          <w:color w:val="auto"/>
          <w:sz w:val="24"/>
          <w:szCs w:val="24"/>
          <w:highlight w:val="none"/>
          <w:lang w:eastAsia="zh-CN"/>
        </w:rPr>
        <w:t>根据《环境影响评价技术导则 大气环境》（HJ2.2-2018）“附录B的B.5地表参数—AERMOD和AERSCREEN所需的区域湿度条件根据中国干湿度</w:t>
      </w:r>
      <w:r>
        <w:rPr>
          <w:rFonts w:hint="eastAsia" w:ascii="Times New Roman" w:hAnsi="Times New Roman" w:cs="Times New Roman"/>
          <w:color w:val="auto"/>
          <w:sz w:val="24"/>
          <w:szCs w:val="24"/>
          <w:highlight w:val="none"/>
          <w:lang w:val="en-US" w:eastAsia="zh-CN"/>
        </w:rPr>
        <w:t>地区划分进行选择</w:t>
      </w:r>
      <w:r>
        <w:rPr>
          <w:rFonts w:hint="eastAsia" w:ascii="Times New Roman" w:hAnsi="Times New Roman" w:cs="Times New Roman"/>
          <w:color w:val="auto"/>
          <w:sz w:val="24"/>
          <w:szCs w:val="24"/>
          <w:highlight w:val="none"/>
          <w:lang w:eastAsia="zh-CN"/>
        </w:rPr>
        <w:t>”，经过判定，</w:t>
      </w:r>
      <w:r>
        <w:rPr>
          <w:rFonts w:hint="eastAsia" w:ascii="Times New Roman" w:hAnsi="Times New Roman" w:cs="Times New Roman"/>
          <w:color w:val="auto"/>
          <w:sz w:val="24"/>
          <w:szCs w:val="24"/>
          <w:highlight w:val="none"/>
          <w:lang w:val="en-US" w:eastAsia="zh-CN"/>
        </w:rPr>
        <w:t>项目</w:t>
      </w:r>
      <w:r>
        <w:rPr>
          <w:rFonts w:hint="eastAsia" w:ascii="Times New Roman" w:hAnsi="Times New Roman" w:cs="Times New Roman"/>
          <w:color w:val="auto"/>
          <w:sz w:val="24"/>
          <w:szCs w:val="24"/>
          <w:highlight w:val="none"/>
          <w:lang w:eastAsia="zh-CN"/>
        </w:rPr>
        <w:t>地区属于</w:t>
      </w:r>
      <w:r>
        <w:rPr>
          <w:rFonts w:hint="eastAsia" w:ascii="Times New Roman" w:hAnsi="Times New Roman" w:cs="Times New Roman"/>
          <w:color w:val="auto"/>
          <w:sz w:val="24"/>
          <w:szCs w:val="24"/>
          <w:highlight w:val="none"/>
          <w:lang w:val="en-US" w:eastAsia="zh-CN"/>
        </w:rPr>
        <w:t>中等湿度</w:t>
      </w:r>
      <w:r>
        <w:rPr>
          <w:rFonts w:hint="eastAsia" w:ascii="Times New Roman" w:hAnsi="Times New Roman" w:cs="Times New Roman"/>
          <w:color w:val="auto"/>
          <w:sz w:val="24"/>
          <w:szCs w:val="24"/>
          <w:highlight w:val="none"/>
          <w:lang w:eastAsia="zh-CN"/>
        </w:rPr>
        <w:t>气候。</w:t>
      </w:r>
    </w:p>
    <w:p w14:paraId="0F3D16C3">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val="en-US" w:eastAsia="zh-CN"/>
        </w:rPr>
        <w:t>⑤</w:t>
      </w:r>
      <w:r>
        <w:rPr>
          <w:rFonts w:hint="eastAsia" w:ascii="Times New Roman" w:hAnsi="Times New Roman" w:cs="Times New Roman"/>
          <w:color w:val="auto"/>
          <w:sz w:val="24"/>
          <w:szCs w:val="24"/>
          <w:highlight w:val="none"/>
          <w:lang w:eastAsia="zh-CN"/>
        </w:rPr>
        <w:t>根据《环境影响评价技术导则 大气环境》（HJ2.2-2018）“附录B的B.4地形数据—原始地形数据分辨率不得小于90m”，本次大气环境影响评价地形数据分辨率为90m。</w:t>
      </w:r>
    </w:p>
    <w:p w14:paraId="00FE1176">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val="en-US" w:eastAsia="zh-CN"/>
        </w:rPr>
        <w:t>⑥</w:t>
      </w:r>
      <w:r>
        <w:rPr>
          <w:rFonts w:hint="eastAsia" w:ascii="Times New Roman" w:hAnsi="Times New Roman" w:cs="Times New Roman"/>
          <w:color w:val="auto"/>
          <w:sz w:val="24"/>
          <w:szCs w:val="24"/>
          <w:highlight w:val="none"/>
          <w:lang w:eastAsia="zh-CN"/>
        </w:rPr>
        <w:t>根据《环境影响评价技术导则 大气环境》（HJ2.2-2018）“附录B的B.6.2-对估算模型AERSCREEN，当污染源附近3km范围内有大型水体时，需选择岸边熏烟选项”，本项目污染源3km范围内无大型水体，因此本次大气环境影响评价不考虑岸线熏烟。</w:t>
      </w:r>
    </w:p>
    <w:p w14:paraId="7E7C1ECF">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3</w:t>
      </w:r>
      <w:r>
        <w:rPr>
          <w:rFonts w:hint="eastAsia" w:ascii="Times New Roman" w:hAnsi="Times New Roman" w:cs="Times New Roman"/>
          <w:color w:val="auto"/>
          <w:sz w:val="24"/>
          <w:szCs w:val="24"/>
          <w:highlight w:val="none"/>
          <w:lang w:eastAsia="zh-CN"/>
        </w:rPr>
        <w:t>）污染源参数</w:t>
      </w:r>
    </w:p>
    <w:p w14:paraId="0161EA07">
      <w:pPr>
        <w:keepLines w:val="0"/>
        <w:pageBreakBefore w:val="0"/>
        <w:kinsoku w:val="0"/>
        <w:wordWrap/>
        <w:overflowPunct/>
        <w:topLinePunct w:val="0"/>
        <w:autoSpaceDE w:val="0"/>
        <w:autoSpaceDN w:val="0"/>
        <w:bidi w:val="0"/>
        <w:adjustRightInd w:val="0"/>
        <w:snapToGrid w:val="0"/>
        <w:spacing w:line="360" w:lineRule="auto"/>
        <w:ind w:firstLine="480"/>
        <w:textAlignment w:val="baseline"/>
        <w:rPr>
          <w:color w:val="auto"/>
          <w:highlight w:val="none"/>
        </w:rPr>
        <w:sectPr>
          <w:headerReference r:id="rId11" w:type="default"/>
          <w:footerReference r:id="rId12" w:type="default"/>
          <w:pgSz w:w="11906" w:h="16839"/>
          <w:pgMar w:top="1133" w:right="1417" w:bottom="1134" w:left="1417" w:header="897" w:footer="1090" w:gutter="0"/>
          <w:pgBorders>
            <w:top w:val="none" w:sz="0" w:space="0"/>
            <w:left w:val="none" w:sz="0" w:space="0"/>
            <w:bottom w:val="none" w:sz="0" w:space="0"/>
            <w:right w:val="none" w:sz="0" w:space="0"/>
          </w:pgBorders>
          <w:pgNumType w:fmt="decimal"/>
          <w:cols w:space="720" w:num="1"/>
        </w:sectPr>
      </w:pPr>
      <w:r>
        <w:rPr>
          <w:rFonts w:hint="eastAsia" w:ascii="Times New Roman" w:hAnsi="Times New Roman" w:cs="Times New Roman"/>
          <w:color w:val="auto"/>
          <w:sz w:val="24"/>
          <w:szCs w:val="24"/>
          <w:highlight w:val="none"/>
          <w:lang w:eastAsia="zh-CN"/>
        </w:rPr>
        <w:t>本项目</w:t>
      </w:r>
      <w:r>
        <w:rPr>
          <w:rFonts w:hint="eastAsia" w:ascii="Times New Roman" w:hAnsi="Times New Roman" w:cs="Times New Roman"/>
          <w:color w:val="auto"/>
          <w:sz w:val="24"/>
          <w:szCs w:val="24"/>
          <w:highlight w:val="none"/>
          <w:lang w:val="en-US" w:eastAsia="zh-CN"/>
        </w:rPr>
        <w:t>以厂区西南角为坐标（0,0）点，项目</w:t>
      </w:r>
      <w:r>
        <w:rPr>
          <w:rFonts w:hint="eastAsia" w:ascii="Times New Roman" w:hAnsi="Times New Roman" w:cs="Times New Roman"/>
          <w:color w:val="auto"/>
          <w:sz w:val="24"/>
          <w:szCs w:val="24"/>
          <w:highlight w:val="none"/>
          <w:lang w:eastAsia="zh-CN"/>
        </w:rPr>
        <w:t>污染源参数表见表2.</w:t>
      </w:r>
      <w:r>
        <w:rPr>
          <w:rFonts w:hint="eastAsia" w:ascii="Times New Roman" w:hAnsi="Times New Roman" w:cs="Times New Roman"/>
          <w:color w:val="auto"/>
          <w:sz w:val="24"/>
          <w:szCs w:val="24"/>
          <w:highlight w:val="none"/>
          <w:lang w:val="en-US" w:eastAsia="zh-CN"/>
        </w:rPr>
        <w:t>6</w:t>
      </w:r>
      <w:r>
        <w:rPr>
          <w:rFonts w:hint="eastAsia" w:ascii="Times New Roman" w:hAnsi="Times New Roman" w:cs="Times New Roman"/>
          <w:color w:val="auto"/>
          <w:sz w:val="24"/>
          <w:szCs w:val="24"/>
          <w:highlight w:val="none"/>
          <w:lang w:eastAsia="zh-CN"/>
        </w:rPr>
        <w:t>-4、表2.</w:t>
      </w:r>
      <w:r>
        <w:rPr>
          <w:rFonts w:hint="eastAsia" w:ascii="Times New Roman" w:hAnsi="Times New Roman" w:cs="Times New Roman"/>
          <w:color w:val="auto"/>
          <w:sz w:val="24"/>
          <w:szCs w:val="24"/>
          <w:highlight w:val="none"/>
          <w:lang w:val="en-US" w:eastAsia="zh-CN"/>
        </w:rPr>
        <w:t>6</w:t>
      </w:r>
      <w:r>
        <w:rPr>
          <w:rFonts w:hint="eastAsia" w:ascii="Times New Roman" w:hAnsi="Times New Roman" w:cs="Times New Roman"/>
          <w:color w:val="auto"/>
          <w:sz w:val="24"/>
          <w:szCs w:val="24"/>
          <w:highlight w:val="none"/>
          <w:lang w:eastAsia="zh-CN"/>
        </w:rPr>
        <w:t>-5。</w:t>
      </w:r>
    </w:p>
    <w:p w14:paraId="2C77A174">
      <w:pPr>
        <w:pStyle w:val="44"/>
        <w:bidi w:val="0"/>
        <w:rPr>
          <w:color w:val="auto"/>
          <w:highlight w:val="none"/>
        </w:rPr>
      </w:pPr>
      <w:r>
        <w:rPr>
          <w:color w:val="auto"/>
          <w:highlight w:val="none"/>
        </w:rPr>
        <w:t>表2.</w:t>
      </w:r>
      <w:r>
        <w:rPr>
          <w:rFonts w:hint="eastAsia"/>
          <w:color w:val="auto"/>
          <w:highlight w:val="none"/>
          <w:lang w:val="en-US" w:eastAsia="zh-CN"/>
        </w:rPr>
        <w:t>6</w:t>
      </w:r>
      <w:r>
        <w:rPr>
          <w:color w:val="auto"/>
          <w:highlight w:val="none"/>
        </w:rPr>
        <w:t>-</w:t>
      </w:r>
      <w:r>
        <w:rPr>
          <w:rFonts w:hint="eastAsia"/>
          <w:color w:val="auto"/>
          <w:highlight w:val="none"/>
          <w:lang w:val="en-US" w:eastAsia="zh-CN"/>
        </w:rPr>
        <w:t>4</w:t>
      </w:r>
      <w:r>
        <w:rPr>
          <w:color w:val="auto"/>
          <w:highlight w:val="none"/>
        </w:rPr>
        <w:t xml:space="preserve"> 本项目主要污染物参数表（点源）</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73"/>
        <w:gridCol w:w="1172"/>
        <w:gridCol w:w="660"/>
        <w:gridCol w:w="660"/>
        <w:gridCol w:w="836"/>
        <w:gridCol w:w="756"/>
        <w:gridCol w:w="729"/>
        <w:gridCol w:w="692"/>
        <w:gridCol w:w="688"/>
        <w:gridCol w:w="823"/>
        <w:gridCol w:w="558"/>
        <w:gridCol w:w="813"/>
        <w:gridCol w:w="832"/>
        <w:gridCol w:w="750"/>
        <w:gridCol w:w="840"/>
        <w:gridCol w:w="727"/>
        <w:gridCol w:w="727"/>
        <w:gridCol w:w="871"/>
        <w:gridCol w:w="781"/>
      </w:tblGrid>
      <w:tr w14:paraId="41C6D0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vAlign w:val="center"/>
          </w:tcPr>
          <w:p w14:paraId="69D84317">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编号</w:t>
            </w:r>
          </w:p>
        </w:tc>
        <w:tc>
          <w:tcPr>
            <w:tcW w:w="0" w:type="auto"/>
            <w:vMerge w:val="restart"/>
            <w:tcBorders>
              <w:tl2br w:val="nil"/>
              <w:tr2bl w:val="nil"/>
            </w:tcBorders>
            <w:vAlign w:val="center"/>
          </w:tcPr>
          <w:p w14:paraId="2FE1E432">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污染源</w:t>
            </w:r>
          </w:p>
        </w:tc>
        <w:tc>
          <w:tcPr>
            <w:tcW w:w="0" w:type="auto"/>
            <w:gridSpan w:val="2"/>
            <w:tcBorders>
              <w:tl2br w:val="nil"/>
              <w:tr2bl w:val="nil"/>
            </w:tcBorders>
            <w:vAlign w:val="center"/>
          </w:tcPr>
          <w:p w14:paraId="1597F3BF">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排气筒底部中心坐标/m</w:t>
            </w:r>
          </w:p>
        </w:tc>
        <w:tc>
          <w:tcPr>
            <w:tcW w:w="0" w:type="auto"/>
            <w:vMerge w:val="restart"/>
            <w:tcBorders>
              <w:tl2br w:val="nil"/>
              <w:tr2bl w:val="nil"/>
            </w:tcBorders>
            <w:vAlign w:val="center"/>
          </w:tcPr>
          <w:p w14:paraId="2446B12C">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排气筒底部海拔高度/m</w:t>
            </w:r>
          </w:p>
        </w:tc>
        <w:tc>
          <w:tcPr>
            <w:tcW w:w="0" w:type="auto"/>
            <w:vMerge w:val="restart"/>
            <w:tcBorders>
              <w:tl2br w:val="nil"/>
              <w:tr2bl w:val="nil"/>
            </w:tcBorders>
            <w:vAlign w:val="center"/>
          </w:tcPr>
          <w:p w14:paraId="07FE72EF">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排气筒高度/m</w:t>
            </w:r>
          </w:p>
        </w:tc>
        <w:tc>
          <w:tcPr>
            <w:tcW w:w="0" w:type="auto"/>
            <w:vMerge w:val="restart"/>
            <w:tcBorders>
              <w:tl2br w:val="nil"/>
              <w:tr2bl w:val="nil"/>
            </w:tcBorders>
            <w:vAlign w:val="center"/>
          </w:tcPr>
          <w:p w14:paraId="6B0C3E65">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排气筒出口内径/m</w:t>
            </w:r>
          </w:p>
        </w:tc>
        <w:tc>
          <w:tcPr>
            <w:tcW w:w="0" w:type="auto"/>
            <w:vMerge w:val="restart"/>
            <w:tcBorders>
              <w:tl2br w:val="nil"/>
              <w:tr2bl w:val="nil"/>
            </w:tcBorders>
            <w:vAlign w:val="center"/>
          </w:tcPr>
          <w:p w14:paraId="42E17659">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烟气流速m/s</w:t>
            </w:r>
          </w:p>
        </w:tc>
        <w:tc>
          <w:tcPr>
            <w:tcW w:w="0" w:type="auto"/>
            <w:vMerge w:val="restart"/>
            <w:tcBorders>
              <w:tl2br w:val="nil"/>
              <w:tr2bl w:val="nil"/>
            </w:tcBorders>
            <w:vAlign w:val="center"/>
          </w:tcPr>
          <w:p w14:paraId="3F3E284E">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烟气温度/℃</w:t>
            </w:r>
          </w:p>
        </w:tc>
        <w:tc>
          <w:tcPr>
            <w:tcW w:w="0" w:type="auto"/>
            <w:vMerge w:val="restart"/>
            <w:tcBorders>
              <w:tl2br w:val="nil"/>
              <w:tr2bl w:val="nil"/>
            </w:tcBorders>
            <w:vAlign w:val="center"/>
          </w:tcPr>
          <w:p w14:paraId="0B836C20">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年排放小时数/h</w:t>
            </w:r>
          </w:p>
        </w:tc>
        <w:tc>
          <w:tcPr>
            <w:tcW w:w="0" w:type="auto"/>
            <w:vMerge w:val="restart"/>
            <w:tcBorders>
              <w:tl2br w:val="nil"/>
              <w:tr2bl w:val="nil"/>
            </w:tcBorders>
            <w:vAlign w:val="center"/>
          </w:tcPr>
          <w:p w14:paraId="1C52500D">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排放工况</w:t>
            </w:r>
          </w:p>
        </w:tc>
        <w:tc>
          <w:tcPr>
            <w:tcW w:w="6459" w:type="dxa"/>
            <w:gridSpan w:val="8"/>
            <w:tcBorders>
              <w:tl2br w:val="nil"/>
              <w:tr2bl w:val="nil"/>
            </w:tcBorders>
            <w:vAlign w:val="center"/>
          </w:tcPr>
          <w:p w14:paraId="66780007">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污染物排放速率(kg/h)</w:t>
            </w:r>
          </w:p>
        </w:tc>
      </w:tr>
      <w:tr w14:paraId="1A4A0C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14:paraId="5E592DFD">
            <w:pPr>
              <w:pStyle w:val="83"/>
              <w:spacing w:line="240" w:lineRule="auto"/>
              <w:ind w:left="22" w:right="22"/>
              <w:rPr>
                <w:rFonts w:hint="default" w:ascii="Times New Roman" w:hAnsi="Times New Roman" w:cs="Times New Roman"/>
                <w:color w:val="auto"/>
              </w:rPr>
            </w:pPr>
          </w:p>
        </w:tc>
        <w:tc>
          <w:tcPr>
            <w:tcW w:w="0" w:type="auto"/>
            <w:vMerge w:val="continue"/>
            <w:tcBorders>
              <w:tl2br w:val="nil"/>
              <w:tr2bl w:val="nil"/>
            </w:tcBorders>
            <w:vAlign w:val="center"/>
          </w:tcPr>
          <w:p w14:paraId="766D6F77">
            <w:pPr>
              <w:pStyle w:val="83"/>
              <w:spacing w:line="240" w:lineRule="auto"/>
              <w:ind w:left="22" w:right="22"/>
              <w:rPr>
                <w:rFonts w:hint="default" w:ascii="Times New Roman" w:hAnsi="Times New Roman" w:cs="Times New Roman"/>
                <w:color w:val="auto"/>
              </w:rPr>
            </w:pPr>
          </w:p>
        </w:tc>
        <w:tc>
          <w:tcPr>
            <w:tcW w:w="0" w:type="auto"/>
            <w:tcBorders>
              <w:tl2br w:val="nil"/>
              <w:tr2bl w:val="nil"/>
            </w:tcBorders>
            <w:vAlign w:val="center"/>
          </w:tcPr>
          <w:p w14:paraId="0BDB597E">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X</w:t>
            </w:r>
          </w:p>
        </w:tc>
        <w:tc>
          <w:tcPr>
            <w:tcW w:w="0" w:type="auto"/>
            <w:tcBorders>
              <w:tl2br w:val="nil"/>
              <w:tr2bl w:val="nil"/>
            </w:tcBorders>
            <w:vAlign w:val="center"/>
          </w:tcPr>
          <w:p w14:paraId="6EC94440">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Y</w:t>
            </w:r>
          </w:p>
        </w:tc>
        <w:tc>
          <w:tcPr>
            <w:tcW w:w="0" w:type="auto"/>
            <w:vMerge w:val="continue"/>
            <w:tcBorders>
              <w:tl2br w:val="nil"/>
              <w:tr2bl w:val="nil"/>
            </w:tcBorders>
            <w:vAlign w:val="center"/>
          </w:tcPr>
          <w:p w14:paraId="58988BC9">
            <w:pPr>
              <w:pStyle w:val="83"/>
              <w:spacing w:line="240" w:lineRule="auto"/>
              <w:ind w:left="22" w:right="22"/>
              <w:rPr>
                <w:rFonts w:hint="default" w:ascii="Times New Roman" w:hAnsi="Times New Roman" w:cs="Times New Roman"/>
                <w:color w:val="auto"/>
              </w:rPr>
            </w:pPr>
          </w:p>
        </w:tc>
        <w:tc>
          <w:tcPr>
            <w:tcW w:w="0" w:type="auto"/>
            <w:vMerge w:val="continue"/>
            <w:tcBorders>
              <w:tl2br w:val="nil"/>
              <w:tr2bl w:val="nil"/>
            </w:tcBorders>
            <w:vAlign w:val="center"/>
          </w:tcPr>
          <w:p w14:paraId="626FB7AD">
            <w:pPr>
              <w:pStyle w:val="83"/>
              <w:spacing w:line="240" w:lineRule="auto"/>
              <w:ind w:left="22" w:right="22"/>
              <w:rPr>
                <w:rFonts w:hint="default" w:ascii="Times New Roman" w:hAnsi="Times New Roman" w:cs="Times New Roman"/>
                <w:color w:val="auto"/>
              </w:rPr>
            </w:pPr>
          </w:p>
        </w:tc>
        <w:tc>
          <w:tcPr>
            <w:tcW w:w="0" w:type="auto"/>
            <w:vMerge w:val="continue"/>
            <w:tcBorders>
              <w:tl2br w:val="nil"/>
              <w:tr2bl w:val="nil"/>
            </w:tcBorders>
            <w:vAlign w:val="center"/>
          </w:tcPr>
          <w:p w14:paraId="05FB08E3">
            <w:pPr>
              <w:pStyle w:val="83"/>
              <w:spacing w:line="240" w:lineRule="auto"/>
              <w:ind w:left="22" w:right="22"/>
              <w:rPr>
                <w:rFonts w:hint="default" w:ascii="Times New Roman" w:hAnsi="Times New Roman" w:cs="Times New Roman"/>
                <w:color w:val="auto"/>
              </w:rPr>
            </w:pPr>
          </w:p>
        </w:tc>
        <w:tc>
          <w:tcPr>
            <w:tcW w:w="0" w:type="auto"/>
            <w:vMerge w:val="continue"/>
            <w:tcBorders>
              <w:tl2br w:val="nil"/>
              <w:tr2bl w:val="nil"/>
            </w:tcBorders>
            <w:vAlign w:val="center"/>
          </w:tcPr>
          <w:p w14:paraId="21B34AB0">
            <w:pPr>
              <w:pStyle w:val="83"/>
              <w:spacing w:line="240" w:lineRule="auto"/>
              <w:ind w:left="22" w:right="22"/>
              <w:rPr>
                <w:rFonts w:hint="default" w:ascii="Times New Roman" w:hAnsi="Times New Roman" w:cs="Times New Roman"/>
                <w:color w:val="auto"/>
              </w:rPr>
            </w:pPr>
          </w:p>
        </w:tc>
        <w:tc>
          <w:tcPr>
            <w:tcW w:w="0" w:type="auto"/>
            <w:vMerge w:val="continue"/>
            <w:tcBorders>
              <w:tl2br w:val="nil"/>
              <w:tr2bl w:val="nil"/>
            </w:tcBorders>
            <w:vAlign w:val="center"/>
          </w:tcPr>
          <w:p w14:paraId="4A73B337">
            <w:pPr>
              <w:pStyle w:val="83"/>
              <w:spacing w:line="240" w:lineRule="auto"/>
              <w:ind w:left="22" w:right="22"/>
              <w:rPr>
                <w:rFonts w:hint="default" w:ascii="Times New Roman" w:hAnsi="Times New Roman" w:cs="Times New Roman"/>
                <w:color w:val="auto"/>
              </w:rPr>
            </w:pPr>
          </w:p>
        </w:tc>
        <w:tc>
          <w:tcPr>
            <w:tcW w:w="0" w:type="auto"/>
            <w:vMerge w:val="continue"/>
            <w:tcBorders>
              <w:tl2br w:val="nil"/>
              <w:tr2bl w:val="nil"/>
            </w:tcBorders>
            <w:vAlign w:val="center"/>
          </w:tcPr>
          <w:p w14:paraId="462A8513">
            <w:pPr>
              <w:pStyle w:val="83"/>
              <w:spacing w:line="240" w:lineRule="auto"/>
              <w:ind w:left="22" w:right="22"/>
              <w:rPr>
                <w:rFonts w:hint="default" w:ascii="Times New Roman" w:hAnsi="Times New Roman" w:cs="Times New Roman"/>
                <w:color w:val="auto"/>
              </w:rPr>
            </w:pPr>
          </w:p>
        </w:tc>
        <w:tc>
          <w:tcPr>
            <w:tcW w:w="0" w:type="auto"/>
            <w:vMerge w:val="continue"/>
            <w:tcBorders>
              <w:tl2br w:val="nil"/>
              <w:tr2bl w:val="nil"/>
            </w:tcBorders>
            <w:vAlign w:val="center"/>
          </w:tcPr>
          <w:p w14:paraId="229D18DD">
            <w:pPr>
              <w:pStyle w:val="83"/>
              <w:spacing w:line="240" w:lineRule="auto"/>
              <w:ind w:left="22" w:right="22"/>
              <w:rPr>
                <w:rFonts w:hint="default" w:ascii="Times New Roman" w:hAnsi="Times New Roman" w:cs="Times New Roman"/>
                <w:color w:val="auto"/>
              </w:rPr>
            </w:pPr>
          </w:p>
        </w:tc>
        <w:tc>
          <w:tcPr>
            <w:tcW w:w="0" w:type="auto"/>
            <w:tcBorders>
              <w:tl2br w:val="nil"/>
              <w:tr2bl w:val="nil"/>
            </w:tcBorders>
            <w:vAlign w:val="center"/>
          </w:tcPr>
          <w:p w14:paraId="3EAFF5D0">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非甲烷总烃</w:t>
            </w:r>
          </w:p>
        </w:tc>
        <w:tc>
          <w:tcPr>
            <w:tcW w:w="0" w:type="auto"/>
            <w:tcBorders>
              <w:tl2br w:val="nil"/>
              <w:tr2bl w:val="nil"/>
            </w:tcBorders>
            <w:vAlign w:val="center"/>
          </w:tcPr>
          <w:p w14:paraId="4D9FA6CD">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甲苯</w:t>
            </w:r>
          </w:p>
        </w:tc>
        <w:tc>
          <w:tcPr>
            <w:tcW w:w="0" w:type="auto"/>
            <w:tcBorders>
              <w:tl2br w:val="nil"/>
              <w:tr2bl w:val="nil"/>
            </w:tcBorders>
            <w:vAlign w:val="center"/>
          </w:tcPr>
          <w:p w14:paraId="3704ED6A">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苯乙烯</w:t>
            </w:r>
          </w:p>
        </w:tc>
        <w:tc>
          <w:tcPr>
            <w:tcW w:w="0" w:type="auto"/>
            <w:tcBorders>
              <w:right w:val="single" w:color="000000" w:sz="4" w:space="0"/>
              <w:tl2br w:val="nil"/>
              <w:tr2bl w:val="nil"/>
            </w:tcBorders>
            <w:vAlign w:val="center"/>
          </w:tcPr>
          <w:p w14:paraId="46478832">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丙烯腈</w:t>
            </w:r>
          </w:p>
        </w:tc>
        <w:tc>
          <w:tcPr>
            <w:tcW w:w="0" w:type="auto"/>
            <w:tcBorders>
              <w:left w:val="single" w:color="000000" w:sz="4" w:space="0"/>
              <w:right w:val="single" w:color="auto" w:sz="4" w:space="0"/>
              <w:tl2br w:val="nil"/>
              <w:tr2bl w:val="nil"/>
            </w:tcBorders>
            <w:vAlign w:val="center"/>
          </w:tcPr>
          <w:p w14:paraId="02DE9D98">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TSP</w:t>
            </w:r>
          </w:p>
        </w:tc>
        <w:tc>
          <w:tcPr>
            <w:tcW w:w="0" w:type="auto"/>
            <w:tcBorders>
              <w:left w:val="single" w:color="auto" w:sz="4" w:space="0"/>
              <w:tl2br w:val="nil"/>
              <w:tr2bl w:val="nil"/>
            </w:tcBorders>
            <w:vAlign w:val="center"/>
          </w:tcPr>
          <w:p w14:paraId="65F4DF27">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PM</w:t>
            </w:r>
            <w:r>
              <w:rPr>
                <w:rFonts w:hint="eastAsia" w:ascii="Times New Roman" w:hAnsi="Times New Roman" w:eastAsia="宋体" w:cs="Times New Roman"/>
                <w:color w:val="auto"/>
                <w:vertAlign w:val="subscript"/>
                <w:lang w:val="en-US" w:eastAsia="zh-CN"/>
              </w:rPr>
              <w:t>10</w:t>
            </w:r>
          </w:p>
        </w:tc>
        <w:tc>
          <w:tcPr>
            <w:tcW w:w="0" w:type="auto"/>
            <w:tcBorders>
              <w:tl2br w:val="nil"/>
              <w:tr2bl w:val="nil"/>
            </w:tcBorders>
            <w:vAlign w:val="center"/>
          </w:tcPr>
          <w:p w14:paraId="6EF27D24">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二氧化硫</w:t>
            </w:r>
          </w:p>
        </w:tc>
        <w:tc>
          <w:tcPr>
            <w:tcW w:w="0" w:type="auto"/>
            <w:tcBorders>
              <w:tl2br w:val="nil"/>
              <w:tr2bl w:val="nil"/>
            </w:tcBorders>
            <w:vAlign w:val="center"/>
          </w:tcPr>
          <w:p w14:paraId="1132B71E">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氮氧化物</w:t>
            </w:r>
          </w:p>
        </w:tc>
      </w:tr>
      <w:tr w14:paraId="5749DB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59A352A4">
            <w:pPr>
              <w:pStyle w:val="83"/>
              <w:spacing w:line="240" w:lineRule="auto"/>
              <w:ind w:left="22" w:right="22"/>
              <w:rPr>
                <w:rFonts w:hint="default" w:ascii="Times New Roman" w:hAnsi="Times New Roman" w:eastAsia="宋体" w:cs="Times New Roman"/>
                <w:color w:val="auto"/>
                <w:lang w:val="en-US" w:eastAsia="zh-CN"/>
              </w:rPr>
            </w:pPr>
            <w:r>
              <w:rPr>
                <w:rFonts w:hint="default" w:ascii="Times New Roman" w:hAnsi="Times New Roman" w:cs="Times New Roman"/>
                <w:color w:val="auto"/>
              </w:rPr>
              <w:t>DA</w:t>
            </w:r>
            <w:r>
              <w:rPr>
                <w:rFonts w:hint="eastAsia" w:ascii="Times New Roman" w:hAnsi="Times New Roman" w:eastAsia="宋体" w:cs="Times New Roman"/>
                <w:color w:val="auto"/>
                <w:lang w:val="en-US" w:eastAsia="zh-CN"/>
              </w:rPr>
              <w:t>001</w:t>
            </w:r>
          </w:p>
        </w:tc>
        <w:tc>
          <w:tcPr>
            <w:tcW w:w="0" w:type="auto"/>
            <w:tcBorders>
              <w:tl2br w:val="nil"/>
              <w:tr2bl w:val="nil"/>
            </w:tcBorders>
            <w:vAlign w:val="center"/>
          </w:tcPr>
          <w:p w14:paraId="7FE9876E">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注塑废气排气筒</w:t>
            </w:r>
          </w:p>
        </w:tc>
        <w:tc>
          <w:tcPr>
            <w:tcW w:w="0" w:type="auto"/>
            <w:tcBorders>
              <w:tl2br w:val="nil"/>
              <w:tr2bl w:val="nil"/>
            </w:tcBorders>
            <w:vAlign w:val="center"/>
          </w:tcPr>
          <w:p w14:paraId="634E4ACB">
            <w:pPr>
              <w:pStyle w:val="83"/>
              <w:spacing w:line="240" w:lineRule="auto"/>
              <w:ind w:left="19" w:leftChars="9" w:right="19" w:rightChars="9" w:firstLine="0" w:firstLineChars="0"/>
              <w:rPr>
                <w:rFonts w:hint="default" w:ascii="Times New Roman" w:hAnsi="Times New Roman" w:cs="Times New Roman"/>
                <w:color w:val="auto"/>
                <w:lang w:val="en-US"/>
              </w:rPr>
            </w:pPr>
            <w:r>
              <w:rPr>
                <w:rFonts w:hint="eastAsia" w:ascii="Times New Roman" w:hAnsi="Times New Roman" w:eastAsia="宋体" w:cs="Times New Roman"/>
                <w:color w:val="auto"/>
                <w:lang w:val="en-US" w:eastAsia="zh-CN"/>
              </w:rPr>
              <w:t>70</w:t>
            </w:r>
          </w:p>
        </w:tc>
        <w:tc>
          <w:tcPr>
            <w:tcW w:w="0" w:type="auto"/>
            <w:tcBorders>
              <w:tl2br w:val="nil"/>
              <w:tr2bl w:val="nil"/>
            </w:tcBorders>
            <w:vAlign w:val="center"/>
          </w:tcPr>
          <w:p w14:paraId="67ECBBB7">
            <w:pPr>
              <w:pStyle w:val="83"/>
              <w:spacing w:line="240" w:lineRule="auto"/>
              <w:ind w:left="19" w:leftChars="9" w:right="19" w:rightChars="9" w:firstLine="0" w:firstLineChars="0"/>
              <w:rPr>
                <w:rFonts w:hint="default" w:ascii="Times New Roman" w:hAnsi="Times New Roman" w:cs="Times New Roman"/>
                <w:color w:val="auto"/>
                <w:lang w:val="en-US"/>
              </w:rPr>
            </w:pPr>
            <w:r>
              <w:rPr>
                <w:rFonts w:hint="eastAsia" w:ascii="Times New Roman" w:hAnsi="Times New Roman" w:eastAsia="宋体" w:cs="Times New Roman"/>
                <w:color w:val="auto"/>
                <w:lang w:val="en-US" w:eastAsia="zh-CN"/>
              </w:rPr>
              <w:t>190</w:t>
            </w:r>
          </w:p>
        </w:tc>
        <w:tc>
          <w:tcPr>
            <w:tcW w:w="0" w:type="auto"/>
            <w:tcBorders>
              <w:tl2br w:val="nil"/>
              <w:tr2bl w:val="nil"/>
            </w:tcBorders>
            <w:vAlign w:val="center"/>
          </w:tcPr>
          <w:p w14:paraId="55EEA4A2">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eastAsia="zh-CN"/>
              </w:rPr>
              <w:t>1</w:t>
            </w:r>
            <w:r>
              <w:rPr>
                <w:rFonts w:hint="eastAsia" w:ascii="Times New Roman" w:hAnsi="Times New Roman" w:eastAsia="宋体" w:cs="Times New Roman"/>
                <w:color w:val="auto"/>
                <w:lang w:val="en-US" w:eastAsia="zh-CN"/>
              </w:rPr>
              <w:t>86</w:t>
            </w:r>
          </w:p>
        </w:tc>
        <w:tc>
          <w:tcPr>
            <w:tcW w:w="0" w:type="auto"/>
            <w:tcBorders>
              <w:tl2br w:val="nil"/>
              <w:tr2bl w:val="nil"/>
            </w:tcBorders>
            <w:vAlign w:val="center"/>
          </w:tcPr>
          <w:p w14:paraId="436BB95B">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15</w:t>
            </w:r>
          </w:p>
        </w:tc>
        <w:tc>
          <w:tcPr>
            <w:tcW w:w="0" w:type="auto"/>
            <w:tcBorders>
              <w:tl2br w:val="nil"/>
              <w:tr2bl w:val="nil"/>
            </w:tcBorders>
            <w:vAlign w:val="center"/>
          </w:tcPr>
          <w:p w14:paraId="07134EFA">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0.3</w:t>
            </w:r>
          </w:p>
        </w:tc>
        <w:tc>
          <w:tcPr>
            <w:tcW w:w="0" w:type="auto"/>
            <w:tcBorders>
              <w:tl2br w:val="nil"/>
              <w:tr2bl w:val="nil"/>
            </w:tcBorders>
            <w:vAlign w:val="center"/>
          </w:tcPr>
          <w:p w14:paraId="70BBAE7C">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119</w:t>
            </w:r>
          </w:p>
        </w:tc>
        <w:tc>
          <w:tcPr>
            <w:tcW w:w="0" w:type="auto"/>
            <w:tcBorders>
              <w:tl2br w:val="nil"/>
              <w:tr2bl w:val="nil"/>
            </w:tcBorders>
            <w:vAlign w:val="center"/>
          </w:tcPr>
          <w:p w14:paraId="09CF4AF6">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cs="Times New Roman"/>
                <w:color w:val="auto"/>
                <w:lang w:val="en-US" w:eastAsia="zh-CN"/>
              </w:rPr>
              <w:t>25</w:t>
            </w:r>
          </w:p>
        </w:tc>
        <w:tc>
          <w:tcPr>
            <w:tcW w:w="0" w:type="auto"/>
            <w:tcBorders>
              <w:tl2br w:val="nil"/>
              <w:tr2bl w:val="nil"/>
            </w:tcBorders>
            <w:vAlign w:val="center"/>
          </w:tcPr>
          <w:p w14:paraId="7C51CEF9">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6960</w:t>
            </w:r>
          </w:p>
        </w:tc>
        <w:tc>
          <w:tcPr>
            <w:tcW w:w="0" w:type="auto"/>
            <w:tcBorders>
              <w:tl2br w:val="nil"/>
              <w:tr2bl w:val="nil"/>
            </w:tcBorders>
            <w:vAlign w:val="center"/>
          </w:tcPr>
          <w:p w14:paraId="4DED8F3F">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正常工况</w:t>
            </w:r>
          </w:p>
        </w:tc>
        <w:tc>
          <w:tcPr>
            <w:tcW w:w="0" w:type="auto"/>
            <w:tcBorders>
              <w:tl2br w:val="nil"/>
              <w:tr2bl w:val="nil"/>
            </w:tcBorders>
            <w:vAlign w:val="center"/>
          </w:tcPr>
          <w:p w14:paraId="65966E42">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0.039</w:t>
            </w:r>
          </w:p>
        </w:tc>
        <w:tc>
          <w:tcPr>
            <w:tcW w:w="0" w:type="auto"/>
            <w:tcBorders>
              <w:tl2br w:val="nil"/>
              <w:tr2bl w:val="nil"/>
            </w:tcBorders>
            <w:vAlign w:val="center"/>
          </w:tcPr>
          <w:p w14:paraId="4E506C63">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0.0005</w:t>
            </w:r>
          </w:p>
        </w:tc>
        <w:tc>
          <w:tcPr>
            <w:tcW w:w="0" w:type="auto"/>
            <w:tcBorders>
              <w:tl2br w:val="nil"/>
              <w:tr2bl w:val="nil"/>
            </w:tcBorders>
            <w:vAlign w:val="center"/>
          </w:tcPr>
          <w:p w14:paraId="118606B5">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0.007</w:t>
            </w:r>
          </w:p>
        </w:tc>
        <w:tc>
          <w:tcPr>
            <w:tcW w:w="0" w:type="auto"/>
            <w:tcBorders>
              <w:right w:val="single" w:color="000000" w:sz="4" w:space="0"/>
              <w:tl2br w:val="nil"/>
              <w:tr2bl w:val="nil"/>
            </w:tcBorders>
            <w:vAlign w:val="center"/>
          </w:tcPr>
          <w:p w14:paraId="02248B49">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0.0002</w:t>
            </w:r>
          </w:p>
        </w:tc>
        <w:tc>
          <w:tcPr>
            <w:tcW w:w="0" w:type="auto"/>
            <w:tcBorders>
              <w:left w:val="single" w:color="000000" w:sz="4" w:space="0"/>
              <w:right w:val="single" w:color="auto" w:sz="4" w:space="0"/>
              <w:tl2br w:val="nil"/>
              <w:tr2bl w:val="nil"/>
            </w:tcBorders>
            <w:vAlign w:val="center"/>
          </w:tcPr>
          <w:p w14:paraId="5CCFD62C">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left w:val="single" w:color="auto" w:sz="4" w:space="0"/>
              <w:tl2br w:val="nil"/>
              <w:tr2bl w:val="nil"/>
            </w:tcBorders>
            <w:vAlign w:val="center"/>
          </w:tcPr>
          <w:p w14:paraId="78C92965">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3EDC41E7">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2E2D1566">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r>
      <w:tr w14:paraId="431987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12BB0DFF">
            <w:pPr>
              <w:pStyle w:val="83"/>
              <w:spacing w:line="240" w:lineRule="auto"/>
              <w:ind w:left="22" w:right="22"/>
              <w:rPr>
                <w:rFonts w:hint="default" w:ascii="Times New Roman" w:hAnsi="Times New Roman" w:eastAsia="宋体" w:cs="Times New Roman"/>
                <w:color w:val="auto"/>
                <w:lang w:val="en-US" w:eastAsia="zh-CN"/>
              </w:rPr>
            </w:pPr>
            <w:r>
              <w:rPr>
                <w:rFonts w:hint="default" w:ascii="Times New Roman" w:hAnsi="Times New Roman" w:cs="Times New Roman"/>
                <w:color w:val="auto"/>
              </w:rPr>
              <w:t>DA</w:t>
            </w:r>
            <w:r>
              <w:rPr>
                <w:rFonts w:hint="eastAsia" w:ascii="Times New Roman" w:hAnsi="Times New Roman" w:eastAsia="宋体" w:cs="Times New Roman"/>
                <w:color w:val="auto"/>
                <w:lang w:val="en-US" w:eastAsia="zh-CN"/>
              </w:rPr>
              <w:t>002</w:t>
            </w:r>
          </w:p>
        </w:tc>
        <w:tc>
          <w:tcPr>
            <w:tcW w:w="0" w:type="auto"/>
            <w:tcBorders>
              <w:tl2br w:val="nil"/>
              <w:tr2bl w:val="nil"/>
            </w:tcBorders>
            <w:vAlign w:val="center"/>
          </w:tcPr>
          <w:p w14:paraId="3189B2A9">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喷涂、管路和喷枪清洗、丝印废气排气筒</w:t>
            </w:r>
          </w:p>
        </w:tc>
        <w:tc>
          <w:tcPr>
            <w:tcW w:w="0" w:type="auto"/>
            <w:tcBorders>
              <w:tl2br w:val="nil"/>
              <w:tr2bl w:val="nil"/>
            </w:tcBorders>
            <w:vAlign w:val="center"/>
          </w:tcPr>
          <w:p w14:paraId="5656316B">
            <w:pPr>
              <w:pStyle w:val="83"/>
              <w:spacing w:line="240" w:lineRule="auto"/>
              <w:ind w:left="19" w:leftChars="9" w:right="19" w:rightChars="9" w:firstLine="0" w:firstLineChars="0"/>
              <w:rPr>
                <w:rFonts w:hint="default" w:ascii="Times New Roman" w:hAnsi="Times New Roman" w:cs="Times New Roman"/>
                <w:color w:val="FF0000"/>
                <w:lang w:val="en-US"/>
              </w:rPr>
            </w:pPr>
            <w:r>
              <w:rPr>
                <w:rFonts w:hint="eastAsia" w:ascii="Times New Roman" w:hAnsi="Times New Roman" w:eastAsia="宋体" w:cs="Times New Roman"/>
                <w:color w:val="auto"/>
                <w:lang w:val="en-US" w:eastAsia="zh-CN"/>
              </w:rPr>
              <w:t>130</w:t>
            </w:r>
          </w:p>
        </w:tc>
        <w:tc>
          <w:tcPr>
            <w:tcW w:w="0" w:type="auto"/>
            <w:tcBorders>
              <w:tl2br w:val="nil"/>
              <w:tr2bl w:val="nil"/>
            </w:tcBorders>
            <w:vAlign w:val="center"/>
          </w:tcPr>
          <w:p w14:paraId="31AC5A46">
            <w:pPr>
              <w:pStyle w:val="83"/>
              <w:spacing w:line="240" w:lineRule="auto"/>
              <w:ind w:left="19" w:leftChars="9" w:right="19" w:rightChars="9" w:firstLine="0" w:firstLineChars="0"/>
              <w:rPr>
                <w:rFonts w:hint="default" w:ascii="Times New Roman" w:hAnsi="Times New Roman" w:cs="Times New Roman"/>
                <w:color w:val="FF0000"/>
                <w:lang w:val="en-US"/>
              </w:rPr>
            </w:pPr>
            <w:r>
              <w:rPr>
                <w:rFonts w:hint="eastAsia" w:ascii="Times New Roman" w:hAnsi="Times New Roman" w:eastAsia="宋体" w:cs="Times New Roman"/>
                <w:color w:val="auto"/>
                <w:lang w:val="en-US" w:eastAsia="zh-CN"/>
              </w:rPr>
              <w:t>190</w:t>
            </w:r>
          </w:p>
        </w:tc>
        <w:tc>
          <w:tcPr>
            <w:tcW w:w="0" w:type="auto"/>
            <w:tcBorders>
              <w:tl2br w:val="nil"/>
              <w:tr2bl w:val="nil"/>
            </w:tcBorders>
            <w:vAlign w:val="center"/>
          </w:tcPr>
          <w:p w14:paraId="2A4CA2A5">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186</w:t>
            </w:r>
          </w:p>
        </w:tc>
        <w:tc>
          <w:tcPr>
            <w:tcW w:w="0" w:type="auto"/>
            <w:tcBorders>
              <w:tl2br w:val="nil"/>
              <w:tr2bl w:val="nil"/>
            </w:tcBorders>
            <w:vAlign w:val="center"/>
          </w:tcPr>
          <w:p w14:paraId="65391333">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22.5</w:t>
            </w:r>
          </w:p>
        </w:tc>
        <w:tc>
          <w:tcPr>
            <w:tcW w:w="0" w:type="auto"/>
            <w:tcBorders>
              <w:tl2br w:val="nil"/>
              <w:tr2bl w:val="nil"/>
            </w:tcBorders>
            <w:vAlign w:val="center"/>
          </w:tcPr>
          <w:p w14:paraId="0AAB2397">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0.3</w:t>
            </w:r>
          </w:p>
        </w:tc>
        <w:tc>
          <w:tcPr>
            <w:tcW w:w="0" w:type="auto"/>
            <w:tcBorders>
              <w:tl2br w:val="nil"/>
              <w:tr2bl w:val="nil"/>
            </w:tcBorders>
            <w:vAlign w:val="center"/>
          </w:tcPr>
          <w:p w14:paraId="029C40C2">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79</w:t>
            </w:r>
          </w:p>
        </w:tc>
        <w:tc>
          <w:tcPr>
            <w:tcW w:w="0" w:type="auto"/>
            <w:tcBorders>
              <w:tl2br w:val="nil"/>
              <w:tr2bl w:val="nil"/>
            </w:tcBorders>
            <w:vAlign w:val="center"/>
          </w:tcPr>
          <w:p w14:paraId="0D3ED967">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60</w:t>
            </w:r>
          </w:p>
        </w:tc>
        <w:tc>
          <w:tcPr>
            <w:tcW w:w="0" w:type="auto"/>
            <w:tcBorders>
              <w:tl2br w:val="nil"/>
              <w:tr2bl w:val="nil"/>
            </w:tcBorders>
            <w:vAlign w:val="center"/>
          </w:tcPr>
          <w:p w14:paraId="6D838256">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6960</w:t>
            </w:r>
          </w:p>
        </w:tc>
        <w:tc>
          <w:tcPr>
            <w:tcW w:w="0" w:type="auto"/>
            <w:tcBorders>
              <w:tl2br w:val="nil"/>
              <w:tr2bl w:val="nil"/>
            </w:tcBorders>
            <w:vAlign w:val="center"/>
          </w:tcPr>
          <w:p w14:paraId="035AF810">
            <w:pPr>
              <w:spacing w:line="240" w:lineRule="auto"/>
              <w:ind w:right="22" w:firstLine="0" w:firstLineChars="0"/>
              <w:jc w:val="center"/>
              <w:rPr>
                <w:rFonts w:hint="default" w:ascii="Times New Roman" w:hAnsi="Times New Roman" w:cs="Times New Roman"/>
                <w:snapToGrid w:val="0"/>
                <w:color w:val="auto"/>
                <w:sz w:val="21"/>
                <w:szCs w:val="20"/>
              </w:rPr>
            </w:pPr>
            <w:r>
              <w:rPr>
                <w:rFonts w:hint="default" w:ascii="Times New Roman" w:hAnsi="Times New Roman" w:cs="Times New Roman"/>
                <w:snapToGrid w:val="0"/>
                <w:color w:val="auto"/>
                <w:sz w:val="21"/>
                <w:szCs w:val="20"/>
              </w:rPr>
              <w:t>正常工况</w:t>
            </w:r>
          </w:p>
        </w:tc>
        <w:tc>
          <w:tcPr>
            <w:tcW w:w="0" w:type="auto"/>
            <w:tcBorders>
              <w:tl2br w:val="nil"/>
              <w:tr2bl w:val="nil"/>
            </w:tcBorders>
            <w:vAlign w:val="center"/>
          </w:tcPr>
          <w:p w14:paraId="741FD0B4">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2.15</w:t>
            </w:r>
          </w:p>
        </w:tc>
        <w:tc>
          <w:tcPr>
            <w:tcW w:w="0" w:type="auto"/>
            <w:tcBorders>
              <w:tl2br w:val="nil"/>
              <w:tr2bl w:val="nil"/>
            </w:tcBorders>
            <w:vAlign w:val="center"/>
          </w:tcPr>
          <w:p w14:paraId="68EB41E2">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1E2B9298">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right w:val="single" w:color="000000" w:sz="4" w:space="0"/>
              <w:tl2br w:val="nil"/>
              <w:tr2bl w:val="nil"/>
            </w:tcBorders>
            <w:vAlign w:val="center"/>
          </w:tcPr>
          <w:p w14:paraId="60473BF2">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left w:val="single" w:color="000000" w:sz="4" w:space="0"/>
              <w:right w:val="single" w:color="auto" w:sz="4" w:space="0"/>
              <w:tl2br w:val="nil"/>
              <w:tr2bl w:val="nil"/>
            </w:tcBorders>
            <w:vAlign w:val="center"/>
          </w:tcPr>
          <w:p w14:paraId="3DFE6DDE">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2.083</w:t>
            </w:r>
          </w:p>
        </w:tc>
        <w:tc>
          <w:tcPr>
            <w:tcW w:w="0" w:type="auto"/>
            <w:tcBorders>
              <w:left w:val="single" w:color="auto" w:sz="4" w:space="0"/>
              <w:tl2br w:val="nil"/>
              <w:tr2bl w:val="nil"/>
            </w:tcBorders>
            <w:vAlign w:val="center"/>
          </w:tcPr>
          <w:p w14:paraId="30F38028">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5EF1D8A0">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51582E33">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r>
      <w:tr w14:paraId="01FEE7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73C9DCA2">
            <w:pPr>
              <w:pStyle w:val="83"/>
              <w:spacing w:line="240" w:lineRule="auto"/>
              <w:ind w:left="22" w:right="22"/>
              <w:rPr>
                <w:rFonts w:hint="default" w:ascii="Times New Roman" w:hAnsi="Times New Roman" w:eastAsia="宋体" w:cs="Times New Roman"/>
                <w:color w:val="auto"/>
                <w:lang w:val="en-US" w:eastAsia="zh-CN"/>
              </w:rPr>
            </w:pPr>
            <w:r>
              <w:rPr>
                <w:rFonts w:hint="default" w:ascii="Times New Roman" w:hAnsi="Times New Roman" w:cs="Times New Roman"/>
                <w:color w:val="auto"/>
              </w:rPr>
              <w:t>DA0</w:t>
            </w:r>
            <w:r>
              <w:rPr>
                <w:rFonts w:hint="eastAsia" w:ascii="Times New Roman" w:hAnsi="Times New Roman" w:eastAsia="宋体" w:cs="Times New Roman"/>
                <w:color w:val="auto"/>
                <w:lang w:val="en-US" w:eastAsia="zh-CN"/>
              </w:rPr>
              <w:t>03</w:t>
            </w:r>
          </w:p>
        </w:tc>
        <w:tc>
          <w:tcPr>
            <w:tcW w:w="0" w:type="auto"/>
            <w:tcBorders>
              <w:tl2br w:val="nil"/>
              <w:tr2bl w:val="nil"/>
            </w:tcBorders>
            <w:shd w:val="clear" w:color="auto" w:fill="auto"/>
            <w:vAlign w:val="center"/>
          </w:tcPr>
          <w:p w14:paraId="2EB02DA2">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天然气燃烧机废气烟囱</w:t>
            </w:r>
          </w:p>
        </w:tc>
        <w:tc>
          <w:tcPr>
            <w:tcW w:w="0" w:type="auto"/>
            <w:tcBorders>
              <w:tl2br w:val="nil"/>
              <w:tr2bl w:val="nil"/>
            </w:tcBorders>
            <w:shd w:val="clear" w:color="auto" w:fill="auto"/>
            <w:vAlign w:val="center"/>
          </w:tcPr>
          <w:p w14:paraId="680CE4C5">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120</w:t>
            </w:r>
          </w:p>
        </w:tc>
        <w:tc>
          <w:tcPr>
            <w:tcW w:w="0" w:type="auto"/>
            <w:tcBorders>
              <w:tl2br w:val="nil"/>
              <w:tr2bl w:val="nil"/>
            </w:tcBorders>
            <w:shd w:val="clear" w:color="auto" w:fill="auto"/>
            <w:vAlign w:val="center"/>
          </w:tcPr>
          <w:p w14:paraId="776804FB">
            <w:pPr>
              <w:pStyle w:val="83"/>
              <w:spacing w:line="240" w:lineRule="auto"/>
              <w:ind w:left="19" w:leftChars="9" w:right="19" w:rightChars="9" w:firstLine="0" w:firstLineChars="0"/>
              <w:rPr>
                <w:rFonts w:hint="default" w:ascii="Times New Roman" w:hAnsi="Times New Roman" w:cs="Times New Roman"/>
                <w:color w:val="FF0000"/>
                <w:lang w:val="en-US"/>
              </w:rPr>
            </w:pPr>
            <w:r>
              <w:rPr>
                <w:rFonts w:hint="eastAsia" w:ascii="Times New Roman" w:hAnsi="Times New Roman" w:eastAsia="宋体" w:cs="Times New Roman"/>
                <w:color w:val="auto"/>
                <w:lang w:val="en-US" w:eastAsia="zh-CN"/>
              </w:rPr>
              <w:t>190</w:t>
            </w:r>
          </w:p>
        </w:tc>
        <w:tc>
          <w:tcPr>
            <w:tcW w:w="0" w:type="auto"/>
            <w:tcBorders>
              <w:tl2br w:val="nil"/>
              <w:tr2bl w:val="nil"/>
            </w:tcBorders>
            <w:vAlign w:val="center"/>
          </w:tcPr>
          <w:p w14:paraId="007E5EC3">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186</w:t>
            </w:r>
          </w:p>
        </w:tc>
        <w:tc>
          <w:tcPr>
            <w:tcW w:w="0" w:type="auto"/>
            <w:tcBorders>
              <w:tl2br w:val="nil"/>
              <w:tr2bl w:val="nil"/>
            </w:tcBorders>
            <w:vAlign w:val="center"/>
          </w:tcPr>
          <w:p w14:paraId="7D991D51">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20.5</w:t>
            </w:r>
          </w:p>
        </w:tc>
        <w:tc>
          <w:tcPr>
            <w:tcW w:w="0" w:type="auto"/>
            <w:tcBorders>
              <w:tl2br w:val="nil"/>
              <w:tr2bl w:val="nil"/>
            </w:tcBorders>
            <w:vAlign w:val="center"/>
          </w:tcPr>
          <w:p w14:paraId="7981D717">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0.3</w:t>
            </w:r>
          </w:p>
        </w:tc>
        <w:tc>
          <w:tcPr>
            <w:tcW w:w="0" w:type="auto"/>
            <w:tcBorders>
              <w:tl2br w:val="nil"/>
              <w:tr2bl w:val="nil"/>
            </w:tcBorders>
            <w:vAlign w:val="center"/>
          </w:tcPr>
          <w:p w14:paraId="5A325444">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2.3</w:t>
            </w:r>
          </w:p>
        </w:tc>
        <w:tc>
          <w:tcPr>
            <w:tcW w:w="0" w:type="auto"/>
            <w:tcBorders>
              <w:tl2br w:val="nil"/>
              <w:tr2bl w:val="nil"/>
            </w:tcBorders>
            <w:vAlign w:val="center"/>
          </w:tcPr>
          <w:p w14:paraId="32CBAA73">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100</w:t>
            </w:r>
          </w:p>
        </w:tc>
        <w:tc>
          <w:tcPr>
            <w:tcW w:w="0" w:type="auto"/>
            <w:tcBorders>
              <w:tl2br w:val="nil"/>
              <w:tr2bl w:val="nil"/>
            </w:tcBorders>
            <w:vAlign w:val="center"/>
          </w:tcPr>
          <w:p w14:paraId="2F350A99">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6960</w:t>
            </w:r>
          </w:p>
        </w:tc>
        <w:tc>
          <w:tcPr>
            <w:tcW w:w="0" w:type="auto"/>
            <w:tcBorders>
              <w:tl2br w:val="nil"/>
              <w:tr2bl w:val="nil"/>
            </w:tcBorders>
            <w:vAlign w:val="center"/>
          </w:tcPr>
          <w:p w14:paraId="123311D7">
            <w:pPr>
              <w:spacing w:line="240" w:lineRule="auto"/>
              <w:ind w:right="22" w:firstLine="0" w:firstLineChars="0"/>
              <w:jc w:val="center"/>
              <w:rPr>
                <w:rFonts w:hint="default" w:ascii="Times New Roman" w:hAnsi="Times New Roman" w:cs="Times New Roman"/>
                <w:snapToGrid w:val="0"/>
                <w:color w:val="auto"/>
                <w:sz w:val="21"/>
                <w:szCs w:val="20"/>
              </w:rPr>
            </w:pPr>
            <w:r>
              <w:rPr>
                <w:rFonts w:hint="default" w:ascii="Times New Roman" w:hAnsi="Times New Roman" w:cs="Times New Roman"/>
                <w:snapToGrid w:val="0"/>
                <w:color w:val="auto"/>
                <w:sz w:val="21"/>
                <w:szCs w:val="20"/>
              </w:rPr>
              <w:t>正常工况</w:t>
            </w:r>
          </w:p>
        </w:tc>
        <w:tc>
          <w:tcPr>
            <w:tcW w:w="0" w:type="auto"/>
            <w:tcBorders>
              <w:tl2br w:val="nil"/>
              <w:tr2bl w:val="nil"/>
            </w:tcBorders>
            <w:vAlign w:val="center"/>
          </w:tcPr>
          <w:p w14:paraId="1B834E87">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382B10B0">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1A6DC067">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right w:val="single" w:color="000000" w:sz="4" w:space="0"/>
              <w:tl2br w:val="nil"/>
              <w:tr2bl w:val="nil"/>
            </w:tcBorders>
            <w:vAlign w:val="center"/>
          </w:tcPr>
          <w:p w14:paraId="3341D795">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left w:val="single" w:color="000000" w:sz="4" w:space="0"/>
              <w:right w:val="single" w:color="auto" w:sz="4" w:space="0"/>
              <w:tl2br w:val="nil"/>
              <w:tr2bl w:val="nil"/>
            </w:tcBorders>
            <w:vAlign w:val="center"/>
          </w:tcPr>
          <w:p w14:paraId="2DAB3D3A">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left w:val="single" w:color="auto" w:sz="4" w:space="0"/>
              <w:tl2br w:val="nil"/>
              <w:tr2bl w:val="nil"/>
            </w:tcBorders>
            <w:vAlign w:val="center"/>
          </w:tcPr>
          <w:p w14:paraId="241BF8FB">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0.009</w:t>
            </w:r>
          </w:p>
        </w:tc>
        <w:tc>
          <w:tcPr>
            <w:tcW w:w="0" w:type="auto"/>
            <w:tcBorders>
              <w:tl2br w:val="nil"/>
              <w:tr2bl w:val="nil"/>
            </w:tcBorders>
            <w:vAlign w:val="center"/>
          </w:tcPr>
          <w:p w14:paraId="263337F7">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0.0004</w:t>
            </w:r>
          </w:p>
        </w:tc>
        <w:tc>
          <w:tcPr>
            <w:tcW w:w="0" w:type="auto"/>
            <w:tcBorders>
              <w:tl2br w:val="nil"/>
              <w:tr2bl w:val="nil"/>
            </w:tcBorders>
            <w:vAlign w:val="center"/>
          </w:tcPr>
          <w:p w14:paraId="2EF07D77">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0.089</w:t>
            </w:r>
          </w:p>
        </w:tc>
      </w:tr>
      <w:tr w14:paraId="79CAA6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49A5A17D">
            <w:pPr>
              <w:pStyle w:val="83"/>
              <w:spacing w:line="240" w:lineRule="auto"/>
              <w:ind w:left="22" w:right="22"/>
              <w:rPr>
                <w:rFonts w:hint="default" w:ascii="Times New Roman" w:hAnsi="Times New Roman" w:eastAsia="宋体" w:cs="Times New Roman"/>
                <w:color w:val="auto"/>
                <w:lang w:val="en-US" w:eastAsia="zh-CN"/>
              </w:rPr>
            </w:pPr>
            <w:r>
              <w:rPr>
                <w:rFonts w:hint="default" w:ascii="Times New Roman" w:hAnsi="Times New Roman" w:cs="Times New Roman"/>
                <w:color w:val="auto"/>
              </w:rPr>
              <w:t>DA</w:t>
            </w:r>
            <w:r>
              <w:rPr>
                <w:rFonts w:hint="eastAsia" w:ascii="Times New Roman" w:hAnsi="Times New Roman" w:eastAsia="宋体" w:cs="Times New Roman"/>
                <w:color w:val="auto"/>
                <w:lang w:val="en-US" w:eastAsia="zh-CN"/>
              </w:rPr>
              <w:t>004</w:t>
            </w:r>
          </w:p>
        </w:tc>
        <w:tc>
          <w:tcPr>
            <w:tcW w:w="0" w:type="auto"/>
            <w:tcBorders>
              <w:tl2br w:val="nil"/>
              <w:tr2bl w:val="nil"/>
            </w:tcBorders>
            <w:shd w:val="clear" w:color="auto" w:fill="auto"/>
            <w:vAlign w:val="center"/>
          </w:tcPr>
          <w:p w14:paraId="33E3C7CC">
            <w:pPr>
              <w:pStyle w:val="83"/>
              <w:spacing w:line="240" w:lineRule="auto"/>
              <w:ind w:left="22" w:right="22"/>
              <w:rPr>
                <w:rFonts w:hint="default" w:ascii="Times New Roman" w:hAnsi="Times New Roman" w:cs="Times New Roman"/>
                <w:color w:val="auto"/>
                <w:lang w:val="en-US"/>
              </w:rPr>
            </w:pPr>
            <w:r>
              <w:rPr>
                <w:rFonts w:hint="eastAsia" w:ascii="Times New Roman" w:hAnsi="Times New Roman" w:cs="Times New Roman"/>
                <w:color w:val="auto"/>
                <w:lang w:val="en-US" w:eastAsia="zh-CN"/>
              </w:rPr>
              <w:t>配胶、喷胶及烘干</w:t>
            </w:r>
            <w:r>
              <w:rPr>
                <w:rFonts w:hint="default" w:ascii="Times New Roman" w:hAnsi="Times New Roman" w:cs="Times New Roman"/>
                <w:color w:val="auto"/>
                <w:lang w:val="en-US" w:eastAsia="zh-CN"/>
              </w:rPr>
              <w:t>废气、发泡废气</w:t>
            </w:r>
            <w:r>
              <w:rPr>
                <w:rFonts w:hint="eastAsia" w:ascii="Times New Roman" w:hAnsi="Times New Roman" w:cs="Times New Roman"/>
                <w:color w:val="auto"/>
                <w:lang w:val="en-US" w:eastAsia="zh-CN"/>
              </w:rPr>
              <w:t>排气筒</w:t>
            </w:r>
          </w:p>
        </w:tc>
        <w:tc>
          <w:tcPr>
            <w:tcW w:w="0" w:type="auto"/>
            <w:tcBorders>
              <w:tl2br w:val="nil"/>
              <w:tr2bl w:val="nil"/>
            </w:tcBorders>
            <w:shd w:val="clear" w:color="auto" w:fill="auto"/>
            <w:vAlign w:val="center"/>
          </w:tcPr>
          <w:p w14:paraId="780AAB64">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10</w:t>
            </w:r>
          </w:p>
        </w:tc>
        <w:tc>
          <w:tcPr>
            <w:tcW w:w="0" w:type="auto"/>
            <w:tcBorders>
              <w:tl2br w:val="nil"/>
              <w:tr2bl w:val="nil"/>
            </w:tcBorders>
            <w:shd w:val="clear" w:color="auto" w:fill="auto"/>
            <w:vAlign w:val="center"/>
          </w:tcPr>
          <w:p w14:paraId="28093D4A">
            <w:pPr>
              <w:pStyle w:val="83"/>
              <w:spacing w:line="240" w:lineRule="auto"/>
              <w:ind w:left="19" w:leftChars="9" w:right="19" w:rightChars="9" w:firstLine="0" w:firstLineChars="0"/>
              <w:rPr>
                <w:rFonts w:hint="default" w:ascii="Times New Roman" w:hAnsi="Times New Roman" w:cs="Times New Roman"/>
                <w:color w:val="FF0000"/>
                <w:lang w:val="en-US"/>
              </w:rPr>
            </w:pPr>
            <w:r>
              <w:rPr>
                <w:rFonts w:hint="eastAsia" w:ascii="Times New Roman" w:hAnsi="Times New Roman" w:eastAsia="宋体" w:cs="Times New Roman"/>
                <w:color w:val="auto"/>
                <w:lang w:val="en-US" w:eastAsia="zh-CN"/>
              </w:rPr>
              <w:t>60</w:t>
            </w:r>
          </w:p>
        </w:tc>
        <w:tc>
          <w:tcPr>
            <w:tcW w:w="0" w:type="auto"/>
            <w:tcBorders>
              <w:tl2br w:val="nil"/>
              <w:tr2bl w:val="nil"/>
            </w:tcBorders>
            <w:shd w:val="clear" w:color="auto" w:fill="auto"/>
            <w:vAlign w:val="center"/>
          </w:tcPr>
          <w:p w14:paraId="185306E5">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186</w:t>
            </w:r>
          </w:p>
        </w:tc>
        <w:tc>
          <w:tcPr>
            <w:tcW w:w="0" w:type="auto"/>
            <w:tcBorders>
              <w:tl2br w:val="nil"/>
              <w:tr2bl w:val="nil"/>
            </w:tcBorders>
            <w:shd w:val="clear" w:color="auto" w:fill="auto"/>
            <w:vAlign w:val="center"/>
          </w:tcPr>
          <w:p w14:paraId="5FE897B6">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15</w:t>
            </w:r>
          </w:p>
        </w:tc>
        <w:tc>
          <w:tcPr>
            <w:tcW w:w="0" w:type="auto"/>
            <w:tcBorders>
              <w:tl2br w:val="nil"/>
              <w:tr2bl w:val="nil"/>
            </w:tcBorders>
            <w:shd w:val="clear" w:color="auto" w:fill="auto"/>
            <w:vAlign w:val="center"/>
          </w:tcPr>
          <w:p w14:paraId="09B7A970">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0.3</w:t>
            </w:r>
          </w:p>
        </w:tc>
        <w:tc>
          <w:tcPr>
            <w:tcW w:w="0" w:type="auto"/>
            <w:tcBorders>
              <w:tl2br w:val="nil"/>
              <w:tr2bl w:val="nil"/>
            </w:tcBorders>
            <w:shd w:val="clear" w:color="auto" w:fill="auto"/>
            <w:vAlign w:val="center"/>
          </w:tcPr>
          <w:p w14:paraId="17AE5811">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20</w:t>
            </w:r>
          </w:p>
        </w:tc>
        <w:tc>
          <w:tcPr>
            <w:tcW w:w="0" w:type="auto"/>
            <w:tcBorders>
              <w:tl2br w:val="nil"/>
              <w:tr2bl w:val="nil"/>
            </w:tcBorders>
            <w:shd w:val="clear" w:color="auto" w:fill="auto"/>
            <w:vAlign w:val="center"/>
          </w:tcPr>
          <w:p w14:paraId="1E281124">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25</w:t>
            </w:r>
          </w:p>
        </w:tc>
        <w:tc>
          <w:tcPr>
            <w:tcW w:w="0" w:type="auto"/>
            <w:tcBorders>
              <w:tl2br w:val="nil"/>
              <w:tr2bl w:val="nil"/>
            </w:tcBorders>
            <w:shd w:val="clear" w:color="auto" w:fill="auto"/>
            <w:vAlign w:val="center"/>
          </w:tcPr>
          <w:p w14:paraId="0FF26BED">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6960</w:t>
            </w:r>
          </w:p>
        </w:tc>
        <w:tc>
          <w:tcPr>
            <w:tcW w:w="0" w:type="auto"/>
            <w:tcBorders>
              <w:tl2br w:val="nil"/>
              <w:tr2bl w:val="nil"/>
            </w:tcBorders>
            <w:vAlign w:val="center"/>
          </w:tcPr>
          <w:p w14:paraId="5B43D32B">
            <w:pPr>
              <w:spacing w:line="240" w:lineRule="auto"/>
              <w:ind w:right="22" w:firstLine="0" w:firstLineChars="0"/>
              <w:jc w:val="center"/>
              <w:rPr>
                <w:rFonts w:hint="default" w:ascii="Times New Roman" w:hAnsi="Times New Roman" w:cs="Times New Roman"/>
                <w:snapToGrid w:val="0"/>
                <w:color w:val="auto"/>
                <w:sz w:val="21"/>
                <w:szCs w:val="20"/>
              </w:rPr>
            </w:pPr>
            <w:r>
              <w:rPr>
                <w:rFonts w:hint="default" w:ascii="Times New Roman" w:hAnsi="Times New Roman" w:cs="Times New Roman"/>
                <w:snapToGrid w:val="0"/>
                <w:color w:val="auto"/>
                <w:sz w:val="21"/>
                <w:szCs w:val="20"/>
              </w:rPr>
              <w:t>正常工况</w:t>
            </w:r>
          </w:p>
        </w:tc>
        <w:tc>
          <w:tcPr>
            <w:tcW w:w="0" w:type="auto"/>
            <w:tcBorders>
              <w:tl2br w:val="nil"/>
              <w:tr2bl w:val="nil"/>
            </w:tcBorders>
            <w:vAlign w:val="center"/>
          </w:tcPr>
          <w:p w14:paraId="3C15DBBC">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0.088</w:t>
            </w:r>
          </w:p>
        </w:tc>
        <w:tc>
          <w:tcPr>
            <w:tcW w:w="0" w:type="auto"/>
            <w:tcBorders>
              <w:tl2br w:val="nil"/>
              <w:tr2bl w:val="nil"/>
            </w:tcBorders>
            <w:vAlign w:val="center"/>
          </w:tcPr>
          <w:p w14:paraId="0D7FC02C">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0FDB8CE6">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right w:val="single" w:color="000000" w:sz="4" w:space="0"/>
              <w:tl2br w:val="nil"/>
              <w:tr2bl w:val="nil"/>
            </w:tcBorders>
            <w:vAlign w:val="center"/>
          </w:tcPr>
          <w:p w14:paraId="3B4F67CD">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left w:val="single" w:color="000000" w:sz="4" w:space="0"/>
              <w:right w:val="single" w:color="auto" w:sz="4" w:space="0"/>
              <w:tl2br w:val="nil"/>
              <w:tr2bl w:val="nil"/>
            </w:tcBorders>
            <w:vAlign w:val="center"/>
          </w:tcPr>
          <w:p w14:paraId="1F6B30C2">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left w:val="single" w:color="auto" w:sz="4" w:space="0"/>
              <w:tl2br w:val="nil"/>
              <w:tr2bl w:val="nil"/>
            </w:tcBorders>
            <w:vAlign w:val="center"/>
          </w:tcPr>
          <w:p w14:paraId="40F72438">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7165CABC">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1F28754F">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r>
    </w:tbl>
    <w:p w14:paraId="0AC2D7E9">
      <w:pPr>
        <w:pStyle w:val="44"/>
        <w:bidi w:val="0"/>
        <w:rPr>
          <w:color w:val="auto"/>
          <w:highlight w:val="none"/>
        </w:rPr>
      </w:pPr>
      <w:r>
        <w:rPr>
          <w:color w:val="auto"/>
          <w:highlight w:val="none"/>
        </w:rPr>
        <w:t>表2.</w:t>
      </w:r>
      <w:r>
        <w:rPr>
          <w:rFonts w:hint="eastAsia"/>
          <w:color w:val="auto"/>
          <w:highlight w:val="none"/>
          <w:lang w:val="en-US" w:eastAsia="zh-CN"/>
        </w:rPr>
        <w:t>6</w:t>
      </w:r>
      <w:r>
        <w:rPr>
          <w:color w:val="auto"/>
          <w:highlight w:val="none"/>
        </w:rPr>
        <w:t>-</w:t>
      </w:r>
      <w:r>
        <w:rPr>
          <w:rFonts w:hint="eastAsia"/>
          <w:color w:val="auto"/>
          <w:highlight w:val="none"/>
          <w:lang w:val="en-US" w:eastAsia="zh-CN"/>
        </w:rPr>
        <w:t>5</w:t>
      </w:r>
      <w:r>
        <w:rPr>
          <w:color w:val="auto"/>
          <w:highlight w:val="none"/>
        </w:rPr>
        <w:t xml:space="preserve">  本项目主要污染物参数表（面源）</w:t>
      </w:r>
    </w:p>
    <w:tbl>
      <w:tblPr>
        <w:tblStyle w:val="22"/>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79"/>
        <w:gridCol w:w="1149"/>
        <w:gridCol w:w="859"/>
        <w:gridCol w:w="1004"/>
        <w:gridCol w:w="1044"/>
        <w:gridCol w:w="843"/>
        <w:gridCol w:w="875"/>
        <w:gridCol w:w="1106"/>
        <w:gridCol w:w="1124"/>
        <w:gridCol w:w="991"/>
        <w:gridCol w:w="1041"/>
        <w:gridCol w:w="804"/>
        <w:gridCol w:w="727"/>
        <w:gridCol w:w="832"/>
        <w:gridCol w:w="832"/>
        <w:gridCol w:w="866"/>
      </w:tblGrid>
      <w:tr w14:paraId="4C17CA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240" w:type="pct"/>
            <w:vMerge w:val="restart"/>
            <w:vAlign w:val="center"/>
          </w:tcPr>
          <w:p w14:paraId="54A2EF1C">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编号</w:t>
            </w:r>
          </w:p>
        </w:tc>
        <w:tc>
          <w:tcPr>
            <w:tcW w:w="399" w:type="pct"/>
            <w:vMerge w:val="restart"/>
            <w:vAlign w:val="center"/>
          </w:tcPr>
          <w:p w14:paraId="5CFC9E02">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名称</w:t>
            </w:r>
          </w:p>
        </w:tc>
        <w:tc>
          <w:tcPr>
            <w:tcW w:w="651" w:type="pct"/>
            <w:gridSpan w:val="2"/>
            <w:vAlign w:val="center"/>
          </w:tcPr>
          <w:p w14:paraId="1760467A">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面源起点坐标/m</w:t>
            </w:r>
          </w:p>
        </w:tc>
        <w:tc>
          <w:tcPr>
            <w:tcW w:w="363" w:type="pct"/>
            <w:vMerge w:val="restart"/>
            <w:vAlign w:val="center"/>
          </w:tcPr>
          <w:p w14:paraId="01758C78">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面源海拔高度/m</w:t>
            </w:r>
          </w:p>
        </w:tc>
        <w:tc>
          <w:tcPr>
            <w:tcW w:w="295" w:type="pct"/>
            <w:vMerge w:val="restart"/>
            <w:vAlign w:val="center"/>
          </w:tcPr>
          <w:p w14:paraId="3029124D">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面源长度/m</w:t>
            </w:r>
          </w:p>
        </w:tc>
        <w:tc>
          <w:tcPr>
            <w:tcW w:w="306" w:type="pct"/>
            <w:vMerge w:val="restart"/>
            <w:vAlign w:val="center"/>
          </w:tcPr>
          <w:p w14:paraId="57179FAF">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面源宽度/m</w:t>
            </w:r>
          </w:p>
        </w:tc>
        <w:tc>
          <w:tcPr>
            <w:tcW w:w="384" w:type="pct"/>
            <w:vMerge w:val="restart"/>
            <w:vAlign w:val="center"/>
          </w:tcPr>
          <w:p w14:paraId="66EE136D">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与正北向夹角/。</w:t>
            </w:r>
          </w:p>
        </w:tc>
        <w:tc>
          <w:tcPr>
            <w:tcW w:w="390" w:type="pct"/>
            <w:vMerge w:val="restart"/>
            <w:vAlign w:val="center"/>
          </w:tcPr>
          <w:p w14:paraId="323BA0FB">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面源有效排放高度/m</w:t>
            </w:r>
          </w:p>
        </w:tc>
        <w:tc>
          <w:tcPr>
            <w:tcW w:w="345" w:type="pct"/>
            <w:vMerge w:val="restart"/>
            <w:vAlign w:val="center"/>
          </w:tcPr>
          <w:p w14:paraId="3220B34C">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年排放小时数/h</w:t>
            </w:r>
          </w:p>
        </w:tc>
        <w:tc>
          <w:tcPr>
            <w:tcW w:w="362" w:type="pct"/>
            <w:vMerge w:val="restart"/>
            <w:vAlign w:val="center"/>
          </w:tcPr>
          <w:p w14:paraId="59032ACE">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排放工况</w:t>
            </w:r>
          </w:p>
        </w:tc>
        <w:tc>
          <w:tcPr>
            <w:tcW w:w="1260" w:type="pct"/>
            <w:gridSpan w:val="5"/>
            <w:vAlign w:val="center"/>
          </w:tcPr>
          <w:p w14:paraId="7247B11E">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污染物排放速率/(kg/h)</w:t>
            </w:r>
          </w:p>
        </w:tc>
      </w:tr>
      <w:tr w14:paraId="3FE7CD4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31" w:hRule="atLeast"/>
          <w:tblHeader/>
          <w:jc w:val="center"/>
        </w:trPr>
        <w:tc>
          <w:tcPr>
            <w:tcW w:w="240" w:type="pct"/>
            <w:vMerge w:val="continue"/>
            <w:vAlign w:val="center"/>
          </w:tcPr>
          <w:p w14:paraId="551CC1E4">
            <w:pPr>
              <w:pStyle w:val="83"/>
              <w:spacing w:line="240" w:lineRule="auto"/>
              <w:ind w:left="22" w:right="22"/>
              <w:rPr>
                <w:rFonts w:hint="default" w:ascii="Times New Roman" w:hAnsi="Times New Roman" w:cs="Times New Roman"/>
                <w:color w:val="auto"/>
              </w:rPr>
            </w:pPr>
          </w:p>
        </w:tc>
        <w:tc>
          <w:tcPr>
            <w:tcW w:w="399" w:type="pct"/>
            <w:vMerge w:val="continue"/>
            <w:vAlign w:val="center"/>
          </w:tcPr>
          <w:p w14:paraId="3C4052E7">
            <w:pPr>
              <w:pStyle w:val="83"/>
              <w:spacing w:line="240" w:lineRule="auto"/>
              <w:ind w:left="22" w:right="22"/>
              <w:rPr>
                <w:rFonts w:hint="default" w:ascii="Times New Roman" w:hAnsi="Times New Roman" w:cs="Times New Roman"/>
                <w:color w:val="auto"/>
              </w:rPr>
            </w:pPr>
          </w:p>
        </w:tc>
        <w:tc>
          <w:tcPr>
            <w:tcW w:w="301" w:type="pct"/>
            <w:vAlign w:val="center"/>
          </w:tcPr>
          <w:p w14:paraId="7E9A0751">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X</w:t>
            </w:r>
          </w:p>
        </w:tc>
        <w:tc>
          <w:tcPr>
            <w:tcW w:w="350" w:type="pct"/>
            <w:vAlign w:val="center"/>
          </w:tcPr>
          <w:p w14:paraId="77BD284A">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Y</w:t>
            </w:r>
          </w:p>
        </w:tc>
        <w:tc>
          <w:tcPr>
            <w:tcW w:w="363" w:type="pct"/>
            <w:vMerge w:val="continue"/>
            <w:vAlign w:val="center"/>
          </w:tcPr>
          <w:p w14:paraId="0A8D0E7E">
            <w:pPr>
              <w:pStyle w:val="83"/>
              <w:spacing w:line="240" w:lineRule="auto"/>
              <w:ind w:left="22" w:right="22"/>
              <w:rPr>
                <w:rFonts w:hint="default" w:ascii="Times New Roman" w:hAnsi="Times New Roman" w:cs="Times New Roman"/>
                <w:color w:val="auto"/>
              </w:rPr>
            </w:pPr>
          </w:p>
        </w:tc>
        <w:tc>
          <w:tcPr>
            <w:tcW w:w="295" w:type="pct"/>
            <w:vMerge w:val="continue"/>
            <w:vAlign w:val="center"/>
          </w:tcPr>
          <w:p w14:paraId="15C41C75">
            <w:pPr>
              <w:pStyle w:val="83"/>
              <w:spacing w:line="240" w:lineRule="auto"/>
              <w:ind w:left="22" w:right="22"/>
              <w:rPr>
                <w:rFonts w:hint="default" w:ascii="Times New Roman" w:hAnsi="Times New Roman" w:cs="Times New Roman"/>
                <w:color w:val="auto"/>
              </w:rPr>
            </w:pPr>
          </w:p>
        </w:tc>
        <w:tc>
          <w:tcPr>
            <w:tcW w:w="306" w:type="pct"/>
            <w:vMerge w:val="continue"/>
            <w:vAlign w:val="center"/>
          </w:tcPr>
          <w:p w14:paraId="1B9050D2">
            <w:pPr>
              <w:pStyle w:val="83"/>
              <w:spacing w:line="240" w:lineRule="auto"/>
              <w:ind w:left="22" w:right="22"/>
              <w:rPr>
                <w:rFonts w:hint="default" w:ascii="Times New Roman" w:hAnsi="Times New Roman" w:cs="Times New Roman"/>
                <w:color w:val="auto"/>
              </w:rPr>
            </w:pPr>
          </w:p>
        </w:tc>
        <w:tc>
          <w:tcPr>
            <w:tcW w:w="384" w:type="pct"/>
            <w:vMerge w:val="continue"/>
            <w:vAlign w:val="center"/>
          </w:tcPr>
          <w:p w14:paraId="519D411E">
            <w:pPr>
              <w:pStyle w:val="83"/>
              <w:spacing w:line="240" w:lineRule="auto"/>
              <w:ind w:left="22" w:right="22"/>
              <w:rPr>
                <w:rFonts w:hint="default" w:ascii="Times New Roman" w:hAnsi="Times New Roman" w:cs="Times New Roman"/>
                <w:color w:val="auto"/>
              </w:rPr>
            </w:pPr>
          </w:p>
        </w:tc>
        <w:tc>
          <w:tcPr>
            <w:tcW w:w="390" w:type="pct"/>
            <w:vMerge w:val="continue"/>
            <w:vAlign w:val="center"/>
          </w:tcPr>
          <w:p w14:paraId="008F8EAE">
            <w:pPr>
              <w:pStyle w:val="83"/>
              <w:spacing w:line="240" w:lineRule="auto"/>
              <w:ind w:left="22" w:right="22"/>
              <w:rPr>
                <w:rFonts w:hint="default" w:ascii="Times New Roman" w:hAnsi="Times New Roman" w:cs="Times New Roman"/>
                <w:color w:val="auto"/>
              </w:rPr>
            </w:pPr>
          </w:p>
        </w:tc>
        <w:tc>
          <w:tcPr>
            <w:tcW w:w="345" w:type="pct"/>
            <w:vMerge w:val="continue"/>
            <w:vAlign w:val="center"/>
          </w:tcPr>
          <w:p w14:paraId="708EEB05">
            <w:pPr>
              <w:pStyle w:val="83"/>
              <w:spacing w:line="240" w:lineRule="auto"/>
              <w:ind w:left="22" w:right="22"/>
              <w:rPr>
                <w:rFonts w:hint="default" w:ascii="Times New Roman" w:hAnsi="Times New Roman" w:cs="Times New Roman"/>
                <w:color w:val="auto"/>
              </w:rPr>
            </w:pPr>
          </w:p>
        </w:tc>
        <w:tc>
          <w:tcPr>
            <w:tcW w:w="362" w:type="pct"/>
            <w:vMerge w:val="continue"/>
            <w:vAlign w:val="center"/>
          </w:tcPr>
          <w:p w14:paraId="646B7EC3">
            <w:pPr>
              <w:pStyle w:val="83"/>
              <w:spacing w:line="240" w:lineRule="auto"/>
              <w:ind w:left="22" w:right="22"/>
              <w:rPr>
                <w:rFonts w:hint="default" w:ascii="Times New Roman" w:hAnsi="Times New Roman" w:cs="Times New Roman"/>
                <w:color w:val="auto"/>
              </w:rPr>
            </w:pPr>
          </w:p>
        </w:tc>
        <w:tc>
          <w:tcPr>
            <w:tcW w:w="282" w:type="pct"/>
            <w:vAlign w:val="center"/>
          </w:tcPr>
          <w:p w14:paraId="7755C5BD">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TSP</w:t>
            </w:r>
          </w:p>
        </w:tc>
        <w:tc>
          <w:tcPr>
            <w:tcW w:w="243" w:type="pct"/>
            <w:tcBorders>
              <w:right w:val="single" w:color="000000" w:sz="4" w:space="0"/>
            </w:tcBorders>
            <w:vAlign w:val="center"/>
          </w:tcPr>
          <w:p w14:paraId="2C0FEA91">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非甲烷总烃</w:t>
            </w:r>
          </w:p>
        </w:tc>
        <w:tc>
          <w:tcPr>
            <w:tcW w:w="159" w:type="pct"/>
            <w:tcBorders>
              <w:left w:val="single" w:color="000000" w:sz="4" w:space="0"/>
            </w:tcBorders>
            <w:vAlign w:val="center"/>
          </w:tcPr>
          <w:p w14:paraId="5C4F50FB">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甲苯</w:t>
            </w:r>
          </w:p>
        </w:tc>
        <w:tc>
          <w:tcPr>
            <w:tcW w:w="273" w:type="pct"/>
            <w:vAlign w:val="center"/>
          </w:tcPr>
          <w:p w14:paraId="6DE10B36">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苯乙烯</w:t>
            </w:r>
          </w:p>
        </w:tc>
        <w:tc>
          <w:tcPr>
            <w:tcW w:w="302" w:type="pct"/>
            <w:vAlign w:val="center"/>
          </w:tcPr>
          <w:p w14:paraId="535631F8">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丙烯腈</w:t>
            </w:r>
          </w:p>
        </w:tc>
      </w:tr>
      <w:tr w14:paraId="164092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0" w:type="pct"/>
            <w:vAlign w:val="center"/>
          </w:tcPr>
          <w:p w14:paraId="75C149A0">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W1</w:t>
            </w:r>
          </w:p>
        </w:tc>
        <w:tc>
          <w:tcPr>
            <w:tcW w:w="399" w:type="pct"/>
            <w:vAlign w:val="center"/>
          </w:tcPr>
          <w:p w14:paraId="3A0C0C2E">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注塑</w:t>
            </w:r>
          </w:p>
        </w:tc>
        <w:tc>
          <w:tcPr>
            <w:tcW w:w="301" w:type="pct"/>
            <w:vAlign w:val="center"/>
          </w:tcPr>
          <w:p w14:paraId="72BC4DB5">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10</w:t>
            </w:r>
          </w:p>
        </w:tc>
        <w:tc>
          <w:tcPr>
            <w:tcW w:w="350" w:type="pct"/>
            <w:vAlign w:val="center"/>
          </w:tcPr>
          <w:p w14:paraId="228C0B70">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13</w:t>
            </w:r>
          </w:p>
        </w:tc>
        <w:tc>
          <w:tcPr>
            <w:tcW w:w="363" w:type="pct"/>
            <w:vAlign w:val="center"/>
          </w:tcPr>
          <w:p w14:paraId="0062A044">
            <w:pPr>
              <w:spacing w:line="240" w:lineRule="auto"/>
              <w:ind w:left="22" w:right="22"/>
              <w:jc w:val="center"/>
              <w:rPr>
                <w:rFonts w:hint="default" w:ascii="Times New Roman" w:hAnsi="Times New Roman" w:cs="Times New Roman"/>
                <w:color w:val="auto"/>
              </w:rPr>
            </w:pPr>
            <w:r>
              <w:rPr>
                <w:rFonts w:hint="eastAsia" w:ascii="Times New Roman" w:hAnsi="Times New Roman" w:eastAsia="宋体" w:cs="Times New Roman"/>
                <w:color w:val="auto"/>
                <w:lang w:eastAsia="zh-CN"/>
              </w:rPr>
              <w:t>1</w:t>
            </w:r>
            <w:r>
              <w:rPr>
                <w:rFonts w:hint="eastAsia" w:ascii="Times New Roman" w:hAnsi="Times New Roman" w:eastAsia="宋体" w:cs="Times New Roman"/>
                <w:color w:val="auto"/>
                <w:lang w:val="en-US" w:eastAsia="zh-CN"/>
              </w:rPr>
              <w:t>86</w:t>
            </w:r>
          </w:p>
        </w:tc>
        <w:tc>
          <w:tcPr>
            <w:tcW w:w="295" w:type="pct"/>
            <w:vAlign w:val="center"/>
          </w:tcPr>
          <w:p w14:paraId="3B3DE2A3">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180</w:t>
            </w:r>
          </w:p>
        </w:tc>
        <w:tc>
          <w:tcPr>
            <w:tcW w:w="306" w:type="pct"/>
            <w:vAlign w:val="center"/>
          </w:tcPr>
          <w:p w14:paraId="1DD479B6">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60</w:t>
            </w:r>
          </w:p>
        </w:tc>
        <w:tc>
          <w:tcPr>
            <w:tcW w:w="384" w:type="pct"/>
            <w:vAlign w:val="center"/>
          </w:tcPr>
          <w:p w14:paraId="5AF16993">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40</w:t>
            </w:r>
          </w:p>
        </w:tc>
        <w:tc>
          <w:tcPr>
            <w:tcW w:w="390" w:type="pct"/>
            <w:vAlign w:val="center"/>
          </w:tcPr>
          <w:p w14:paraId="0C6A7B5B">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3</w:t>
            </w:r>
          </w:p>
        </w:tc>
        <w:tc>
          <w:tcPr>
            <w:tcW w:w="345" w:type="pct"/>
            <w:vAlign w:val="center"/>
          </w:tcPr>
          <w:p w14:paraId="7A26655E">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6960</w:t>
            </w:r>
          </w:p>
        </w:tc>
        <w:tc>
          <w:tcPr>
            <w:tcW w:w="362" w:type="pct"/>
            <w:vAlign w:val="center"/>
          </w:tcPr>
          <w:p w14:paraId="570446C2">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正常工况</w:t>
            </w:r>
          </w:p>
        </w:tc>
        <w:tc>
          <w:tcPr>
            <w:tcW w:w="282" w:type="pct"/>
            <w:vAlign w:val="center"/>
          </w:tcPr>
          <w:p w14:paraId="6E2EEC1C">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w:t>
            </w:r>
          </w:p>
        </w:tc>
        <w:tc>
          <w:tcPr>
            <w:tcW w:w="243" w:type="pct"/>
            <w:tcBorders>
              <w:right w:val="single" w:color="000000" w:sz="4" w:space="0"/>
            </w:tcBorders>
            <w:vAlign w:val="center"/>
          </w:tcPr>
          <w:p w14:paraId="3CAA52AC">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0.069</w:t>
            </w:r>
          </w:p>
        </w:tc>
        <w:tc>
          <w:tcPr>
            <w:tcW w:w="159" w:type="pct"/>
            <w:tcBorders>
              <w:left w:val="single" w:color="000000" w:sz="4" w:space="0"/>
            </w:tcBorders>
            <w:shd w:val="clear" w:color="auto" w:fill="auto"/>
            <w:vAlign w:val="center"/>
          </w:tcPr>
          <w:p w14:paraId="0ADDBE32">
            <w:pPr>
              <w:pStyle w:val="83"/>
              <w:spacing w:line="240" w:lineRule="auto"/>
              <w:ind w:left="19" w:leftChars="9" w:right="19" w:rightChars="9" w:firstLine="0" w:firstLineChars="0"/>
              <w:rPr>
                <w:rFonts w:hint="default" w:ascii="Times New Roman" w:hAnsi="Times New Roman" w:eastAsia="宋体" w:cs="Times New Roman"/>
                <w:snapToGrid w:val="0"/>
                <w:color w:val="auto"/>
                <w:kern w:val="0"/>
                <w:sz w:val="21"/>
                <w:szCs w:val="20"/>
                <w:lang w:val="en-US" w:eastAsia="zh-CN" w:bidi="ar-SA"/>
              </w:rPr>
            </w:pPr>
            <w:r>
              <w:rPr>
                <w:rFonts w:hint="eastAsia" w:ascii="Times New Roman" w:hAnsi="Times New Roman" w:eastAsia="宋体" w:cs="Times New Roman"/>
                <w:color w:val="auto"/>
                <w:lang w:val="en-US" w:eastAsia="zh-CN"/>
              </w:rPr>
              <w:t>0.0009</w:t>
            </w:r>
          </w:p>
        </w:tc>
        <w:tc>
          <w:tcPr>
            <w:tcW w:w="273" w:type="pct"/>
            <w:shd w:val="clear" w:color="auto" w:fill="auto"/>
            <w:vAlign w:val="center"/>
          </w:tcPr>
          <w:p w14:paraId="5AA25DE4">
            <w:pPr>
              <w:pStyle w:val="83"/>
              <w:spacing w:line="240" w:lineRule="auto"/>
              <w:ind w:left="19" w:leftChars="9" w:right="19" w:rightChars="9" w:firstLine="0" w:firstLineChars="0"/>
              <w:rPr>
                <w:rFonts w:hint="default" w:ascii="Times New Roman" w:hAnsi="Times New Roman" w:eastAsia="宋体" w:cs="Times New Roman"/>
                <w:snapToGrid w:val="0"/>
                <w:color w:val="auto"/>
                <w:kern w:val="0"/>
                <w:sz w:val="21"/>
                <w:szCs w:val="20"/>
                <w:lang w:val="en-US" w:eastAsia="zh-CN" w:bidi="ar-SA"/>
              </w:rPr>
            </w:pPr>
            <w:r>
              <w:rPr>
                <w:rFonts w:hint="eastAsia" w:ascii="Times New Roman" w:hAnsi="Times New Roman" w:eastAsia="宋体" w:cs="Times New Roman"/>
                <w:color w:val="auto"/>
                <w:lang w:val="en-US" w:eastAsia="zh-CN"/>
              </w:rPr>
              <w:t>0.0007</w:t>
            </w:r>
          </w:p>
        </w:tc>
        <w:tc>
          <w:tcPr>
            <w:tcW w:w="302" w:type="pct"/>
            <w:shd w:val="clear" w:color="auto" w:fill="auto"/>
            <w:vAlign w:val="center"/>
          </w:tcPr>
          <w:p w14:paraId="008B2427">
            <w:pPr>
              <w:pStyle w:val="83"/>
              <w:spacing w:line="240" w:lineRule="auto"/>
              <w:ind w:left="19" w:leftChars="9" w:right="19" w:rightChars="9" w:firstLine="0" w:firstLineChars="0"/>
              <w:rPr>
                <w:rFonts w:hint="default" w:ascii="Times New Roman" w:hAnsi="Times New Roman" w:eastAsia="宋体" w:cs="Times New Roman"/>
                <w:snapToGrid w:val="0"/>
                <w:color w:val="auto"/>
                <w:kern w:val="0"/>
                <w:sz w:val="21"/>
                <w:szCs w:val="20"/>
                <w:lang w:val="en-US" w:eastAsia="zh-CN" w:bidi="ar-SA"/>
              </w:rPr>
            </w:pPr>
            <w:r>
              <w:rPr>
                <w:rFonts w:hint="eastAsia" w:ascii="Times New Roman" w:hAnsi="Times New Roman" w:eastAsia="宋体" w:cs="Times New Roman"/>
                <w:color w:val="auto"/>
                <w:lang w:val="en-US" w:eastAsia="zh-CN"/>
              </w:rPr>
              <w:t>0.0003</w:t>
            </w:r>
          </w:p>
        </w:tc>
      </w:tr>
      <w:tr w14:paraId="4C440E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0" w:type="pct"/>
            <w:vAlign w:val="center"/>
          </w:tcPr>
          <w:p w14:paraId="72A9EA50">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W2</w:t>
            </w:r>
          </w:p>
        </w:tc>
        <w:tc>
          <w:tcPr>
            <w:tcW w:w="399" w:type="pct"/>
            <w:vAlign w:val="center"/>
          </w:tcPr>
          <w:p w14:paraId="078D6300">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喷涂、管路和喷枪清洗、丝印</w:t>
            </w:r>
          </w:p>
        </w:tc>
        <w:tc>
          <w:tcPr>
            <w:tcW w:w="301" w:type="pct"/>
            <w:vAlign w:val="center"/>
          </w:tcPr>
          <w:p w14:paraId="6E6BA8D4">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80</w:t>
            </w:r>
          </w:p>
        </w:tc>
        <w:tc>
          <w:tcPr>
            <w:tcW w:w="350" w:type="pct"/>
            <w:vAlign w:val="center"/>
          </w:tcPr>
          <w:p w14:paraId="25071A49">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80</w:t>
            </w:r>
          </w:p>
        </w:tc>
        <w:tc>
          <w:tcPr>
            <w:tcW w:w="363" w:type="pct"/>
            <w:vAlign w:val="center"/>
          </w:tcPr>
          <w:p w14:paraId="4D07AE6B">
            <w:pPr>
              <w:spacing w:line="240" w:lineRule="auto"/>
              <w:ind w:left="22" w:right="22"/>
              <w:jc w:val="center"/>
              <w:rPr>
                <w:rFonts w:hint="default" w:ascii="Times New Roman" w:hAnsi="Times New Roman" w:cs="Times New Roman"/>
                <w:color w:val="auto"/>
              </w:rPr>
            </w:pPr>
            <w:r>
              <w:rPr>
                <w:rFonts w:hint="eastAsia" w:ascii="Times New Roman" w:hAnsi="Times New Roman" w:eastAsia="宋体" w:cs="Times New Roman"/>
                <w:color w:val="auto"/>
                <w:lang w:eastAsia="zh-CN"/>
              </w:rPr>
              <w:t>1</w:t>
            </w:r>
            <w:r>
              <w:rPr>
                <w:rFonts w:hint="eastAsia" w:ascii="Times New Roman" w:hAnsi="Times New Roman" w:eastAsia="宋体" w:cs="Times New Roman"/>
                <w:color w:val="auto"/>
                <w:lang w:val="en-US" w:eastAsia="zh-CN"/>
              </w:rPr>
              <w:t>86</w:t>
            </w:r>
          </w:p>
        </w:tc>
        <w:tc>
          <w:tcPr>
            <w:tcW w:w="295" w:type="pct"/>
            <w:vAlign w:val="center"/>
          </w:tcPr>
          <w:p w14:paraId="269571A4">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110</w:t>
            </w:r>
          </w:p>
        </w:tc>
        <w:tc>
          <w:tcPr>
            <w:tcW w:w="306" w:type="pct"/>
            <w:vAlign w:val="center"/>
          </w:tcPr>
          <w:p w14:paraId="314F0732">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60</w:t>
            </w:r>
          </w:p>
        </w:tc>
        <w:tc>
          <w:tcPr>
            <w:tcW w:w="384" w:type="pct"/>
            <w:vAlign w:val="center"/>
          </w:tcPr>
          <w:p w14:paraId="23ECC554">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40</w:t>
            </w:r>
          </w:p>
        </w:tc>
        <w:tc>
          <w:tcPr>
            <w:tcW w:w="390" w:type="pct"/>
            <w:vAlign w:val="center"/>
          </w:tcPr>
          <w:p w14:paraId="38133C38">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3</w:t>
            </w:r>
          </w:p>
        </w:tc>
        <w:tc>
          <w:tcPr>
            <w:tcW w:w="345" w:type="pct"/>
            <w:vAlign w:val="center"/>
          </w:tcPr>
          <w:p w14:paraId="7E2DF080">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6960</w:t>
            </w:r>
          </w:p>
        </w:tc>
        <w:tc>
          <w:tcPr>
            <w:tcW w:w="362" w:type="pct"/>
            <w:vAlign w:val="center"/>
          </w:tcPr>
          <w:p w14:paraId="30B015B3">
            <w:pPr>
              <w:pStyle w:val="83"/>
              <w:spacing w:line="240" w:lineRule="auto"/>
              <w:ind w:left="22" w:right="22"/>
              <w:rPr>
                <w:rFonts w:hint="default" w:ascii="Times New Roman" w:hAnsi="Times New Roman" w:cs="Times New Roman"/>
                <w:color w:val="auto"/>
                <w:highlight w:val="green"/>
              </w:rPr>
            </w:pPr>
            <w:r>
              <w:rPr>
                <w:rFonts w:hint="default" w:ascii="Times New Roman" w:hAnsi="Times New Roman" w:cs="Times New Roman"/>
                <w:color w:val="auto"/>
              </w:rPr>
              <w:t>正常工况</w:t>
            </w:r>
          </w:p>
        </w:tc>
        <w:tc>
          <w:tcPr>
            <w:tcW w:w="282" w:type="pct"/>
            <w:vAlign w:val="center"/>
          </w:tcPr>
          <w:p w14:paraId="08238B23">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0.21</w:t>
            </w:r>
          </w:p>
        </w:tc>
        <w:tc>
          <w:tcPr>
            <w:tcW w:w="243" w:type="pct"/>
            <w:tcBorders>
              <w:right w:val="single" w:color="000000" w:sz="4" w:space="0"/>
            </w:tcBorders>
            <w:vAlign w:val="center"/>
          </w:tcPr>
          <w:p w14:paraId="232CA857">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0.543</w:t>
            </w:r>
          </w:p>
        </w:tc>
        <w:tc>
          <w:tcPr>
            <w:tcW w:w="159" w:type="pct"/>
            <w:tcBorders>
              <w:left w:val="single" w:color="000000" w:sz="4" w:space="0"/>
            </w:tcBorders>
            <w:vAlign w:val="center"/>
          </w:tcPr>
          <w:p w14:paraId="5E3F0422">
            <w:pPr>
              <w:spacing w:line="240" w:lineRule="auto"/>
              <w:ind w:left="22" w:right="22"/>
              <w:jc w:val="center"/>
              <w:rPr>
                <w:rFonts w:hint="eastAsia" w:ascii="Times New Roman" w:hAnsi="Times New Roman" w:eastAsia="宋体" w:cs="Times New Roman"/>
                <w:color w:val="FF0000"/>
                <w:lang w:val="en-US" w:eastAsia="zh-CN"/>
              </w:rPr>
            </w:pPr>
            <w:r>
              <w:rPr>
                <w:rFonts w:hint="eastAsia" w:ascii="Times New Roman" w:hAnsi="Times New Roman" w:eastAsia="宋体" w:cs="Times New Roman"/>
                <w:color w:val="auto"/>
                <w:lang w:val="en-US" w:eastAsia="zh-CN"/>
              </w:rPr>
              <w:t>/</w:t>
            </w:r>
          </w:p>
        </w:tc>
        <w:tc>
          <w:tcPr>
            <w:tcW w:w="273" w:type="pct"/>
            <w:shd w:val="clear" w:color="auto" w:fill="auto"/>
            <w:vAlign w:val="center"/>
          </w:tcPr>
          <w:p w14:paraId="6B04B98B">
            <w:pPr>
              <w:spacing w:line="240" w:lineRule="auto"/>
              <w:ind w:left="22" w:right="22"/>
              <w:jc w:val="center"/>
              <w:rPr>
                <w:rFonts w:hint="eastAsia" w:ascii="Times New Roman" w:hAnsi="Times New Roman" w:eastAsia="宋体" w:cs="Times New Roman"/>
                <w:color w:val="FF0000"/>
                <w:lang w:val="en-US" w:eastAsia="zh-CN"/>
              </w:rPr>
            </w:pPr>
            <w:r>
              <w:rPr>
                <w:rFonts w:hint="eastAsia" w:ascii="Times New Roman" w:hAnsi="Times New Roman" w:eastAsia="宋体" w:cs="Times New Roman"/>
                <w:color w:val="auto"/>
                <w:lang w:val="en-US" w:eastAsia="zh-CN"/>
              </w:rPr>
              <w:t>/</w:t>
            </w:r>
          </w:p>
        </w:tc>
        <w:tc>
          <w:tcPr>
            <w:tcW w:w="302" w:type="pct"/>
            <w:shd w:val="clear" w:color="auto" w:fill="auto"/>
            <w:vAlign w:val="center"/>
          </w:tcPr>
          <w:p w14:paraId="2B80B30B">
            <w:pPr>
              <w:spacing w:line="240" w:lineRule="auto"/>
              <w:ind w:left="22" w:right="22"/>
              <w:jc w:val="center"/>
              <w:rPr>
                <w:rFonts w:hint="eastAsia" w:ascii="Times New Roman" w:hAnsi="Times New Roman" w:eastAsia="宋体" w:cs="Times New Roman"/>
                <w:color w:val="FF0000"/>
                <w:lang w:val="en-US" w:eastAsia="zh-CN"/>
              </w:rPr>
            </w:pPr>
            <w:r>
              <w:rPr>
                <w:rFonts w:hint="eastAsia" w:ascii="Times New Roman" w:hAnsi="Times New Roman" w:eastAsia="宋体" w:cs="Times New Roman"/>
                <w:color w:val="auto"/>
                <w:lang w:val="en-US" w:eastAsia="zh-CN"/>
              </w:rPr>
              <w:t>/</w:t>
            </w:r>
          </w:p>
        </w:tc>
      </w:tr>
      <w:tr w14:paraId="50E1CB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0" w:type="pct"/>
            <w:vAlign w:val="center"/>
          </w:tcPr>
          <w:p w14:paraId="1DBC21C9">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W3</w:t>
            </w:r>
          </w:p>
        </w:tc>
        <w:tc>
          <w:tcPr>
            <w:tcW w:w="399" w:type="pct"/>
            <w:vAlign w:val="center"/>
          </w:tcPr>
          <w:p w14:paraId="131CCAF7">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破碎</w:t>
            </w:r>
          </w:p>
        </w:tc>
        <w:tc>
          <w:tcPr>
            <w:tcW w:w="301" w:type="pct"/>
            <w:vAlign w:val="center"/>
          </w:tcPr>
          <w:p w14:paraId="1F0ECA91">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10</w:t>
            </w:r>
          </w:p>
        </w:tc>
        <w:tc>
          <w:tcPr>
            <w:tcW w:w="350" w:type="pct"/>
            <w:vAlign w:val="center"/>
          </w:tcPr>
          <w:p w14:paraId="1C63E8FF">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13</w:t>
            </w:r>
          </w:p>
        </w:tc>
        <w:tc>
          <w:tcPr>
            <w:tcW w:w="363" w:type="pct"/>
            <w:vAlign w:val="center"/>
          </w:tcPr>
          <w:p w14:paraId="6824FEAC">
            <w:pPr>
              <w:spacing w:line="240" w:lineRule="auto"/>
              <w:ind w:left="22" w:right="22"/>
              <w:jc w:val="center"/>
              <w:rPr>
                <w:rFonts w:hint="default" w:ascii="Times New Roman" w:hAnsi="Times New Roman" w:cs="Times New Roman"/>
                <w:color w:val="auto"/>
              </w:rPr>
            </w:pPr>
            <w:r>
              <w:rPr>
                <w:rFonts w:hint="eastAsia" w:ascii="Times New Roman" w:hAnsi="Times New Roman" w:eastAsia="宋体" w:cs="Times New Roman"/>
                <w:color w:val="auto"/>
                <w:lang w:eastAsia="zh-CN"/>
              </w:rPr>
              <w:t>1</w:t>
            </w:r>
            <w:r>
              <w:rPr>
                <w:rFonts w:hint="eastAsia" w:ascii="Times New Roman" w:hAnsi="Times New Roman" w:eastAsia="宋体" w:cs="Times New Roman"/>
                <w:color w:val="auto"/>
                <w:lang w:val="en-US" w:eastAsia="zh-CN"/>
              </w:rPr>
              <w:t>86</w:t>
            </w:r>
          </w:p>
        </w:tc>
        <w:tc>
          <w:tcPr>
            <w:tcW w:w="295" w:type="pct"/>
            <w:vAlign w:val="center"/>
          </w:tcPr>
          <w:p w14:paraId="52182D39">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180</w:t>
            </w:r>
          </w:p>
        </w:tc>
        <w:tc>
          <w:tcPr>
            <w:tcW w:w="306" w:type="pct"/>
            <w:vAlign w:val="center"/>
          </w:tcPr>
          <w:p w14:paraId="30A9CDFA">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60</w:t>
            </w:r>
          </w:p>
        </w:tc>
        <w:tc>
          <w:tcPr>
            <w:tcW w:w="384" w:type="pct"/>
            <w:vAlign w:val="center"/>
          </w:tcPr>
          <w:p w14:paraId="199AE3C1">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40</w:t>
            </w:r>
          </w:p>
        </w:tc>
        <w:tc>
          <w:tcPr>
            <w:tcW w:w="390" w:type="pct"/>
            <w:vAlign w:val="center"/>
          </w:tcPr>
          <w:p w14:paraId="36E13875">
            <w:pPr>
              <w:spacing w:line="240" w:lineRule="auto"/>
              <w:ind w:left="22" w:right="22"/>
              <w:jc w:val="center"/>
              <w:rPr>
                <w:rFonts w:hint="default" w:ascii="Times New Roman" w:hAnsi="Times New Roman" w:cs="Times New Roman"/>
                <w:color w:val="auto"/>
              </w:rPr>
            </w:pPr>
            <w:r>
              <w:rPr>
                <w:rFonts w:hint="default" w:ascii="Times New Roman" w:hAnsi="Times New Roman" w:cs="Times New Roman"/>
                <w:color w:val="auto"/>
              </w:rPr>
              <w:t>3</w:t>
            </w:r>
          </w:p>
        </w:tc>
        <w:tc>
          <w:tcPr>
            <w:tcW w:w="345" w:type="pct"/>
            <w:vAlign w:val="center"/>
          </w:tcPr>
          <w:p w14:paraId="465CC0CB">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580</w:t>
            </w:r>
          </w:p>
        </w:tc>
        <w:tc>
          <w:tcPr>
            <w:tcW w:w="362" w:type="pct"/>
            <w:vAlign w:val="center"/>
          </w:tcPr>
          <w:p w14:paraId="3C50968D">
            <w:pPr>
              <w:spacing w:line="240" w:lineRule="auto"/>
              <w:ind w:left="22" w:right="22"/>
              <w:jc w:val="center"/>
              <w:rPr>
                <w:rFonts w:hint="default" w:ascii="Times New Roman" w:hAnsi="Times New Roman" w:cs="Times New Roman"/>
                <w:color w:val="auto"/>
              </w:rPr>
            </w:pPr>
            <w:r>
              <w:rPr>
                <w:rFonts w:hint="default" w:ascii="Times New Roman" w:hAnsi="Times New Roman" w:cs="Times New Roman"/>
                <w:color w:val="auto"/>
              </w:rPr>
              <w:t>正常工况</w:t>
            </w:r>
          </w:p>
        </w:tc>
        <w:tc>
          <w:tcPr>
            <w:tcW w:w="282" w:type="pct"/>
            <w:vAlign w:val="center"/>
          </w:tcPr>
          <w:p w14:paraId="2BD39C30">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0.029</w:t>
            </w:r>
          </w:p>
        </w:tc>
        <w:tc>
          <w:tcPr>
            <w:tcW w:w="243" w:type="pct"/>
            <w:tcBorders>
              <w:right w:val="single" w:color="000000" w:sz="4" w:space="0"/>
            </w:tcBorders>
            <w:vAlign w:val="center"/>
          </w:tcPr>
          <w:p w14:paraId="6A20DCC9">
            <w:pPr>
              <w:spacing w:line="240" w:lineRule="auto"/>
              <w:ind w:left="22" w:right="22"/>
              <w:jc w:val="center"/>
              <w:rPr>
                <w:rFonts w:hint="default" w:ascii="Times New Roman" w:hAnsi="Times New Roman" w:cs="Times New Roman"/>
                <w:color w:val="auto"/>
              </w:rPr>
            </w:pPr>
            <w:r>
              <w:rPr>
                <w:rFonts w:hint="eastAsia" w:ascii="Times New Roman" w:hAnsi="Times New Roman" w:eastAsia="宋体" w:cs="Times New Roman"/>
                <w:color w:val="auto"/>
                <w:lang w:val="en-US" w:eastAsia="zh-CN"/>
              </w:rPr>
              <w:t>/</w:t>
            </w:r>
          </w:p>
        </w:tc>
        <w:tc>
          <w:tcPr>
            <w:tcW w:w="159" w:type="pct"/>
            <w:tcBorders>
              <w:left w:val="single" w:color="000000" w:sz="4" w:space="0"/>
            </w:tcBorders>
            <w:vAlign w:val="center"/>
          </w:tcPr>
          <w:p w14:paraId="78974ED1">
            <w:pPr>
              <w:spacing w:line="240" w:lineRule="auto"/>
              <w:ind w:left="22" w:right="22"/>
              <w:jc w:val="center"/>
              <w:rPr>
                <w:rFonts w:hint="default" w:ascii="Times New Roman" w:hAnsi="Times New Roman" w:cs="Times New Roman"/>
                <w:color w:val="FF0000"/>
              </w:rPr>
            </w:pPr>
            <w:r>
              <w:rPr>
                <w:rFonts w:hint="eastAsia" w:ascii="Times New Roman" w:hAnsi="Times New Roman" w:eastAsia="宋体" w:cs="Times New Roman"/>
                <w:color w:val="auto"/>
                <w:lang w:val="en-US" w:eastAsia="zh-CN"/>
              </w:rPr>
              <w:t>/</w:t>
            </w:r>
          </w:p>
        </w:tc>
        <w:tc>
          <w:tcPr>
            <w:tcW w:w="273" w:type="pct"/>
            <w:shd w:val="clear" w:color="auto" w:fill="auto"/>
            <w:vAlign w:val="center"/>
          </w:tcPr>
          <w:p w14:paraId="2066A91A">
            <w:pPr>
              <w:spacing w:line="240" w:lineRule="auto"/>
              <w:ind w:left="22" w:right="22"/>
              <w:jc w:val="center"/>
              <w:rPr>
                <w:rFonts w:hint="default" w:ascii="Times New Roman" w:hAnsi="Times New Roman" w:cs="Times New Roman"/>
                <w:color w:val="FF0000"/>
              </w:rPr>
            </w:pPr>
            <w:r>
              <w:rPr>
                <w:rFonts w:hint="eastAsia" w:ascii="Times New Roman" w:hAnsi="Times New Roman" w:eastAsia="宋体" w:cs="Times New Roman"/>
                <w:color w:val="auto"/>
                <w:lang w:val="en-US" w:eastAsia="zh-CN"/>
              </w:rPr>
              <w:t>/</w:t>
            </w:r>
          </w:p>
        </w:tc>
        <w:tc>
          <w:tcPr>
            <w:tcW w:w="302" w:type="pct"/>
            <w:shd w:val="clear" w:color="auto" w:fill="auto"/>
            <w:vAlign w:val="center"/>
          </w:tcPr>
          <w:p w14:paraId="53CBF1F1">
            <w:pPr>
              <w:spacing w:line="240" w:lineRule="auto"/>
              <w:ind w:left="22" w:right="22"/>
              <w:jc w:val="center"/>
              <w:rPr>
                <w:rFonts w:hint="default" w:ascii="Times New Roman" w:hAnsi="Times New Roman" w:cs="Times New Roman"/>
                <w:color w:val="FF0000"/>
              </w:rPr>
            </w:pPr>
            <w:r>
              <w:rPr>
                <w:rFonts w:hint="eastAsia" w:ascii="Times New Roman" w:hAnsi="Times New Roman" w:eastAsia="宋体" w:cs="Times New Roman"/>
                <w:color w:val="auto"/>
                <w:lang w:val="en-US" w:eastAsia="zh-CN"/>
              </w:rPr>
              <w:t>/</w:t>
            </w:r>
          </w:p>
        </w:tc>
      </w:tr>
      <w:tr w14:paraId="2FA35C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0" w:type="pct"/>
            <w:vAlign w:val="center"/>
          </w:tcPr>
          <w:p w14:paraId="58128C0F">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W4</w:t>
            </w:r>
          </w:p>
        </w:tc>
        <w:tc>
          <w:tcPr>
            <w:tcW w:w="399" w:type="pct"/>
            <w:vAlign w:val="center"/>
          </w:tcPr>
          <w:p w14:paraId="0945338F">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打磨、抛光</w:t>
            </w:r>
          </w:p>
        </w:tc>
        <w:tc>
          <w:tcPr>
            <w:tcW w:w="301" w:type="pct"/>
            <w:vAlign w:val="center"/>
          </w:tcPr>
          <w:p w14:paraId="4E784674">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80</w:t>
            </w:r>
          </w:p>
        </w:tc>
        <w:tc>
          <w:tcPr>
            <w:tcW w:w="350" w:type="pct"/>
            <w:vAlign w:val="center"/>
          </w:tcPr>
          <w:p w14:paraId="6C7CAAD1">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80</w:t>
            </w:r>
          </w:p>
        </w:tc>
        <w:tc>
          <w:tcPr>
            <w:tcW w:w="363" w:type="pct"/>
            <w:vAlign w:val="center"/>
          </w:tcPr>
          <w:p w14:paraId="49DC0076">
            <w:pPr>
              <w:spacing w:line="240" w:lineRule="auto"/>
              <w:ind w:left="22" w:right="22"/>
              <w:jc w:val="center"/>
              <w:rPr>
                <w:rFonts w:hint="default" w:ascii="Times New Roman" w:hAnsi="Times New Roman" w:cs="Times New Roman"/>
                <w:color w:val="auto"/>
              </w:rPr>
            </w:pPr>
            <w:r>
              <w:rPr>
                <w:rFonts w:hint="eastAsia" w:ascii="Times New Roman" w:hAnsi="Times New Roman" w:eastAsia="宋体" w:cs="Times New Roman"/>
                <w:color w:val="auto"/>
                <w:lang w:eastAsia="zh-CN"/>
              </w:rPr>
              <w:t>1</w:t>
            </w:r>
            <w:r>
              <w:rPr>
                <w:rFonts w:hint="eastAsia" w:ascii="Times New Roman" w:hAnsi="Times New Roman" w:eastAsia="宋体" w:cs="Times New Roman"/>
                <w:color w:val="auto"/>
                <w:lang w:val="en-US" w:eastAsia="zh-CN"/>
              </w:rPr>
              <w:t>86</w:t>
            </w:r>
          </w:p>
        </w:tc>
        <w:tc>
          <w:tcPr>
            <w:tcW w:w="295" w:type="pct"/>
            <w:vAlign w:val="center"/>
          </w:tcPr>
          <w:p w14:paraId="51C1E55C">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110</w:t>
            </w:r>
          </w:p>
        </w:tc>
        <w:tc>
          <w:tcPr>
            <w:tcW w:w="306" w:type="pct"/>
            <w:vAlign w:val="center"/>
          </w:tcPr>
          <w:p w14:paraId="77395133">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60</w:t>
            </w:r>
          </w:p>
        </w:tc>
        <w:tc>
          <w:tcPr>
            <w:tcW w:w="384" w:type="pct"/>
            <w:vAlign w:val="center"/>
          </w:tcPr>
          <w:p w14:paraId="7918DFB7">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40</w:t>
            </w:r>
          </w:p>
        </w:tc>
        <w:tc>
          <w:tcPr>
            <w:tcW w:w="390" w:type="pct"/>
            <w:vAlign w:val="center"/>
          </w:tcPr>
          <w:p w14:paraId="1DB63566">
            <w:pPr>
              <w:spacing w:line="240" w:lineRule="auto"/>
              <w:ind w:left="22" w:right="22"/>
              <w:jc w:val="center"/>
              <w:rPr>
                <w:rFonts w:hint="default" w:ascii="Times New Roman" w:hAnsi="Times New Roman" w:cs="Times New Roman"/>
                <w:color w:val="auto"/>
              </w:rPr>
            </w:pPr>
            <w:r>
              <w:rPr>
                <w:rFonts w:hint="default" w:ascii="Times New Roman" w:hAnsi="Times New Roman" w:cs="Times New Roman"/>
                <w:color w:val="auto"/>
              </w:rPr>
              <w:t>3</w:t>
            </w:r>
          </w:p>
        </w:tc>
        <w:tc>
          <w:tcPr>
            <w:tcW w:w="345" w:type="pct"/>
            <w:vAlign w:val="center"/>
          </w:tcPr>
          <w:p w14:paraId="704F95D4">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6960</w:t>
            </w:r>
          </w:p>
        </w:tc>
        <w:tc>
          <w:tcPr>
            <w:tcW w:w="362" w:type="pct"/>
            <w:vAlign w:val="center"/>
          </w:tcPr>
          <w:p w14:paraId="3AC8B7A9">
            <w:pPr>
              <w:spacing w:line="240" w:lineRule="auto"/>
              <w:ind w:left="22" w:right="22"/>
              <w:jc w:val="center"/>
              <w:rPr>
                <w:rFonts w:hint="default" w:ascii="Times New Roman" w:hAnsi="Times New Roman" w:cs="Times New Roman"/>
                <w:color w:val="auto"/>
              </w:rPr>
            </w:pPr>
            <w:r>
              <w:rPr>
                <w:rFonts w:hint="default" w:ascii="Times New Roman" w:hAnsi="Times New Roman" w:cs="Times New Roman"/>
                <w:color w:val="auto"/>
              </w:rPr>
              <w:t>正常工况</w:t>
            </w:r>
          </w:p>
        </w:tc>
        <w:tc>
          <w:tcPr>
            <w:tcW w:w="282" w:type="pct"/>
            <w:vAlign w:val="center"/>
          </w:tcPr>
          <w:p w14:paraId="430E2311">
            <w:pPr>
              <w:pStyle w:val="83"/>
              <w:spacing w:line="240" w:lineRule="auto"/>
              <w:ind w:left="22" w:right="22"/>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auto"/>
                <w:lang w:val="en-US" w:eastAsia="zh-CN"/>
              </w:rPr>
              <w:t>0.007</w:t>
            </w:r>
          </w:p>
        </w:tc>
        <w:tc>
          <w:tcPr>
            <w:tcW w:w="243" w:type="pct"/>
            <w:tcBorders>
              <w:right w:val="single" w:color="000000" w:sz="4" w:space="0"/>
            </w:tcBorders>
            <w:vAlign w:val="center"/>
          </w:tcPr>
          <w:p w14:paraId="347D8C40">
            <w:pPr>
              <w:spacing w:line="240" w:lineRule="auto"/>
              <w:ind w:left="22" w:leftChars="0" w:right="22" w:rightChars="0"/>
              <w:jc w:val="center"/>
              <w:rPr>
                <w:rFonts w:hint="default" w:ascii="Times New Roman" w:hAnsi="Times New Roman" w:cs="Times New Roman"/>
                <w:color w:val="FF0000"/>
              </w:rPr>
            </w:pPr>
            <w:r>
              <w:rPr>
                <w:rFonts w:hint="eastAsia" w:ascii="Times New Roman" w:hAnsi="Times New Roman" w:eastAsia="宋体" w:cs="Times New Roman"/>
                <w:color w:val="auto"/>
                <w:lang w:val="en-US" w:eastAsia="zh-CN"/>
              </w:rPr>
              <w:t>/</w:t>
            </w:r>
          </w:p>
        </w:tc>
        <w:tc>
          <w:tcPr>
            <w:tcW w:w="159" w:type="pct"/>
            <w:tcBorders>
              <w:left w:val="single" w:color="000000" w:sz="4" w:space="0"/>
            </w:tcBorders>
            <w:vAlign w:val="center"/>
          </w:tcPr>
          <w:p w14:paraId="104603FC">
            <w:pPr>
              <w:spacing w:line="240" w:lineRule="auto"/>
              <w:ind w:left="22" w:leftChars="0" w:right="22" w:rightChars="0"/>
              <w:jc w:val="center"/>
              <w:rPr>
                <w:rFonts w:hint="default" w:ascii="Times New Roman" w:hAnsi="Times New Roman" w:cs="Times New Roman"/>
                <w:color w:val="FF0000"/>
              </w:rPr>
            </w:pPr>
            <w:r>
              <w:rPr>
                <w:rFonts w:hint="eastAsia" w:ascii="Times New Roman" w:hAnsi="Times New Roman" w:eastAsia="宋体" w:cs="Times New Roman"/>
                <w:color w:val="auto"/>
                <w:lang w:val="en-US" w:eastAsia="zh-CN"/>
              </w:rPr>
              <w:t>/</w:t>
            </w:r>
          </w:p>
        </w:tc>
        <w:tc>
          <w:tcPr>
            <w:tcW w:w="273" w:type="pct"/>
            <w:shd w:val="clear" w:color="auto" w:fill="auto"/>
            <w:vAlign w:val="center"/>
          </w:tcPr>
          <w:p w14:paraId="0D9DBC9F">
            <w:pPr>
              <w:spacing w:line="240" w:lineRule="auto"/>
              <w:ind w:left="22" w:leftChars="0" w:right="22" w:rightChars="0"/>
              <w:jc w:val="center"/>
              <w:rPr>
                <w:rFonts w:hint="default" w:ascii="Times New Roman" w:hAnsi="Times New Roman" w:cs="Times New Roman"/>
                <w:color w:val="FF0000"/>
              </w:rPr>
            </w:pPr>
            <w:r>
              <w:rPr>
                <w:rFonts w:hint="eastAsia" w:ascii="Times New Roman" w:hAnsi="Times New Roman" w:eastAsia="宋体" w:cs="Times New Roman"/>
                <w:color w:val="auto"/>
                <w:lang w:val="en-US" w:eastAsia="zh-CN"/>
              </w:rPr>
              <w:t>/</w:t>
            </w:r>
          </w:p>
        </w:tc>
        <w:tc>
          <w:tcPr>
            <w:tcW w:w="302" w:type="pct"/>
            <w:shd w:val="clear" w:color="auto" w:fill="auto"/>
            <w:vAlign w:val="center"/>
          </w:tcPr>
          <w:p w14:paraId="421E484E">
            <w:pPr>
              <w:spacing w:line="240" w:lineRule="auto"/>
              <w:ind w:left="22" w:leftChars="0" w:right="22" w:rightChars="0"/>
              <w:jc w:val="center"/>
              <w:rPr>
                <w:rFonts w:hint="default" w:ascii="Times New Roman" w:hAnsi="Times New Roman" w:cs="Times New Roman"/>
                <w:color w:val="FF0000"/>
              </w:rPr>
            </w:pPr>
            <w:r>
              <w:rPr>
                <w:rFonts w:hint="eastAsia" w:ascii="Times New Roman" w:hAnsi="Times New Roman" w:eastAsia="宋体" w:cs="Times New Roman"/>
                <w:color w:val="auto"/>
                <w:lang w:val="en-US" w:eastAsia="zh-CN"/>
              </w:rPr>
              <w:t>/</w:t>
            </w:r>
          </w:p>
        </w:tc>
      </w:tr>
      <w:tr w14:paraId="7B47ADD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0" w:type="pct"/>
            <w:vAlign w:val="center"/>
          </w:tcPr>
          <w:p w14:paraId="5942A65D">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W5</w:t>
            </w:r>
          </w:p>
        </w:tc>
        <w:tc>
          <w:tcPr>
            <w:tcW w:w="399" w:type="pct"/>
            <w:vAlign w:val="center"/>
          </w:tcPr>
          <w:p w14:paraId="58DA14CB">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配胶、喷胶及烘干</w:t>
            </w:r>
            <w:r>
              <w:rPr>
                <w:rFonts w:hint="default" w:ascii="Times New Roman" w:hAnsi="Times New Roman" w:cs="Times New Roman"/>
                <w:color w:val="auto"/>
                <w:lang w:val="en-US" w:eastAsia="zh-CN"/>
              </w:rPr>
              <w:t>、发泡</w:t>
            </w:r>
          </w:p>
        </w:tc>
        <w:tc>
          <w:tcPr>
            <w:tcW w:w="301" w:type="pct"/>
            <w:vAlign w:val="center"/>
          </w:tcPr>
          <w:p w14:paraId="7E207001">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10</w:t>
            </w:r>
          </w:p>
        </w:tc>
        <w:tc>
          <w:tcPr>
            <w:tcW w:w="350" w:type="pct"/>
            <w:vAlign w:val="center"/>
          </w:tcPr>
          <w:p w14:paraId="4A3198AF">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13</w:t>
            </w:r>
          </w:p>
        </w:tc>
        <w:tc>
          <w:tcPr>
            <w:tcW w:w="363" w:type="pct"/>
            <w:vAlign w:val="center"/>
          </w:tcPr>
          <w:p w14:paraId="6AD1E4C6">
            <w:pPr>
              <w:spacing w:line="240" w:lineRule="auto"/>
              <w:ind w:left="22" w:right="22"/>
              <w:jc w:val="center"/>
              <w:rPr>
                <w:rFonts w:hint="default" w:ascii="Times New Roman" w:hAnsi="Times New Roman" w:cs="Times New Roman"/>
                <w:color w:val="auto"/>
              </w:rPr>
            </w:pPr>
            <w:r>
              <w:rPr>
                <w:rFonts w:hint="eastAsia" w:ascii="Times New Roman" w:hAnsi="Times New Roman" w:eastAsia="宋体" w:cs="Times New Roman"/>
                <w:color w:val="auto"/>
                <w:lang w:eastAsia="zh-CN"/>
              </w:rPr>
              <w:t>1</w:t>
            </w:r>
            <w:r>
              <w:rPr>
                <w:rFonts w:hint="eastAsia" w:ascii="Times New Roman" w:hAnsi="Times New Roman" w:eastAsia="宋体" w:cs="Times New Roman"/>
                <w:color w:val="auto"/>
                <w:lang w:val="en-US" w:eastAsia="zh-CN"/>
              </w:rPr>
              <w:t>86</w:t>
            </w:r>
          </w:p>
        </w:tc>
        <w:tc>
          <w:tcPr>
            <w:tcW w:w="295" w:type="pct"/>
            <w:vAlign w:val="center"/>
          </w:tcPr>
          <w:p w14:paraId="55C8CF07">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180</w:t>
            </w:r>
          </w:p>
        </w:tc>
        <w:tc>
          <w:tcPr>
            <w:tcW w:w="306" w:type="pct"/>
            <w:vAlign w:val="center"/>
          </w:tcPr>
          <w:p w14:paraId="2DF2C829">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60</w:t>
            </w:r>
          </w:p>
        </w:tc>
        <w:tc>
          <w:tcPr>
            <w:tcW w:w="384" w:type="pct"/>
            <w:vAlign w:val="center"/>
          </w:tcPr>
          <w:p w14:paraId="2377F105">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40</w:t>
            </w:r>
          </w:p>
        </w:tc>
        <w:tc>
          <w:tcPr>
            <w:tcW w:w="390" w:type="pct"/>
            <w:vAlign w:val="center"/>
          </w:tcPr>
          <w:p w14:paraId="01886EF7">
            <w:pPr>
              <w:spacing w:line="240" w:lineRule="auto"/>
              <w:ind w:left="22" w:right="22"/>
              <w:jc w:val="center"/>
              <w:rPr>
                <w:rFonts w:hint="default" w:ascii="Times New Roman" w:hAnsi="Times New Roman" w:cs="Times New Roman"/>
                <w:color w:val="auto"/>
              </w:rPr>
            </w:pPr>
            <w:r>
              <w:rPr>
                <w:rFonts w:hint="default" w:ascii="Times New Roman" w:hAnsi="Times New Roman" w:cs="Times New Roman"/>
                <w:color w:val="auto"/>
              </w:rPr>
              <w:t>3</w:t>
            </w:r>
          </w:p>
        </w:tc>
        <w:tc>
          <w:tcPr>
            <w:tcW w:w="345" w:type="pct"/>
            <w:vAlign w:val="center"/>
          </w:tcPr>
          <w:p w14:paraId="401AD391">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6960</w:t>
            </w:r>
          </w:p>
        </w:tc>
        <w:tc>
          <w:tcPr>
            <w:tcW w:w="362" w:type="pct"/>
            <w:vAlign w:val="center"/>
          </w:tcPr>
          <w:p w14:paraId="42049B02">
            <w:pPr>
              <w:spacing w:line="240" w:lineRule="auto"/>
              <w:ind w:left="22" w:right="22"/>
              <w:jc w:val="center"/>
              <w:rPr>
                <w:rFonts w:hint="default" w:ascii="Times New Roman" w:hAnsi="Times New Roman" w:cs="Times New Roman"/>
                <w:color w:val="auto"/>
              </w:rPr>
            </w:pPr>
            <w:r>
              <w:rPr>
                <w:rFonts w:hint="default" w:ascii="Times New Roman" w:hAnsi="Times New Roman" w:cs="Times New Roman"/>
                <w:color w:val="auto"/>
              </w:rPr>
              <w:t>正常工况</w:t>
            </w:r>
          </w:p>
        </w:tc>
        <w:tc>
          <w:tcPr>
            <w:tcW w:w="282" w:type="pct"/>
            <w:vAlign w:val="center"/>
          </w:tcPr>
          <w:p w14:paraId="4157F10E">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243" w:type="pct"/>
            <w:tcBorders>
              <w:right w:val="single" w:color="000000" w:sz="4" w:space="0"/>
            </w:tcBorders>
            <w:vAlign w:val="center"/>
          </w:tcPr>
          <w:p w14:paraId="5446D222">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0.156</w:t>
            </w:r>
          </w:p>
        </w:tc>
        <w:tc>
          <w:tcPr>
            <w:tcW w:w="159" w:type="pct"/>
            <w:tcBorders>
              <w:left w:val="single" w:color="000000" w:sz="4" w:space="0"/>
            </w:tcBorders>
            <w:vAlign w:val="center"/>
          </w:tcPr>
          <w:p w14:paraId="681AAA08">
            <w:pPr>
              <w:pStyle w:val="83"/>
              <w:spacing w:line="240" w:lineRule="auto"/>
              <w:ind w:left="22" w:right="22"/>
              <w:rPr>
                <w:rFonts w:hint="default" w:ascii="Times New Roman" w:hAnsi="Times New Roman" w:cs="Times New Roman"/>
                <w:color w:val="FF0000"/>
              </w:rPr>
            </w:pPr>
          </w:p>
        </w:tc>
        <w:tc>
          <w:tcPr>
            <w:tcW w:w="273" w:type="pct"/>
            <w:shd w:val="clear" w:color="auto" w:fill="auto"/>
            <w:vAlign w:val="center"/>
          </w:tcPr>
          <w:p w14:paraId="359FA3FD">
            <w:pPr>
              <w:pStyle w:val="83"/>
              <w:spacing w:line="240" w:lineRule="auto"/>
              <w:ind w:left="22" w:right="22"/>
              <w:rPr>
                <w:rFonts w:hint="default" w:ascii="Times New Roman" w:hAnsi="Times New Roman" w:cs="Times New Roman"/>
                <w:color w:val="FF0000"/>
              </w:rPr>
            </w:pPr>
          </w:p>
        </w:tc>
        <w:tc>
          <w:tcPr>
            <w:tcW w:w="302" w:type="pct"/>
            <w:shd w:val="clear" w:color="auto" w:fill="auto"/>
            <w:vAlign w:val="center"/>
          </w:tcPr>
          <w:p w14:paraId="165F38A9">
            <w:pPr>
              <w:pStyle w:val="83"/>
              <w:spacing w:line="240" w:lineRule="auto"/>
              <w:ind w:left="22" w:right="22"/>
              <w:rPr>
                <w:rFonts w:hint="default" w:ascii="Times New Roman" w:hAnsi="Times New Roman" w:cs="Times New Roman"/>
                <w:color w:val="FF0000"/>
              </w:rPr>
            </w:pPr>
          </w:p>
        </w:tc>
      </w:tr>
    </w:tbl>
    <w:p w14:paraId="0A0A6B1A">
      <w:pPr>
        <w:tabs>
          <w:tab w:val="left" w:pos="567"/>
          <w:tab w:val="left" w:pos="4440"/>
        </w:tabs>
        <w:autoSpaceDE w:val="0"/>
        <w:autoSpaceDN w:val="0"/>
        <w:spacing w:line="240" w:lineRule="auto"/>
        <w:ind w:left="0" w:leftChars="0" w:firstLine="0" w:firstLineChars="0"/>
        <w:jc w:val="both"/>
        <w:textAlignment w:val="bottom"/>
        <w:rPr>
          <w:rFonts w:hint="eastAsia"/>
          <w:b/>
          <w:bCs/>
          <w:color w:val="auto"/>
          <w:spacing w:val="20"/>
          <w:sz w:val="21"/>
          <w:szCs w:val="21"/>
          <w:highlight w:val="none"/>
          <w:lang w:val="en-US" w:eastAsia="zh-CN"/>
        </w:rPr>
      </w:pPr>
      <w:r>
        <w:rPr>
          <w:rFonts w:hint="eastAsia"/>
          <w:b/>
          <w:bCs/>
          <w:color w:val="auto"/>
          <w:spacing w:val="20"/>
          <w:sz w:val="21"/>
          <w:szCs w:val="21"/>
          <w:highlight w:val="none"/>
          <w:lang w:val="en-US" w:eastAsia="zh-CN"/>
        </w:rPr>
        <w:t>注：面源高度取车间门窗高度。</w:t>
      </w:r>
    </w:p>
    <w:p w14:paraId="663908EC">
      <w:pPr>
        <w:keepNext w:val="0"/>
        <w:keepLines w:val="0"/>
        <w:pageBreakBefore w:val="0"/>
        <w:widowControl/>
        <w:tabs>
          <w:tab w:val="right" w:leader="dot" w:pos="8505"/>
        </w:tabs>
        <w:kinsoku/>
        <w:wordWrap w:val="0"/>
        <w:overflowPunct/>
        <w:topLinePunct w:val="0"/>
        <w:autoSpaceDE w:val="0"/>
        <w:autoSpaceDN w:val="0"/>
        <w:bidi w:val="0"/>
        <w:adjustRightInd w:val="0"/>
        <w:snapToGrid w:val="0"/>
        <w:spacing w:line="360" w:lineRule="auto"/>
        <w:ind w:firstLine="420" w:firstLineChars="200"/>
        <w:jc w:val="both"/>
        <w:textAlignment w:val="baseline"/>
        <w:rPr>
          <w:rFonts w:hint="default"/>
          <w:color w:val="FF0000"/>
          <w:highlight w:val="none"/>
        </w:rPr>
        <w:sectPr>
          <w:pgSz w:w="16839" w:h="11906" w:orient="landscape"/>
          <w:pgMar w:top="1417" w:right="1133" w:bottom="1417" w:left="1134" w:header="897" w:footer="1090" w:gutter="0"/>
          <w:pgBorders>
            <w:top w:val="none" w:sz="0" w:space="0"/>
            <w:left w:val="none" w:sz="0" w:space="0"/>
            <w:bottom w:val="none" w:sz="0" w:space="0"/>
            <w:right w:val="none" w:sz="0" w:space="0"/>
          </w:pgBorders>
          <w:pgNumType w:fmt="decimal"/>
          <w:cols w:space="720" w:num="1"/>
        </w:sectPr>
      </w:pPr>
    </w:p>
    <w:p w14:paraId="0221C0F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4</w:t>
      </w:r>
      <w:r>
        <w:rPr>
          <w:rFonts w:hint="eastAsia" w:ascii="Times New Roman" w:hAnsi="Times New Roman" w:cs="Times New Roman"/>
          <w:color w:val="auto"/>
          <w:sz w:val="24"/>
          <w:szCs w:val="24"/>
          <w:highlight w:val="none"/>
          <w:lang w:eastAsia="zh-CN"/>
        </w:rPr>
        <w:t>）主要污染源估算模型计算结果</w:t>
      </w:r>
    </w:p>
    <w:p w14:paraId="48ED429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项</w:t>
      </w:r>
      <w:r>
        <w:rPr>
          <w:rFonts w:hint="eastAsia" w:ascii="Times New Roman" w:hAnsi="Times New Roman" w:cs="Times New Roman"/>
          <w:color w:val="auto"/>
          <w:sz w:val="24"/>
          <w:szCs w:val="24"/>
          <w:highlight w:val="none"/>
          <w:lang w:eastAsia="zh-CN"/>
        </w:rPr>
        <w:t>目正常排放的主要污染源估算模型计算结果见表2.</w:t>
      </w:r>
      <w:r>
        <w:rPr>
          <w:rFonts w:hint="eastAsia" w:ascii="Times New Roman" w:hAnsi="Times New Roman" w:cs="Times New Roman"/>
          <w:color w:val="auto"/>
          <w:sz w:val="24"/>
          <w:szCs w:val="24"/>
          <w:highlight w:val="none"/>
          <w:lang w:val="en-US" w:eastAsia="zh-CN"/>
        </w:rPr>
        <w:t>6</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6——表2.6-10</w:t>
      </w:r>
      <w:r>
        <w:rPr>
          <w:rFonts w:hint="eastAsia" w:ascii="Times New Roman" w:hAnsi="Times New Roman" w:cs="Times New Roman"/>
          <w:color w:val="auto"/>
          <w:sz w:val="24"/>
          <w:szCs w:val="24"/>
          <w:highlight w:val="none"/>
          <w:lang w:eastAsia="zh-CN"/>
        </w:rPr>
        <w:t>。</w:t>
      </w:r>
    </w:p>
    <w:p w14:paraId="208224AF">
      <w:pPr>
        <w:pStyle w:val="44"/>
        <w:bidi w:val="0"/>
        <w:rPr>
          <w:color w:val="auto"/>
          <w:highlight w:val="none"/>
        </w:rPr>
      </w:pPr>
      <w:r>
        <w:rPr>
          <w:color w:val="auto"/>
          <w:highlight w:val="none"/>
        </w:rPr>
        <w:t>表</w:t>
      </w:r>
      <w:r>
        <w:rPr>
          <w:rFonts w:hint="eastAsia"/>
          <w:color w:val="auto"/>
          <w:highlight w:val="none"/>
          <w:lang w:val="en-US" w:eastAsia="zh-CN"/>
        </w:rPr>
        <w:t>2.6-6</w:t>
      </w:r>
      <w:r>
        <w:rPr>
          <w:color w:val="auto"/>
          <w:highlight w:val="none"/>
        </w:rPr>
        <w:t xml:space="preserve"> 本项目主要污染源估算模型计算结果表（点源）</w:t>
      </w:r>
    </w:p>
    <w:tbl>
      <w:tblPr>
        <w:tblStyle w:val="22"/>
        <w:tblW w:w="498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2396"/>
        <w:gridCol w:w="1676"/>
        <w:gridCol w:w="1800"/>
        <w:gridCol w:w="1903"/>
        <w:gridCol w:w="1428"/>
        <w:gridCol w:w="1434"/>
        <w:gridCol w:w="1499"/>
        <w:gridCol w:w="1286"/>
        <w:gridCol w:w="1331"/>
      </w:tblGrid>
      <w:tr w14:paraId="412E781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vMerge w:val="restart"/>
            <w:tcBorders>
              <w:tl2br w:val="nil"/>
              <w:tr2bl w:val="nil"/>
            </w:tcBorders>
            <w:vAlign w:val="center"/>
          </w:tcPr>
          <w:p w14:paraId="37EA1A6C">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下风向距离/m</w:t>
            </w:r>
          </w:p>
        </w:tc>
        <w:tc>
          <w:tcPr>
            <w:tcW w:w="4187" w:type="pct"/>
            <w:gridSpan w:val="8"/>
            <w:tcBorders>
              <w:tl2br w:val="nil"/>
              <w:tr2bl w:val="nil"/>
            </w:tcBorders>
            <w:vAlign w:val="center"/>
          </w:tcPr>
          <w:p w14:paraId="6DD0F1B0">
            <w:pPr>
              <w:pStyle w:val="83"/>
              <w:spacing w:line="240" w:lineRule="auto"/>
              <w:ind w:left="0" w:leftChars="0" w:right="0" w:rightChars="0"/>
              <w:rPr>
                <w:rFonts w:hint="default" w:ascii="Times New Roman" w:hAnsi="Times New Roman" w:cs="Times New Roman"/>
                <w:color w:val="auto"/>
                <w:szCs w:val="21"/>
              </w:rPr>
            </w:pPr>
            <w:r>
              <w:rPr>
                <w:rFonts w:hint="eastAsia" w:ascii="Times New Roman" w:hAnsi="Times New Roman" w:eastAsia="宋体" w:cs="Times New Roman"/>
                <w:color w:val="auto"/>
                <w:lang w:val="en-US" w:eastAsia="zh-CN"/>
              </w:rPr>
              <w:t>注塑废气排气筒</w:t>
            </w:r>
            <w:r>
              <w:rPr>
                <w:rFonts w:hint="default" w:ascii="Times New Roman" w:hAnsi="Times New Roman" w:cs="Times New Roman"/>
                <w:color w:val="auto"/>
                <w:szCs w:val="21"/>
              </w:rPr>
              <w:t>（DA0</w:t>
            </w:r>
            <w:r>
              <w:rPr>
                <w:rFonts w:hint="eastAsia" w:ascii="Times New Roman" w:hAnsi="Times New Roman" w:eastAsia="宋体" w:cs="Times New Roman"/>
                <w:color w:val="auto"/>
                <w:szCs w:val="21"/>
                <w:lang w:val="en-US" w:eastAsia="zh-CN"/>
              </w:rPr>
              <w:t>01</w:t>
            </w:r>
            <w:r>
              <w:rPr>
                <w:rFonts w:hint="default" w:ascii="Times New Roman" w:hAnsi="Times New Roman" w:cs="Times New Roman"/>
                <w:color w:val="auto"/>
                <w:szCs w:val="21"/>
              </w:rPr>
              <w:t>）</w:t>
            </w:r>
          </w:p>
        </w:tc>
      </w:tr>
      <w:tr w14:paraId="4CEE705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vMerge w:val="continue"/>
            <w:tcBorders>
              <w:tl2br w:val="nil"/>
              <w:tr2bl w:val="nil"/>
            </w:tcBorders>
            <w:vAlign w:val="center"/>
          </w:tcPr>
          <w:p w14:paraId="50366115">
            <w:pPr>
              <w:pStyle w:val="83"/>
              <w:spacing w:line="240" w:lineRule="auto"/>
              <w:ind w:left="0" w:leftChars="0" w:right="0" w:rightChars="0"/>
              <w:rPr>
                <w:rFonts w:hint="default" w:ascii="Times New Roman" w:hAnsi="Times New Roman" w:cs="Times New Roman"/>
                <w:color w:val="auto"/>
                <w:szCs w:val="21"/>
              </w:rPr>
            </w:pPr>
          </w:p>
        </w:tc>
        <w:tc>
          <w:tcPr>
            <w:tcW w:w="1178" w:type="pct"/>
            <w:gridSpan w:val="2"/>
            <w:tcBorders>
              <w:tl2br w:val="nil"/>
              <w:tr2bl w:val="nil"/>
            </w:tcBorders>
            <w:vAlign w:val="center"/>
          </w:tcPr>
          <w:p w14:paraId="3E4951F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非甲烷总烃</w:t>
            </w:r>
          </w:p>
        </w:tc>
        <w:tc>
          <w:tcPr>
            <w:tcW w:w="1129" w:type="pct"/>
            <w:gridSpan w:val="2"/>
            <w:tcBorders>
              <w:tl2br w:val="nil"/>
              <w:tr2bl w:val="nil"/>
            </w:tcBorders>
            <w:vAlign w:val="center"/>
          </w:tcPr>
          <w:p w14:paraId="0CB6AC57">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甲苯</w:t>
            </w:r>
          </w:p>
        </w:tc>
        <w:tc>
          <w:tcPr>
            <w:tcW w:w="994" w:type="pct"/>
            <w:gridSpan w:val="2"/>
            <w:tcBorders>
              <w:tl2br w:val="nil"/>
              <w:tr2bl w:val="nil"/>
            </w:tcBorders>
            <w:vAlign w:val="center"/>
          </w:tcPr>
          <w:p w14:paraId="27F90990">
            <w:pPr>
              <w:pStyle w:val="83"/>
              <w:spacing w:line="240" w:lineRule="auto"/>
              <w:ind w:left="19" w:leftChars="9" w:right="19" w:rightChars="9" w:firstLine="0" w:firstLineChars="0"/>
              <w:rPr>
                <w:rFonts w:hint="default" w:ascii="Times New Roman" w:hAnsi="Times New Roman" w:cs="Times New Roman"/>
                <w:color w:val="auto"/>
                <w:szCs w:val="21"/>
              </w:rPr>
            </w:pPr>
            <w:r>
              <w:rPr>
                <w:rFonts w:hint="eastAsia" w:ascii="Times New Roman" w:hAnsi="Times New Roman" w:eastAsia="宋体" w:cs="Times New Roman"/>
                <w:color w:val="auto"/>
                <w:lang w:val="en-US" w:eastAsia="zh-CN"/>
              </w:rPr>
              <w:t>苯乙烯</w:t>
            </w:r>
          </w:p>
        </w:tc>
        <w:tc>
          <w:tcPr>
            <w:tcW w:w="883" w:type="pct"/>
            <w:gridSpan w:val="2"/>
            <w:tcBorders>
              <w:tl2br w:val="nil"/>
              <w:tr2bl w:val="nil"/>
            </w:tcBorders>
            <w:vAlign w:val="center"/>
          </w:tcPr>
          <w:p w14:paraId="5174F7B8">
            <w:pPr>
              <w:pStyle w:val="83"/>
              <w:spacing w:line="240" w:lineRule="auto"/>
              <w:ind w:left="19" w:leftChars="9" w:right="19" w:rightChars="9" w:firstLine="0" w:firstLineChars="0"/>
              <w:rPr>
                <w:rFonts w:hint="default" w:ascii="Times New Roman" w:hAnsi="Times New Roman" w:cs="Times New Roman"/>
                <w:color w:val="auto"/>
                <w:szCs w:val="21"/>
              </w:rPr>
            </w:pPr>
            <w:r>
              <w:rPr>
                <w:rFonts w:hint="eastAsia" w:ascii="Times New Roman" w:hAnsi="Times New Roman" w:eastAsia="宋体" w:cs="Times New Roman"/>
                <w:color w:val="auto"/>
                <w:lang w:val="en-US" w:eastAsia="zh-CN"/>
              </w:rPr>
              <w:t>丙烯腈</w:t>
            </w:r>
          </w:p>
        </w:tc>
      </w:tr>
      <w:tr w14:paraId="3F21199A">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vMerge w:val="continue"/>
            <w:tcBorders>
              <w:tl2br w:val="nil"/>
              <w:tr2bl w:val="nil"/>
            </w:tcBorders>
            <w:vAlign w:val="center"/>
          </w:tcPr>
          <w:p w14:paraId="5E6A18A9">
            <w:pPr>
              <w:pStyle w:val="83"/>
              <w:spacing w:line="240" w:lineRule="auto"/>
              <w:ind w:left="0" w:leftChars="0" w:right="0" w:rightChars="0"/>
              <w:rPr>
                <w:rFonts w:hint="default" w:ascii="Times New Roman" w:hAnsi="Times New Roman" w:cs="Times New Roman"/>
                <w:color w:val="auto"/>
                <w:szCs w:val="21"/>
              </w:rPr>
            </w:pPr>
          </w:p>
        </w:tc>
        <w:tc>
          <w:tcPr>
            <w:tcW w:w="568" w:type="pct"/>
            <w:tcBorders>
              <w:tl2br w:val="nil"/>
              <w:tr2bl w:val="nil"/>
            </w:tcBorders>
            <w:vAlign w:val="center"/>
          </w:tcPr>
          <w:p w14:paraId="57ACDA98">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预测质量浓度/mg/m</w:t>
            </w:r>
            <w:r>
              <w:rPr>
                <w:rFonts w:hint="default" w:ascii="Times New Roman" w:hAnsi="Times New Roman" w:cs="Times New Roman"/>
                <w:color w:val="auto"/>
                <w:szCs w:val="21"/>
                <w:vertAlign w:val="superscript"/>
              </w:rPr>
              <w:t>3</w:t>
            </w:r>
          </w:p>
        </w:tc>
        <w:tc>
          <w:tcPr>
            <w:tcW w:w="609" w:type="pct"/>
            <w:tcBorders>
              <w:tl2br w:val="nil"/>
              <w:tr2bl w:val="nil"/>
            </w:tcBorders>
            <w:vAlign w:val="center"/>
          </w:tcPr>
          <w:p w14:paraId="633A48E9">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占标率/%</w:t>
            </w:r>
          </w:p>
        </w:tc>
        <w:tc>
          <w:tcPr>
            <w:tcW w:w="645" w:type="pct"/>
            <w:tcBorders>
              <w:tl2br w:val="nil"/>
              <w:tr2bl w:val="nil"/>
            </w:tcBorders>
            <w:vAlign w:val="center"/>
          </w:tcPr>
          <w:p w14:paraId="36C2034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预测质量浓度/mg/m</w:t>
            </w:r>
            <w:r>
              <w:rPr>
                <w:rFonts w:hint="default" w:ascii="Times New Roman" w:hAnsi="Times New Roman" w:cs="Times New Roman"/>
                <w:color w:val="auto"/>
                <w:szCs w:val="21"/>
                <w:vertAlign w:val="superscript"/>
              </w:rPr>
              <w:t>3</w:t>
            </w:r>
          </w:p>
        </w:tc>
        <w:tc>
          <w:tcPr>
            <w:tcW w:w="483" w:type="pct"/>
            <w:tcBorders>
              <w:tl2br w:val="nil"/>
              <w:tr2bl w:val="nil"/>
            </w:tcBorders>
            <w:vAlign w:val="center"/>
          </w:tcPr>
          <w:p w14:paraId="5AE27197">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占标率/%</w:t>
            </w:r>
          </w:p>
        </w:tc>
        <w:tc>
          <w:tcPr>
            <w:tcW w:w="486" w:type="pct"/>
            <w:tcBorders>
              <w:tl2br w:val="nil"/>
              <w:tr2bl w:val="nil"/>
            </w:tcBorders>
            <w:vAlign w:val="center"/>
          </w:tcPr>
          <w:p w14:paraId="0E3808F3">
            <w:pPr>
              <w:pStyle w:val="83"/>
              <w:spacing w:line="240" w:lineRule="auto"/>
              <w:ind w:left="0" w:leftChars="0" w:right="0" w:rightChars="0"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预测质量浓度/mg/m</w:t>
            </w:r>
            <w:r>
              <w:rPr>
                <w:rFonts w:hint="default" w:ascii="Times New Roman" w:hAnsi="Times New Roman" w:cs="Times New Roman"/>
                <w:color w:val="auto"/>
                <w:szCs w:val="21"/>
                <w:vertAlign w:val="superscript"/>
              </w:rPr>
              <w:t>3</w:t>
            </w:r>
          </w:p>
        </w:tc>
        <w:tc>
          <w:tcPr>
            <w:tcW w:w="507" w:type="pct"/>
            <w:tcBorders>
              <w:tl2br w:val="nil"/>
              <w:tr2bl w:val="nil"/>
            </w:tcBorders>
            <w:vAlign w:val="center"/>
          </w:tcPr>
          <w:p w14:paraId="5F731D2C">
            <w:pPr>
              <w:pStyle w:val="83"/>
              <w:spacing w:line="240" w:lineRule="auto"/>
              <w:ind w:left="0" w:leftChars="0" w:right="0" w:rightChars="0"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占标率/%</w:t>
            </w:r>
          </w:p>
        </w:tc>
        <w:tc>
          <w:tcPr>
            <w:tcW w:w="436" w:type="pct"/>
            <w:tcBorders>
              <w:tl2br w:val="nil"/>
              <w:tr2bl w:val="nil"/>
            </w:tcBorders>
            <w:vAlign w:val="center"/>
          </w:tcPr>
          <w:p w14:paraId="7A9E9EA7">
            <w:pPr>
              <w:pStyle w:val="83"/>
              <w:spacing w:line="240" w:lineRule="auto"/>
              <w:ind w:left="0" w:leftChars="0" w:right="0" w:rightChars="0"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预测质量浓度/mg/m</w:t>
            </w:r>
            <w:r>
              <w:rPr>
                <w:rFonts w:hint="default" w:ascii="Times New Roman" w:hAnsi="Times New Roman" w:cs="Times New Roman"/>
                <w:color w:val="auto"/>
                <w:szCs w:val="21"/>
                <w:vertAlign w:val="superscript"/>
              </w:rPr>
              <w:t>3</w:t>
            </w:r>
          </w:p>
        </w:tc>
        <w:tc>
          <w:tcPr>
            <w:tcW w:w="447" w:type="pct"/>
            <w:tcBorders>
              <w:tl2br w:val="nil"/>
              <w:tr2bl w:val="nil"/>
            </w:tcBorders>
            <w:vAlign w:val="center"/>
          </w:tcPr>
          <w:p w14:paraId="266D7AC1">
            <w:pPr>
              <w:pStyle w:val="83"/>
              <w:spacing w:line="240" w:lineRule="auto"/>
              <w:ind w:left="0" w:leftChars="0" w:right="0" w:rightChars="0"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占标率/%</w:t>
            </w:r>
          </w:p>
        </w:tc>
      </w:tr>
      <w:tr w14:paraId="597FD58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0EB95F2F">
            <w:pPr>
              <w:pStyle w:val="83"/>
              <w:spacing w:line="240" w:lineRule="auto"/>
              <w:ind w:left="0" w:leftChars="0" w:right="0" w:right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10</w:t>
            </w:r>
          </w:p>
        </w:tc>
        <w:tc>
          <w:tcPr>
            <w:tcW w:w="568" w:type="pct"/>
            <w:tcBorders>
              <w:tl2br w:val="nil"/>
              <w:tr2bl w:val="nil"/>
            </w:tcBorders>
            <w:shd w:val="clear" w:color="auto" w:fill="auto"/>
            <w:vAlign w:val="center"/>
          </w:tcPr>
          <w:p w14:paraId="78A22970">
            <w:pPr>
              <w:pStyle w:val="83"/>
              <w:adjustRightInd/>
              <w:snapToGrid/>
              <w:spacing w:line="240" w:lineRule="auto"/>
              <w:ind w:left="0" w:leftChars="0" w:right="0" w:rightChars="0" w:firstLine="0" w:firstLineChars="0"/>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eastAsia="Arial" w:cs="Times New Roman"/>
                <w:snapToGrid w:val="0"/>
                <w:color w:val="auto"/>
                <w:kern w:val="0"/>
                <w:sz w:val="21"/>
                <w:szCs w:val="21"/>
                <w:lang w:val="en-US" w:eastAsia="en-US" w:bidi="ar-SA"/>
              </w:rPr>
              <w:t>5.25E-12</w:t>
            </w:r>
          </w:p>
        </w:tc>
        <w:tc>
          <w:tcPr>
            <w:tcW w:w="609" w:type="pct"/>
            <w:tcBorders>
              <w:tl2br w:val="nil"/>
              <w:tr2bl w:val="nil"/>
            </w:tcBorders>
            <w:shd w:val="clear" w:color="auto" w:fill="auto"/>
            <w:vAlign w:val="center"/>
          </w:tcPr>
          <w:p w14:paraId="14EE755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645" w:type="pct"/>
            <w:tcBorders>
              <w:tl2br w:val="nil"/>
              <w:tr2bl w:val="nil"/>
            </w:tcBorders>
            <w:vAlign w:val="center"/>
          </w:tcPr>
          <w:p w14:paraId="40CF1686">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6.74E-14</w:t>
            </w:r>
          </w:p>
        </w:tc>
        <w:tc>
          <w:tcPr>
            <w:tcW w:w="483" w:type="pct"/>
            <w:tcBorders>
              <w:tl2br w:val="nil"/>
              <w:tr2bl w:val="nil"/>
            </w:tcBorders>
            <w:shd w:val="clear" w:color="auto" w:fill="auto"/>
            <w:vAlign w:val="center"/>
          </w:tcPr>
          <w:p w14:paraId="6AF4B05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486" w:type="pct"/>
            <w:tcBorders>
              <w:tl2br w:val="nil"/>
              <w:tr2bl w:val="nil"/>
            </w:tcBorders>
            <w:shd w:val="clear" w:color="auto" w:fill="auto"/>
            <w:vAlign w:val="center"/>
          </w:tcPr>
          <w:p w14:paraId="12DF674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9.43E-13</w:t>
            </w:r>
          </w:p>
        </w:tc>
        <w:tc>
          <w:tcPr>
            <w:tcW w:w="507" w:type="pct"/>
            <w:tcBorders>
              <w:tl2br w:val="nil"/>
              <w:tr2bl w:val="nil"/>
            </w:tcBorders>
            <w:shd w:val="clear" w:color="auto" w:fill="auto"/>
            <w:vAlign w:val="center"/>
          </w:tcPr>
          <w:p w14:paraId="499B212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436" w:type="pct"/>
            <w:tcBorders>
              <w:tl2br w:val="nil"/>
              <w:tr2bl w:val="nil"/>
            </w:tcBorders>
            <w:shd w:val="clear" w:color="auto" w:fill="auto"/>
            <w:vAlign w:val="center"/>
          </w:tcPr>
          <w:p w14:paraId="1D8CD7A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2.70E-14</w:t>
            </w:r>
          </w:p>
        </w:tc>
        <w:tc>
          <w:tcPr>
            <w:tcW w:w="447" w:type="pct"/>
            <w:tcBorders>
              <w:tl2br w:val="nil"/>
              <w:tr2bl w:val="nil"/>
            </w:tcBorders>
            <w:shd w:val="clear" w:color="auto" w:fill="auto"/>
            <w:vAlign w:val="center"/>
          </w:tcPr>
          <w:p w14:paraId="21346C4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r>
      <w:tr w14:paraId="355920B4">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60D38494">
            <w:pPr>
              <w:pStyle w:val="83"/>
              <w:spacing w:line="240" w:lineRule="auto"/>
              <w:ind w:left="0" w:leftChars="0" w:right="0" w:right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25</w:t>
            </w:r>
          </w:p>
        </w:tc>
        <w:tc>
          <w:tcPr>
            <w:tcW w:w="568" w:type="pct"/>
            <w:tcBorders>
              <w:tl2br w:val="nil"/>
              <w:tr2bl w:val="nil"/>
            </w:tcBorders>
            <w:shd w:val="clear" w:color="auto" w:fill="auto"/>
            <w:vAlign w:val="center"/>
          </w:tcPr>
          <w:p w14:paraId="27D3720B">
            <w:pPr>
              <w:pStyle w:val="83"/>
              <w:adjustRightInd/>
              <w:snapToGrid/>
              <w:spacing w:line="240" w:lineRule="auto"/>
              <w:ind w:left="0" w:leftChars="0" w:right="0" w:rightChars="0" w:firstLine="0" w:firstLineChars="0"/>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eastAsia="Arial" w:cs="Times New Roman"/>
                <w:snapToGrid w:val="0"/>
                <w:color w:val="auto"/>
                <w:kern w:val="0"/>
                <w:sz w:val="21"/>
                <w:szCs w:val="21"/>
                <w:lang w:val="en-US" w:eastAsia="en-US" w:bidi="ar-SA"/>
              </w:rPr>
              <w:t>1.74E-07</w:t>
            </w:r>
          </w:p>
        </w:tc>
        <w:tc>
          <w:tcPr>
            <w:tcW w:w="609" w:type="pct"/>
            <w:tcBorders>
              <w:tl2br w:val="nil"/>
              <w:tr2bl w:val="nil"/>
            </w:tcBorders>
            <w:shd w:val="clear" w:color="auto" w:fill="auto"/>
            <w:vAlign w:val="center"/>
          </w:tcPr>
          <w:p w14:paraId="4B7DDB4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645" w:type="pct"/>
            <w:tcBorders>
              <w:tl2br w:val="nil"/>
              <w:tr2bl w:val="nil"/>
            </w:tcBorders>
            <w:vAlign w:val="center"/>
          </w:tcPr>
          <w:p w14:paraId="268D4890">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2.23E-09</w:t>
            </w:r>
          </w:p>
        </w:tc>
        <w:tc>
          <w:tcPr>
            <w:tcW w:w="483" w:type="pct"/>
            <w:tcBorders>
              <w:tl2br w:val="nil"/>
              <w:tr2bl w:val="nil"/>
            </w:tcBorders>
            <w:shd w:val="clear" w:color="auto" w:fill="auto"/>
            <w:vAlign w:val="center"/>
          </w:tcPr>
          <w:p w14:paraId="0AD570A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486" w:type="pct"/>
            <w:tcBorders>
              <w:tl2br w:val="nil"/>
              <w:tr2bl w:val="nil"/>
            </w:tcBorders>
            <w:shd w:val="clear" w:color="auto" w:fill="auto"/>
            <w:vAlign w:val="center"/>
          </w:tcPr>
          <w:p w14:paraId="01817D3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3.12E-08</w:t>
            </w:r>
          </w:p>
        </w:tc>
        <w:tc>
          <w:tcPr>
            <w:tcW w:w="507" w:type="pct"/>
            <w:tcBorders>
              <w:tl2br w:val="nil"/>
              <w:tr2bl w:val="nil"/>
            </w:tcBorders>
            <w:shd w:val="clear" w:color="auto" w:fill="auto"/>
            <w:vAlign w:val="center"/>
          </w:tcPr>
          <w:p w14:paraId="17C3B9A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436" w:type="pct"/>
            <w:tcBorders>
              <w:tl2br w:val="nil"/>
              <w:tr2bl w:val="nil"/>
            </w:tcBorders>
            <w:shd w:val="clear" w:color="auto" w:fill="auto"/>
            <w:vAlign w:val="center"/>
          </w:tcPr>
          <w:p w14:paraId="7027562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8.93E-10</w:t>
            </w:r>
          </w:p>
        </w:tc>
        <w:tc>
          <w:tcPr>
            <w:tcW w:w="447" w:type="pct"/>
            <w:tcBorders>
              <w:tl2br w:val="nil"/>
              <w:tr2bl w:val="nil"/>
            </w:tcBorders>
            <w:shd w:val="clear" w:color="auto" w:fill="auto"/>
            <w:vAlign w:val="center"/>
          </w:tcPr>
          <w:p w14:paraId="1D44D60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r>
      <w:tr w14:paraId="4D3B08D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3D9EAB60">
            <w:pPr>
              <w:pStyle w:val="83"/>
              <w:spacing w:line="240" w:lineRule="auto"/>
              <w:ind w:left="0" w:leftChars="0" w:right="0" w:right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50</w:t>
            </w:r>
          </w:p>
        </w:tc>
        <w:tc>
          <w:tcPr>
            <w:tcW w:w="568" w:type="pct"/>
            <w:tcBorders>
              <w:tl2br w:val="nil"/>
              <w:tr2bl w:val="nil"/>
            </w:tcBorders>
            <w:vAlign w:val="center"/>
          </w:tcPr>
          <w:p w14:paraId="16CCF441">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2.51E-05</w:t>
            </w:r>
          </w:p>
        </w:tc>
        <w:tc>
          <w:tcPr>
            <w:tcW w:w="609" w:type="pct"/>
            <w:tcBorders>
              <w:tl2br w:val="nil"/>
              <w:tr2bl w:val="nil"/>
            </w:tcBorders>
            <w:shd w:val="clear" w:color="auto" w:fill="auto"/>
            <w:vAlign w:val="center"/>
          </w:tcPr>
          <w:p w14:paraId="6E8DAC2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645" w:type="pct"/>
            <w:tcBorders>
              <w:tl2br w:val="nil"/>
              <w:tr2bl w:val="nil"/>
            </w:tcBorders>
            <w:vAlign w:val="center"/>
          </w:tcPr>
          <w:p w14:paraId="5BCD9971">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3.22E-07</w:t>
            </w:r>
          </w:p>
        </w:tc>
        <w:tc>
          <w:tcPr>
            <w:tcW w:w="483" w:type="pct"/>
            <w:tcBorders>
              <w:tl2br w:val="nil"/>
              <w:tr2bl w:val="nil"/>
            </w:tcBorders>
            <w:shd w:val="clear" w:color="auto" w:fill="auto"/>
            <w:vAlign w:val="center"/>
          </w:tcPr>
          <w:p w14:paraId="306007C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486" w:type="pct"/>
            <w:tcBorders>
              <w:tl2br w:val="nil"/>
              <w:tr2bl w:val="nil"/>
            </w:tcBorders>
            <w:shd w:val="clear" w:color="auto" w:fill="auto"/>
            <w:vAlign w:val="center"/>
          </w:tcPr>
          <w:p w14:paraId="19BC756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4.50E-06</w:t>
            </w:r>
          </w:p>
        </w:tc>
        <w:tc>
          <w:tcPr>
            <w:tcW w:w="507" w:type="pct"/>
            <w:tcBorders>
              <w:tl2br w:val="nil"/>
              <w:tr2bl w:val="nil"/>
            </w:tcBorders>
            <w:shd w:val="clear" w:color="auto" w:fill="auto"/>
            <w:vAlign w:val="center"/>
          </w:tcPr>
          <w:p w14:paraId="03E8D56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0.05</w:t>
            </w:r>
          </w:p>
        </w:tc>
        <w:tc>
          <w:tcPr>
            <w:tcW w:w="436" w:type="pct"/>
            <w:tcBorders>
              <w:tl2br w:val="nil"/>
              <w:tr2bl w:val="nil"/>
            </w:tcBorders>
            <w:shd w:val="clear" w:color="auto" w:fill="auto"/>
            <w:vAlign w:val="center"/>
          </w:tcPr>
          <w:p w14:paraId="113A917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1.29E-07</w:t>
            </w:r>
          </w:p>
        </w:tc>
        <w:tc>
          <w:tcPr>
            <w:tcW w:w="447" w:type="pct"/>
            <w:tcBorders>
              <w:tl2br w:val="nil"/>
              <w:tr2bl w:val="nil"/>
            </w:tcBorders>
            <w:shd w:val="clear" w:color="auto" w:fill="auto"/>
            <w:vAlign w:val="center"/>
          </w:tcPr>
          <w:p w14:paraId="74085E0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r>
      <w:tr w14:paraId="2A57406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711DD1DD">
            <w:pPr>
              <w:pStyle w:val="83"/>
              <w:spacing w:line="240" w:lineRule="auto"/>
              <w:ind w:left="0" w:leftChars="0" w:right="0" w:right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75</w:t>
            </w:r>
          </w:p>
        </w:tc>
        <w:tc>
          <w:tcPr>
            <w:tcW w:w="568" w:type="pct"/>
            <w:tcBorders>
              <w:tl2br w:val="nil"/>
              <w:tr2bl w:val="nil"/>
            </w:tcBorders>
            <w:vAlign w:val="center"/>
          </w:tcPr>
          <w:p w14:paraId="63C4B1D6">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1.15E-04</w:t>
            </w:r>
          </w:p>
        </w:tc>
        <w:tc>
          <w:tcPr>
            <w:tcW w:w="609" w:type="pct"/>
            <w:tcBorders>
              <w:tl2br w:val="nil"/>
              <w:tr2bl w:val="nil"/>
            </w:tcBorders>
            <w:shd w:val="clear" w:color="auto" w:fill="auto"/>
            <w:vAlign w:val="center"/>
          </w:tcPr>
          <w:p w14:paraId="2237A423">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0.0</w:t>
            </w:r>
            <w:r>
              <w:rPr>
                <w:rFonts w:hint="eastAsia" w:ascii="Times New Roman" w:hAnsi="Times New Roman" w:eastAsia="宋体" w:cs="Times New Roman"/>
                <w:color w:val="auto"/>
                <w:sz w:val="21"/>
                <w:szCs w:val="21"/>
                <w:lang w:val="en-US" w:eastAsia="zh-CN"/>
              </w:rPr>
              <w:t>1</w:t>
            </w:r>
          </w:p>
        </w:tc>
        <w:tc>
          <w:tcPr>
            <w:tcW w:w="645" w:type="pct"/>
            <w:tcBorders>
              <w:tl2br w:val="nil"/>
              <w:tr2bl w:val="nil"/>
            </w:tcBorders>
            <w:vAlign w:val="center"/>
          </w:tcPr>
          <w:p w14:paraId="2BE2D259">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1.48E-06</w:t>
            </w:r>
          </w:p>
        </w:tc>
        <w:tc>
          <w:tcPr>
            <w:tcW w:w="483" w:type="pct"/>
            <w:tcBorders>
              <w:tl2br w:val="nil"/>
              <w:tr2bl w:val="nil"/>
            </w:tcBorders>
            <w:shd w:val="clear" w:color="auto" w:fill="auto"/>
            <w:vAlign w:val="center"/>
          </w:tcPr>
          <w:p w14:paraId="2D5D2E3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486" w:type="pct"/>
            <w:tcBorders>
              <w:tl2br w:val="nil"/>
              <w:tr2bl w:val="nil"/>
            </w:tcBorders>
            <w:shd w:val="clear" w:color="auto" w:fill="auto"/>
            <w:vAlign w:val="center"/>
          </w:tcPr>
          <w:p w14:paraId="41D67E2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2.07E-05</w:t>
            </w:r>
          </w:p>
        </w:tc>
        <w:tc>
          <w:tcPr>
            <w:tcW w:w="507" w:type="pct"/>
            <w:tcBorders>
              <w:tl2br w:val="nil"/>
              <w:tr2bl w:val="nil"/>
            </w:tcBorders>
            <w:shd w:val="clear" w:color="auto" w:fill="auto"/>
            <w:vAlign w:val="center"/>
          </w:tcPr>
          <w:p w14:paraId="35691F9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0.21</w:t>
            </w:r>
          </w:p>
        </w:tc>
        <w:tc>
          <w:tcPr>
            <w:tcW w:w="436" w:type="pct"/>
            <w:tcBorders>
              <w:tl2br w:val="nil"/>
              <w:tr2bl w:val="nil"/>
            </w:tcBorders>
            <w:shd w:val="clear" w:color="auto" w:fill="auto"/>
            <w:vAlign w:val="center"/>
          </w:tcPr>
          <w:p w14:paraId="15E8941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5.92E-07</w:t>
            </w:r>
          </w:p>
        </w:tc>
        <w:tc>
          <w:tcPr>
            <w:tcW w:w="447" w:type="pct"/>
            <w:tcBorders>
              <w:tl2br w:val="nil"/>
              <w:tr2bl w:val="nil"/>
            </w:tcBorders>
            <w:shd w:val="clear" w:color="auto" w:fill="auto"/>
            <w:vAlign w:val="center"/>
          </w:tcPr>
          <w:p w14:paraId="00A5D03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r>
      <w:tr w14:paraId="27C5E78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3C4A2956">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100</w:t>
            </w:r>
          </w:p>
        </w:tc>
        <w:tc>
          <w:tcPr>
            <w:tcW w:w="568" w:type="pct"/>
            <w:tcBorders>
              <w:tl2br w:val="nil"/>
              <w:tr2bl w:val="nil"/>
            </w:tcBorders>
            <w:vAlign w:val="center"/>
          </w:tcPr>
          <w:p w14:paraId="243FD6AC">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7.90E-04</w:t>
            </w:r>
          </w:p>
        </w:tc>
        <w:tc>
          <w:tcPr>
            <w:tcW w:w="609" w:type="pct"/>
            <w:tcBorders>
              <w:tl2br w:val="nil"/>
              <w:tr2bl w:val="nil"/>
            </w:tcBorders>
            <w:shd w:val="clear" w:color="auto" w:fill="auto"/>
            <w:vAlign w:val="center"/>
          </w:tcPr>
          <w:p w14:paraId="42D312A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0.04</w:t>
            </w:r>
          </w:p>
        </w:tc>
        <w:tc>
          <w:tcPr>
            <w:tcW w:w="645" w:type="pct"/>
            <w:tcBorders>
              <w:tl2br w:val="nil"/>
              <w:tr2bl w:val="nil"/>
            </w:tcBorders>
            <w:vAlign w:val="center"/>
          </w:tcPr>
          <w:p w14:paraId="09551EF2">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1.01E-05</w:t>
            </w:r>
          </w:p>
        </w:tc>
        <w:tc>
          <w:tcPr>
            <w:tcW w:w="483" w:type="pct"/>
            <w:tcBorders>
              <w:tl2br w:val="nil"/>
              <w:tr2bl w:val="nil"/>
            </w:tcBorders>
            <w:shd w:val="clear" w:color="auto" w:fill="auto"/>
            <w:vAlign w:val="center"/>
          </w:tcPr>
          <w:p w14:paraId="79DADE2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c>
          <w:tcPr>
            <w:tcW w:w="486" w:type="pct"/>
            <w:tcBorders>
              <w:tl2br w:val="nil"/>
              <w:tr2bl w:val="nil"/>
            </w:tcBorders>
            <w:shd w:val="clear" w:color="auto" w:fill="auto"/>
            <w:vAlign w:val="center"/>
          </w:tcPr>
          <w:p w14:paraId="3CA927D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1.42E-04</w:t>
            </w:r>
          </w:p>
        </w:tc>
        <w:tc>
          <w:tcPr>
            <w:tcW w:w="507" w:type="pct"/>
            <w:tcBorders>
              <w:tl2br w:val="nil"/>
              <w:tr2bl w:val="nil"/>
            </w:tcBorders>
            <w:shd w:val="clear" w:color="auto" w:fill="auto"/>
            <w:vAlign w:val="center"/>
          </w:tcPr>
          <w:p w14:paraId="0245A10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1.42</w:t>
            </w:r>
          </w:p>
        </w:tc>
        <w:tc>
          <w:tcPr>
            <w:tcW w:w="436" w:type="pct"/>
            <w:tcBorders>
              <w:tl2br w:val="nil"/>
              <w:tr2bl w:val="nil"/>
            </w:tcBorders>
            <w:shd w:val="clear" w:color="auto" w:fill="auto"/>
            <w:vAlign w:val="center"/>
          </w:tcPr>
          <w:p w14:paraId="3E2B9AA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4.05E-06</w:t>
            </w:r>
          </w:p>
        </w:tc>
        <w:tc>
          <w:tcPr>
            <w:tcW w:w="447" w:type="pct"/>
            <w:tcBorders>
              <w:tl2br w:val="nil"/>
              <w:tr2bl w:val="nil"/>
            </w:tcBorders>
            <w:shd w:val="clear" w:color="auto" w:fill="auto"/>
            <w:vAlign w:val="center"/>
          </w:tcPr>
          <w:p w14:paraId="5F67914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r>
      <w:tr w14:paraId="2C685DE5">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4C46A26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125</w:t>
            </w:r>
          </w:p>
        </w:tc>
        <w:tc>
          <w:tcPr>
            <w:tcW w:w="568" w:type="pct"/>
            <w:tcBorders>
              <w:tl2br w:val="nil"/>
              <w:tr2bl w:val="nil"/>
            </w:tcBorders>
            <w:vAlign w:val="center"/>
          </w:tcPr>
          <w:p w14:paraId="3750F0EF">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1.65E-03</w:t>
            </w:r>
          </w:p>
        </w:tc>
        <w:tc>
          <w:tcPr>
            <w:tcW w:w="609" w:type="pct"/>
            <w:tcBorders>
              <w:tl2br w:val="nil"/>
              <w:tr2bl w:val="nil"/>
            </w:tcBorders>
            <w:shd w:val="clear" w:color="auto" w:fill="auto"/>
            <w:vAlign w:val="center"/>
          </w:tcPr>
          <w:p w14:paraId="75309B3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0.08</w:t>
            </w:r>
          </w:p>
        </w:tc>
        <w:tc>
          <w:tcPr>
            <w:tcW w:w="645" w:type="pct"/>
            <w:tcBorders>
              <w:tl2br w:val="nil"/>
              <w:tr2bl w:val="nil"/>
            </w:tcBorders>
            <w:vAlign w:val="center"/>
          </w:tcPr>
          <w:p w14:paraId="02A25A67">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2.12E-05</w:t>
            </w:r>
          </w:p>
        </w:tc>
        <w:tc>
          <w:tcPr>
            <w:tcW w:w="483" w:type="pct"/>
            <w:tcBorders>
              <w:tl2br w:val="nil"/>
              <w:tr2bl w:val="nil"/>
            </w:tcBorders>
            <w:shd w:val="clear" w:color="auto" w:fill="auto"/>
            <w:vAlign w:val="center"/>
          </w:tcPr>
          <w:p w14:paraId="2643736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c>
          <w:tcPr>
            <w:tcW w:w="486" w:type="pct"/>
            <w:tcBorders>
              <w:tl2br w:val="nil"/>
              <w:tr2bl w:val="nil"/>
            </w:tcBorders>
            <w:shd w:val="clear" w:color="auto" w:fill="auto"/>
            <w:vAlign w:val="center"/>
          </w:tcPr>
          <w:p w14:paraId="7E92030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2.97E-04</w:t>
            </w:r>
          </w:p>
        </w:tc>
        <w:tc>
          <w:tcPr>
            <w:tcW w:w="507" w:type="pct"/>
            <w:tcBorders>
              <w:tl2br w:val="nil"/>
              <w:tr2bl w:val="nil"/>
            </w:tcBorders>
            <w:shd w:val="clear" w:color="auto" w:fill="auto"/>
            <w:vAlign w:val="center"/>
          </w:tcPr>
          <w:p w14:paraId="5B5F9E1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2.97</w:t>
            </w:r>
          </w:p>
        </w:tc>
        <w:tc>
          <w:tcPr>
            <w:tcW w:w="436" w:type="pct"/>
            <w:tcBorders>
              <w:tl2br w:val="nil"/>
              <w:tr2bl w:val="nil"/>
            </w:tcBorders>
            <w:shd w:val="clear" w:color="auto" w:fill="auto"/>
            <w:vAlign w:val="center"/>
          </w:tcPr>
          <w:p w14:paraId="62AB7D8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8.48E-06</w:t>
            </w:r>
          </w:p>
        </w:tc>
        <w:tc>
          <w:tcPr>
            <w:tcW w:w="447" w:type="pct"/>
            <w:tcBorders>
              <w:tl2br w:val="nil"/>
              <w:tr2bl w:val="nil"/>
            </w:tcBorders>
            <w:shd w:val="clear" w:color="auto" w:fill="auto"/>
            <w:vAlign w:val="center"/>
          </w:tcPr>
          <w:p w14:paraId="4CFF1BE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0.02</w:t>
            </w:r>
          </w:p>
        </w:tc>
      </w:tr>
      <w:tr w14:paraId="2AD3C2E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6E83CC42">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150</w:t>
            </w:r>
          </w:p>
        </w:tc>
        <w:tc>
          <w:tcPr>
            <w:tcW w:w="568" w:type="pct"/>
            <w:tcBorders>
              <w:tl2br w:val="nil"/>
              <w:tr2bl w:val="nil"/>
            </w:tcBorders>
            <w:vAlign w:val="center"/>
          </w:tcPr>
          <w:p w14:paraId="7EE01FAE">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1.93E-03</w:t>
            </w:r>
          </w:p>
        </w:tc>
        <w:tc>
          <w:tcPr>
            <w:tcW w:w="609" w:type="pct"/>
            <w:tcBorders>
              <w:tl2br w:val="nil"/>
              <w:tr2bl w:val="nil"/>
            </w:tcBorders>
            <w:shd w:val="clear" w:color="auto" w:fill="auto"/>
            <w:vAlign w:val="center"/>
          </w:tcPr>
          <w:p w14:paraId="51476E7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0.10</w:t>
            </w:r>
          </w:p>
        </w:tc>
        <w:tc>
          <w:tcPr>
            <w:tcW w:w="645" w:type="pct"/>
            <w:tcBorders>
              <w:tl2br w:val="nil"/>
              <w:tr2bl w:val="nil"/>
            </w:tcBorders>
            <w:vAlign w:val="center"/>
          </w:tcPr>
          <w:p w14:paraId="5227E511">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2.47E-05</w:t>
            </w:r>
          </w:p>
        </w:tc>
        <w:tc>
          <w:tcPr>
            <w:tcW w:w="483" w:type="pct"/>
            <w:tcBorders>
              <w:tl2br w:val="nil"/>
              <w:tr2bl w:val="nil"/>
            </w:tcBorders>
            <w:shd w:val="clear" w:color="auto" w:fill="auto"/>
            <w:vAlign w:val="center"/>
          </w:tcPr>
          <w:p w14:paraId="7AC6D9C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rPr>
              <w:t>0.01</w:t>
            </w:r>
          </w:p>
        </w:tc>
        <w:tc>
          <w:tcPr>
            <w:tcW w:w="486" w:type="pct"/>
            <w:tcBorders>
              <w:tl2br w:val="nil"/>
              <w:tr2bl w:val="nil"/>
            </w:tcBorders>
            <w:shd w:val="clear" w:color="auto" w:fill="auto"/>
            <w:vAlign w:val="center"/>
          </w:tcPr>
          <w:p w14:paraId="3C19E09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3.46E-04</w:t>
            </w:r>
          </w:p>
        </w:tc>
        <w:tc>
          <w:tcPr>
            <w:tcW w:w="507" w:type="pct"/>
            <w:tcBorders>
              <w:tl2br w:val="nil"/>
              <w:tr2bl w:val="nil"/>
            </w:tcBorders>
            <w:shd w:val="clear" w:color="auto" w:fill="auto"/>
            <w:vAlign w:val="center"/>
          </w:tcPr>
          <w:p w14:paraId="37D6C90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3.46</w:t>
            </w:r>
          </w:p>
        </w:tc>
        <w:tc>
          <w:tcPr>
            <w:tcW w:w="436" w:type="pct"/>
            <w:tcBorders>
              <w:tl2br w:val="nil"/>
              <w:tr2bl w:val="nil"/>
            </w:tcBorders>
            <w:shd w:val="clear" w:color="auto" w:fill="auto"/>
            <w:vAlign w:val="center"/>
          </w:tcPr>
          <w:p w14:paraId="62D74E4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9.89E-06</w:t>
            </w:r>
          </w:p>
        </w:tc>
        <w:tc>
          <w:tcPr>
            <w:tcW w:w="447" w:type="pct"/>
            <w:tcBorders>
              <w:tl2br w:val="nil"/>
              <w:tr2bl w:val="nil"/>
            </w:tcBorders>
            <w:shd w:val="clear" w:color="auto" w:fill="auto"/>
            <w:vAlign w:val="center"/>
          </w:tcPr>
          <w:p w14:paraId="5AD6948A">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w:t>
            </w:r>
          </w:p>
        </w:tc>
      </w:tr>
      <w:tr w14:paraId="3631ECB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0E730A10">
            <w:pPr>
              <w:pStyle w:val="83"/>
              <w:spacing w:line="240" w:lineRule="auto"/>
              <w:ind w:left="0" w:leftChars="0" w:right="0" w:right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166</w:t>
            </w:r>
          </w:p>
        </w:tc>
        <w:tc>
          <w:tcPr>
            <w:tcW w:w="568" w:type="pct"/>
            <w:tcBorders>
              <w:tl2br w:val="nil"/>
              <w:tr2bl w:val="nil"/>
            </w:tcBorders>
            <w:vAlign w:val="center"/>
          </w:tcPr>
          <w:p w14:paraId="017E1BB0">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1.97E-03</w:t>
            </w:r>
          </w:p>
        </w:tc>
        <w:tc>
          <w:tcPr>
            <w:tcW w:w="609" w:type="pct"/>
            <w:tcBorders>
              <w:tl2br w:val="nil"/>
              <w:tr2bl w:val="nil"/>
            </w:tcBorders>
            <w:shd w:val="clear" w:color="auto" w:fill="auto"/>
            <w:vAlign w:val="center"/>
          </w:tcPr>
          <w:p w14:paraId="7014B53E">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0.10</w:t>
            </w:r>
          </w:p>
        </w:tc>
        <w:tc>
          <w:tcPr>
            <w:tcW w:w="645" w:type="pct"/>
            <w:tcBorders>
              <w:tl2br w:val="nil"/>
              <w:tr2bl w:val="nil"/>
            </w:tcBorders>
            <w:vAlign w:val="center"/>
          </w:tcPr>
          <w:p w14:paraId="447B433C">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2.52E-05</w:t>
            </w:r>
          </w:p>
        </w:tc>
        <w:tc>
          <w:tcPr>
            <w:tcW w:w="483" w:type="pct"/>
            <w:tcBorders>
              <w:tl2br w:val="nil"/>
              <w:tr2bl w:val="nil"/>
            </w:tcBorders>
            <w:shd w:val="clear" w:color="auto" w:fill="auto"/>
            <w:vAlign w:val="center"/>
          </w:tcPr>
          <w:p w14:paraId="4C044CE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rPr>
              <w:t>0.01</w:t>
            </w:r>
          </w:p>
        </w:tc>
        <w:tc>
          <w:tcPr>
            <w:tcW w:w="486" w:type="pct"/>
            <w:tcBorders>
              <w:tl2br w:val="nil"/>
              <w:tr2bl w:val="nil"/>
            </w:tcBorders>
            <w:shd w:val="clear" w:color="auto" w:fill="auto"/>
            <w:vAlign w:val="center"/>
          </w:tcPr>
          <w:p w14:paraId="2D00ADF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3.53E-04</w:t>
            </w:r>
          </w:p>
        </w:tc>
        <w:tc>
          <w:tcPr>
            <w:tcW w:w="507" w:type="pct"/>
            <w:tcBorders>
              <w:tl2br w:val="nil"/>
              <w:tr2bl w:val="nil"/>
            </w:tcBorders>
            <w:shd w:val="clear" w:color="auto" w:fill="auto"/>
            <w:vAlign w:val="center"/>
          </w:tcPr>
          <w:p w14:paraId="6BF7E17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3.53</w:t>
            </w:r>
          </w:p>
        </w:tc>
        <w:tc>
          <w:tcPr>
            <w:tcW w:w="436" w:type="pct"/>
            <w:tcBorders>
              <w:tl2br w:val="nil"/>
              <w:tr2bl w:val="nil"/>
            </w:tcBorders>
            <w:shd w:val="clear" w:color="auto" w:fill="auto"/>
            <w:vAlign w:val="center"/>
          </w:tcPr>
          <w:p w14:paraId="0F7000B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1.01E-05</w:t>
            </w:r>
          </w:p>
        </w:tc>
        <w:tc>
          <w:tcPr>
            <w:tcW w:w="447" w:type="pct"/>
            <w:tcBorders>
              <w:tl2br w:val="nil"/>
              <w:tr2bl w:val="nil"/>
            </w:tcBorders>
            <w:shd w:val="clear" w:color="auto" w:fill="auto"/>
            <w:vAlign w:val="center"/>
          </w:tcPr>
          <w:p w14:paraId="61B1742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0.02</w:t>
            </w:r>
          </w:p>
        </w:tc>
      </w:tr>
      <w:tr w14:paraId="4BC5FF0A">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95" w:hRule="atLeast"/>
        </w:trPr>
        <w:tc>
          <w:tcPr>
            <w:tcW w:w="812" w:type="pct"/>
            <w:tcBorders>
              <w:tl2br w:val="nil"/>
              <w:tr2bl w:val="nil"/>
            </w:tcBorders>
            <w:vAlign w:val="center"/>
          </w:tcPr>
          <w:p w14:paraId="07EBC6A0">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200</w:t>
            </w:r>
          </w:p>
        </w:tc>
        <w:tc>
          <w:tcPr>
            <w:tcW w:w="568" w:type="pct"/>
            <w:tcBorders>
              <w:tl2br w:val="nil"/>
              <w:tr2bl w:val="nil"/>
            </w:tcBorders>
            <w:vAlign w:val="center"/>
          </w:tcPr>
          <w:p w14:paraId="60E8478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1.87E-03</w:t>
            </w:r>
          </w:p>
        </w:tc>
        <w:tc>
          <w:tcPr>
            <w:tcW w:w="609" w:type="pct"/>
            <w:tcBorders>
              <w:tl2br w:val="nil"/>
              <w:tr2bl w:val="nil"/>
            </w:tcBorders>
            <w:shd w:val="clear" w:color="auto" w:fill="auto"/>
            <w:vAlign w:val="center"/>
          </w:tcPr>
          <w:p w14:paraId="0E85284C">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0.09</w:t>
            </w:r>
          </w:p>
        </w:tc>
        <w:tc>
          <w:tcPr>
            <w:tcW w:w="645" w:type="pct"/>
            <w:tcBorders>
              <w:tl2br w:val="nil"/>
              <w:tr2bl w:val="nil"/>
            </w:tcBorders>
            <w:vAlign w:val="center"/>
          </w:tcPr>
          <w:p w14:paraId="5723289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2.40E-05</w:t>
            </w:r>
          </w:p>
        </w:tc>
        <w:tc>
          <w:tcPr>
            <w:tcW w:w="483" w:type="pct"/>
            <w:tcBorders>
              <w:tl2br w:val="nil"/>
              <w:tr2bl w:val="nil"/>
            </w:tcBorders>
            <w:shd w:val="clear" w:color="auto" w:fill="auto"/>
            <w:vAlign w:val="center"/>
          </w:tcPr>
          <w:p w14:paraId="25CD52F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rPr>
              <w:t>0.01</w:t>
            </w:r>
          </w:p>
        </w:tc>
        <w:tc>
          <w:tcPr>
            <w:tcW w:w="486" w:type="pct"/>
            <w:tcBorders>
              <w:tl2br w:val="nil"/>
              <w:tr2bl w:val="nil"/>
            </w:tcBorders>
            <w:shd w:val="clear" w:color="auto" w:fill="auto"/>
            <w:vAlign w:val="center"/>
          </w:tcPr>
          <w:p w14:paraId="0B025E1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3.36E-04</w:t>
            </w:r>
          </w:p>
        </w:tc>
        <w:tc>
          <w:tcPr>
            <w:tcW w:w="507" w:type="pct"/>
            <w:tcBorders>
              <w:tl2br w:val="nil"/>
              <w:tr2bl w:val="nil"/>
            </w:tcBorders>
            <w:shd w:val="clear" w:color="auto" w:fill="auto"/>
            <w:vAlign w:val="center"/>
          </w:tcPr>
          <w:p w14:paraId="3AE6D2E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3.36</w:t>
            </w:r>
          </w:p>
        </w:tc>
        <w:tc>
          <w:tcPr>
            <w:tcW w:w="436" w:type="pct"/>
            <w:tcBorders>
              <w:tl2br w:val="nil"/>
              <w:tr2bl w:val="nil"/>
            </w:tcBorders>
            <w:shd w:val="clear" w:color="auto" w:fill="auto"/>
            <w:vAlign w:val="center"/>
          </w:tcPr>
          <w:p w14:paraId="240CD4E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9.60E-06</w:t>
            </w:r>
          </w:p>
        </w:tc>
        <w:tc>
          <w:tcPr>
            <w:tcW w:w="447" w:type="pct"/>
            <w:tcBorders>
              <w:tl2br w:val="nil"/>
              <w:tr2bl w:val="nil"/>
            </w:tcBorders>
            <w:shd w:val="clear" w:color="auto" w:fill="auto"/>
            <w:vAlign w:val="center"/>
          </w:tcPr>
          <w:p w14:paraId="03F5753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0.20</w:t>
            </w:r>
          </w:p>
        </w:tc>
      </w:tr>
      <w:tr w14:paraId="1452413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4917310F">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300</w:t>
            </w:r>
          </w:p>
        </w:tc>
        <w:tc>
          <w:tcPr>
            <w:tcW w:w="568" w:type="pct"/>
            <w:tcBorders>
              <w:tl2br w:val="nil"/>
              <w:tr2bl w:val="nil"/>
            </w:tcBorders>
            <w:vAlign w:val="center"/>
          </w:tcPr>
          <w:p w14:paraId="3F0A75D5">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1.37E-03</w:t>
            </w:r>
          </w:p>
        </w:tc>
        <w:tc>
          <w:tcPr>
            <w:tcW w:w="609" w:type="pct"/>
            <w:tcBorders>
              <w:tl2br w:val="nil"/>
              <w:tr2bl w:val="nil"/>
            </w:tcBorders>
            <w:vAlign w:val="center"/>
          </w:tcPr>
          <w:p w14:paraId="742A3ACD">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0.07</w:t>
            </w:r>
          </w:p>
        </w:tc>
        <w:tc>
          <w:tcPr>
            <w:tcW w:w="645" w:type="pct"/>
            <w:tcBorders>
              <w:tl2br w:val="nil"/>
              <w:tr2bl w:val="nil"/>
            </w:tcBorders>
            <w:vAlign w:val="center"/>
          </w:tcPr>
          <w:p w14:paraId="5858AC6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1.75E-05</w:t>
            </w:r>
          </w:p>
        </w:tc>
        <w:tc>
          <w:tcPr>
            <w:tcW w:w="483" w:type="pct"/>
            <w:tcBorders>
              <w:tl2br w:val="nil"/>
              <w:tr2bl w:val="nil"/>
            </w:tcBorders>
            <w:vAlign w:val="center"/>
          </w:tcPr>
          <w:p w14:paraId="027BD73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rPr>
              <w:t>0.01</w:t>
            </w:r>
          </w:p>
        </w:tc>
        <w:tc>
          <w:tcPr>
            <w:tcW w:w="486" w:type="pct"/>
            <w:tcBorders>
              <w:tl2br w:val="nil"/>
              <w:tr2bl w:val="nil"/>
            </w:tcBorders>
            <w:vAlign w:val="center"/>
          </w:tcPr>
          <w:p w14:paraId="7533067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2.45E-04</w:t>
            </w:r>
          </w:p>
        </w:tc>
        <w:tc>
          <w:tcPr>
            <w:tcW w:w="507" w:type="pct"/>
            <w:tcBorders>
              <w:tl2br w:val="nil"/>
              <w:tr2bl w:val="nil"/>
            </w:tcBorders>
            <w:vAlign w:val="center"/>
          </w:tcPr>
          <w:p w14:paraId="2C3DFAF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2.45</w:t>
            </w:r>
          </w:p>
        </w:tc>
        <w:tc>
          <w:tcPr>
            <w:tcW w:w="436" w:type="pct"/>
            <w:tcBorders>
              <w:tl2br w:val="nil"/>
              <w:tr2bl w:val="nil"/>
            </w:tcBorders>
            <w:vAlign w:val="center"/>
          </w:tcPr>
          <w:p w14:paraId="7B893AE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7.01E-06</w:t>
            </w:r>
          </w:p>
        </w:tc>
        <w:tc>
          <w:tcPr>
            <w:tcW w:w="447" w:type="pct"/>
            <w:tcBorders>
              <w:tl2br w:val="nil"/>
              <w:tr2bl w:val="nil"/>
            </w:tcBorders>
            <w:vAlign w:val="center"/>
          </w:tcPr>
          <w:p w14:paraId="41D0DF3D">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w:t>
            </w:r>
          </w:p>
        </w:tc>
      </w:tr>
      <w:tr w14:paraId="71CE30D3">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4C85320A">
            <w:pPr>
              <w:pStyle w:val="83"/>
              <w:spacing w:line="240" w:lineRule="auto"/>
              <w:ind w:left="0" w:leftChars="0" w:right="0" w:right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400</w:t>
            </w:r>
          </w:p>
        </w:tc>
        <w:tc>
          <w:tcPr>
            <w:tcW w:w="568" w:type="pct"/>
            <w:tcBorders>
              <w:tl2br w:val="nil"/>
              <w:tr2bl w:val="nil"/>
            </w:tcBorders>
            <w:vAlign w:val="center"/>
          </w:tcPr>
          <w:p w14:paraId="3A8790DE">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1.22E-03</w:t>
            </w:r>
          </w:p>
        </w:tc>
        <w:tc>
          <w:tcPr>
            <w:tcW w:w="609" w:type="pct"/>
            <w:tcBorders>
              <w:tl2br w:val="nil"/>
              <w:tr2bl w:val="nil"/>
            </w:tcBorders>
            <w:vAlign w:val="center"/>
          </w:tcPr>
          <w:p w14:paraId="294B9485">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0.06</w:t>
            </w:r>
          </w:p>
        </w:tc>
        <w:tc>
          <w:tcPr>
            <w:tcW w:w="645" w:type="pct"/>
            <w:tcBorders>
              <w:tl2br w:val="nil"/>
              <w:tr2bl w:val="nil"/>
            </w:tcBorders>
            <w:vAlign w:val="center"/>
          </w:tcPr>
          <w:p w14:paraId="0613828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1.57E-05</w:t>
            </w:r>
          </w:p>
        </w:tc>
        <w:tc>
          <w:tcPr>
            <w:tcW w:w="483" w:type="pct"/>
            <w:tcBorders>
              <w:tl2br w:val="nil"/>
              <w:tr2bl w:val="nil"/>
            </w:tcBorders>
            <w:vAlign w:val="center"/>
          </w:tcPr>
          <w:p w14:paraId="653D8777">
            <w:pPr>
              <w:adjustRightInd/>
              <w:snapToGrid/>
              <w:spacing w:line="240" w:lineRule="auto"/>
              <w:ind w:left="0" w:leftChars="0" w:right="0" w:rightChars="0"/>
              <w:jc w:val="center"/>
              <w:rPr>
                <w:rFonts w:hint="default" w:ascii="Times New Roman" w:hAnsi="Times New Roman" w:cs="Times New Roman"/>
                <w:color w:val="auto"/>
                <w:szCs w:val="21"/>
              </w:rPr>
            </w:pPr>
            <w:r>
              <w:rPr>
                <w:rFonts w:hint="default" w:ascii="Times New Roman" w:hAnsi="Times New Roman" w:cs="Times New Roman"/>
              </w:rPr>
              <w:t>0.01</w:t>
            </w:r>
          </w:p>
        </w:tc>
        <w:tc>
          <w:tcPr>
            <w:tcW w:w="486" w:type="pct"/>
            <w:tcBorders>
              <w:tl2br w:val="nil"/>
              <w:tr2bl w:val="nil"/>
            </w:tcBorders>
            <w:vAlign w:val="center"/>
          </w:tcPr>
          <w:p w14:paraId="76EF8B52">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2.20E-04</w:t>
            </w:r>
          </w:p>
        </w:tc>
        <w:tc>
          <w:tcPr>
            <w:tcW w:w="507" w:type="pct"/>
            <w:tcBorders>
              <w:tl2br w:val="nil"/>
              <w:tr2bl w:val="nil"/>
            </w:tcBorders>
            <w:vAlign w:val="center"/>
          </w:tcPr>
          <w:p w14:paraId="7D472FFB">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2.20</w:t>
            </w:r>
          </w:p>
        </w:tc>
        <w:tc>
          <w:tcPr>
            <w:tcW w:w="436" w:type="pct"/>
            <w:tcBorders>
              <w:tl2br w:val="nil"/>
              <w:tr2bl w:val="nil"/>
            </w:tcBorders>
            <w:vAlign w:val="center"/>
          </w:tcPr>
          <w:p w14:paraId="7658CEFF">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6.28E-06</w:t>
            </w:r>
          </w:p>
        </w:tc>
        <w:tc>
          <w:tcPr>
            <w:tcW w:w="447" w:type="pct"/>
            <w:tcBorders>
              <w:tl2br w:val="nil"/>
              <w:tr2bl w:val="nil"/>
            </w:tcBorders>
            <w:vAlign w:val="center"/>
          </w:tcPr>
          <w:p w14:paraId="06A6CCF1">
            <w:pPr>
              <w:pStyle w:val="83"/>
              <w:adjustRightInd/>
              <w:snapToGrid/>
              <w:spacing w:line="240" w:lineRule="auto"/>
              <w:ind w:left="0" w:leftChars="0" w:right="0" w:rightChars="0"/>
              <w:rPr>
                <w:rFonts w:hint="default" w:ascii="Times New Roman" w:hAnsi="Times New Roman" w:cs="Times New Roman"/>
                <w:color w:val="auto"/>
                <w:szCs w:val="21"/>
              </w:rPr>
            </w:pPr>
            <w:r>
              <w:rPr>
                <w:rFonts w:hint="eastAsia" w:ascii="Times New Roman" w:hAnsi="Times New Roman" w:eastAsia="宋体" w:cs="Times New Roman"/>
                <w:color w:val="auto"/>
                <w:sz w:val="21"/>
                <w:szCs w:val="21"/>
                <w:lang w:val="en-US" w:eastAsia="zh-CN"/>
              </w:rPr>
              <w:t>0.01</w:t>
            </w:r>
          </w:p>
        </w:tc>
      </w:tr>
      <w:tr w14:paraId="55B3D42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7AFA839F">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500</w:t>
            </w:r>
          </w:p>
        </w:tc>
        <w:tc>
          <w:tcPr>
            <w:tcW w:w="568" w:type="pct"/>
            <w:tcBorders>
              <w:tl2br w:val="nil"/>
              <w:tr2bl w:val="nil"/>
            </w:tcBorders>
            <w:vAlign w:val="center"/>
          </w:tcPr>
          <w:p w14:paraId="54C3A91D">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1.04E-03</w:t>
            </w:r>
          </w:p>
        </w:tc>
        <w:tc>
          <w:tcPr>
            <w:tcW w:w="609" w:type="pct"/>
            <w:tcBorders>
              <w:tl2br w:val="nil"/>
              <w:tr2bl w:val="nil"/>
            </w:tcBorders>
            <w:vAlign w:val="center"/>
          </w:tcPr>
          <w:p w14:paraId="2C3ABF69">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w:t>
            </w:r>
          </w:p>
        </w:tc>
        <w:tc>
          <w:tcPr>
            <w:tcW w:w="645" w:type="pct"/>
            <w:tcBorders>
              <w:tl2br w:val="nil"/>
              <w:tr2bl w:val="nil"/>
            </w:tcBorders>
            <w:vAlign w:val="center"/>
          </w:tcPr>
          <w:p w14:paraId="617F10E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1.33E-05</w:t>
            </w:r>
          </w:p>
        </w:tc>
        <w:tc>
          <w:tcPr>
            <w:tcW w:w="483" w:type="pct"/>
            <w:tcBorders>
              <w:tl2br w:val="nil"/>
              <w:tr2bl w:val="nil"/>
            </w:tcBorders>
            <w:vAlign w:val="center"/>
          </w:tcPr>
          <w:p w14:paraId="7E83096D">
            <w:pPr>
              <w:adjustRightInd/>
              <w:snapToGrid/>
              <w:spacing w:line="240" w:lineRule="auto"/>
              <w:ind w:left="0" w:leftChars="0" w:right="0" w:rightChars="0"/>
              <w:jc w:val="center"/>
              <w:rPr>
                <w:rFonts w:hint="default" w:ascii="Times New Roman" w:hAnsi="Times New Roman" w:cs="Times New Roman"/>
                <w:color w:val="auto"/>
                <w:szCs w:val="21"/>
              </w:rPr>
            </w:pPr>
            <w:r>
              <w:rPr>
                <w:rFonts w:hint="default" w:ascii="Times New Roman" w:hAnsi="Times New Roman" w:cs="Times New Roman"/>
              </w:rPr>
              <w:t>0.01</w:t>
            </w:r>
          </w:p>
        </w:tc>
        <w:tc>
          <w:tcPr>
            <w:tcW w:w="486" w:type="pct"/>
            <w:tcBorders>
              <w:tl2br w:val="nil"/>
              <w:tr2bl w:val="nil"/>
            </w:tcBorders>
            <w:vAlign w:val="center"/>
          </w:tcPr>
          <w:p w14:paraId="63F0DE54">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1.87E-04</w:t>
            </w:r>
          </w:p>
        </w:tc>
        <w:tc>
          <w:tcPr>
            <w:tcW w:w="507" w:type="pct"/>
            <w:tcBorders>
              <w:tl2br w:val="nil"/>
              <w:tr2bl w:val="nil"/>
            </w:tcBorders>
            <w:vAlign w:val="center"/>
          </w:tcPr>
          <w:p w14:paraId="3E1EDFD1">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1.87</w:t>
            </w:r>
          </w:p>
        </w:tc>
        <w:tc>
          <w:tcPr>
            <w:tcW w:w="436" w:type="pct"/>
            <w:tcBorders>
              <w:tl2br w:val="nil"/>
              <w:tr2bl w:val="nil"/>
            </w:tcBorders>
            <w:vAlign w:val="center"/>
          </w:tcPr>
          <w:p w14:paraId="3679915C">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5.33E-06</w:t>
            </w:r>
          </w:p>
        </w:tc>
        <w:tc>
          <w:tcPr>
            <w:tcW w:w="447" w:type="pct"/>
            <w:tcBorders>
              <w:tl2br w:val="nil"/>
              <w:tr2bl w:val="nil"/>
            </w:tcBorders>
            <w:vAlign w:val="center"/>
          </w:tcPr>
          <w:p w14:paraId="244EBD24">
            <w:pPr>
              <w:pStyle w:val="83"/>
              <w:adjustRightInd/>
              <w:snapToGrid/>
              <w:spacing w:line="240" w:lineRule="auto"/>
              <w:ind w:left="0" w:leftChars="0" w:right="0" w:rightChars="0"/>
              <w:rPr>
                <w:rFonts w:hint="default" w:ascii="Times New Roman" w:hAnsi="Times New Roman" w:cs="Times New Roman"/>
                <w:color w:val="auto"/>
                <w:szCs w:val="21"/>
              </w:rPr>
            </w:pPr>
            <w:r>
              <w:rPr>
                <w:rFonts w:hint="eastAsia" w:ascii="Times New Roman" w:hAnsi="Times New Roman" w:eastAsia="宋体" w:cs="Times New Roman"/>
                <w:color w:val="auto"/>
                <w:sz w:val="21"/>
                <w:szCs w:val="21"/>
                <w:lang w:val="en-US" w:eastAsia="zh-CN"/>
              </w:rPr>
              <w:t>0.01</w:t>
            </w:r>
          </w:p>
        </w:tc>
      </w:tr>
      <w:tr w14:paraId="31814B0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1D260353">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1000</w:t>
            </w:r>
          </w:p>
        </w:tc>
        <w:tc>
          <w:tcPr>
            <w:tcW w:w="568" w:type="pct"/>
            <w:tcBorders>
              <w:tl2br w:val="nil"/>
              <w:tr2bl w:val="nil"/>
            </w:tcBorders>
            <w:vAlign w:val="center"/>
          </w:tcPr>
          <w:p w14:paraId="141A74FB">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8.08E-04</w:t>
            </w:r>
          </w:p>
        </w:tc>
        <w:tc>
          <w:tcPr>
            <w:tcW w:w="609" w:type="pct"/>
            <w:tcBorders>
              <w:tl2br w:val="nil"/>
              <w:tr2bl w:val="nil"/>
            </w:tcBorders>
            <w:vAlign w:val="center"/>
          </w:tcPr>
          <w:p w14:paraId="6F3C7443">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0.04</w:t>
            </w:r>
          </w:p>
        </w:tc>
        <w:tc>
          <w:tcPr>
            <w:tcW w:w="645" w:type="pct"/>
            <w:tcBorders>
              <w:tl2br w:val="nil"/>
              <w:tr2bl w:val="nil"/>
            </w:tcBorders>
            <w:vAlign w:val="center"/>
          </w:tcPr>
          <w:p w14:paraId="359F8C8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1.04E-05</w:t>
            </w:r>
          </w:p>
        </w:tc>
        <w:tc>
          <w:tcPr>
            <w:tcW w:w="483" w:type="pct"/>
            <w:tcBorders>
              <w:tl2br w:val="nil"/>
              <w:tr2bl w:val="nil"/>
            </w:tcBorders>
            <w:vAlign w:val="center"/>
          </w:tcPr>
          <w:p w14:paraId="6A7DFBC4">
            <w:pPr>
              <w:adjustRightInd/>
              <w:snapToGrid/>
              <w:spacing w:line="240" w:lineRule="auto"/>
              <w:ind w:left="0" w:leftChars="0" w:right="0" w:rightChars="0"/>
              <w:jc w:val="center"/>
              <w:rPr>
                <w:rFonts w:hint="default" w:ascii="Times New Roman" w:hAnsi="Times New Roman" w:cs="Times New Roman"/>
                <w:color w:val="auto"/>
                <w:szCs w:val="21"/>
              </w:rPr>
            </w:pPr>
            <w:r>
              <w:rPr>
                <w:rFonts w:hint="default" w:ascii="Times New Roman" w:hAnsi="Times New Roman" w:cs="Times New Roman"/>
              </w:rPr>
              <w:t>0.01</w:t>
            </w:r>
          </w:p>
        </w:tc>
        <w:tc>
          <w:tcPr>
            <w:tcW w:w="486" w:type="pct"/>
            <w:tcBorders>
              <w:tl2br w:val="nil"/>
              <w:tr2bl w:val="nil"/>
            </w:tcBorders>
            <w:vAlign w:val="center"/>
          </w:tcPr>
          <w:p w14:paraId="0573A101">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1.45E-04</w:t>
            </w:r>
          </w:p>
        </w:tc>
        <w:tc>
          <w:tcPr>
            <w:tcW w:w="507" w:type="pct"/>
            <w:tcBorders>
              <w:tl2br w:val="nil"/>
              <w:tr2bl w:val="nil"/>
            </w:tcBorders>
            <w:vAlign w:val="center"/>
          </w:tcPr>
          <w:p w14:paraId="5338BF8D">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1.45</w:t>
            </w:r>
          </w:p>
        </w:tc>
        <w:tc>
          <w:tcPr>
            <w:tcW w:w="436" w:type="pct"/>
            <w:tcBorders>
              <w:tl2br w:val="nil"/>
              <w:tr2bl w:val="nil"/>
            </w:tcBorders>
            <w:vAlign w:val="center"/>
          </w:tcPr>
          <w:p w14:paraId="16710C2D">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4.15E-06</w:t>
            </w:r>
          </w:p>
        </w:tc>
        <w:tc>
          <w:tcPr>
            <w:tcW w:w="447" w:type="pct"/>
            <w:tcBorders>
              <w:tl2br w:val="nil"/>
              <w:tr2bl w:val="nil"/>
            </w:tcBorders>
            <w:vAlign w:val="center"/>
          </w:tcPr>
          <w:p w14:paraId="21928E13">
            <w:pPr>
              <w:pStyle w:val="83"/>
              <w:adjustRightInd/>
              <w:snapToGrid/>
              <w:spacing w:line="240" w:lineRule="auto"/>
              <w:ind w:left="0" w:leftChars="0" w:right="0" w:rightChars="0"/>
              <w:rPr>
                <w:rFonts w:hint="default" w:ascii="Times New Roman" w:hAnsi="Times New Roman" w:cs="Times New Roman"/>
                <w:color w:val="auto"/>
                <w:szCs w:val="21"/>
              </w:rPr>
            </w:pPr>
            <w:r>
              <w:rPr>
                <w:rFonts w:hint="eastAsia" w:ascii="Times New Roman" w:hAnsi="Times New Roman" w:eastAsia="宋体" w:cs="Times New Roman"/>
                <w:color w:val="auto"/>
                <w:sz w:val="21"/>
                <w:szCs w:val="21"/>
                <w:lang w:val="en-US" w:eastAsia="zh-CN"/>
              </w:rPr>
              <w:t>0.01</w:t>
            </w:r>
          </w:p>
        </w:tc>
      </w:tr>
      <w:tr w14:paraId="4D25912A">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48B8CA9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2000</w:t>
            </w:r>
          </w:p>
        </w:tc>
        <w:tc>
          <w:tcPr>
            <w:tcW w:w="568" w:type="pct"/>
            <w:tcBorders>
              <w:tl2br w:val="nil"/>
              <w:tr2bl w:val="nil"/>
            </w:tcBorders>
            <w:vAlign w:val="center"/>
          </w:tcPr>
          <w:p w14:paraId="12B0CFE2">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6.07E-04</w:t>
            </w:r>
          </w:p>
        </w:tc>
        <w:tc>
          <w:tcPr>
            <w:tcW w:w="609" w:type="pct"/>
            <w:tcBorders>
              <w:tl2br w:val="nil"/>
              <w:tr2bl w:val="nil"/>
            </w:tcBorders>
            <w:vAlign w:val="center"/>
          </w:tcPr>
          <w:p w14:paraId="4F45503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0.03</w:t>
            </w:r>
          </w:p>
        </w:tc>
        <w:tc>
          <w:tcPr>
            <w:tcW w:w="645" w:type="pct"/>
            <w:tcBorders>
              <w:tl2br w:val="nil"/>
              <w:tr2bl w:val="nil"/>
            </w:tcBorders>
            <w:vAlign w:val="center"/>
          </w:tcPr>
          <w:p w14:paraId="0E0312D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7.78E-06</w:t>
            </w:r>
          </w:p>
        </w:tc>
        <w:tc>
          <w:tcPr>
            <w:tcW w:w="483" w:type="pct"/>
            <w:tcBorders>
              <w:tl2br w:val="nil"/>
              <w:tr2bl w:val="nil"/>
            </w:tcBorders>
            <w:vAlign w:val="center"/>
          </w:tcPr>
          <w:p w14:paraId="028E87CF">
            <w:pPr>
              <w:adjustRightInd/>
              <w:snapToGrid/>
              <w:spacing w:line="240" w:lineRule="auto"/>
              <w:ind w:left="0" w:leftChars="0" w:right="0" w:rightChars="0"/>
              <w:jc w:val="center"/>
              <w:rPr>
                <w:rFonts w:hint="default" w:ascii="Times New Roman" w:hAnsi="Times New Roman" w:cs="Times New Roman"/>
                <w:color w:val="auto"/>
                <w:szCs w:val="21"/>
              </w:rPr>
            </w:pPr>
            <w:r>
              <w:rPr>
                <w:rFonts w:hint="default" w:ascii="Times New Roman" w:hAnsi="Times New Roman" w:cs="Times New Roman"/>
                <w:color w:val="auto"/>
                <w:sz w:val="21"/>
                <w:szCs w:val="21"/>
              </w:rPr>
              <w:t>0.00</w:t>
            </w:r>
          </w:p>
        </w:tc>
        <w:tc>
          <w:tcPr>
            <w:tcW w:w="486" w:type="pct"/>
            <w:tcBorders>
              <w:tl2br w:val="nil"/>
              <w:tr2bl w:val="nil"/>
            </w:tcBorders>
            <w:vAlign w:val="center"/>
          </w:tcPr>
          <w:p w14:paraId="509813CC">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1.09E-04</w:t>
            </w:r>
          </w:p>
        </w:tc>
        <w:tc>
          <w:tcPr>
            <w:tcW w:w="507" w:type="pct"/>
            <w:tcBorders>
              <w:tl2br w:val="nil"/>
              <w:tr2bl w:val="nil"/>
            </w:tcBorders>
            <w:vAlign w:val="center"/>
          </w:tcPr>
          <w:p w14:paraId="2B8423C6">
            <w:pPr>
              <w:pStyle w:val="83"/>
              <w:adjustRightInd/>
              <w:snapToGrid/>
              <w:spacing w:line="240" w:lineRule="auto"/>
              <w:ind w:left="0" w:leftChars="0" w:right="0" w:rightChars="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1.09</w:t>
            </w:r>
          </w:p>
        </w:tc>
        <w:tc>
          <w:tcPr>
            <w:tcW w:w="436" w:type="pct"/>
            <w:tcBorders>
              <w:tl2br w:val="nil"/>
              <w:tr2bl w:val="nil"/>
            </w:tcBorders>
            <w:vAlign w:val="center"/>
          </w:tcPr>
          <w:p w14:paraId="084096C9">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3.11E-06</w:t>
            </w:r>
          </w:p>
        </w:tc>
        <w:tc>
          <w:tcPr>
            <w:tcW w:w="447" w:type="pct"/>
            <w:tcBorders>
              <w:tl2br w:val="nil"/>
              <w:tr2bl w:val="nil"/>
            </w:tcBorders>
            <w:vAlign w:val="center"/>
          </w:tcPr>
          <w:p w14:paraId="690CF3F1">
            <w:pPr>
              <w:pStyle w:val="83"/>
              <w:adjustRightInd/>
              <w:snapToGrid/>
              <w:spacing w:line="240" w:lineRule="auto"/>
              <w:ind w:left="0" w:leftChars="0" w:right="0" w:rightChars="0"/>
              <w:rPr>
                <w:rFonts w:hint="default" w:ascii="Times New Roman" w:hAnsi="Times New Roman" w:cs="Times New Roman"/>
                <w:color w:val="auto"/>
                <w:szCs w:val="21"/>
              </w:rPr>
            </w:pPr>
            <w:r>
              <w:rPr>
                <w:rFonts w:hint="eastAsia" w:ascii="Times New Roman" w:hAnsi="Times New Roman" w:eastAsia="宋体" w:cs="Times New Roman"/>
                <w:color w:val="auto"/>
                <w:sz w:val="21"/>
                <w:szCs w:val="21"/>
                <w:lang w:val="en-US" w:eastAsia="zh-CN"/>
              </w:rPr>
              <w:t>0.01</w:t>
            </w:r>
          </w:p>
        </w:tc>
      </w:tr>
      <w:tr w14:paraId="177B581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90" w:hRule="atLeast"/>
        </w:trPr>
        <w:tc>
          <w:tcPr>
            <w:tcW w:w="812" w:type="pct"/>
            <w:tcBorders>
              <w:tl2br w:val="nil"/>
              <w:tr2bl w:val="nil"/>
            </w:tcBorders>
            <w:vAlign w:val="center"/>
          </w:tcPr>
          <w:p w14:paraId="1DDC770B">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3000</w:t>
            </w:r>
          </w:p>
        </w:tc>
        <w:tc>
          <w:tcPr>
            <w:tcW w:w="568" w:type="pct"/>
            <w:tcBorders>
              <w:tl2br w:val="nil"/>
              <w:tr2bl w:val="nil"/>
            </w:tcBorders>
            <w:vAlign w:val="center"/>
          </w:tcPr>
          <w:p w14:paraId="6ECC6C4A">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4.40E-04</w:t>
            </w:r>
          </w:p>
        </w:tc>
        <w:tc>
          <w:tcPr>
            <w:tcW w:w="609" w:type="pct"/>
            <w:tcBorders>
              <w:tl2br w:val="nil"/>
              <w:tr2bl w:val="nil"/>
            </w:tcBorders>
            <w:vAlign w:val="center"/>
          </w:tcPr>
          <w:p w14:paraId="74F22D8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0.02</w:t>
            </w:r>
          </w:p>
        </w:tc>
        <w:tc>
          <w:tcPr>
            <w:tcW w:w="645" w:type="pct"/>
            <w:tcBorders>
              <w:tl2br w:val="nil"/>
              <w:tr2bl w:val="nil"/>
            </w:tcBorders>
            <w:vAlign w:val="center"/>
          </w:tcPr>
          <w:p w14:paraId="04E2AE6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5.64E-06</w:t>
            </w:r>
          </w:p>
        </w:tc>
        <w:tc>
          <w:tcPr>
            <w:tcW w:w="483" w:type="pct"/>
            <w:tcBorders>
              <w:tl2br w:val="nil"/>
              <w:tr2bl w:val="nil"/>
            </w:tcBorders>
            <w:vAlign w:val="center"/>
          </w:tcPr>
          <w:p w14:paraId="502F5C5A">
            <w:pPr>
              <w:adjustRightInd/>
              <w:snapToGrid/>
              <w:spacing w:line="240" w:lineRule="auto"/>
              <w:ind w:left="0" w:leftChars="0" w:right="0" w:rightChars="0"/>
              <w:jc w:val="center"/>
              <w:rPr>
                <w:rFonts w:hint="default" w:ascii="Times New Roman" w:hAnsi="Times New Roman" w:cs="Times New Roman"/>
                <w:color w:val="auto"/>
                <w:szCs w:val="21"/>
              </w:rPr>
            </w:pPr>
            <w:r>
              <w:rPr>
                <w:rFonts w:hint="default" w:ascii="Times New Roman" w:hAnsi="Times New Roman" w:cs="Times New Roman"/>
                <w:color w:val="auto"/>
                <w:sz w:val="21"/>
                <w:szCs w:val="21"/>
              </w:rPr>
              <w:t>0.00</w:t>
            </w:r>
          </w:p>
        </w:tc>
        <w:tc>
          <w:tcPr>
            <w:tcW w:w="486" w:type="pct"/>
            <w:tcBorders>
              <w:tl2br w:val="nil"/>
              <w:tr2bl w:val="nil"/>
            </w:tcBorders>
            <w:vAlign w:val="center"/>
          </w:tcPr>
          <w:p w14:paraId="5EBB5074">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7.89E-05</w:t>
            </w:r>
          </w:p>
        </w:tc>
        <w:tc>
          <w:tcPr>
            <w:tcW w:w="507" w:type="pct"/>
            <w:tcBorders>
              <w:tl2br w:val="nil"/>
              <w:tr2bl w:val="nil"/>
            </w:tcBorders>
            <w:vAlign w:val="center"/>
          </w:tcPr>
          <w:p w14:paraId="6143CD37">
            <w:pPr>
              <w:pStyle w:val="83"/>
              <w:adjustRightInd/>
              <w:snapToGrid/>
              <w:spacing w:line="240" w:lineRule="auto"/>
              <w:ind w:left="0" w:leftChars="0" w:right="0" w:rightChars="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0.79</w:t>
            </w:r>
          </w:p>
        </w:tc>
        <w:tc>
          <w:tcPr>
            <w:tcW w:w="436" w:type="pct"/>
            <w:tcBorders>
              <w:tl2br w:val="nil"/>
              <w:tr2bl w:val="nil"/>
            </w:tcBorders>
            <w:vAlign w:val="center"/>
          </w:tcPr>
          <w:p w14:paraId="0D942F0D">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2.26E-06</w:t>
            </w:r>
          </w:p>
        </w:tc>
        <w:tc>
          <w:tcPr>
            <w:tcW w:w="447" w:type="pct"/>
            <w:tcBorders>
              <w:tl2br w:val="nil"/>
              <w:tr2bl w:val="nil"/>
            </w:tcBorders>
            <w:vAlign w:val="center"/>
          </w:tcPr>
          <w:p w14:paraId="73DC9F23">
            <w:pPr>
              <w:adjustRightInd/>
              <w:snapToGrid/>
              <w:spacing w:line="240" w:lineRule="auto"/>
              <w:ind w:left="0" w:leftChars="0" w:right="0" w:rightChars="0"/>
              <w:jc w:val="center"/>
              <w:rPr>
                <w:rFonts w:hint="default" w:ascii="Times New Roman" w:hAnsi="Times New Roman" w:cs="Times New Roman"/>
                <w:color w:val="auto"/>
                <w:szCs w:val="21"/>
              </w:rPr>
            </w:pPr>
            <w:r>
              <w:rPr>
                <w:rFonts w:hint="default" w:ascii="Times New Roman" w:hAnsi="Times New Roman" w:cs="Times New Roman"/>
                <w:color w:val="auto"/>
                <w:sz w:val="21"/>
                <w:szCs w:val="21"/>
              </w:rPr>
              <w:t>0.00</w:t>
            </w:r>
          </w:p>
        </w:tc>
      </w:tr>
      <w:tr w14:paraId="1AD69D0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90" w:hRule="atLeast"/>
        </w:trPr>
        <w:tc>
          <w:tcPr>
            <w:tcW w:w="812" w:type="pct"/>
            <w:tcBorders>
              <w:tl2br w:val="nil"/>
              <w:tr2bl w:val="nil"/>
            </w:tcBorders>
            <w:vAlign w:val="center"/>
          </w:tcPr>
          <w:p w14:paraId="1FE25295">
            <w:pPr>
              <w:pStyle w:val="83"/>
              <w:spacing w:line="240" w:lineRule="auto"/>
              <w:ind w:left="0" w:leftChars="0" w:right="0" w:right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4000</w:t>
            </w:r>
          </w:p>
        </w:tc>
        <w:tc>
          <w:tcPr>
            <w:tcW w:w="568" w:type="pct"/>
            <w:tcBorders>
              <w:tl2br w:val="nil"/>
              <w:tr2bl w:val="nil"/>
            </w:tcBorders>
            <w:vAlign w:val="center"/>
          </w:tcPr>
          <w:p w14:paraId="2810120E">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3.29E-04</w:t>
            </w:r>
          </w:p>
        </w:tc>
        <w:tc>
          <w:tcPr>
            <w:tcW w:w="609" w:type="pct"/>
            <w:tcBorders>
              <w:tl2br w:val="nil"/>
              <w:tr2bl w:val="nil"/>
            </w:tcBorders>
            <w:vAlign w:val="center"/>
          </w:tcPr>
          <w:p w14:paraId="3BB6C8F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0.02</w:t>
            </w:r>
          </w:p>
        </w:tc>
        <w:tc>
          <w:tcPr>
            <w:tcW w:w="645" w:type="pct"/>
            <w:tcBorders>
              <w:tl2br w:val="nil"/>
              <w:tr2bl w:val="nil"/>
            </w:tcBorders>
            <w:vAlign w:val="center"/>
          </w:tcPr>
          <w:p w14:paraId="408FEA4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4.22E-06</w:t>
            </w:r>
          </w:p>
        </w:tc>
        <w:tc>
          <w:tcPr>
            <w:tcW w:w="483" w:type="pct"/>
            <w:tcBorders>
              <w:tl2br w:val="nil"/>
              <w:tr2bl w:val="nil"/>
            </w:tcBorders>
            <w:vAlign w:val="center"/>
          </w:tcPr>
          <w:p w14:paraId="7434C94A">
            <w:pPr>
              <w:adjustRightInd/>
              <w:snapToGrid/>
              <w:spacing w:line="240" w:lineRule="auto"/>
              <w:ind w:left="0" w:leftChars="0" w:right="0" w:rightChars="0"/>
              <w:jc w:val="center"/>
              <w:rPr>
                <w:rFonts w:hint="default" w:ascii="Times New Roman" w:hAnsi="Times New Roman" w:cs="Times New Roman"/>
                <w:color w:val="auto"/>
                <w:szCs w:val="21"/>
              </w:rPr>
            </w:pPr>
            <w:r>
              <w:rPr>
                <w:rFonts w:hint="default" w:ascii="Times New Roman" w:hAnsi="Times New Roman" w:cs="Times New Roman"/>
                <w:color w:val="auto"/>
                <w:sz w:val="21"/>
                <w:szCs w:val="21"/>
              </w:rPr>
              <w:t>0.00</w:t>
            </w:r>
          </w:p>
        </w:tc>
        <w:tc>
          <w:tcPr>
            <w:tcW w:w="486" w:type="pct"/>
            <w:tcBorders>
              <w:tl2br w:val="nil"/>
              <w:tr2bl w:val="nil"/>
            </w:tcBorders>
            <w:vAlign w:val="center"/>
          </w:tcPr>
          <w:p w14:paraId="3E34D3EB">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5.90E-05</w:t>
            </w:r>
          </w:p>
        </w:tc>
        <w:tc>
          <w:tcPr>
            <w:tcW w:w="507" w:type="pct"/>
            <w:tcBorders>
              <w:tl2br w:val="nil"/>
              <w:tr2bl w:val="nil"/>
            </w:tcBorders>
            <w:vAlign w:val="center"/>
          </w:tcPr>
          <w:p w14:paraId="1C85BB1E">
            <w:pPr>
              <w:pStyle w:val="83"/>
              <w:adjustRightInd/>
              <w:snapToGrid/>
              <w:spacing w:line="240" w:lineRule="auto"/>
              <w:ind w:left="0" w:leftChars="0" w:right="0" w:rightChars="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0.59</w:t>
            </w:r>
          </w:p>
        </w:tc>
        <w:tc>
          <w:tcPr>
            <w:tcW w:w="436" w:type="pct"/>
            <w:tcBorders>
              <w:tl2br w:val="nil"/>
              <w:tr2bl w:val="nil"/>
            </w:tcBorders>
            <w:vAlign w:val="center"/>
          </w:tcPr>
          <w:p w14:paraId="56AF29E4">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1.69E-06</w:t>
            </w:r>
          </w:p>
        </w:tc>
        <w:tc>
          <w:tcPr>
            <w:tcW w:w="447" w:type="pct"/>
            <w:tcBorders>
              <w:tl2br w:val="nil"/>
              <w:tr2bl w:val="nil"/>
            </w:tcBorders>
            <w:vAlign w:val="center"/>
          </w:tcPr>
          <w:p w14:paraId="6B112D6B">
            <w:pPr>
              <w:adjustRightInd/>
              <w:snapToGrid/>
              <w:spacing w:line="240" w:lineRule="auto"/>
              <w:ind w:left="0" w:leftChars="0" w:right="0" w:rightChars="0"/>
              <w:jc w:val="center"/>
              <w:rPr>
                <w:rFonts w:hint="default" w:ascii="Times New Roman" w:hAnsi="Times New Roman" w:cs="Times New Roman"/>
                <w:color w:val="auto"/>
                <w:szCs w:val="21"/>
              </w:rPr>
            </w:pPr>
            <w:r>
              <w:rPr>
                <w:rFonts w:hint="default" w:ascii="Times New Roman" w:hAnsi="Times New Roman" w:cs="Times New Roman"/>
                <w:color w:val="auto"/>
                <w:sz w:val="21"/>
                <w:szCs w:val="21"/>
              </w:rPr>
              <w:t>0.00</w:t>
            </w:r>
          </w:p>
        </w:tc>
      </w:tr>
      <w:tr w14:paraId="429AE0A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79E576A3">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5000</w:t>
            </w:r>
          </w:p>
        </w:tc>
        <w:tc>
          <w:tcPr>
            <w:tcW w:w="568" w:type="pct"/>
            <w:tcBorders>
              <w:tl2br w:val="nil"/>
              <w:tr2bl w:val="nil"/>
            </w:tcBorders>
            <w:vAlign w:val="center"/>
          </w:tcPr>
          <w:p w14:paraId="4AB8D509">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2.56E-04</w:t>
            </w:r>
          </w:p>
        </w:tc>
        <w:tc>
          <w:tcPr>
            <w:tcW w:w="609" w:type="pct"/>
            <w:tcBorders>
              <w:tl2br w:val="nil"/>
              <w:tr2bl w:val="nil"/>
            </w:tcBorders>
            <w:vAlign w:val="center"/>
          </w:tcPr>
          <w:p w14:paraId="2720D2B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c>
          <w:tcPr>
            <w:tcW w:w="645" w:type="pct"/>
            <w:tcBorders>
              <w:tl2br w:val="nil"/>
              <w:tr2bl w:val="nil"/>
            </w:tcBorders>
            <w:vAlign w:val="center"/>
          </w:tcPr>
          <w:p w14:paraId="3D7A3B4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3.29E-06</w:t>
            </w:r>
          </w:p>
        </w:tc>
        <w:tc>
          <w:tcPr>
            <w:tcW w:w="483" w:type="pct"/>
            <w:tcBorders>
              <w:tl2br w:val="nil"/>
              <w:tr2bl w:val="nil"/>
            </w:tcBorders>
            <w:vAlign w:val="center"/>
          </w:tcPr>
          <w:p w14:paraId="54015BC6">
            <w:pPr>
              <w:adjustRightInd/>
              <w:snapToGrid/>
              <w:spacing w:line="240" w:lineRule="auto"/>
              <w:ind w:left="0" w:leftChars="0" w:right="0" w:rightChars="0"/>
              <w:jc w:val="center"/>
              <w:rPr>
                <w:rFonts w:hint="default" w:ascii="Times New Roman" w:hAnsi="Times New Roman" w:cs="Times New Roman"/>
                <w:color w:val="auto"/>
                <w:szCs w:val="21"/>
              </w:rPr>
            </w:pPr>
            <w:r>
              <w:rPr>
                <w:rFonts w:hint="default" w:ascii="Times New Roman" w:hAnsi="Times New Roman" w:cs="Times New Roman"/>
                <w:color w:val="auto"/>
                <w:sz w:val="21"/>
                <w:szCs w:val="21"/>
              </w:rPr>
              <w:t>0.00</w:t>
            </w:r>
          </w:p>
        </w:tc>
        <w:tc>
          <w:tcPr>
            <w:tcW w:w="486" w:type="pct"/>
            <w:tcBorders>
              <w:tl2br w:val="nil"/>
              <w:tr2bl w:val="nil"/>
            </w:tcBorders>
            <w:vAlign w:val="center"/>
          </w:tcPr>
          <w:p w14:paraId="05DAC7A0">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4.60E-05</w:t>
            </w:r>
          </w:p>
        </w:tc>
        <w:tc>
          <w:tcPr>
            <w:tcW w:w="507" w:type="pct"/>
            <w:tcBorders>
              <w:tl2br w:val="nil"/>
              <w:tr2bl w:val="nil"/>
            </w:tcBorders>
            <w:vAlign w:val="center"/>
          </w:tcPr>
          <w:p w14:paraId="2C322FF5">
            <w:pPr>
              <w:pStyle w:val="83"/>
              <w:adjustRightInd/>
              <w:snapToGrid/>
              <w:spacing w:line="240" w:lineRule="auto"/>
              <w:ind w:left="0" w:leftChars="0" w:right="0" w:rightChars="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0.46</w:t>
            </w:r>
          </w:p>
        </w:tc>
        <w:tc>
          <w:tcPr>
            <w:tcW w:w="436" w:type="pct"/>
            <w:tcBorders>
              <w:tl2br w:val="nil"/>
              <w:tr2bl w:val="nil"/>
            </w:tcBorders>
            <w:vAlign w:val="center"/>
          </w:tcPr>
          <w:p w14:paraId="7D8638AE">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1.32E-06</w:t>
            </w:r>
          </w:p>
        </w:tc>
        <w:tc>
          <w:tcPr>
            <w:tcW w:w="447" w:type="pct"/>
            <w:tcBorders>
              <w:tl2br w:val="nil"/>
              <w:tr2bl w:val="nil"/>
            </w:tcBorders>
            <w:vAlign w:val="center"/>
          </w:tcPr>
          <w:p w14:paraId="5DF4C857">
            <w:pPr>
              <w:adjustRightInd/>
              <w:snapToGrid/>
              <w:spacing w:line="240" w:lineRule="auto"/>
              <w:ind w:left="0" w:leftChars="0" w:right="0" w:rightChars="0"/>
              <w:jc w:val="center"/>
              <w:rPr>
                <w:rFonts w:hint="default" w:ascii="Times New Roman" w:hAnsi="Times New Roman" w:cs="Times New Roman"/>
                <w:color w:val="auto"/>
                <w:szCs w:val="21"/>
              </w:rPr>
            </w:pPr>
            <w:r>
              <w:rPr>
                <w:rFonts w:hint="default" w:ascii="Times New Roman" w:hAnsi="Times New Roman" w:cs="Times New Roman"/>
                <w:color w:val="auto"/>
                <w:sz w:val="21"/>
                <w:szCs w:val="21"/>
              </w:rPr>
              <w:t>0.00</w:t>
            </w:r>
          </w:p>
        </w:tc>
      </w:tr>
      <w:tr w14:paraId="0BE77923">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62E2C11F">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10000</w:t>
            </w:r>
          </w:p>
        </w:tc>
        <w:tc>
          <w:tcPr>
            <w:tcW w:w="568" w:type="pct"/>
            <w:tcBorders>
              <w:tl2br w:val="nil"/>
              <w:tr2bl w:val="nil"/>
            </w:tcBorders>
            <w:vAlign w:val="center"/>
          </w:tcPr>
          <w:p w14:paraId="76CFD8DD">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1.09E-04</w:t>
            </w:r>
          </w:p>
        </w:tc>
        <w:tc>
          <w:tcPr>
            <w:tcW w:w="609" w:type="pct"/>
            <w:tcBorders>
              <w:tl2br w:val="nil"/>
              <w:tr2bl w:val="nil"/>
            </w:tcBorders>
            <w:vAlign w:val="center"/>
          </w:tcPr>
          <w:p w14:paraId="0CED651D">
            <w:pPr>
              <w:adjustRightInd/>
              <w:snapToGrid/>
              <w:spacing w:line="240" w:lineRule="auto"/>
              <w:ind w:left="0" w:leftChars="0" w:right="0" w:rightChars="0"/>
              <w:jc w:val="center"/>
              <w:rPr>
                <w:rFonts w:hint="default" w:ascii="Times New Roman" w:hAnsi="Times New Roman" w:cs="Times New Roman"/>
                <w:color w:val="auto"/>
                <w:szCs w:val="21"/>
              </w:rPr>
            </w:pPr>
            <w:r>
              <w:rPr>
                <w:rFonts w:hint="default" w:ascii="Times New Roman" w:hAnsi="Times New Roman" w:cs="Times New Roman"/>
                <w:color w:val="auto"/>
                <w:szCs w:val="21"/>
              </w:rPr>
              <w:t>0.01</w:t>
            </w:r>
          </w:p>
        </w:tc>
        <w:tc>
          <w:tcPr>
            <w:tcW w:w="645" w:type="pct"/>
            <w:tcBorders>
              <w:tl2br w:val="nil"/>
              <w:tr2bl w:val="nil"/>
            </w:tcBorders>
            <w:vAlign w:val="center"/>
          </w:tcPr>
          <w:p w14:paraId="60D3980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1.39E-06</w:t>
            </w:r>
          </w:p>
        </w:tc>
        <w:tc>
          <w:tcPr>
            <w:tcW w:w="483" w:type="pct"/>
            <w:tcBorders>
              <w:tl2br w:val="nil"/>
              <w:tr2bl w:val="nil"/>
            </w:tcBorders>
            <w:vAlign w:val="center"/>
          </w:tcPr>
          <w:p w14:paraId="6420326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486" w:type="pct"/>
            <w:tcBorders>
              <w:tl2br w:val="nil"/>
              <w:tr2bl w:val="nil"/>
            </w:tcBorders>
            <w:vAlign w:val="center"/>
          </w:tcPr>
          <w:p w14:paraId="500BD5B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1.95E-05</w:t>
            </w:r>
          </w:p>
        </w:tc>
        <w:tc>
          <w:tcPr>
            <w:tcW w:w="507" w:type="pct"/>
            <w:tcBorders>
              <w:tl2br w:val="nil"/>
              <w:tr2bl w:val="nil"/>
            </w:tcBorders>
            <w:vAlign w:val="center"/>
          </w:tcPr>
          <w:p w14:paraId="3823EC31">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0.20</w:t>
            </w:r>
          </w:p>
        </w:tc>
        <w:tc>
          <w:tcPr>
            <w:tcW w:w="436" w:type="pct"/>
            <w:tcBorders>
              <w:tl2br w:val="nil"/>
              <w:tr2bl w:val="nil"/>
            </w:tcBorders>
            <w:vAlign w:val="center"/>
          </w:tcPr>
          <w:p w14:paraId="6FCD348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5.58E-07</w:t>
            </w:r>
          </w:p>
        </w:tc>
        <w:tc>
          <w:tcPr>
            <w:tcW w:w="447" w:type="pct"/>
            <w:tcBorders>
              <w:tl2br w:val="nil"/>
              <w:tr2bl w:val="nil"/>
            </w:tcBorders>
            <w:vAlign w:val="center"/>
          </w:tcPr>
          <w:p w14:paraId="199D8D2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r>
      <w:tr w14:paraId="0E60E7A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7F8D016F">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15000</w:t>
            </w:r>
          </w:p>
        </w:tc>
        <w:tc>
          <w:tcPr>
            <w:tcW w:w="568" w:type="pct"/>
            <w:tcBorders>
              <w:tl2br w:val="nil"/>
              <w:tr2bl w:val="nil"/>
            </w:tcBorders>
            <w:vAlign w:val="center"/>
          </w:tcPr>
          <w:p w14:paraId="0770E160">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6.30E-05</w:t>
            </w:r>
          </w:p>
        </w:tc>
        <w:tc>
          <w:tcPr>
            <w:tcW w:w="609" w:type="pct"/>
            <w:tcBorders>
              <w:tl2br w:val="nil"/>
              <w:tr2bl w:val="nil"/>
            </w:tcBorders>
            <w:vAlign w:val="center"/>
          </w:tcPr>
          <w:p w14:paraId="6161863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645" w:type="pct"/>
            <w:tcBorders>
              <w:tl2br w:val="nil"/>
              <w:tr2bl w:val="nil"/>
            </w:tcBorders>
            <w:vAlign w:val="center"/>
          </w:tcPr>
          <w:p w14:paraId="79A9913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8.09E-07</w:t>
            </w:r>
          </w:p>
        </w:tc>
        <w:tc>
          <w:tcPr>
            <w:tcW w:w="483" w:type="pct"/>
            <w:tcBorders>
              <w:right w:val="single" w:color="000000" w:sz="4" w:space="0"/>
              <w:tl2br w:val="nil"/>
              <w:tr2bl w:val="nil"/>
            </w:tcBorders>
            <w:vAlign w:val="center"/>
          </w:tcPr>
          <w:p w14:paraId="3B75D8C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486" w:type="pct"/>
            <w:tcBorders>
              <w:left w:val="single" w:color="000000" w:sz="4" w:space="0"/>
              <w:right w:val="single" w:color="000000" w:sz="4" w:space="0"/>
              <w:tl2br w:val="nil"/>
              <w:tr2bl w:val="nil"/>
            </w:tcBorders>
            <w:vAlign w:val="center"/>
          </w:tcPr>
          <w:p w14:paraId="3F36C7D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1.13E-05</w:t>
            </w:r>
          </w:p>
        </w:tc>
        <w:tc>
          <w:tcPr>
            <w:tcW w:w="507" w:type="pct"/>
            <w:tcBorders>
              <w:left w:val="single" w:color="000000" w:sz="4" w:space="0"/>
              <w:right w:val="single" w:color="000000" w:sz="4" w:space="0"/>
              <w:tl2br w:val="nil"/>
              <w:tr2bl w:val="nil"/>
            </w:tcBorders>
            <w:vAlign w:val="center"/>
          </w:tcPr>
          <w:p w14:paraId="50B6ECF9">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0.11</w:t>
            </w:r>
          </w:p>
        </w:tc>
        <w:tc>
          <w:tcPr>
            <w:tcW w:w="436" w:type="pct"/>
            <w:tcBorders>
              <w:left w:val="single" w:color="000000" w:sz="4" w:space="0"/>
              <w:right w:val="single" w:color="000000" w:sz="4" w:space="0"/>
              <w:tl2br w:val="nil"/>
              <w:tr2bl w:val="nil"/>
            </w:tcBorders>
            <w:vAlign w:val="center"/>
          </w:tcPr>
          <w:p w14:paraId="5FB11DE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3.23E-07</w:t>
            </w:r>
          </w:p>
        </w:tc>
        <w:tc>
          <w:tcPr>
            <w:tcW w:w="447" w:type="pct"/>
            <w:tcBorders>
              <w:left w:val="single" w:color="000000" w:sz="4" w:space="0"/>
              <w:tl2br w:val="nil"/>
              <w:tr2bl w:val="nil"/>
            </w:tcBorders>
            <w:vAlign w:val="center"/>
          </w:tcPr>
          <w:p w14:paraId="0151A0E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r>
      <w:tr w14:paraId="6840418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12136F41">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20000</w:t>
            </w:r>
          </w:p>
        </w:tc>
        <w:tc>
          <w:tcPr>
            <w:tcW w:w="568" w:type="pct"/>
            <w:tcBorders>
              <w:tl2br w:val="nil"/>
              <w:tr2bl w:val="nil"/>
            </w:tcBorders>
            <w:vAlign w:val="center"/>
          </w:tcPr>
          <w:p w14:paraId="0B6D00AC">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4.22E-05</w:t>
            </w:r>
          </w:p>
        </w:tc>
        <w:tc>
          <w:tcPr>
            <w:tcW w:w="609" w:type="pct"/>
            <w:tcBorders>
              <w:tl2br w:val="nil"/>
              <w:tr2bl w:val="nil"/>
            </w:tcBorders>
            <w:vAlign w:val="center"/>
          </w:tcPr>
          <w:p w14:paraId="237AB78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645" w:type="pct"/>
            <w:tcBorders>
              <w:tl2br w:val="nil"/>
              <w:tr2bl w:val="nil"/>
            </w:tcBorders>
            <w:vAlign w:val="center"/>
          </w:tcPr>
          <w:p w14:paraId="74C9E0B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5.41E-07</w:t>
            </w:r>
          </w:p>
        </w:tc>
        <w:tc>
          <w:tcPr>
            <w:tcW w:w="483" w:type="pct"/>
            <w:tcBorders>
              <w:right w:val="single" w:color="000000" w:sz="4" w:space="0"/>
              <w:tl2br w:val="nil"/>
              <w:tr2bl w:val="nil"/>
            </w:tcBorders>
            <w:vAlign w:val="center"/>
          </w:tcPr>
          <w:p w14:paraId="497FFB0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486" w:type="pct"/>
            <w:tcBorders>
              <w:left w:val="single" w:color="000000" w:sz="4" w:space="0"/>
              <w:right w:val="single" w:color="000000" w:sz="4" w:space="0"/>
              <w:tl2br w:val="nil"/>
              <w:tr2bl w:val="nil"/>
            </w:tcBorders>
            <w:vAlign w:val="center"/>
          </w:tcPr>
          <w:p w14:paraId="7681033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7.57E-06</w:t>
            </w:r>
          </w:p>
        </w:tc>
        <w:tc>
          <w:tcPr>
            <w:tcW w:w="507" w:type="pct"/>
            <w:tcBorders>
              <w:left w:val="single" w:color="000000" w:sz="4" w:space="0"/>
              <w:right w:val="single" w:color="000000" w:sz="4" w:space="0"/>
              <w:tl2br w:val="nil"/>
              <w:tr2bl w:val="nil"/>
            </w:tcBorders>
            <w:vAlign w:val="center"/>
          </w:tcPr>
          <w:p w14:paraId="5D1823A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0.08</w:t>
            </w:r>
          </w:p>
        </w:tc>
        <w:tc>
          <w:tcPr>
            <w:tcW w:w="436" w:type="pct"/>
            <w:tcBorders>
              <w:left w:val="single" w:color="000000" w:sz="4" w:space="0"/>
              <w:right w:val="single" w:color="000000" w:sz="4" w:space="0"/>
              <w:tl2br w:val="nil"/>
              <w:tr2bl w:val="nil"/>
            </w:tcBorders>
            <w:vAlign w:val="center"/>
          </w:tcPr>
          <w:p w14:paraId="14FBC0D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2.16E-07</w:t>
            </w:r>
          </w:p>
        </w:tc>
        <w:tc>
          <w:tcPr>
            <w:tcW w:w="447" w:type="pct"/>
            <w:tcBorders>
              <w:left w:val="single" w:color="000000" w:sz="4" w:space="0"/>
              <w:tl2br w:val="nil"/>
              <w:tr2bl w:val="nil"/>
            </w:tcBorders>
            <w:vAlign w:val="center"/>
          </w:tcPr>
          <w:p w14:paraId="6DC2D1A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r>
      <w:tr w14:paraId="793ED480">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2D11430D">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25000</w:t>
            </w:r>
          </w:p>
        </w:tc>
        <w:tc>
          <w:tcPr>
            <w:tcW w:w="568" w:type="pct"/>
            <w:tcBorders>
              <w:tl2br w:val="nil"/>
              <w:tr2bl w:val="nil"/>
            </w:tcBorders>
            <w:vAlign w:val="center"/>
          </w:tcPr>
          <w:p w14:paraId="51BC4A2C">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3.06E-05</w:t>
            </w:r>
          </w:p>
        </w:tc>
        <w:tc>
          <w:tcPr>
            <w:tcW w:w="609" w:type="pct"/>
            <w:tcBorders>
              <w:tl2br w:val="nil"/>
              <w:tr2bl w:val="nil"/>
            </w:tcBorders>
            <w:vAlign w:val="center"/>
          </w:tcPr>
          <w:p w14:paraId="6CBD471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645" w:type="pct"/>
            <w:tcBorders>
              <w:tl2br w:val="nil"/>
              <w:tr2bl w:val="nil"/>
            </w:tcBorders>
            <w:vAlign w:val="center"/>
          </w:tcPr>
          <w:p w14:paraId="1E4546C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3.93E-07</w:t>
            </w:r>
          </w:p>
        </w:tc>
        <w:tc>
          <w:tcPr>
            <w:tcW w:w="483" w:type="pct"/>
            <w:tcBorders>
              <w:right w:val="single" w:color="000000" w:sz="4" w:space="0"/>
              <w:tl2br w:val="nil"/>
              <w:tr2bl w:val="nil"/>
            </w:tcBorders>
            <w:vAlign w:val="center"/>
          </w:tcPr>
          <w:p w14:paraId="662A6F4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486" w:type="pct"/>
            <w:tcBorders>
              <w:left w:val="single" w:color="000000" w:sz="4" w:space="0"/>
              <w:right w:val="single" w:color="000000" w:sz="4" w:space="0"/>
              <w:tl2br w:val="nil"/>
              <w:tr2bl w:val="nil"/>
            </w:tcBorders>
            <w:vAlign w:val="center"/>
          </w:tcPr>
          <w:p w14:paraId="49EBCB5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5.49E-06</w:t>
            </w:r>
          </w:p>
        </w:tc>
        <w:tc>
          <w:tcPr>
            <w:tcW w:w="507" w:type="pct"/>
            <w:tcBorders>
              <w:left w:val="single" w:color="000000" w:sz="4" w:space="0"/>
              <w:right w:val="single" w:color="000000" w:sz="4" w:space="0"/>
              <w:tl2br w:val="nil"/>
              <w:tr2bl w:val="nil"/>
            </w:tcBorders>
            <w:vAlign w:val="center"/>
          </w:tcPr>
          <w:p w14:paraId="0FCC39A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0.05</w:t>
            </w:r>
          </w:p>
        </w:tc>
        <w:tc>
          <w:tcPr>
            <w:tcW w:w="436" w:type="pct"/>
            <w:tcBorders>
              <w:left w:val="single" w:color="000000" w:sz="4" w:space="0"/>
              <w:right w:val="single" w:color="000000" w:sz="4" w:space="0"/>
              <w:tl2br w:val="nil"/>
              <w:tr2bl w:val="nil"/>
            </w:tcBorders>
            <w:vAlign w:val="center"/>
          </w:tcPr>
          <w:p w14:paraId="777DEDE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1.57E-07</w:t>
            </w:r>
          </w:p>
        </w:tc>
        <w:tc>
          <w:tcPr>
            <w:tcW w:w="447" w:type="pct"/>
            <w:tcBorders>
              <w:left w:val="single" w:color="000000" w:sz="4" w:space="0"/>
              <w:tl2br w:val="nil"/>
              <w:tr2bl w:val="nil"/>
            </w:tcBorders>
            <w:vAlign w:val="center"/>
          </w:tcPr>
          <w:p w14:paraId="3AC3A01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r>
      <w:tr w14:paraId="3AD8D68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57F4ABE9">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下风向最大质量浓度及占标率%</w:t>
            </w:r>
          </w:p>
        </w:tc>
        <w:tc>
          <w:tcPr>
            <w:tcW w:w="568" w:type="pct"/>
            <w:tcBorders>
              <w:tl2br w:val="nil"/>
              <w:tr2bl w:val="nil"/>
            </w:tcBorders>
            <w:vAlign w:val="center"/>
          </w:tcPr>
          <w:p w14:paraId="31A1DC2E">
            <w:pPr>
              <w:pStyle w:val="83"/>
              <w:adjustRightInd/>
              <w:snapToGrid/>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rPr>
              <w:t>1.97E-03</w:t>
            </w:r>
          </w:p>
        </w:tc>
        <w:tc>
          <w:tcPr>
            <w:tcW w:w="609" w:type="pct"/>
            <w:tcBorders>
              <w:tl2br w:val="nil"/>
              <w:tr2bl w:val="nil"/>
            </w:tcBorders>
            <w:vAlign w:val="center"/>
          </w:tcPr>
          <w:p w14:paraId="60B3C09F">
            <w:pPr>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0.10</w:t>
            </w:r>
          </w:p>
        </w:tc>
        <w:tc>
          <w:tcPr>
            <w:tcW w:w="645" w:type="pct"/>
            <w:tcBorders>
              <w:tl2br w:val="nil"/>
              <w:tr2bl w:val="nil"/>
            </w:tcBorders>
            <w:vAlign w:val="center"/>
          </w:tcPr>
          <w:p w14:paraId="1AF3E570">
            <w:pPr>
              <w:pStyle w:val="83"/>
              <w:adjustRightInd/>
              <w:snapToGrid/>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rPr>
              <w:t>2.52E-05</w:t>
            </w:r>
          </w:p>
        </w:tc>
        <w:tc>
          <w:tcPr>
            <w:tcW w:w="483" w:type="pct"/>
            <w:tcBorders>
              <w:right w:val="single" w:color="000000" w:sz="4" w:space="0"/>
              <w:tl2br w:val="nil"/>
              <w:tr2bl w:val="nil"/>
            </w:tcBorders>
            <w:vAlign w:val="center"/>
          </w:tcPr>
          <w:p w14:paraId="48972CAC">
            <w:pPr>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0.01</w:t>
            </w:r>
          </w:p>
        </w:tc>
        <w:tc>
          <w:tcPr>
            <w:tcW w:w="486" w:type="pct"/>
            <w:tcBorders>
              <w:left w:val="single" w:color="000000" w:sz="4" w:space="0"/>
              <w:right w:val="single" w:color="000000" w:sz="4" w:space="0"/>
              <w:tl2br w:val="nil"/>
              <w:tr2bl w:val="nil"/>
            </w:tcBorders>
            <w:vAlign w:val="center"/>
          </w:tcPr>
          <w:p w14:paraId="6BC46205">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3.53E-04</w:t>
            </w:r>
          </w:p>
        </w:tc>
        <w:tc>
          <w:tcPr>
            <w:tcW w:w="507" w:type="pct"/>
            <w:tcBorders>
              <w:left w:val="single" w:color="000000" w:sz="4" w:space="0"/>
              <w:right w:val="single" w:color="000000" w:sz="4" w:space="0"/>
              <w:tl2br w:val="nil"/>
              <w:tr2bl w:val="nil"/>
            </w:tcBorders>
            <w:vAlign w:val="center"/>
          </w:tcPr>
          <w:p w14:paraId="36C57E6A">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3.53</w:t>
            </w:r>
          </w:p>
        </w:tc>
        <w:tc>
          <w:tcPr>
            <w:tcW w:w="436" w:type="pct"/>
            <w:tcBorders>
              <w:left w:val="single" w:color="000000" w:sz="4" w:space="0"/>
              <w:right w:val="single" w:color="000000" w:sz="4" w:space="0"/>
              <w:tl2br w:val="nil"/>
              <w:tr2bl w:val="nil"/>
            </w:tcBorders>
            <w:vAlign w:val="center"/>
          </w:tcPr>
          <w:p w14:paraId="6CD8C253">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1.01E-05</w:t>
            </w:r>
          </w:p>
        </w:tc>
        <w:tc>
          <w:tcPr>
            <w:tcW w:w="447" w:type="pct"/>
            <w:tcBorders>
              <w:left w:val="single" w:color="000000" w:sz="4" w:space="0"/>
              <w:tl2br w:val="nil"/>
              <w:tr2bl w:val="nil"/>
            </w:tcBorders>
            <w:vAlign w:val="center"/>
          </w:tcPr>
          <w:p w14:paraId="0585CF18">
            <w:pPr>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0.02</w:t>
            </w:r>
          </w:p>
        </w:tc>
      </w:tr>
      <w:tr w14:paraId="1B0583E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672DFDB9">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最大浓度落地点</w:t>
            </w:r>
          </w:p>
        </w:tc>
        <w:tc>
          <w:tcPr>
            <w:tcW w:w="1178" w:type="pct"/>
            <w:gridSpan w:val="2"/>
            <w:tcBorders>
              <w:tl2br w:val="nil"/>
              <w:tr2bl w:val="nil"/>
            </w:tcBorders>
            <w:vAlign w:val="center"/>
          </w:tcPr>
          <w:p w14:paraId="16A9BA3E">
            <w:pPr>
              <w:pStyle w:val="83"/>
              <w:spacing w:line="240" w:lineRule="auto"/>
              <w:ind w:left="0" w:leftChars="0" w:right="0" w:rightChars="0"/>
              <w:rPr>
                <w:rFonts w:hint="default" w:ascii="Times New Roman" w:hAnsi="Times New Roman" w:cs="Times New Roman"/>
                <w:b/>
                <w:bCs/>
                <w:color w:val="auto"/>
                <w:szCs w:val="21"/>
              </w:rPr>
            </w:pPr>
            <w:r>
              <w:rPr>
                <w:rFonts w:hint="eastAsia" w:ascii="Times New Roman" w:hAnsi="Times New Roman" w:eastAsia="宋体" w:cs="Times New Roman"/>
                <w:b/>
                <w:bCs/>
                <w:color w:val="auto"/>
                <w:szCs w:val="21"/>
                <w:lang w:val="en-US" w:eastAsia="zh-CN"/>
              </w:rPr>
              <w:t>150</w:t>
            </w:r>
            <w:r>
              <w:rPr>
                <w:rFonts w:hint="default" w:ascii="Times New Roman" w:hAnsi="Times New Roman" w:cs="Times New Roman"/>
                <w:b/>
                <w:bCs/>
                <w:color w:val="auto"/>
                <w:szCs w:val="21"/>
              </w:rPr>
              <w:t>m</w:t>
            </w:r>
          </w:p>
        </w:tc>
        <w:tc>
          <w:tcPr>
            <w:tcW w:w="1129" w:type="pct"/>
            <w:gridSpan w:val="2"/>
            <w:tcBorders>
              <w:right w:val="single" w:color="000000" w:sz="4" w:space="0"/>
              <w:tl2br w:val="nil"/>
              <w:tr2bl w:val="nil"/>
            </w:tcBorders>
            <w:vAlign w:val="center"/>
          </w:tcPr>
          <w:p w14:paraId="41694E5C">
            <w:pPr>
              <w:spacing w:line="240" w:lineRule="auto"/>
              <w:ind w:left="0" w:leftChars="0" w:right="0" w:rightChars="0"/>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150</w:t>
            </w:r>
            <w:r>
              <w:rPr>
                <w:rFonts w:hint="default" w:ascii="Times New Roman" w:hAnsi="Times New Roman" w:cs="Times New Roman"/>
                <w:b/>
                <w:bCs/>
                <w:color w:val="auto"/>
                <w:szCs w:val="21"/>
              </w:rPr>
              <w:t>m</w:t>
            </w:r>
          </w:p>
        </w:tc>
        <w:tc>
          <w:tcPr>
            <w:tcW w:w="994" w:type="pct"/>
            <w:gridSpan w:val="2"/>
            <w:tcBorders>
              <w:left w:val="single" w:color="000000" w:sz="4" w:space="0"/>
              <w:right w:val="single" w:color="000000" w:sz="4" w:space="0"/>
              <w:tl2br w:val="nil"/>
              <w:tr2bl w:val="nil"/>
            </w:tcBorders>
            <w:vAlign w:val="center"/>
          </w:tcPr>
          <w:p w14:paraId="2E410D6A">
            <w:pPr>
              <w:spacing w:line="240" w:lineRule="auto"/>
              <w:ind w:left="0" w:leftChars="0" w:right="0" w:rightChars="0"/>
              <w:jc w:val="center"/>
              <w:rPr>
                <w:rFonts w:hint="default" w:ascii="Times New Roman" w:hAnsi="Times New Roman" w:cs="Times New Roman"/>
                <w:b/>
                <w:bCs/>
                <w:color w:val="auto"/>
                <w:szCs w:val="21"/>
              </w:rPr>
            </w:pPr>
            <w:r>
              <w:rPr>
                <w:rFonts w:hint="eastAsia" w:ascii="Times New Roman" w:hAnsi="Times New Roman" w:eastAsia="宋体" w:cs="Times New Roman"/>
                <w:b/>
                <w:bCs/>
                <w:color w:val="auto"/>
                <w:szCs w:val="21"/>
                <w:lang w:val="en-US" w:eastAsia="zh-CN"/>
              </w:rPr>
              <w:t>166</w:t>
            </w:r>
            <w:r>
              <w:rPr>
                <w:rFonts w:hint="default" w:ascii="Times New Roman" w:hAnsi="Times New Roman" w:cs="Times New Roman"/>
                <w:b/>
                <w:bCs/>
                <w:color w:val="auto"/>
                <w:szCs w:val="21"/>
              </w:rPr>
              <w:t>m</w:t>
            </w:r>
          </w:p>
        </w:tc>
        <w:tc>
          <w:tcPr>
            <w:tcW w:w="883" w:type="pct"/>
            <w:gridSpan w:val="2"/>
            <w:tcBorders>
              <w:left w:val="single" w:color="000000" w:sz="4" w:space="0"/>
              <w:tl2br w:val="nil"/>
              <w:tr2bl w:val="nil"/>
            </w:tcBorders>
            <w:vAlign w:val="center"/>
          </w:tcPr>
          <w:p w14:paraId="6AD3EE05">
            <w:pPr>
              <w:spacing w:line="240" w:lineRule="auto"/>
              <w:ind w:left="0" w:leftChars="0" w:right="0" w:rightChars="0"/>
              <w:jc w:val="center"/>
              <w:rPr>
                <w:rFonts w:hint="default" w:ascii="Times New Roman" w:hAnsi="Times New Roman" w:cs="Times New Roman"/>
                <w:b/>
                <w:bCs/>
                <w:color w:val="auto"/>
                <w:szCs w:val="21"/>
              </w:rPr>
            </w:pPr>
            <w:r>
              <w:rPr>
                <w:rFonts w:hint="eastAsia" w:ascii="Times New Roman" w:hAnsi="Times New Roman" w:eastAsia="宋体" w:cs="Times New Roman"/>
                <w:b/>
                <w:bCs/>
                <w:color w:val="auto"/>
                <w:szCs w:val="21"/>
                <w:lang w:val="en-US" w:eastAsia="zh-CN"/>
              </w:rPr>
              <w:t>150</w:t>
            </w:r>
            <w:r>
              <w:rPr>
                <w:rFonts w:hint="default" w:ascii="Times New Roman" w:hAnsi="Times New Roman" w:cs="Times New Roman"/>
                <w:b/>
                <w:bCs/>
                <w:color w:val="auto"/>
                <w:szCs w:val="21"/>
              </w:rPr>
              <w:t>m</w:t>
            </w:r>
          </w:p>
        </w:tc>
      </w:tr>
      <w:tr w14:paraId="175A8353">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812" w:type="pct"/>
            <w:tcBorders>
              <w:tl2br w:val="nil"/>
              <w:tr2bl w:val="nil"/>
            </w:tcBorders>
            <w:vAlign w:val="center"/>
          </w:tcPr>
          <w:p w14:paraId="4AB4D752">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D10%最远距离</w:t>
            </w:r>
          </w:p>
        </w:tc>
        <w:tc>
          <w:tcPr>
            <w:tcW w:w="1178" w:type="pct"/>
            <w:gridSpan w:val="2"/>
            <w:tcBorders>
              <w:tl2br w:val="nil"/>
              <w:tr2bl w:val="nil"/>
            </w:tcBorders>
            <w:vAlign w:val="center"/>
          </w:tcPr>
          <w:p w14:paraId="7EDEE8F9">
            <w:pPr>
              <w:pStyle w:val="83"/>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rPr>
              <w:t>/</w:t>
            </w:r>
          </w:p>
        </w:tc>
        <w:tc>
          <w:tcPr>
            <w:tcW w:w="1129" w:type="pct"/>
            <w:gridSpan w:val="2"/>
            <w:tcBorders>
              <w:right w:val="single" w:color="000000" w:sz="4" w:space="0"/>
              <w:tl2br w:val="nil"/>
              <w:tr2bl w:val="nil"/>
            </w:tcBorders>
            <w:vAlign w:val="center"/>
          </w:tcPr>
          <w:p w14:paraId="4ED1DC19">
            <w:pPr>
              <w:pStyle w:val="83"/>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rPr>
              <w:t>/</w:t>
            </w:r>
          </w:p>
        </w:tc>
        <w:tc>
          <w:tcPr>
            <w:tcW w:w="994" w:type="pct"/>
            <w:gridSpan w:val="2"/>
            <w:tcBorders>
              <w:left w:val="single" w:color="000000" w:sz="4" w:space="0"/>
              <w:right w:val="single" w:color="000000" w:sz="4" w:space="0"/>
              <w:tl2br w:val="nil"/>
              <w:tr2bl w:val="nil"/>
            </w:tcBorders>
            <w:vAlign w:val="center"/>
          </w:tcPr>
          <w:p w14:paraId="235E9875">
            <w:pPr>
              <w:pStyle w:val="83"/>
              <w:spacing w:line="240" w:lineRule="auto"/>
              <w:ind w:left="0" w:leftChars="0" w:right="0" w:rightChars="0"/>
              <w:rPr>
                <w:rFonts w:hint="eastAsia"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w:t>
            </w:r>
          </w:p>
        </w:tc>
        <w:tc>
          <w:tcPr>
            <w:tcW w:w="883" w:type="pct"/>
            <w:gridSpan w:val="2"/>
            <w:tcBorders>
              <w:left w:val="single" w:color="000000" w:sz="4" w:space="0"/>
              <w:tl2br w:val="nil"/>
              <w:tr2bl w:val="nil"/>
            </w:tcBorders>
            <w:vAlign w:val="center"/>
          </w:tcPr>
          <w:p w14:paraId="6DBE57BA">
            <w:pPr>
              <w:pStyle w:val="83"/>
              <w:spacing w:line="240" w:lineRule="auto"/>
              <w:ind w:left="0" w:leftChars="0" w:right="0" w:rightChars="0"/>
              <w:rPr>
                <w:rFonts w:hint="eastAsia"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w:t>
            </w:r>
          </w:p>
        </w:tc>
      </w:tr>
    </w:tbl>
    <w:p w14:paraId="6061FFBD">
      <w:pPr>
        <w:pStyle w:val="44"/>
        <w:tabs>
          <w:tab w:val="left" w:pos="567"/>
          <w:tab w:val="clear" w:pos="1120"/>
        </w:tabs>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eastAsia" w:ascii="Times New Roman" w:hAnsi="Times New Roman" w:cs="Times New Roman"/>
          <w:color w:val="auto"/>
          <w:lang w:val="en-US" w:eastAsia="zh-CN"/>
        </w:rPr>
        <w:t>2.6</w:t>
      </w:r>
      <w:r>
        <w:rPr>
          <w:rFonts w:hint="default" w:ascii="Times New Roman" w:hAnsi="Times New Roman" w:cs="Times New Roman"/>
          <w:color w:val="auto"/>
          <w:lang w:eastAsia="zh-CN"/>
        </w:rPr>
        <w:t>-</w:t>
      </w:r>
      <w:r>
        <w:rPr>
          <w:rFonts w:hint="eastAsia" w:ascii="Times New Roman" w:hAnsi="Times New Roman" w:cs="Times New Roman"/>
          <w:color w:val="auto"/>
          <w:lang w:val="en-US" w:eastAsia="zh-CN"/>
        </w:rPr>
        <w:t>7</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lang w:val="en-US"/>
        </w:rPr>
        <w:t>废气</w:t>
      </w:r>
      <w:r>
        <w:rPr>
          <w:rFonts w:hint="default" w:ascii="Times New Roman" w:hAnsi="Times New Roman" w:eastAsia="宋体" w:cs="Times New Roman"/>
          <w:color w:val="auto"/>
          <w:highlight w:val="none"/>
        </w:rPr>
        <w:t>估算模式计算结果表（</w:t>
      </w:r>
      <w:r>
        <w:rPr>
          <w:rFonts w:hint="default" w:ascii="Times New Roman" w:hAnsi="Times New Roman" w:eastAsia="宋体" w:cs="Times New Roman"/>
          <w:color w:val="auto"/>
          <w:highlight w:val="none"/>
          <w:lang w:val="en-US"/>
        </w:rPr>
        <w:t>点源</w:t>
      </w:r>
      <w:r>
        <w:rPr>
          <w:rFonts w:hint="default" w:ascii="Times New Roman" w:hAnsi="Times New Roman" w:eastAsia="宋体" w:cs="Times New Roman"/>
          <w:color w:val="auto"/>
          <w:highlight w:val="none"/>
        </w:rPr>
        <w:t>）</w:t>
      </w:r>
    </w:p>
    <w:tbl>
      <w:tblPr>
        <w:tblStyle w:val="22"/>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3300"/>
        <w:gridCol w:w="2268"/>
        <w:gridCol w:w="1141"/>
        <w:gridCol w:w="2268"/>
        <w:gridCol w:w="1147"/>
        <w:gridCol w:w="3099"/>
        <w:gridCol w:w="1559"/>
      </w:tblGrid>
      <w:tr w14:paraId="7817437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vMerge w:val="restart"/>
            <w:tcBorders>
              <w:tl2br w:val="nil"/>
              <w:tr2bl w:val="nil"/>
            </w:tcBorders>
            <w:vAlign w:val="center"/>
          </w:tcPr>
          <w:p w14:paraId="1044212C">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下风向距离/m</w:t>
            </w:r>
          </w:p>
        </w:tc>
        <w:tc>
          <w:tcPr>
            <w:tcW w:w="2308" w:type="pct"/>
            <w:gridSpan w:val="4"/>
            <w:tcBorders>
              <w:tl2br w:val="nil"/>
              <w:tr2bl w:val="nil"/>
            </w:tcBorders>
            <w:vAlign w:val="center"/>
          </w:tcPr>
          <w:p w14:paraId="331D023D">
            <w:pPr>
              <w:pStyle w:val="83"/>
              <w:spacing w:line="240" w:lineRule="auto"/>
              <w:ind w:left="0" w:leftChars="0" w:right="0" w:rightChars="0"/>
              <w:rPr>
                <w:rFonts w:hint="default" w:ascii="Times New Roman" w:hAnsi="Times New Roman" w:cs="Times New Roman"/>
                <w:color w:val="auto"/>
                <w:szCs w:val="21"/>
              </w:rPr>
            </w:pPr>
            <w:r>
              <w:rPr>
                <w:rFonts w:hint="eastAsia" w:ascii="Times New Roman" w:hAnsi="Times New Roman" w:eastAsia="宋体" w:cs="Times New Roman"/>
                <w:color w:val="auto"/>
                <w:lang w:val="en-US" w:eastAsia="zh-CN"/>
              </w:rPr>
              <w:t>喷涂、管路和喷枪清洗、丝印废气排气筒</w:t>
            </w:r>
            <w:r>
              <w:rPr>
                <w:rFonts w:hint="default" w:ascii="Times New Roman" w:hAnsi="Times New Roman" w:cs="Times New Roman"/>
                <w:color w:val="auto"/>
                <w:szCs w:val="21"/>
              </w:rPr>
              <w:t>（DA0</w:t>
            </w:r>
            <w:r>
              <w:rPr>
                <w:rFonts w:hint="eastAsia" w:ascii="Times New Roman" w:hAnsi="Times New Roman" w:eastAsia="宋体" w:cs="Times New Roman"/>
                <w:color w:val="auto"/>
                <w:szCs w:val="21"/>
                <w:lang w:val="en-US" w:eastAsia="zh-CN"/>
              </w:rPr>
              <w:t>02</w:t>
            </w:r>
            <w:r>
              <w:rPr>
                <w:rFonts w:hint="default" w:ascii="Times New Roman" w:hAnsi="Times New Roman" w:cs="Times New Roman"/>
                <w:color w:val="auto"/>
                <w:szCs w:val="21"/>
              </w:rPr>
              <w:t>）</w:t>
            </w:r>
          </w:p>
        </w:tc>
        <w:tc>
          <w:tcPr>
            <w:tcW w:w="1575" w:type="pct"/>
            <w:gridSpan w:val="2"/>
            <w:tcBorders>
              <w:tl2br w:val="nil"/>
              <w:tr2bl w:val="nil"/>
            </w:tcBorders>
            <w:vAlign w:val="center"/>
          </w:tcPr>
          <w:p w14:paraId="171E1D9C">
            <w:pPr>
              <w:pStyle w:val="83"/>
              <w:spacing w:line="240" w:lineRule="auto"/>
              <w:ind w:left="0" w:leftChars="0" w:right="0" w:right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配胶、喷胶及烘干</w:t>
            </w:r>
            <w:r>
              <w:rPr>
                <w:rFonts w:hint="default" w:ascii="Times New Roman" w:hAnsi="Times New Roman" w:cs="Times New Roman"/>
                <w:color w:val="auto"/>
                <w:lang w:val="en-US" w:eastAsia="zh-CN"/>
              </w:rPr>
              <w:t>废气、发泡废气</w:t>
            </w:r>
            <w:r>
              <w:rPr>
                <w:rFonts w:hint="eastAsia" w:ascii="Times New Roman" w:hAnsi="Times New Roman" w:cs="Times New Roman"/>
                <w:color w:val="auto"/>
                <w:lang w:val="en-US" w:eastAsia="zh-CN"/>
              </w:rPr>
              <w:t>排气筒（DA004）</w:t>
            </w:r>
          </w:p>
        </w:tc>
      </w:tr>
      <w:tr w14:paraId="6E5837F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vMerge w:val="continue"/>
            <w:tcBorders>
              <w:tl2br w:val="nil"/>
              <w:tr2bl w:val="nil"/>
            </w:tcBorders>
            <w:vAlign w:val="center"/>
          </w:tcPr>
          <w:p w14:paraId="1DAFBE75">
            <w:pPr>
              <w:pStyle w:val="83"/>
              <w:spacing w:line="240" w:lineRule="auto"/>
              <w:ind w:left="0" w:leftChars="0" w:right="0" w:rightChars="0"/>
              <w:rPr>
                <w:rFonts w:hint="default" w:ascii="Times New Roman" w:hAnsi="Times New Roman" w:cs="Times New Roman"/>
                <w:color w:val="auto"/>
                <w:szCs w:val="21"/>
              </w:rPr>
            </w:pPr>
          </w:p>
        </w:tc>
        <w:tc>
          <w:tcPr>
            <w:tcW w:w="1153" w:type="pct"/>
            <w:gridSpan w:val="2"/>
            <w:tcBorders>
              <w:tl2br w:val="nil"/>
              <w:tr2bl w:val="nil"/>
            </w:tcBorders>
            <w:vAlign w:val="center"/>
          </w:tcPr>
          <w:p w14:paraId="3EE6C545">
            <w:pPr>
              <w:pStyle w:val="83"/>
              <w:spacing w:line="240" w:lineRule="auto"/>
              <w:ind w:left="0" w:leftChars="0" w:right="0" w:rightChars="0"/>
              <w:rPr>
                <w:rFonts w:hint="default" w:ascii="Times New Roman" w:hAnsi="Times New Roman" w:cs="Times New Roman"/>
                <w:color w:val="auto"/>
                <w:szCs w:val="21"/>
              </w:rPr>
            </w:pPr>
            <w:r>
              <w:rPr>
                <w:rFonts w:hint="eastAsia" w:ascii="Times New Roman" w:hAnsi="Times New Roman" w:eastAsia="宋体" w:cs="Times New Roman"/>
                <w:color w:val="auto"/>
                <w:szCs w:val="21"/>
                <w:lang w:val="en-US" w:eastAsia="zh-CN"/>
              </w:rPr>
              <w:t>颗粒物</w:t>
            </w:r>
          </w:p>
        </w:tc>
        <w:tc>
          <w:tcPr>
            <w:tcW w:w="1154" w:type="pct"/>
            <w:gridSpan w:val="2"/>
            <w:tcBorders>
              <w:tl2br w:val="nil"/>
              <w:tr2bl w:val="nil"/>
            </w:tcBorders>
            <w:vAlign w:val="center"/>
          </w:tcPr>
          <w:p w14:paraId="03788915">
            <w:pPr>
              <w:pStyle w:val="83"/>
              <w:spacing w:line="240" w:lineRule="auto"/>
              <w:ind w:left="0" w:leftChars="0" w:right="0" w:rightChars="0"/>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非甲烷总烃</w:t>
            </w:r>
          </w:p>
        </w:tc>
        <w:tc>
          <w:tcPr>
            <w:tcW w:w="1575" w:type="pct"/>
            <w:gridSpan w:val="2"/>
            <w:tcBorders>
              <w:tl2br w:val="nil"/>
              <w:tr2bl w:val="nil"/>
            </w:tcBorders>
            <w:vAlign w:val="center"/>
          </w:tcPr>
          <w:p w14:paraId="567EEC0A">
            <w:pPr>
              <w:pStyle w:val="83"/>
              <w:spacing w:line="240" w:lineRule="auto"/>
              <w:ind w:left="19" w:leftChars="9" w:right="19" w:rightChars="9" w:firstLine="0" w:firstLineChars="0"/>
              <w:rPr>
                <w:rFonts w:hint="default" w:ascii="Times New Roman" w:hAnsi="Times New Roman" w:cs="Times New Roman"/>
                <w:color w:val="auto"/>
                <w:szCs w:val="21"/>
              </w:rPr>
            </w:pPr>
            <w:r>
              <w:rPr>
                <w:rFonts w:hint="eastAsia" w:ascii="Times New Roman" w:hAnsi="Times New Roman" w:eastAsia="宋体" w:cs="Times New Roman"/>
                <w:color w:val="auto"/>
                <w:lang w:val="en-US" w:eastAsia="zh-CN"/>
              </w:rPr>
              <w:t>非甲烷总烃</w:t>
            </w:r>
          </w:p>
        </w:tc>
      </w:tr>
      <w:tr w14:paraId="650E3BF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vMerge w:val="continue"/>
            <w:tcBorders>
              <w:tl2br w:val="nil"/>
              <w:tr2bl w:val="nil"/>
            </w:tcBorders>
            <w:vAlign w:val="center"/>
          </w:tcPr>
          <w:p w14:paraId="231B1181">
            <w:pPr>
              <w:pStyle w:val="83"/>
              <w:spacing w:line="240" w:lineRule="auto"/>
              <w:ind w:left="0" w:leftChars="0" w:right="0" w:rightChars="0"/>
              <w:rPr>
                <w:rFonts w:hint="default" w:ascii="Times New Roman" w:hAnsi="Times New Roman" w:cs="Times New Roman"/>
                <w:color w:val="auto"/>
                <w:szCs w:val="21"/>
              </w:rPr>
            </w:pPr>
          </w:p>
        </w:tc>
        <w:tc>
          <w:tcPr>
            <w:tcW w:w="767" w:type="pct"/>
            <w:tcBorders>
              <w:tl2br w:val="nil"/>
              <w:tr2bl w:val="nil"/>
            </w:tcBorders>
            <w:vAlign w:val="center"/>
          </w:tcPr>
          <w:p w14:paraId="160DA5C4">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预测质量浓度/mg/m</w:t>
            </w:r>
            <w:r>
              <w:rPr>
                <w:rFonts w:hint="default" w:ascii="Times New Roman" w:hAnsi="Times New Roman" w:cs="Times New Roman"/>
                <w:color w:val="auto"/>
                <w:szCs w:val="21"/>
                <w:vertAlign w:val="superscript"/>
              </w:rPr>
              <w:t>3</w:t>
            </w:r>
          </w:p>
        </w:tc>
        <w:tc>
          <w:tcPr>
            <w:tcW w:w="386" w:type="pct"/>
            <w:tcBorders>
              <w:tl2br w:val="nil"/>
              <w:tr2bl w:val="nil"/>
            </w:tcBorders>
            <w:vAlign w:val="center"/>
          </w:tcPr>
          <w:p w14:paraId="451BAA1D">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占标率/%</w:t>
            </w:r>
          </w:p>
        </w:tc>
        <w:tc>
          <w:tcPr>
            <w:tcW w:w="767" w:type="pct"/>
            <w:tcBorders>
              <w:tl2br w:val="nil"/>
              <w:tr2bl w:val="nil"/>
            </w:tcBorders>
            <w:vAlign w:val="center"/>
          </w:tcPr>
          <w:p w14:paraId="557D4F92">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预测质量浓度/mg/m</w:t>
            </w:r>
            <w:r>
              <w:rPr>
                <w:rFonts w:hint="default" w:ascii="Times New Roman" w:hAnsi="Times New Roman" w:cs="Times New Roman"/>
                <w:color w:val="auto"/>
                <w:szCs w:val="21"/>
                <w:vertAlign w:val="superscript"/>
              </w:rPr>
              <w:t>3</w:t>
            </w:r>
          </w:p>
        </w:tc>
        <w:tc>
          <w:tcPr>
            <w:tcW w:w="387" w:type="pct"/>
            <w:tcBorders>
              <w:tl2br w:val="nil"/>
              <w:tr2bl w:val="nil"/>
            </w:tcBorders>
            <w:vAlign w:val="center"/>
          </w:tcPr>
          <w:p w14:paraId="48745EE4">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占标率/%</w:t>
            </w:r>
          </w:p>
        </w:tc>
        <w:tc>
          <w:tcPr>
            <w:tcW w:w="1048" w:type="pct"/>
            <w:tcBorders>
              <w:tl2br w:val="nil"/>
              <w:tr2bl w:val="nil"/>
            </w:tcBorders>
            <w:vAlign w:val="center"/>
          </w:tcPr>
          <w:p w14:paraId="56496C45">
            <w:pPr>
              <w:pStyle w:val="83"/>
              <w:spacing w:line="240" w:lineRule="auto"/>
              <w:ind w:left="0" w:leftChars="0" w:right="0" w:rightChars="0"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预测质量浓度/mg/m</w:t>
            </w:r>
            <w:r>
              <w:rPr>
                <w:rFonts w:hint="default" w:ascii="Times New Roman" w:hAnsi="Times New Roman" w:cs="Times New Roman"/>
                <w:color w:val="auto"/>
                <w:szCs w:val="21"/>
                <w:vertAlign w:val="superscript"/>
              </w:rPr>
              <w:t>3</w:t>
            </w:r>
          </w:p>
        </w:tc>
        <w:tc>
          <w:tcPr>
            <w:tcW w:w="527" w:type="pct"/>
            <w:tcBorders>
              <w:tl2br w:val="nil"/>
              <w:tr2bl w:val="nil"/>
            </w:tcBorders>
            <w:vAlign w:val="center"/>
          </w:tcPr>
          <w:p w14:paraId="426776DC">
            <w:pPr>
              <w:pStyle w:val="83"/>
              <w:spacing w:line="240" w:lineRule="auto"/>
              <w:ind w:left="0" w:leftChars="0" w:right="0" w:rightChars="0"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占标率/%</w:t>
            </w:r>
          </w:p>
        </w:tc>
      </w:tr>
      <w:tr w14:paraId="27AADC4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1616A082">
            <w:pPr>
              <w:pStyle w:val="83"/>
              <w:spacing w:line="240" w:lineRule="auto"/>
              <w:ind w:left="0" w:leftChars="0" w:right="0" w:rightChars="0" w:firstLine="0" w:firstLineChars="0"/>
              <w:rPr>
                <w:rFonts w:hint="default" w:ascii="Times New Roman" w:hAnsi="Times New Roman" w:cs="Times New Roman"/>
                <w:color w:val="auto"/>
                <w:szCs w:val="21"/>
              </w:rPr>
            </w:pPr>
            <w:r>
              <w:rPr>
                <w:rFonts w:hint="eastAsia" w:ascii="Times New Roman" w:hAnsi="Times New Roman" w:eastAsia="宋体" w:cs="Times New Roman"/>
                <w:color w:val="auto"/>
                <w:szCs w:val="21"/>
                <w:lang w:val="en-US" w:eastAsia="zh-CN"/>
              </w:rPr>
              <w:t>10</w:t>
            </w:r>
          </w:p>
        </w:tc>
        <w:tc>
          <w:tcPr>
            <w:tcW w:w="767" w:type="pct"/>
            <w:tcBorders>
              <w:tl2br w:val="nil"/>
              <w:tr2bl w:val="nil"/>
            </w:tcBorders>
            <w:vAlign w:val="center"/>
          </w:tcPr>
          <w:p w14:paraId="57F1BD99">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1.15E-19</w:t>
            </w:r>
          </w:p>
        </w:tc>
        <w:tc>
          <w:tcPr>
            <w:tcW w:w="386" w:type="pct"/>
            <w:tcBorders>
              <w:tl2br w:val="nil"/>
              <w:tr2bl w:val="nil"/>
            </w:tcBorders>
            <w:shd w:val="clear" w:color="auto" w:fill="auto"/>
            <w:vAlign w:val="center"/>
          </w:tcPr>
          <w:p w14:paraId="01779F7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767" w:type="pct"/>
            <w:tcBorders>
              <w:tl2br w:val="nil"/>
              <w:tr2bl w:val="nil"/>
            </w:tcBorders>
            <w:vAlign w:val="center"/>
          </w:tcPr>
          <w:p w14:paraId="7ED4B8B9">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1.19E-19</w:t>
            </w:r>
          </w:p>
        </w:tc>
        <w:tc>
          <w:tcPr>
            <w:tcW w:w="387" w:type="pct"/>
            <w:tcBorders>
              <w:tl2br w:val="nil"/>
              <w:tr2bl w:val="nil"/>
            </w:tcBorders>
            <w:shd w:val="clear" w:color="auto" w:fill="auto"/>
            <w:vAlign w:val="center"/>
          </w:tcPr>
          <w:p w14:paraId="56836A7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1048" w:type="pct"/>
            <w:tcBorders>
              <w:tl2br w:val="nil"/>
              <w:tr2bl w:val="nil"/>
            </w:tcBorders>
            <w:shd w:val="clear" w:color="auto" w:fill="auto"/>
            <w:vAlign w:val="center"/>
          </w:tcPr>
          <w:p w14:paraId="63DEE43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2.16E-21</w:t>
            </w:r>
          </w:p>
        </w:tc>
        <w:tc>
          <w:tcPr>
            <w:tcW w:w="527" w:type="pct"/>
            <w:tcBorders>
              <w:tl2br w:val="nil"/>
              <w:tr2bl w:val="nil"/>
            </w:tcBorders>
            <w:shd w:val="clear" w:color="auto" w:fill="auto"/>
            <w:vAlign w:val="center"/>
          </w:tcPr>
          <w:p w14:paraId="03DD523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r>
      <w:tr w14:paraId="3D56EA1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4B9C4CDF">
            <w:pPr>
              <w:pStyle w:val="83"/>
              <w:spacing w:line="240" w:lineRule="auto"/>
              <w:ind w:left="0" w:leftChars="0" w:right="0" w:rightChars="0" w:firstLine="0" w:firstLineChars="0"/>
              <w:rPr>
                <w:rFonts w:hint="default" w:ascii="Times New Roman" w:hAnsi="Times New Roman" w:cs="Times New Roman"/>
                <w:color w:val="auto"/>
                <w:szCs w:val="21"/>
              </w:rPr>
            </w:pPr>
            <w:r>
              <w:rPr>
                <w:rFonts w:hint="eastAsia" w:ascii="Times New Roman" w:hAnsi="Times New Roman" w:eastAsia="宋体" w:cs="Times New Roman"/>
                <w:color w:val="auto"/>
                <w:szCs w:val="21"/>
                <w:lang w:val="en-US" w:eastAsia="zh-CN"/>
              </w:rPr>
              <w:t>25</w:t>
            </w:r>
          </w:p>
        </w:tc>
        <w:tc>
          <w:tcPr>
            <w:tcW w:w="767" w:type="pct"/>
            <w:tcBorders>
              <w:tl2br w:val="nil"/>
              <w:tr2bl w:val="nil"/>
            </w:tcBorders>
            <w:vAlign w:val="center"/>
          </w:tcPr>
          <w:p w14:paraId="651F023B">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1.09E-07</w:t>
            </w:r>
          </w:p>
        </w:tc>
        <w:tc>
          <w:tcPr>
            <w:tcW w:w="386" w:type="pct"/>
            <w:tcBorders>
              <w:tl2br w:val="nil"/>
              <w:tr2bl w:val="nil"/>
            </w:tcBorders>
            <w:shd w:val="clear" w:color="auto" w:fill="auto"/>
            <w:vAlign w:val="center"/>
          </w:tcPr>
          <w:p w14:paraId="1E51BF2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767" w:type="pct"/>
            <w:tcBorders>
              <w:tl2br w:val="nil"/>
              <w:tr2bl w:val="nil"/>
            </w:tcBorders>
            <w:vAlign w:val="center"/>
          </w:tcPr>
          <w:p w14:paraId="7005D484">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1.12E-07</w:t>
            </w:r>
          </w:p>
        </w:tc>
        <w:tc>
          <w:tcPr>
            <w:tcW w:w="387" w:type="pct"/>
            <w:tcBorders>
              <w:tl2br w:val="nil"/>
              <w:tr2bl w:val="nil"/>
            </w:tcBorders>
            <w:shd w:val="clear" w:color="auto" w:fill="auto"/>
            <w:vAlign w:val="center"/>
          </w:tcPr>
          <w:p w14:paraId="14A3AE0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1048" w:type="pct"/>
            <w:tcBorders>
              <w:tl2br w:val="nil"/>
              <w:tr2bl w:val="nil"/>
            </w:tcBorders>
            <w:shd w:val="clear" w:color="auto" w:fill="auto"/>
            <w:vAlign w:val="center"/>
          </w:tcPr>
          <w:p w14:paraId="7F7995C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2.45E-07</w:t>
            </w:r>
          </w:p>
        </w:tc>
        <w:tc>
          <w:tcPr>
            <w:tcW w:w="527" w:type="pct"/>
            <w:tcBorders>
              <w:tl2br w:val="nil"/>
              <w:tr2bl w:val="nil"/>
            </w:tcBorders>
            <w:shd w:val="clear" w:color="auto" w:fill="auto"/>
            <w:vAlign w:val="center"/>
          </w:tcPr>
          <w:p w14:paraId="2376B80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r>
      <w:tr w14:paraId="60D2416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79278BB9">
            <w:pPr>
              <w:pStyle w:val="83"/>
              <w:spacing w:line="240" w:lineRule="auto"/>
              <w:ind w:left="0" w:leftChars="0" w:right="0" w:rightChars="0" w:firstLine="0" w:firstLineChars="0"/>
              <w:rPr>
                <w:rFonts w:hint="default" w:ascii="Times New Roman" w:hAnsi="Times New Roman" w:cs="Times New Roman"/>
                <w:color w:val="auto"/>
                <w:szCs w:val="21"/>
              </w:rPr>
            </w:pPr>
            <w:r>
              <w:rPr>
                <w:rFonts w:hint="eastAsia" w:ascii="Times New Roman" w:hAnsi="Times New Roman" w:eastAsia="宋体" w:cs="Times New Roman"/>
                <w:color w:val="auto"/>
                <w:szCs w:val="21"/>
                <w:lang w:val="en-US" w:eastAsia="zh-CN"/>
              </w:rPr>
              <w:t>50</w:t>
            </w:r>
          </w:p>
        </w:tc>
        <w:tc>
          <w:tcPr>
            <w:tcW w:w="767" w:type="pct"/>
            <w:tcBorders>
              <w:tl2br w:val="nil"/>
              <w:tr2bl w:val="nil"/>
            </w:tcBorders>
            <w:vAlign w:val="center"/>
          </w:tcPr>
          <w:p w14:paraId="2B9D4688">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4.07E-04</w:t>
            </w:r>
          </w:p>
        </w:tc>
        <w:tc>
          <w:tcPr>
            <w:tcW w:w="386" w:type="pct"/>
            <w:tcBorders>
              <w:tl2br w:val="nil"/>
              <w:tr2bl w:val="nil"/>
            </w:tcBorders>
            <w:shd w:val="clear" w:color="auto" w:fill="auto"/>
            <w:vAlign w:val="center"/>
          </w:tcPr>
          <w:p w14:paraId="57D912C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0.05</w:t>
            </w:r>
          </w:p>
        </w:tc>
        <w:tc>
          <w:tcPr>
            <w:tcW w:w="767" w:type="pct"/>
            <w:tcBorders>
              <w:tl2br w:val="nil"/>
              <w:tr2bl w:val="nil"/>
            </w:tcBorders>
            <w:vAlign w:val="center"/>
          </w:tcPr>
          <w:p w14:paraId="3155D0F5">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4.20E-04</w:t>
            </w:r>
          </w:p>
        </w:tc>
        <w:tc>
          <w:tcPr>
            <w:tcW w:w="387" w:type="pct"/>
            <w:tcBorders>
              <w:tl2br w:val="nil"/>
              <w:tr2bl w:val="nil"/>
            </w:tcBorders>
            <w:shd w:val="clear" w:color="auto" w:fill="auto"/>
            <w:vAlign w:val="center"/>
          </w:tcPr>
          <w:p w14:paraId="2AED8882">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0.0</w:t>
            </w:r>
            <w:r>
              <w:rPr>
                <w:rFonts w:hint="eastAsia" w:ascii="Times New Roman" w:hAnsi="Times New Roman" w:eastAsia="宋体" w:cs="Times New Roman"/>
                <w:color w:val="auto"/>
                <w:sz w:val="21"/>
                <w:szCs w:val="21"/>
                <w:lang w:val="en-US" w:eastAsia="zh-CN"/>
              </w:rPr>
              <w:t>2</w:t>
            </w:r>
          </w:p>
        </w:tc>
        <w:tc>
          <w:tcPr>
            <w:tcW w:w="1048" w:type="pct"/>
            <w:tcBorders>
              <w:tl2br w:val="nil"/>
              <w:tr2bl w:val="nil"/>
            </w:tcBorders>
            <w:shd w:val="clear" w:color="auto" w:fill="auto"/>
            <w:vAlign w:val="center"/>
          </w:tcPr>
          <w:p w14:paraId="12F1FCD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3.45E-04</w:t>
            </w:r>
          </w:p>
        </w:tc>
        <w:tc>
          <w:tcPr>
            <w:tcW w:w="527" w:type="pct"/>
            <w:tcBorders>
              <w:tl2br w:val="nil"/>
              <w:tr2bl w:val="nil"/>
            </w:tcBorders>
            <w:shd w:val="clear" w:color="auto" w:fill="auto"/>
            <w:vAlign w:val="center"/>
          </w:tcPr>
          <w:p w14:paraId="7366276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0.02</w:t>
            </w:r>
          </w:p>
        </w:tc>
      </w:tr>
      <w:tr w14:paraId="4E39BC4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7990A95C">
            <w:pPr>
              <w:pStyle w:val="83"/>
              <w:spacing w:line="240" w:lineRule="auto"/>
              <w:ind w:left="0" w:leftChars="0" w:right="0" w:rightChars="0" w:firstLine="0" w:firstLineChars="0"/>
              <w:rPr>
                <w:rFonts w:hint="default" w:ascii="Times New Roman" w:hAnsi="Times New Roman" w:cs="Times New Roman"/>
                <w:color w:val="auto"/>
                <w:szCs w:val="21"/>
              </w:rPr>
            </w:pPr>
            <w:r>
              <w:rPr>
                <w:rFonts w:hint="eastAsia" w:ascii="Times New Roman" w:hAnsi="Times New Roman" w:eastAsia="宋体" w:cs="Times New Roman"/>
                <w:color w:val="auto"/>
                <w:szCs w:val="21"/>
                <w:lang w:val="en-US" w:eastAsia="zh-CN"/>
              </w:rPr>
              <w:t>75</w:t>
            </w:r>
          </w:p>
        </w:tc>
        <w:tc>
          <w:tcPr>
            <w:tcW w:w="767" w:type="pct"/>
            <w:tcBorders>
              <w:tl2br w:val="nil"/>
              <w:tr2bl w:val="nil"/>
            </w:tcBorders>
            <w:vAlign w:val="center"/>
          </w:tcPr>
          <w:p w14:paraId="5FFA8E4C">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3.13E-03</w:t>
            </w:r>
          </w:p>
        </w:tc>
        <w:tc>
          <w:tcPr>
            <w:tcW w:w="386" w:type="pct"/>
            <w:tcBorders>
              <w:tl2br w:val="nil"/>
              <w:tr2bl w:val="nil"/>
            </w:tcBorders>
            <w:shd w:val="clear" w:color="auto" w:fill="auto"/>
            <w:vAlign w:val="center"/>
          </w:tcPr>
          <w:p w14:paraId="64A52038">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0.35</w:t>
            </w:r>
          </w:p>
        </w:tc>
        <w:tc>
          <w:tcPr>
            <w:tcW w:w="767" w:type="pct"/>
            <w:tcBorders>
              <w:tl2br w:val="nil"/>
              <w:tr2bl w:val="nil"/>
            </w:tcBorders>
            <w:vAlign w:val="center"/>
          </w:tcPr>
          <w:p w14:paraId="4DCC34F9">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3.23E-03</w:t>
            </w:r>
          </w:p>
        </w:tc>
        <w:tc>
          <w:tcPr>
            <w:tcW w:w="387" w:type="pct"/>
            <w:tcBorders>
              <w:tl2br w:val="nil"/>
              <w:tr2bl w:val="nil"/>
            </w:tcBorders>
            <w:shd w:val="clear" w:color="auto" w:fill="auto"/>
            <w:vAlign w:val="center"/>
          </w:tcPr>
          <w:p w14:paraId="3D529EE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0.16</w:t>
            </w:r>
          </w:p>
        </w:tc>
        <w:tc>
          <w:tcPr>
            <w:tcW w:w="1048" w:type="pct"/>
            <w:tcBorders>
              <w:tl2br w:val="nil"/>
              <w:tr2bl w:val="nil"/>
            </w:tcBorders>
            <w:shd w:val="clear" w:color="auto" w:fill="auto"/>
            <w:vAlign w:val="center"/>
          </w:tcPr>
          <w:p w14:paraId="134AAED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1.26E-03</w:t>
            </w:r>
          </w:p>
        </w:tc>
        <w:tc>
          <w:tcPr>
            <w:tcW w:w="527" w:type="pct"/>
            <w:tcBorders>
              <w:tl2br w:val="nil"/>
              <w:tr2bl w:val="nil"/>
            </w:tcBorders>
            <w:shd w:val="clear" w:color="auto" w:fill="auto"/>
            <w:vAlign w:val="center"/>
          </w:tcPr>
          <w:p w14:paraId="38849D4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0.06</w:t>
            </w:r>
          </w:p>
        </w:tc>
      </w:tr>
      <w:tr w14:paraId="1A83D02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59B30817">
            <w:pPr>
              <w:pStyle w:val="83"/>
              <w:spacing w:line="240" w:lineRule="auto"/>
              <w:ind w:left="0" w:leftChars="0" w:right="0" w:rightChars="0"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100</w:t>
            </w:r>
          </w:p>
        </w:tc>
        <w:tc>
          <w:tcPr>
            <w:tcW w:w="767" w:type="pct"/>
            <w:tcBorders>
              <w:tl2br w:val="nil"/>
              <w:tr2bl w:val="nil"/>
            </w:tcBorders>
            <w:vAlign w:val="center"/>
          </w:tcPr>
          <w:p w14:paraId="0F5FAC85">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6.49E-03</w:t>
            </w:r>
          </w:p>
        </w:tc>
        <w:tc>
          <w:tcPr>
            <w:tcW w:w="386" w:type="pct"/>
            <w:tcBorders>
              <w:tl2br w:val="nil"/>
              <w:tr2bl w:val="nil"/>
            </w:tcBorders>
            <w:shd w:val="clear" w:color="auto" w:fill="auto"/>
            <w:vAlign w:val="center"/>
          </w:tcPr>
          <w:p w14:paraId="4EF269C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0.72</w:t>
            </w:r>
          </w:p>
        </w:tc>
        <w:tc>
          <w:tcPr>
            <w:tcW w:w="767" w:type="pct"/>
            <w:tcBorders>
              <w:tl2br w:val="nil"/>
              <w:tr2bl w:val="nil"/>
            </w:tcBorders>
            <w:vAlign w:val="center"/>
          </w:tcPr>
          <w:p w14:paraId="28FFD376">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6.70E-03</w:t>
            </w:r>
          </w:p>
        </w:tc>
        <w:tc>
          <w:tcPr>
            <w:tcW w:w="387" w:type="pct"/>
            <w:tcBorders>
              <w:tl2br w:val="nil"/>
              <w:tr2bl w:val="nil"/>
            </w:tcBorders>
            <w:shd w:val="clear" w:color="auto" w:fill="auto"/>
            <w:vAlign w:val="center"/>
          </w:tcPr>
          <w:p w14:paraId="12A4A0E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0.33</w:t>
            </w:r>
          </w:p>
        </w:tc>
        <w:tc>
          <w:tcPr>
            <w:tcW w:w="1048" w:type="pct"/>
            <w:tcBorders>
              <w:tl2br w:val="nil"/>
              <w:tr2bl w:val="nil"/>
            </w:tcBorders>
            <w:shd w:val="clear" w:color="auto" w:fill="auto"/>
            <w:vAlign w:val="center"/>
          </w:tcPr>
          <w:p w14:paraId="141FEEF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2.00E-03</w:t>
            </w:r>
          </w:p>
        </w:tc>
        <w:tc>
          <w:tcPr>
            <w:tcW w:w="527" w:type="pct"/>
            <w:tcBorders>
              <w:tl2br w:val="nil"/>
              <w:tr2bl w:val="nil"/>
            </w:tcBorders>
            <w:shd w:val="clear" w:color="auto" w:fill="auto"/>
            <w:vAlign w:val="center"/>
          </w:tcPr>
          <w:p w14:paraId="2263C3C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0.10</w:t>
            </w:r>
          </w:p>
        </w:tc>
      </w:tr>
      <w:tr w14:paraId="328B351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64FBF4F6">
            <w:pPr>
              <w:pStyle w:val="83"/>
              <w:spacing w:line="240" w:lineRule="auto"/>
              <w:ind w:left="0" w:leftChars="0" w:right="0" w:rightChars="0"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125</w:t>
            </w:r>
          </w:p>
        </w:tc>
        <w:tc>
          <w:tcPr>
            <w:tcW w:w="767" w:type="pct"/>
            <w:tcBorders>
              <w:tl2br w:val="nil"/>
              <w:tr2bl w:val="nil"/>
            </w:tcBorders>
            <w:vAlign w:val="center"/>
          </w:tcPr>
          <w:p w14:paraId="53422ED2">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9.21E-03</w:t>
            </w:r>
          </w:p>
        </w:tc>
        <w:tc>
          <w:tcPr>
            <w:tcW w:w="386" w:type="pct"/>
            <w:tcBorders>
              <w:tl2br w:val="nil"/>
              <w:tr2bl w:val="nil"/>
            </w:tcBorders>
            <w:shd w:val="clear" w:color="auto" w:fill="auto"/>
            <w:vAlign w:val="center"/>
          </w:tcPr>
          <w:p w14:paraId="773DED4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1.02</w:t>
            </w:r>
          </w:p>
        </w:tc>
        <w:tc>
          <w:tcPr>
            <w:tcW w:w="767" w:type="pct"/>
            <w:tcBorders>
              <w:tl2br w:val="nil"/>
              <w:tr2bl w:val="nil"/>
            </w:tcBorders>
            <w:vAlign w:val="center"/>
          </w:tcPr>
          <w:p w14:paraId="5813F6F4">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9.50E-03</w:t>
            </w:r>
          </w:p>
        </w:tc>
        <w:tc>
          <w:tcPr>
            <w:tcW w:w="387" w:type="pct"/>
            <w:tcBorders>
              <w:tl2br w:val="nil"/>
              <w:tr2bl w:val="nil"/>
            </w:tcBorders>
            <w:shd w:val="clear" w:color="auto" w:fill="auto"/>
            <w:vAlign w:val="center"/>
          </w:tcPr>
          <w:p w14:paraId="21DE33E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0.48</w:t>
            </w:r>
          </w:p>
        </w:tc>
        <w:tc>
          <w:tcPr>
            <w:tcW w:w="1048" w:type="pct"/>
            <w:tcBorders>
              <w:tl2br w:val="nil"/>
              <w:tr2bl w:val="nil"/>
            </w:tcBorders>
            <w:shd w:val="clear" w:color="auto" w:fill="auto"/>
            <w:vAlign w:val="center"/>
          </w:tcPr>
          <w:p w14:paraId="60064C3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3.73E-03</w:t>
            </w:r>
          </w:p>
        </w:tc>
        <w:tc>
          <w:tcPr>
            <w:tcW w:w="527" w:type="pct"/>
            <w:tcBorders>
              <w:tl2br w:val="nil"/>
              <w:tr2bl w:val="nil"/>
            </w:tcBorders>
            <w:shd w:val="clear" w:color="auto" w:fill="auto"/>
            <w:vAlign w:val="center"/>
          </w:tcPr>
          <w:p w14:paraId="15ABCFF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0.19</w:t>
            </w:r>
          </w:p>
        </w:tc>
      </w:tr>
      <w:tr w14:paraId="08DC842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shd w:val="clear" w:color="auto" w:fill="auto"/>
            <w:vAlign w:val="center"/>
          </w:tcPr>
          <w:p w14:paraId="44EA71FF">
            <w:pPr>
              <w:pStyle w:val="83"/>
              <w:spacing w:line="240" w:lineRule="auto"/>
              <w:ind w:left="0" w:leftChars="0" w:right="0" w:rightChars="0" w:firstLine="0" w:firstLineChars="0"/>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szCs w:val="21"/>
              </w:rPr>
              <w:t>150</w:t>
            </w:r>
          </w:p>
        </w:tc>
        <w:tc>
          <w:tcPr>
            <w:tcW w:w="767" w:type="pct"/>
            <w:tcBorders>
              <w:tl2br w:val="nil"/>
              <w:tr2bl w:val="nil"/>
            </w:tcBorders>
            <w:vAlign w:val="center"/>
          </w:tcPr>
          <w:p w14:paraId="25DBAC9D">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1.06E-02</w:t>
            </w:r>
          </w:p>
        </w:tc>
        <w:tc>
          <w:tcPr>
            <w:tcW w:w="386" w:type="pct"/>
            <w:tcBorders>
              <w:tl2br w:val="nil"/>
              <w:tr2bl w:val="nil"/>
            </w:tcBorders>
            <w:shd w:val="clear" w:color="auto" w:fill="auto"/>
            <w:vAlign w:val="center"/>
          </w:tcPr>
          <w:p w14:paraId="5F84C3D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1.18</w:t>
            </w:r>
          </w:p>
        </w:tc>
        <w:tc>
          <w:tcPr>
            <w:tcW w:w="767" w:type="pct"/>
            <w:tcBorders>
              <w:tl2br w:val="nil"/>
              <w:tr2bl w:val="nil"/>
            </w:tcBorders>
            <w:vAlign w:val="center"/>
          </w:tcPr>
          <w:p w14:paraId="51627BCC">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1.09E-02</w:t>
            </w:r>
          </w:p>
        </w:tc>
        <w:tc>
          <w:tcPr>
            <w:tcW w:w="387" w:type="pct"/>
            <w:tcBorders>
              <w:tl2br w:val="nil"/>
              <w:tr2bl w:val="nil"/>
            </w:tcBorders>
            <w:shd w:val="clear" w:color="auto" w:fill="auto"/>
            <w:vAlign w:val="center"/>
          </w:tcPr>
          <w:p w14:paraId="5C0E111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0.55</w:t>
            </w:r>
          </w:p>
        </w:tc>
        <w:tc>
          <w:tcPr>
            <w:tcW w:w="1048" w:type="pct"/>
            <w:tcBorders>
              <w:tl2br w:val="nil"/>
              <w:tr2bl w:val="nil"/>
            </w:tcBorders>
            <w:shd w:val="clear" w:color="auto" w:fill="auto"/>
            <w:vAlign w:val="center"/>
          </w:tcPr>
          <w:p w14:paraId="51D6579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4.35E-03</w:t>
            </w:r>
          </w:p>
        </w:tc>
        <w:tc>
          <w:tcPr>
            <w:tcW w:w="527" w:type="pct"/>
            <w:tcBorders>
              <w:tl2br w:val="nil"/>
              <w:tr2bl w:val="nil"/>
            </w:tcBorders>
            <w:shd w:val="clear" w:color="auto" w:fill="auto"/>
            <w:vAlign w:val="center"/>
          </w:tcPr>
          <w:p w14:paraId="6490F0C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0.22</w:t>
            </w:r>
          </w:p>
        </w:tc>
      </w:tr>
      <w:tr w14:paraId="790DC525">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shd w:val="clear" w:color="auto" w:fill="auto"/>
            <w:vAlign w:val="center"/>
          </w:tcPr>
          <w:p w14:paraId="43121A9A">
            <w:pPr>
              <w:pStyle w:val="83"/>
              <w:spacing w:line="240" w:lineRule="auto"/>
              <w:ind w:left="0" w:leftChars="0" w:right="0" w:rightChars="0" w:firstLine="0" w:firstLine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166</w:t>
            </w:r>
          </w:p>
        </w:tc>
        <w:tc>
          <w:tcPr>
            <w:tcW w:w="767" w:type="pct"/>
            <w:tcBorders>
              <w:tl2br w:val="nil"/>
              <w:tr2bl w:val="nil"/>
            </w:tcBorders>
            <w:vAlign w:val="center"/>
          </w:tcPr>
          <w:p w14:paraId="321E4BE0">
            <w:pPr>
              <w:pStyle w:val="83"/>
              <w:adjustRightInd/>
              <w:snapToGrid/>
              <w:spacing w:line="240" w:lineRule="auto"/>
              <w:ind w:left="0" w:leftChars="0" w:right="0" w:right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386" w:type="pct"/>
            <w:tcBorders>
              <w:tl2br w:val="nil"/>
              <w:tr2bl w:val="nil"/>
            </w:tcBorders>
            <w:shd w:val="clear" w:color="auto" w:fill="auto"/>
            <w:vAlign w:val="center"/>
          </w:tcPr>
          <w:p w14:paraId="77E99677">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67" w:type="pct"/>
            <w:tcBorders>
              <w:tl2br w:val="nil"/>
              <w:tr2bl w:val="nil"/>
            </w:tcBorders>
            <w:vAlign w:val="center"/>
          </w:tcPr>
          <w:p w14:paraId="557CF1AA">
            <w:pPr>
              <w:pStyle w:val="83"/>
              <w:adjustRightInd/>
              <w:snapToGrid/>
              <w:spacing w:line="240" w:lineRule="auto"/>
              <w:ind w:left="0" w:leftChars="0" w:right="0" w:right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387" w:type="pct"/>
            <w:tcBorders>
              <w:tl2br w:val="nil"/>
              <w:tr2bl w:val="nil"/>
            </w:tcBorders>
            <w:shd w:val="clear" w:color="auto" w:fill="auto"/>
            <w:vAlign w:val="center"/>
          </w:tcPr>
          <w:p w14:paraId="02E17E29">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048" w:type="pct"/>
            <w:tcBorders>
              <w:tl2br w:val="nil"/>
              <w:tr2bl w:val="nil"/>
            </w:tcBorders>
            <w:shd w:val="clear" w:color="auto" w:fill="auto"/>
            <w:vAlign w:val="center"/>
          </w:tcPr>
          <w:p w14:paraId="5C7FAD4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4.44E-03</w:t>
            </w:r>
          </w:p>
        </w:tc>
        <w:tc>
          <w:tcPr>
            <w:tcW w:w="527" w:type="pct"/>
            <w:tcBorders>
              <w:tl2br w:val="nil"/>
              <w:tr2bl w:val="nil"/>
            </w:tcBorders>
            <w:shd w:val="clear" w:color="auto" w:fill="auto"/>
            <w:vAlign w:val="center"/>
          </w:tcPr>
          <w:p w14:paraId="3D105FE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0.22</w:t>
            </w:r>
          </w:p>
        </w:tc>
      </w:tr>
      <w:tr w14:paraId="533CB29E">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shd w:val="clear" w:color="auto" w:fill="auto"/>
            <w:vAlign w:val="center"/>
          </w:tcPr>
          <w:p w14:paraId="5EB2C648">
            <w:pPr>
              <w:pStyle w:val="83"/>
              <w:spacing w:line="240" w:lineRule="auto"/>
              <w:ind w:left="0" w:leftChars="0" w:right="0" w:rightChars="0" w:firstLine="0" w:firstLineChars="0"/>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szCs w:val="21"/>
              </w:rPr>
              <w:t>200</w:t>
            </w:r>
          </w:p>
        </w:tc>
        <w:tc>
          <w:tcPr>
            <w:tcW w:w="767" w:type="pct"/>
            <w:tcBorders>
              <w:tl2br w:val="nil"/>
              <w:tr2bl w:val="nil"/>
            </w:tcBorders>
            <w:vAlign w:val="center"/>
          </w:tcPr>
          <w:p w14:paraId="2E9B62EB">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1.10E-02</w:t>
            </w:r>
          </w:p>
        </w:tc>
        <w:tc>
          <w:tcPr>
            <w:tcW w:w="386" w:type="pct"/>
            <w:tcBorders>
              <w:tl2br w:val="nil"/>
              <w:tr2bl w:val="nil"/>
            </w:tcBorders>
            <w:shd w:val="clear" w:color="auto" w:fill="auto"/>
            <w:vAlign w:val="center"/>
          </w:tcPr>
          <w:p w14:paraId="2BFD3E0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1.23</w:t>
            </w:r>
          </w:p>
        </w:tc>
        <w:tc>
          <w:tcPr>
            <w:tcW w:w="767" w:type="pct"/>
            <w:tcBorders>
              <w:tl2br w:val="nil"/>
              <w:tr2bl w:val="nil"/>
            </w:tcBorders>
            <w:vAlign w:val="center"/>
          </w:tcPr>
          <w:p w14:paraId="669B9AB1">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1.14E-02</w:t>
            </w:r>
          </w:p>
        </w:tc>
        <w:tc>
          <w:tcPr>
            <w:tcW w:w="387" w:type="pct"/>
            <w:tcBorders>
              <w:tl2br w:val="nil"/>
              <w:tr2bl w:val="nil"/>
            </w:tcBorders>
            <w:shd w:val="clear" w:color="auto" w:fill="auto"/>
            <w:vAlign w:val="center"/>
          </w:tcPr>
          <w:p w14:paraId="644F4E6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0.57</w:t>
            </w:r>
          </w:p>
        </w:tc>
        <w:tc>
          <w:tcPr>
            <w:tcW w:w="1048" w:type="pct"/>
            <w:tcBorders>
              <w:tl2br w:val="nil"/>
              <w:tr2bl w:val="nil"/>
            </w:tcBorders>
            <w:shd w:val="clear" w:color="auto" w:fill="auto"/>
            <w:vAlign w:val="center"/>
          </w:tcPr>
          <w:p w14:paraId="13C095D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4.22E-03</w:t>
            </w:r>
          </w:p>
        </w:tc>
        <w:tc>
          <w:tcPr>
            <w:tcW w:w="527" w:type="pct"/>
            <w:tcBorders>
              <w:tl2br w:val="nil"/>
              <w:tr2bl w:val="nil"/>
            </w:tcBorders>
            <w:shd w:val="clear" w:color="auto" w:fill="auto"/>
            <w:vAlign w:val="center"/>
          </w:tcPr>
          <w:p w14:paraId="1700EB6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0.21</w:t>
            </w:r>
          </w:p>
        </w:tc>
      </w:tr>
      <w:tr w14:paraId="55CCA970">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95" w:hRule="atLeast"/>
        </w:trPr>
        <w:tc>
          <w:tcPr>
            <w:tcW w:w="1116" w:type="pct"/>
            <w:tcBorders>
              <w:tl2br w:val="nil"/>
              <w:tr2bl w:val="nil"/>
            </w:tcBorders>
            <w:shd w:val="clear" w:color="auto" w:fill="auto"/>
            <w:vAlign w:val="center"/>
          </w:tcPr>
          <w:p w14:paraId="5FF78154">
            <w:pPr>
              <w:pStyle w:val="83"/>
              <w:spacing w:line="240" w:lineRule="auto"/>
              <w:ind w:left="0" w:leftChars="0" w:right="0" w:rightChars="0" w:firstLine="0" w:firstLineChars="0"/>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szCs w:val="21"/>
              </w:rPr>
              <w:t>300</w:t>
            </w:r>
          </w:p>
        </w:tc>
        <w:tc>
          <w:tcPr>
            <w:tcW w:w="767" w:type="pct"/>
            <w:tcBorders>
              <w:tl2br w:val="nil"/>
              <w:tr2bl w:val="nil"/>
            </w:tcBorders>
            <w:vAlign w:val="center"/>
          </w:tcPr>
          <w:p w14:paraId="085F655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1.30E-02</w:t>
            </w:r>
          </w:p>
        </w:tc>
        <w:tc>
          <w:tcPr>
            <w:tcW w:w="386" w:type="pct"/>
            <w:tcBorders>
              <w:tl2br w:val="nil"/>
              <w:tr2bl w:val="nil"/>
            </w:tcBorders>
            <w:shd w:val="clear" w:color="auto" w:fill="auto"/>
            <w:vAlign w:val="center"/>
          </w:tcPr>
          <w:p w14:paraId="6792111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1.45</w:t>
            </w:r>
          </w:p>
        </w:tc>
        <w:tc>
          <w:tcPr>
            <w:tcW w:w="767" w:type="pct"/>
            <w:tcBorders>
              <w:tl2br w:val="nil"/>
              <w:tr2bl w:val="nil"/>
            </w:tcBorders>
            <w:vAlign w:val="center"/>
          </w:tcPr>
          <w:p w14:paraId="1EB3870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1.35E-02</w:t>
            </w:r>
          </w:p>
        </w:tc>
        <w:tc>
          <w:tcPr>
            <w:tcW w:w="387" w:type="pct"/>
            <w:tcBorders>
              <w:tl2br w:val="nil"/>
              <w:tr2bl w:val="nil"/>
            </w:tcBorders>
            <w:shd w:val="clear" w:color="auto" w:fill="auto"/>
            <w:vAlign w:val="center"/>
          </w:tcPr>
          <w:p w14:paraId="497D7D1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0.67</w:t>
            </w:r>
          </w:p>
        </w:tc>
        <w:tc>
          <w:tcPr>
            <w:tcW w:w="1048" w:type="pct"/>
            <w:tcBorders>
              <w:tl2br w:val="nil"/>
              <w:tr2bl w:val="nil"/>
            </w:tcBorders>
            <w:shd w:val="clear" w:color="auto" w:fill="auto"/>
            <w:vAlign w:val="center"/>
          </w:tcPr>
          <w:p w14:paraId="43C037B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3.08E-03</w:t>
            </w:r>
          </w:p>
        </w:tc>
        <w:tc>
          <w:tcPr>
            <w:tcW w:w="527" w:type="pct"/>
            <w:tcBorders>
              <w:tl2br w:val="nil"/>
              <w:tr2bl w:val="nil"/>
            </w:tcBorders>
            <w:shd w:val="clear" w:color="auto" w:fill="auto"/>
            <w:vAlign w:val="center"/>
          </w:tcPr>
          <w:p w14:paraId="012826F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0.15</w:t>
            </w:r>
          </w:p>
        </w:tc>
      </w:tr>
      <w:tr w14:paraId="735A2555">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30A3715C">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350</w:t>
            </w:r>
          </w:p>
        </w:tc>
        <w:tc>
          <w:tcPr>
            <w:tcW w:w="767" w:type="pct"/>
            <w:tcBorders>
              <w:tl2br w:val="nil"/>
              <w:tr2bl w:val="nil"/>
            </w:tcBorders>
            <w:vAlign w:val="center"/>
          </w:tcPr>
          <w:p w14:paraId="55AC48B8">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1.41E-02</w:t>
            </w:r>
          </w:p>
        </w:tc>
        <w:tc>
          <w:tcPr>
            <w:tcW w:w="386" w:type="pct"/>
            <w:tcBorders>
              <w:tl2br w:val="nil"/>
              <w:tr2bl w:val="nil"/>
            </w:tcBorders>
            <w:vAlign w:val="center"/>
          </w:tcPr>
          <w:p w14:paraId="01C7335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1.56</w:t>
            </w:r>
          </w:p>
        </w:tc>
        <w:tc>
          <w:tcPr>
            <w:tcW w:w="767" w:type="pct"/>
            <w:tcBorders>
              <w:tl2br w:val="nil"/>
              <w:tr2bl w:val="nil"/>
            </w:tcBorders>
            <w:vAlign w:val="center"/>
          </w:tcPr>
          <w:p w14:paraId="08AD1BA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1.45E-02</w:t>
            </w:r>
          </w:p>
        </w:tc>
        <w:tc>
          <w:tcPr>
            <w:tcW w:w="387" w:type="pct"/>
            <w:tcBorders>
              <w:tl2br w:val="nil"/>
              <w:tr2bl w:val="nil"/>
            </w:tcBorders>
            <w:vAlign w:val="center"/>
          </w:tcPr>
          <w:p w14:paraId="509C032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0.73</w:t>
            </w:r>
          </w:p>
        </w:tc>
        <w:tc>
          <w:tcPr>
            <w:tcW w:w="1048" w:type="pct"/>
            <w:tcBorders>
              <w:tl2br w:val="nil"/>
              <w:tr2bl w:val="nil"/>
            </w:tcBorders>
            <w:vAlign w:val="center"/>
          </w:tcPr>
          <w:p w14:paraId="4FF81C9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2.96E-03</w:t>
            </w:r>
          </w:p>
        </w:tc>
        <w:tc>
          <w:tcPr>
            <w:tcW w:w="527" w:type="pct"/>
            <w:tcBorders>
              <w:tl2br w:val="nil"/>
              <w:tr2bl w:val="nil"/>
            </w:tcBorders>
            <w:vAlign w:val="center"/>
          </w:tcPr>
          <w:p w14:paraId="0B397E2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0.15</w:t>
            </w:r>
          </w:p>
        </w:tc>
      </w:tr>
      <w:tr w14:paraId="604AFD6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40ED6FD4">
            <w:pPr>
              <w:pStyle w:val="83"/>
              <w:spacing w:line="240" w:lineRule="auto"/>
              <w:ind w:left="0" w:leftChars="0" w:right="0" w:right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368</w:t>
            </w:r>
          </w:p>
        </w:tc>
        <w:tc>
          <w:tcPr>
            <w:tcW w:w="767" w:type="pct"/>
            <w:tcBorders>
              <w:tl2br w:val="nil"/>
              <w:tr2bl w:val="nil"/>
            </w:tcBorders>
            <w:vAlign w:val="center"/>
          </w:tcPr>
          <w:p w14:paraId="677003E7">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1.41E-02</w:t>
            </w:r>
          </w:p>
        </w:tc>
        <w:tc>
          <w:tcPr>
            <w:tcW w:w="386" w:type="pct"/>
            <w:tcBorders>
              <w:tl2br w:val="nil"/>
              <w:tr2bl w:val="nil"/>
            </w:tcBorders>
            <w:vAlign w:val="center"/>
          </w:tcPr>
          <w:p w14:paraId="13C337C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1.57</w:t>
            </w:r>
          </w:p>
        </w:tc>
        <w:tc>
          <w:tcPr>
            <w:tcW w:w="767" w:type="pct"/>
            <w:tcBorders>
              <w:tl2br w:val="nil"/>
              <w:tr2bl w:val="nil"/>
            </w:tcBorders>
            <w:vAlign w:val="center"/>
          </w:tcPr>
          <w:p w14:paraId="423617E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1.46E-02</w:t>
            </w:r>
          </w:p>
        </w:tc>
        <w:tc>
          <w:tcPr>
            <w:tcW w:w="387" w:type="pct"/>
            <w:tcBorders>
              <w:tl2br w:val="nil"/>
              <w:tr2bl w:val="nil"/>
            </w:tcBorders>
            <w:vAlign w:val="center"/>
          </w:tcPr>
          <w:p w14:paraId="111ABEE2">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0.73</w:t>
            </w:r>
          </w:p>
        </w:tc>
        <w:tc>
          <w:tcPr>
            <w:tcW w:w="1048" w:type="pct"/>
            <w:tcBorders>
              <w:tl2br w:val="nil"/>
              <w:tr2bl w:val="nil"/>
            </w:tcBorders>
            <w:vAlign w:val="center"/>
          </w:tcPr>
          <w:p w14:paraId="247D1556">
            <w:pPr>
              <w:pStyle w:val="83"/>
              <w:adjustRightInd/>
              <w:snapToGrid/>
              <w:spacing w:line="240" w:lineRule="auto"/>
              <w:ind w:left="0" w:leftChars="0" w:right="0" w:right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527" w:type="pct"/>
            <w:tcBorders>
              <w:tl2br w:val="nil"/>
              <w:tr2bl w:val="nil"/>
            </w:tcBorders>
            <w:vAlign w:val="center"/>
          </w:tcPr>
          <w:p w14:paraId="15C62E44">
            <w:pPr>
              <w:pStyle w:val="83"/>
              <w:adjustRightInd/>
              <w:snapToGrid/>
              <w:spacing w:line="240" w:lineRule="auto"/>
              <w:ind w:left="0" w:leftChars="0" w:right="0" w:right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r>
      <w:tr w14:paraId="489F621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252BCDFE">
            <w:pPr>
              <w:pStyle w:val="83"/>
              <w:spacing w:line="240" w:lineRule="auto"/>
              <w:ind w:left="0" w:leftChars="0" w:right="0" w:right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400</w:t>
            </w:r>
          </w:p>
        </w:tc>
        <w:tc>
          <w:tcPr>
            <w:tcW w:w="767" w:type="pct"/>
            <w:tcBorders>
              <w:tl2br w:val="nil"/>
              <w:tr2bl w:val="nil"/>
            </w:tcBorders>
            <w:vAlign w:val="center"/>
          </w:tcPr>
          <w:p w14:paraId="54421C0C">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1.40E-02</w:t>
            </w:r>
          </w:p>
        </w:tc>
        <w:tc>
          <w:tcPr>
            <w:tcW w:w="386" w:type="pct"/>
            <w:tcBorders>
              <w:tl2br w:val="nil"/>
              <w:tr2bl w:val="nil"/>
            </w:tcBorders>
            <w:vAlign w:val="center"/>
          </w:tcPr>
          <w:p w14:paraId="225AAE3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1.55</w:t>
            </w:r>
          </w:p>
        </w:tc>
        <w:tc>
          <w:tcPr>
            <w:tcW w:w="767" w:type="pct"/>
            <w:tcBorders>
              <w:tl2br w:val="nil"/>
              <w:tr2bl w:val="nil"/>
            </w:tcBorders>
            <w:vAlign w:val="center"/>
          </w:tcPr>
          <w:p w14:paraId="59B12D4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1.44E-02</w:t>
            </w:r>
          </w:p>
        </w:tc>
        <w:tc>
          <w:tcPr>
            <w:tcW w:w="387" w:type="pct"/>
            <w:tcBorders>
              <w:tl2br w:val="nil"/>
              <w:tr2bl w:val="nil"/>
            </w:tcBorders>
            <w:vAlign w:val="center"/>
          </w:tcPr>
          <w:p w14:paraId="1AC39AA7">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0.72</w:t>
            </w:r>
          </w:p>
        </w:tc>
        <w:tc>
          <w:tcPr>
            <w:tcW w:w="1048" w:type="pct"/>
            <w:tcBorders>
              <w:tl2br w:val="nil"/>
              <w:tr2bl w:val="nil"/>
            </w:tcBorders>
            <w:vAlign w:val="center"/>
          </w:tcPr>
          <w:p w14:paraId="69F1E440">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2.76E-03</w:t>
            </w:r>
          </w:p>
        </w:tc>
        <w:tc>
          <w:tcPr>
            <w:tcW w:w="527" w:type="pct"/>
            <w:tcBorders>
              <w:tl2br w:val="nil"/>
              <w:tr2bl w:val="nil"/>
            </w:tcBorders>
            <w:vAlign w:val="center"/>
          </w:tcPr>
          <w:p w14:paraId="71BAB9B6">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0.14</w:t>
            </w:r>
          </w:p>
        </w:tc>
      </w:tr>
      <w:tr w14:paraId="60F92DA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0EC85B87">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500</w:t>
            </w:r>
          </w:p>
        </w:tc>
        <w:tc>
          <w:tcPr>
            <w:tcW w:w="767" w:type="pct"/>
            <w:tcBorders>
              <w:tl2br w:val="nil"/>
              <w:tr2bl w:val="nil"/>
            </w:tcBorders>
            <w:vAlign w:val="center"/>
          </w:tcPr>
          <w:p w14:paraId="37E7E5FE">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1.24E-02</w:t>
            </w:r>
          </w:p>
        </w:tc>
        <w:tc>
          <w:tcPr>
            <w:tcW w:w="386" w:type="pct"/>
            <w:tcBorders>
              <w:tl2br w:val="nil"/>
              <w:tr2bl w:val="nil"/>
            </w:tcBorders>
            <w:vAlign w:val="center"/>
          </w:tcPr>
          <w:p w14:paraId="0BD2276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1.38</w:t>
            </w:r>
          </w:p>
        </w:tc>
        <w:tc>
          <w:tcPr>
            <w:tcW w:w="767" w:type="pct"/>
            <w:tcBorders>
              <w:tl2br w:val="nil"/>
              <w:tr2bl w:val="nil"/>
            </w:tcBorders>
            <w:vAlign w:val="center"/>
          </w:tcPr>
          <w:p w14:paraId="1881739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1.28E-02</w:t>
            </w:r>
          </w:p>
        </w:tc>
        <w:tc>
          <w:tcPr>
            <w:tcW w:w="387" w:type="pct"/>
            <w:tcBorders>
              <w:tl2br w:val="nil"/>
              <w:tr2bl w:val="nil"/>
            </w:tcBorders>
            <w:vAlign w:val="center"/>
          </w:tcPr>
          <w:p w14:paraId="79005425">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0.64</w:t>
            </w:r>
          </w:p>
        </w:tc>
        <w:tc>
          <w:tcPr>
            <w:tcW w:w="1048" w:type="pct"/>
            <w:tcBorders>
              <w:tl2br w:val="nil"/>
              <w:tr2bl w:val="nil"/>
            </w:tcBorders>
            <w:vAlign w:val="center"/>
          </w:tcPr>
          <w:p w14:paraId="126E39D9">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2.35E-03</w:t>
            </w:r>
          </w:p>
        </w:tc>
        <w:tc>
          <w:tcPr>
            <w:tcW w:w="527" w:type="pct"/>
            <w:tcBorders>
              <w:tl2br w:val="nil"/>
              <w:tr2bl w:val="nil"/>
            </w:tcBorders>
            <w:vAlign w:val="center"/>
          </w:tcPr>
          <w:p w14:paraId="2BD5030D">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0.12</w:t>
            </w:r>
          </w:p>
        </w:tc>
      </w:tr>
      <w:tr w14:paraId="5573383D">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2A4F801E">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1000</w:t>
            </w:r>
          </w:p>
        </w:tc>
        <w:tc>
          <w:tcPr>
            <w:tcW w:w="767" w:type="pct"/>
            <w:tcBorders>
              <w:tl2br w:val="nil"/>
              <w:tr2bl w:val="nil"/>
            </w:tcBorders>
            <w:vAlign w:val="center"/>
          </w:tcPr>
          <w:p w14:paraId="58CDC211">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7.85E-03</w:t>
            </w:r>
          </w:p>
        </w:tc>
        <w:tc>
          <w:tcPr>
            <w:tcW w:w="386" w:type="pct"/>
            <w:tcBorders>
              <w:tl2br w:val="nil"/>
              <w:tr2bl w:val="nil"/>
            </w:tcBorders>
            <w:vAlign w:val="center"/>
          </w:tcPr>
          <w:p w14:paraId="7549A53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0.87</w:t>
            </w:r>
          </w:p>
        </w:tc>
        <w:tc>
          <w:tcPr>
            <w:tcW w:w="767" w:type="pct"/>
            <w:tcBorders>
              <w:tl2br w:val="nil"/>
              <w:tr2bl w:val="nil"/>
            </w:tcBorders>
            <w:vAlign w:val="center"/>
          </w:tcPr>
          <w:p w14:paraId="5B7F29E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8.10E-03</w:t>
            </w:r>
          </w:p>
        </w:tc>
        <w:tc>
          <w:tcPr>
            <w:tcW w:w="387" w:type="pct"/>
            <w:tcBorders>
              <w:tl2br w:val="nil"/>
              <w:tr2bl w:val="nil"/>
            </w:tcBorders>
            <w:vAlign w:val="center"/>
          </w:tcPr>
          <w:p w14:paraId="6EF4D663">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0.40</w:t>
            </w:r>
          </w:p>
        </w:tc>
        <w:tc>
          <w:tcPr>
            <w:tcW w:w="1048" w:type="pct"/>
            <w:tcBorders>
              <w:tl2br w:val="nil"/>
              <w:tr2bl w:val="nil"/>
            </w:tcBorders>
            <w:vAlign w:val="center"/>
          </w:tcPr>
          <w:p w14:paraId="2EFD79D1">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1.82E-03</w:t>
            </w:r>
          </w:p>
        </w:tc>
        <w:tc>
          <w:tcPr>
            <w:tcW w:w="527" w:type="pct"/>
            <w:tcBorders>
              <w:tl2br w:val="nil"/>
              <w:tr2bl w:val="nil"/>
            </w:tcBorders>
            <w:vAlign w:val="center"/>
          </w:tcPr>
          <w:p w14:paraId="4AC81EBA">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0.09</w:t>
            </w:r>
          </w:p>
        </w:tc>
      </w:tr>
      <w:tr w14:paraId="47528F6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48DB8D07">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2000</w:t>
            </w:r>
          </w:p>
        </w:tc>
        <w:tc>
          <w:tcPr>
            <w:tcW w:w="767" w:type="pct"/>
            <w:tcBorders>
              <w:tl2br w:val="nil"/>
              <w:tr2bl w:val="nil"/>
            </w:tcBorders>
            <w:vAlign w:val="center"/>
          </w:tcPr>
          <w:p w14:paraId="583E762E">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4.55E-03</w:t>
            </w:r>
          </w:p>
        </w:tc>
        <w:tc>
          <w:tcPr>
            <w:tcW w:w="386" w:type="pct"/>
            <w:tcBorders>
              <w:tl2br w:val="nil"/>
              <w:tr2bl w:val="nil"/>
            </w:tcBorders>
            <w:vAlign w:val="center"/>
          </w:tcPr>
          <w:p w14:paraId="0F75C4A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0.51</w:t>
            </w:r>
          </w:p>
        </w:tc>
        <w:tc>
          <w:tcPr>
            <w:tcW w:w="767" w:type="pct"/>
            <w:tcBorders>
              <w:tl2br w:val="nil"/>
              <w:tr2bl w:val="nil"/>
            </w:tcBorders>
            <w:vAlign w:val="center"/>
          </w:tcPr>
          <w:p w14:paraId="47E1610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4.70E-03</w:t>
            </w:r>
          </w:p>
        </w:tc>
        <w:tc>
          <w:tcPr>
            <w:tcW w:w="387" w:type="pct"/>
            <w:tcBorders>
              <w:tl2br w:val="nil"/>
              <w:tr2bl w:val="nil"/>
            </w:tcBorders>
            <w:vAlign w:val="center"/>
          </w:tcPr>
          <w:p w14:paraId="2EC35212">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0.23</w:t>
            </w:r>
          </w:p>
        </w:tc>
        <w:tc>
          <w:tcPr>
            <w:tcW w:w="1048" w:type="pct"/>
            <w:tcBorders>
              <w:tl2br w:val="nil"/>
              <w:tr2bl w:val="nil"/>
            </w:tcBorders>
            <w:vAlign w:val="center"/>
          </w:tcPr>
          <w:p w14:paraId="220C4231">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1.37E-03</w:t>
            </w:r>
          </w:p>
        </w:tc>
        <w:tc>
          <w:tcPr>
            <w:tcW w:w="527" w:type="pct"/>
            <w:tcBorders>
              <w:tl2br w:val="nil"/>
              <w:tr2bl w:val="nil"/>
            </w:tcBorders>
            <w:vAlign w:val="center"/>
          </w:tcPr>
          <w:p w14:paraId="714B3516">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0.07</w:t>
            </w:r>
          </w:p>
        </w:tc>
      </w:tr>
      <w:tr w14:paraId="6BD93364">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90" w:hRule="atLeast"/>
        </w:trPr>
        <w:tc>
          <w:tcPr>
            <w:tcW w:w="1116" w:type="pct"/>
            <w:tcBorders>
              <w:tl2br w:val="nil"/>
              <w:tr2bl w:val="nil"/>
            </w:tcBorders>
            <w:vAlign w:val="center"/>
          </w:tcPr>
          <w:p w14:paraId="4416FD51">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3000</w:t>
            </w:r>
          </w:p>
        </w:tc>
        <w:tc>
          <w:tcPr>
            <w:tcW w:w="767" w:type="pct"/>
            <w:tcBorders>
              <w:tl2br w:val="nil"/>
              <w:tr2bl w:val="nil"/>
            </w:tcBorders>
            <w:vAlign w:val="center"/>
          </w:tcPr>
          <w:p w14:paraId="53058206">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3.81E-03</w:t>
            </w:r>
          </w:p>
        </w:tc>
        <w:tc>
          <w:tcPr>
            <w:tcW w:w="386" w:type="pct"/>
            <w:tcBorders>
              <w:tl2br w:val="nil"/>
              <w:tr2bl w:val="nil"/>
            </w:tcBorders>
            <w:vAlign w:val="center"/>
          </w:tcPr>
          <w:p w14:paraId="4606B67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0.42</w:t>
            </w:r>
          </w:p>
        </w:tc>
        <w:tc>
          <w:tcPr>
            <w:tcW w:w="767" w:type="pct"/>
            <w:tcBorders>
              <w:tl2br w:val="nil"/>
              <w:tr2bl w:val="nil"/>
            </w:tcBorders>
            <w:vAlign w:val="center"/>
          </w:tcPr>
          <w:p w14:paraId="11B525B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3.93E-03</w:t>
            </w:r>
          </w:p>
        </w:tc>
        <w:tc>
          <w:tcPr>
            <w:tcW w:w="387" w:type="pct"/>
            <w:tcBorders>
              <w:tl2br w:val="nil"/>
              <w:tr2bl w:val="nil"/>
            </w:tcBorders>
            <w:vAlign w:val="center"/>
          </w:tcPr>
          <w:p w14:paraId="3697C46E">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0.20</w:t>
            </w:r>
          </w:p>
        </w:tc>
        <w:tc>
          <w:tcPr>
            <w:tcW w:w="1048" w:type="pct"/>
            <w:tcBorders>
              <w:tl2br w:val="nil"/>
              <w:tr2bl w:val="nil"/>
            </w:tcBorders>
            <w:vAlign w:val="center"/>
          </w:tcPr>
          <w:p w14:paraId="59A5B7C4">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9.92E-04</w:t>
            </w:r>
          </w:p>
        </w:tc>
        <w:tc>
          <w:tcPr>
            <w:tcW w:w="527" w:type="pct"/>
            <w:tcBorders>
              <w:tl2br w:val="nil"/>
              <w:tr2bl w:val="nil"/>
            </w:tcBorders>
            <w:vAlign w:val="center"/>
          </w:tcPr>
          <w:p w14:paraId="2B9AC53A">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0.05</w:t>
            </w:r>
          </w:p>
        </w:tc>
      </w:tr>
      <w:tr w14:paraId="104A8FB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90" w:hRule="atLeast"/>
        </w:trPr>
        <w:tc>
          <w:tcPr>
            <w:tcW w:w="1116" w:type="pct"/>
            <w:tcBorders>
              <w:tl2br w:val="nil"/>
              <w:tr2bl w:val="nil"/>
            </w:tcBorders>
            <w:vAlign w:val="center"/>
          </w:tcPr>
          <w:p w14:paraId="0BCC210E">
            <w:pPr>
              <w:pStyle w:val="83"/>
              <w:spacing w:line="240" w:lineRule="auto"/>
              <w:ind w:left="0" w:leftChars="0" w:right="0" w:right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4000</w:t>
            </w:r>
          </w:p>
        </w:tc>
        <w:tc>
          <w:tcPr>
            <w:tcW w:w="767" w:type="pct"/>
            <w:tcBorders>
              <w:tl2br w:val="nil"/>
              <w:tr2bl w:val="nil"/>
            </w:tcBorders>
            <w:vAlign w:val="center"/>
          </w:tcPr>
          <w:p w14:paraId="32220816">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3.04E-03</w:t>
            </w:r>
          </w:p>
        </w:tc>
        <w:tc>
          <w:tcPr>
            <w:tcW w:w="386" w:type="pct"/>
            <w:tcBorders>
              <w:tl2br w:val="nil"/>
              <w:tr2bl w:val="nil"/>
            </w:tcBorders>
            <w:vAlign w:val="center"/>
          </w:tcPr>
          <w:p w14:paraId="6813B2D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0.34</w:t>
            </w:r>
          </w:p>
        </w:tc>
        <w:tc>
          <w:tcPr>
            <w:tcW w:w="767" w:type="pct"/>
            <w:tcBorders>
              <w:tl2br w:val="nil"/>
              <w:tr2bl w:val="nil"/>
            </w:tcBorders>
            <w:vAlign w:val="center"/>
          </w:tcPr>
          <w:p w14:paraId="28B23E2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3.14E-03</w:t>
            </w:r>
          </w:p>
        </w:tc>
        <w:tc>
          <w:tcPr>
            <w:tcW w:w="387" w:type="pct"/>
            <w:tcBorders>
              <w:tl2br w:val="nil"/>
              <w:tr2bl w:val="nil"/>
            </w:tcBorders>
            <w:vAlign w:val="center"/>
          </w:tcPr>
          <w:p w14:paraId="357AC165">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0.16</w:t>
            </w:r>
          </w:p>
        </w:tc>
        <w:tc>
          <w:tcPr>
            <w:tcW w:w="1048" w:type="pct"/>
            <w:tcBorders>
              <w:tl2br w:val="nil"/>
              <w:tr2bl w:val="nil"/>
            </w:tcBorders>
            <w:vAlign w:val="center"/>
          </w:tcPr>
          <w:p w14:paraId="54EBDEDA">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7.42E-04</w:t>
            </w:r>
          </w:p>
        </w:tc>
        <w:tc>
          <w:tcPr>
            <w:tcW w:w="527" w:type="pct"/>
            <w:tcBorders>
              <w:tl2br w:val="nil"/>
              <w:tr2bl w:val="nil"/>
            </w:tcBorders>
            <w:vAlign w:val="center"/>
          </w:tcPr>
          <w:p w14:paraId="1B8897E1">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0.04</w:t>
            </w:r>
          </w:p>
        </w:tc>
      </w:tr>
      <w:tr w14:paraId="40BA3F3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35A37639">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5000</w:t>
            </w:r>
          </w:p>
        </w:tc>
        <w:tc>
          <w:tcPr>
            <w:tcW w:w="767" w:type="pct"/>
            <w:tcBorders>
              <w:tl2br w:val="nil"/>
              <w:tr2bl w:val="nil"/>
            </w:tcBorders>
            <w:vAlign w:val="center"/>
          </w:tcPr>
          <w:p w14:paraId="252E196D">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3.19E-03</w:t>
            </w:r>
          </w:p>
        </w:tc>
        <w:tc>
          <w:tcPr>
            <w:tcW w:w="386" w:type="pct"/>
            <w:tcBorders>
              <w:tl2br w:val="nil"/>
              <w:tr2bl w:val="nil"/>
            </w:tcBorders>
            <w:vAlign w:val="center"/>
          </w:tcPr>
          <w:p w14:paraId="62C1235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0.35</w:t>
            </w:r>
          </w:p>
        </w:tc>
        <w:tc>
          <w:tcPr>
            <w:tcW w:w="767" w:type="pct"/>
            <w:tcBorders>
              <w:tl2br w:val="nil"/>
              <w:tr2bl w:val="nil"/>
            </w:tcBorders>
            <w:vAlign w:val="center"/>
          </w:tcPr>
          <w:p w14:paraId="48E6B03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3.29E-03</w:t>
            </w:r>
          </w:p>
        </w:tc>
        <w:tc>
          <w:tcPr>
            <w:tcW w:w="387" w:type="pct"/>
            <w:tcBorders>
              <w:tl2br w:val="nil"/>
              <w:tr2bl w:val="nil"/>
            </w:tcBorders>
            <w:vAlign w:val="center"/>
          </w:tcPr>
          <w:p w14:paraId="015E84FD">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0.16</w:t>
            </w:r>
          </w:p>
        </w:tc>
        <w:tc>
          <w:tcPr>
            <w:tcW w:w="1048" w:type="pct"/>
            <w:tcBorders>
              <w:tl2br w:val="nil"/>
              <w:tr2bl w:val="nil"/>
            </w:tcBorders>
            <w:vAlign w:val="center"/>
          </w:tcPr>
          <w:p w14:paraId="3341EE70">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5.79E-04</w:t>
            </w:r>
          </w:p>
        </w:tc>
        <w:tc>
          <w:tcPr>
            <w:tcW w:w="527" w:type="pct"/>
            <w:tcBorders>
              <w:tl2br w:val="nil"/>
              <w:tr2bl w:val="nil"/>
            </w:tcBorders>
            <w:vAlign w:val="center"/>
          </w:tcPr>
          <w:p w14:paraId="1BDF4BA9">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0.03</w:t>
            </w:r>
          </w:p>
        </w:tc>
      </w:tr>
      <w:tr w14:paraId="387D618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3730CA26">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10000</w:t>
            </w:r>
          </w:p>
        </w:tc>
        <w:tc>
          <w:tcPr>
            <w:tcW w:w="767" w:type="pct"/>
            <w:tcBorders>
              <w:tl2br w:val="nil"/>
              <w:tr2bl w:val="nil"/>
            </w:tcBorders>
            <w:vAlign w:val="center"/>
          </w:tcPr>
          <w:p w14:paraId="3D3747AC">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2.86E-03</w:t>
            </w:r>
          </w:p>
        </w:tc>
        <w:tc>
          <w:tcPr>
            <w:tcW w:w="386" w:type="pct"/>
            <w:tcBorders>
              <w:tl2br w:val="nil"/>
              <w:tr2bl w:val="nil"/>
            </w:tcBorders>
            <w:vAlign w:val="center"/>
          </w:tcPr>
          <w:p w14:paraId="55643FAA">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0.32</w:t>
            </w:r>
          </w:p>
        </w:tc>
        <w:tc>
          <w:tcPr>
            <w:tcW w:w="767" w:type="pct"/>
            <w:tcBorders>
              <w:tl2br w:val="nil"/>
              <w:tr2bl w:val="nil"/>
            </w:tcBorders>
            <w:vAlign w:val="center"/>
          </w:tcPr>
          <w:p w14:paraId="571719E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2.95E-03</w:t>
            </w:r>
          </w:p>
        </w:tc>
        <w:tc>
          <w:tcPr>
            <w:tcW w:w="387" w:type="pct"/>
            <w:tcBorders>
              <w:tl2br w:val="nil"/>
              <w:tr2bl w:val="nil"/>
            </w:tcBorders>
            <w:vAlign w:val="center"/>
          </w:tcPr>
          <w:p w14:paraId="6C79CFC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0.15</w:t>
            </w:r>
          </w:p>
        </w:tc>
        <w:tc>
          <w:tcPr>
            <w:tcW w:w="1048" w:type="pct"/>
            <w:tcBorders>
              <w:tl2br w:val="nil"/>
              <w:tr2bl w:val="nil"/>
            </w:tcBorders>
            <w:vAlign w:val="center"/>
          </w:tcPr>
          <w:p w14:paraId="7453FA8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2.45E-04</w:t>
            </w:r>
          </w:p>
        </w:tc>
        <w:tc>
          <w:tcPr>
            <w:tcW w:w="527" w:type="pct"/>
            <w:tcBorders>
              <w:tl2br w:val="nil"/>
              <w:tr2bl w:val="nil"/>
            </w:tcBorders>
            <w:vAlign w:val="center"/>
          </w:tcPr>
          <w:p w14:paraId="77FB5F2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r>
      <w:tr w14:paraId="04281E6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55427F7A">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15000</w:t>
            </w:r>
          </w:p>
        </w:tc>
        <w:tc>
          <w:tcPr>
            <w:tcW w:w="767" w:type="pct"/>
            <w:tcBorders>
              <w:tl2br w:val="nil"/>
              <w:tr2bl w:val="nil"/>
            </w:tcBorders>
            <w:vAlign w:val="center"/>
          </w:tcPr>
          <w:p w14:paraId="69CE4AAA">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2.34E-03</w:t>
            </w:r>
          </w:p>
        </w:tc>
        <w:tc>
          <w:tcPr>
            <w:tcW w:w="386" w:type="pct"/>
            <w:tcBorders>
              <w:tl2br w:val="nil"/>
              <w:tr2bl w:val="nil"/>
            </w:tcBorders>
            <w:vAlign w:val="center"/>
          </w:tcPr>
          <w:p w14:paraId="2B06A24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0.26</w:t>
            </w:r>
          </w:p>
        </w:tc>
        <w:tc>
          <w:tcPr>
            <w:tcW w:w="767" w:type="pct"/>
            <w:tcBorders>
              <w:tl2br w:val="nil"/>
              <w:tr2bl w:val="nil"/>
            </w:tcBorders>
            <w:vAlign w:val="center"/>
          </w:tcPr>
          <w:p w14:paraId="6E3F803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2.41E-03</w:t>
            </w:r>
          </w:p>
        </w:tc>
        <w:tc>
          <w:tcPr>
            <w:tcW w:w="387" w:type="pct"/>
            <w:tcBorders>
              <w:tl2br w:val="nil"/>
              <w:tr2bl w:val="nil"/>
            </w:tcBorders>
            <w:vAlign w:val="center"/>
          </w:tcPr>
          <w:p w14:paraId="402BE94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0.12</w:t>
            </w:r>
          </w:p>
        </w:tc>
        <w:tc>
          <w:tcPr>
            <w:tcW w:w="1048" w:type="pct"/>
            <w:tcBorders>
              <w:tl2br w:val="nil"/>
              <w:tr2bl w:val="nil"/>
            </w:tcBorders>
            <w:vAlign w:val="center"/>
          </w:tcPr>
          <w:p w14:paraId="21DA091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1.42E-04</w:t>
            </w:r>
          </w:p>
        </w:tc>
        <w:tc>
          <w:tcPr>
            <w:tcW w:w="527" w:type="pct"/>
            <w:tcBorders>
              <w:tl2br w:val="nil"/>
              <w:tr2bl w:val="nil"/>
            </w:tcBorders>
            <w:vAlign w:val="center"/>
          </w:tcPr>
          <w:p w14:paraId="473865B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r>
      <w:tr w14:paraId="6ADA838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42957A27">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20000</w:t>
            </w:r>
          </w:p>
        </w:tc>
        <w:tc>
          <w:tcPr>
            <w:tcW w:w="767" w:type="pct"/>
            <w:tcBorders>
              <w:tl2br w:val="nil"/>
              <w:tr2bl w:val="nil"/>
            </w:tcBorders>
            <w:vAlign w:val="center"/>
          </w:tcPr>
          <w:p w14:paraId="3FEC5D0C">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1.85E-03</w:t>
            </w:r>
          </w:p>
        </w:tc>
        <w:tc>
          <w:tcPr>
            <w:tcW w:w="386" w:type="pct"/>
            <w:tcBorders>
              <w:tl2br w:val="nil"/>
              <w:tr2bl w:val="nil"/>
            </w:tcBorders>
            <w:vAlign w:val="center"/>
          </w:tcPr>
          <w:p w14:paraId="58AF413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0.21</w:t>
            </w:r>
          </w:p>
        </w:tc>
        <w:tc>
          <w:tcPr>
            <w:tcW w:w="767" w:type="pct"/>
            <w:tcBorders>
              <w:tl2br w:val="nil"/>
              <w:tr2bl w:val="nil"/>
            </w:tcBorders>
            <w:vAlign w:val="center"/>
          </w:tcPr>
          <w:p w14:paraId="72A7254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1.91E-03</w:t>
            </w:r>
          </w:p>
        </w:tc>
        <w:tc>
          <w:tcPr>
            <w:tcW w:w="387" w:type="pct"/>
            <w:tcBorders>
              <w:tl2br w:val="nil"/>
              <w:tr2bl w:val="nil"/>
            </w:tcBorders>
            <w:vAlign w:val="center"/>
          </w:tcPr>
          <w:p w14:paraId="64493C6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0.10</w:t>
            </w:r>
          </w:p>
        </w:tc>
        <w:tc>
          <w:tcPr>
            <w:tcW w:w="1048" w:type="pct"/>
            <w:tcBorders>
              <w:tl2br w:val="nil"/>
              <w:tr2bl w:val="nil"/>
            </w:tcBorders>
            <w:vAlign w:val="center"/>
          </w:tcPr>
          <w:p w14:paraId="73BCD2E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9.85E-05</w:t>
            </w:r>
          </w:p>
        </w:tc>
        <w:tc>
          <w:tcPr>
            <w:tcW w:w="527" w:type="pct"/>
            <w:tcBorders>
              <w:tl2br w:val="nil"/>
              <w:tr2bl w:val="nil"/>
            </w:tcBorders>
            <w:vAlign w:val="center"/>
          </w:tcPr>
          <w:p w14:paraId="72C9C5F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r>
      <w:tr w14:paraId="0B1132BD">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5C87C480">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25000</w:t>
            </w:r>
          </w:p>
        </w:tc>
        <w:tc>
          <w:tcPr>
            <w:tcW w:w="767" w:type="pct"/>
            <w:tcBorders>
              <w:tl2br w:val="nil"/>
              <w:tr2bl w:val="nil"/>
            </w:tcBorders>
            <w:vAlign w:val="center"/>
          </w:tcPr>
          <w:p w14:paraId="77FEE21E">
            <w:pPr>
              <w:pStyle w:val="83"/>
              <w:adjustRightInd/>
              <w:snapToGrid/>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1.49E-03</w:t>
            </w:r>
          </w:p>
        </w:tc>
        <w:tc>
          <w:tcPr>
            <w:tcW w:w="386" w:type="pct"/>
            <w:tcBorders>
              <w:tl2br w:val="nil"/>
              <w:tr2bl w:val="nil"/>
            </w:tcBorders>
            <w:vAlign w:val="center"/>
          </w:tcPr>
          <w:p w14:paraId="0E973EC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0.17</w:t>
            </w:r>
          </w:p>
        </w:tc>
        <w:tc>
          <w:tcPr>
            <w:tcW w:w="767" w:type="pct"/>
            <w:tcBorders>
              <w:tl2br w:val="nil"/>
              <w:tr2bl w:val="nil"/>
            </w:tcBorders>
            <w:vAlign w:val="center"/>
          </w:tcPr>
          <w:p w14:paraId="37D8215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1.54E-03</w:t>
            </w:r>
          </w:p>
        </w:tc>
        <w:tc>
          <w:tcPr>
            <w:tcW w:w="387" w:type="pct"/>
            <w:tcBorders>
              <w:tl2br w:val="nil"/>
              <w:tr2bl w:val="nil"/>
            </w:tcBorders>
            <w:vAlign w:val="center"/>
          </w:tcPr>
          <w:p w14:paraId="6A49DEF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0.08</w:t>
            </w:r>
          </w:p>
        </w:tc>
        <w:tc>
          <w:tcPr>
            <w:tcW w:w="1048" w:type="pct"/>
            <w:tcBorders>
              <w:tl2br w:val="nil"/>
              <w:tr2bl w:val="nil"/>
            </w:tcBorders>
            <w:vAlign w:val="center"/>
          </w:tcPr>
          <w:p w14:paraId="6B582BB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7.37E-05</w:t>
            </w:r>
          </w:p>
        </w:tc>
        <w:tc>
          <w:tcPr>
            <w:tcW w:w="527" w:type="pct"/>
            <w:tcBorders>
              <w:tl2br w:val="nil"/>
              <w:tr2bl w:val="nil"/>
            </w:tcBorders>
            <w:vAlign w:val="center"/>
          </w:tcPr>
          <w:p w14:paraId="0756531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r>
      <w:tr w14:paraId="67A8C63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67423096">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下风向最大质量浓度及占标率%</w:t>
            </w:r>
          </w:p>
        </w:tc>
        <w:tc>
          <w:tcPr>
            <w:tcW w:w="767" w:type="pct"/>
            <w:tcBorders>
              <w:tl2br w:val="nil"/>
              <w:tr2bl w:val="nil"/>
            </w:tcBorders>
            <w:vAlign w:val="center"/>
          </w:tcPr>
          <w:p w14:paraId="5691F648">
            <w:pPr>
              <w:pStyle w:val="83"/>
              <w:adjustRightInd/>
              <w:snapToGrid/>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rPr>
              <w:t>1.41E-02</w:t>
            </w:r>
          </w:p>
        </w:tc>
        <w:tc>
          <w:tcPr>
            <w:tcW w:w="386" w:type="pct"/>
            <w:tcBorders>
              <w:tl2br w:val="nil"/>
              <w:tr2bl w:val="nil"/>
            </w:tcBorders>
            <w:vAlign w:val="center"/>
          </w:tcPr>
          <w:p w14:paraId="628EBF89">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1.57</w:t>
            </w:r>
          </w:p>
        </w:tc>
        <w:tc>
          <w:tcPr>
            <w:tcW w:w="767" w:type="pct"/>
            <w:tcBorders>
              <w:tl2br w:val="nil"/>
              <w:tr2bl w:val="nil"/>
            </w:tcBorders>
            <w:vAlign w:val="center"/>
          </w:tcPr>
          <w:p w14:paraId="145A00E1">
            <w:pPr>
              <w:pStyle w:val="83"/>
              <w:adjustRightInd/>
              <w:snapToGrid/>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rPr>
              <w:t>1.46E-02</w:t>
            </w:r>
          </w:p>
        </w:tc>
        <w:tc>
          <w:tcPr>
            <w:tcW w:w="387" w:type="pct"/>
            <w:tcBorders>
              <w:tl2br w:val="nil"/>
              <w:tr2bl w:val="nil"/>
            </w:tcBorders>
            <w:vAlign w:val="center"/>
          </w:tcPr>
          <w:p w14:paraId="47F36896">
            <w:pPr>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0.73</w:t>
            </w:r>
          </w:p>
        </w:tc>
        <w:tc>
          <w:tcPr>
            <w:tcW w:w="1048" w:type="pct"/>
            <w:tcBorders>
              <w:tl2br w:val="nil"/>
              <w:tr2bl w:val="nil"/>
            </w:tcBorders>
            <w:vAlign w:val="center"/>
          </w:tcPr>
          <w:p w14:paraId="471A27E0">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4.44E-03</w:t>
            </w:r>
          </w:p>
        </w:tc>
        <w:tc>
          <w:tcPr>
            <w:tcW w:w="527" w:type="pct"/>
            <w:tcBorders>
              <w:tl2br w:val="nil"/>
              <w:tr2bl w:val="nil"/>
            </w:tcBorders>
            <w:vAlign w:val="center"/>
          </w:tcPr>
          <w:p w14:paraId="16A7AC48">
            <w:pPr>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0.22</w:t>
            </w:r>
          </w:p>
        </w:tc>
      </w:tr>
      <w:tr w14:paraId="5F3F8830">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387E5154">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最大浓度落地点</w:t>
            </w:r>
          </w:p>
        </w:tc>
        <w:tc>
          <w:tcPr>
            <w:tcW w:w="1153" w:type="pct"/>
            <w:gridSpan w:val="2"/>
            <w:tcBorders>
              <w:tl2br w:val="nil"/>
              <w:tr2bl w:val="nil"/>
            </w:tcBorders>
            <w:vAlign w:val="center"/>
          </w:tcPr>
          <w:p w14:paraId="17C0C614">
            <w:pPr>
              <w:pStyle w:val="83"/>
              <w:spacing w:line="240" w:lineRule="auto"/>
              <w:ind w:left="0" w:leftChars="0" w:right="0" w:rightChars="0"/>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368m</w:t>
            </w:r>
          </w:p>
        </w:tc>
        <w:tc>
          <w:tcPr>
            <w:tcW w:w="1154" w:type="pct"/>
            <w:gridSpan w:val="2"/>
            <w:tcBorders>
              <w:tl2br w:val="nil"/>
              <w:tr2bl w:val="nil"/>
            </w:tcBorders>
            <w:vAlign w:val="center"/>
          </w:tcPr>
          <w:p w14:paraId="46396387">
            <w:pPr>
              <w:pStyle w:val="83"/>
              <w:spacing w:line="240" w:lineRule="auto"/>
              <w:ind w:left="0" w:leftChars="0" w:right="0" w:rightChars="0"/>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350m</w:t>
            </w:r>
          </w:p>
        </w:tc>
        <w:tc>
          <w:tcPr>
            <w:tcW w:w="1575" w:type="pct"/>
            <w:gridSpan w:val="2"/>
            <w:tcBorders>
              <w:tl2br w:val="nil"/>
              <w:tr2bl w:val="nil"/>
            </w:tcBorders>
            <w:vAlign w:val="center"/>
          </w:tcPr>
          <w:p w14:paraId="09D3588E">
            <w:pPr>
              <w:pStyle w:val="83"/>
              <w:spacing w:line="240" w:lineRule="auto"/>
              <w:ind w:left="0" w:leftChars="0" w:right="0" w:rightChars="0"/>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150m</w:t>
            </w:r>
          </w:p>
        </w:tc>
      </w:tr>
      <w:tr w14:paraId="66649FC3">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trPr>
        <w:tc>
          <w:tcPr>
            <w:tcW w:w="1116" w:type="pct"/>
            <w:tcBorders>
              <w:tl2br w:val="nil"/>
              <w:tr2bl w:val="nil"/>
            </w:tcBorders>
            <w:vAlign w:val="center"/>
          </w:tcPr>
          <w:p w14:paraId="5634303B">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D10%最远距离</w:t>
            </w:r>
          </w:p>
        </w:tc>
        <w:tc>
          <w:tcPr>
            <w:tcW w:w="1153" w:type="pct"/>
            <w:gridSpan w:val="2"/>
            <w:tcBorders>
              <w:tl2br w:val="nil"/>
              <w:tr2bl w:val="nil"/>
            </w:tcBorders>
            <w:vAlign w:val="center"/>
          </w:tcPr>
          <w:p w14:paraId="491F9A71">
            <w:pPr>
              <w:pStyle w:val="83"/>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rPr>
              <w:t>/</w:t>
            </w:r>
          </w:p>
        </w:tc>
        <w:tc>
          <w:tcPr>
            <w:tcW w:w="1154" w:type="pct"/>
            <w:gridSpan w:val="2"/>
            <w:tcBorders>
              <w:tl2br w:val="nil"/>
              <w:tr2bl w:val="nil"/>
            </w:tcBorders>
            <w:vAlign w:val="center"/>
          </w:tcPr>
          <w:p w14:paraId="2F479F13">
            <w:pPr>
              <w:pStyle w:val="83"/>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rPr>
              <w:t>/</w:t>
            </w:r>
          </w:p>
        </w:tc>
        <w:tc>
          <w:tcPr>
            <w:tcW w:w="1575" w:type="pct"/>
            <w:gridSpan w:val="2"/>
            <w:tcBorders>
              <w:tl2br w:val="nil"/>
              <w:tr2bl w:val="nil"/>
            </w:tcBorders>
            <w:vAlign w:val="center"/>
          </w:tcPr>
          <w:p w14:paraId="50097B3B">
            <w:pPr>
              <w:pStyle w:val="83"/>
              <w:spacing w:line="240" w:lineRule="auto"/>
              <w:ind w:left="0" w:leftChars="0" w:right="0" w:rightChars="0"/>
              <w:rPr>
                <w:rFonts w:hint="default" w:ascii="Times New Roman" w:hAnsi="Times New Roman" w:cs="Times New Roman"/>
                <w:b/>
                <w:bCs/>
                <w:color w:val="auto"/>
                <w:szCs w:val="21"/>
              </w:rPr>
            </w:pPr>
          </w:p>
        </w:tc>
      </w:tr>
    </w:tbl>
    <w:p w14:paraId="1F030159">
      <w:pPr>
        <w:pStyle w:val="44"/>
        <w:tabs>
          <w:tab w:val="left" w:pos="567"/>
          <w:tab w:val="clear" w:pos="1120"/>
        </w:tabs>
        <w:bidi w:val="0"/>
        <w:rPr>
          <w:rFonts w:hint="default" w:ascii="Times New Roman" w:hAnsi="Times New Roman" w:cs="Times New Roman"/>
          <w:color w:val="auto"/>
          <w:lang w:eastAsia="zh-CN"/>
        </w:rPr>
      </w:pPr>
      <w:r>
        <w:rPr>
          <w:rFonts w:hint="default" w:ascii="Times New Roman" w:hAnsi="Times New Roman" w:eastAsia="宋体" w:cs="Times New Roman"/>
          <w:color w:val="auto"/>
          <w:highlight w:val="none"/>
        </w:rPr>
        <w:t>表</w:t>
      </w:r>
      <w:r>
        <w:rPr>
          <w:rFonts w:hint="eastAsia" w:ascii="Times New Roman" w:hAnsi="Times New Roman" w:cs="Times New Roman"/>
          <w:color w:val="auto"/>
          <w:lang w:val="en-US" w:eastAsia="zh-CN"/>
        </w:rPr>
        <w:t>2.6</w:t>
      </w:r>
      <w:r>
        <w:rPr>
          <w:rFonts w:hint="default" w:ascii="Times New Roman" w:hAnsi="Times New Roman" w:cs="Times New Roman"/>
          <w:color w:val="auto"/>
          <w:lang w:eastAsia="zh-CN"/>
        </w:rPr>
        <w:t>-</w:t>
      </w:r>
      <w:r>
        <w:rPr>
          <w:rFonts w:hint="eastAsia" w:cs="Times New Roman"/>
          <w:color w:val="auto"/>
          <w:lang w:val="en-US" w:eastAsia="zh-CN"/>
        </w:rPr>
        <w:t>8</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lang w:val="en-US"/>
        </w:rPr>
        <w:t>废气</w:t>
      </w:r>
      <w:r>
        <w:rPr>
          <w:rFonts w:hint="default" w:ascii="Times New Roman" w:hAnsi="Times New Roman" w:eastAsia="宋体" w:cs="Times New Roman"/>
          <w:color w:val="auto"/>
          <w:highlight w:val="none"/>
        </w:rPr>
        <w:t>估算模式计算结果表（</w:t>
      </w:r>
      <w:r>
        <w:rPr>
          <w:rFonts w:hint="default" w:ascii="Times New Roman" w:hAnsi="Times New Roman" w:eastAsia="宋体" w:cs="Times New Roman"/>
          <w:color w:val="auto"/>
          <w:highlight w:val="none"/>
          <w:lang w:val="en-US"/>
        </w:rPr>
        <w:t>点源</w:t>
      </w:r>
      <w:r>
        <w:rPr>
          <w:rFonts w:hint="default" w:ascii="Times New Roman" w:hAnsi="Times New Roman" w:eastAsia="宋体" w:cs="Times New Roman"/>
          <w:color w:val="auto"/>
          <w:highlight w:val="none"/>
        </w:rPr>
        <w:t>）</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59"/>
        <w:gridCol w:w="1834"/>
        <w:gridCol w:w="1624"/>
        <w:gridCol w:w="2204"/>
        <w:gridCol w:w="1964"/>
        <w:gridCol w:w="1944"/>
        <w:gridCol w:w="2159"/>
      </w:tblGrid>
      <w:tr w14:paraId="2FF5B8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vMerge w:val="restart"/>
            <w:tcBorders>
              <w:tl2br w:val="nil"/>
              <w:tr2bl w:val="nil"/>
            </w:tcBorders>
            <w:vAlign w:val="center"/>
          </w:tcPr>
          <w:p w14:paraId="00AB5328">
            <w:pPr>
              <w:pStyle w:val="34"/>
              <w:bidi w:val="0"/>
              <w:rPr>
                <w:rFonts w:hint="default" w:ascii="Times New Roman" w:hAnsi="Times New Roman" w:cs="Times New Roman"/>
                <w:color w:val="auto"/>
              </w:rPr>
            </w:pPr>
            <w:r>
              <w:rPr>
                <w:rFonts w:hint="default" w:ascii="Times New Roman" w:hAnsi="Times New Roman" w:cs="Times New Roman"/>
                <w:color w:val="auto"/>
              </w:rPr>
              <w:t>下风向距离</w:t>
            </w:r>
          </w:p>
          <w:p w14:paraId="599DDFBE">
            <w:pPr>
              <w:pStyle w:val="34"/>
              <w:bidi w:val="0"/>
              <w:rPr>
                <w:rFonts w:hint="default" w:ascii="Times New Roman" w:hAnsi="Times New Roman" w:cs="Times New Roman"/>
                <w:color w:val="auto"/>
              </w:rPr>
            </w:pPr>
            <w:r>
              <w:rPr>
                <w:rFonts w:hint="default" w:ascii="Times New Roman" w:hAnsi="Times New Roman" w:cs="Times New Roman"/>
                <w:color w:val="auto"/>
              </w:rPr>
              <w:t>（m）</w:t>
            </w:r>
          </w:p>
        </w:tc>
        <w:tc>
          <w:tcPr>
            <w:tcW w:w="3965" w:type="pct"/>
            <w:gridSpan w:val="6"/>
            <w:tcBorders>
              <w:left w:val="single" w:color="000000" w:sz="4" w:space="0"/>
              <w:tl2br w:val="nil"/>
              <w:tr2bl w:val="nil"/>
            </w:tcBorders>
            <w:vAlign w:val="center"/>
          </w:tcPr>
          <w:p w14:paraId="607870D3">
            <w:pPr>
              <w:pStyle w:val="3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天然气燃烧机废气烟囱（DA003）</w:t>
            </w:r>
          </w:p>
        </w:tc>
      </w:tr>
      <w:tr w14:paraId="78FFD0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vMerge w:val="continue"/>
            <w:tcBorders>
              <w:tl2br w:val="nil"/>
              <w:tr2bl w:val="nil"/>
            </w:tcBorders>
            <w:vAlign w:val="center"/>
          </w:tcPr>
          <w:p w14:paraId="3DB01C39">
            <w:pPr>
              <w:pStyle w:val="34"/>
              <w:bidi w:val="0"/>
              <w:rPr>
                <w:rFonts w:hint="default" w:ascii="Times New Roman" w:hAnsi="Times New Roman" w:cs="Times New Roman"/>
                <w:color w:val="auto"/>
              </w:rPr>
            </w:pPr>
          </w:p>
        </w:tc>
        <w:tc>
          <w:tcPr>
            <w:tcW w:w="1169" w:type="pct"/>
            <w:gridSpan w:val="2"/>
            <w:tcBorders>
              <w:left w:val="single" w:color="000000" w:sz="4" w:space="0"/>
              <w:right w:val="single" w:color="000000" w:sz="4" w:space="0"/>
              <w:tl2br w:val="nil"/>
              <w:tr2bl w:val="nil"/>
            </w:tcBorders>
            <w:vAlign w:val="center"/>
          </w:tcPr>
          <w:p w14:paraId="667FFCC4">
            <w:pPr>
              <w:pStyle w:val="34"/>
              <w:bidi w:val="0"/>
              <w:rPr>
                <w:rFonts w:hint="default" w:ascii="Times New Roman" w:hAnsi="Times New Roman" w:cs="Times New Roman"/>
                <w:color w:val="auto"/>
                <w:lang w:val="en-US"/>
              </w:rPr>
            </w:pPr>
            <w:r>
              <w:rPr>
                <w:rFonts w:hint="eastAsia" w:ascii="Times New Roman" w:hAnsi="Times New Roman" w:cs="Times New Roman"/>
                <w:color w:val="auto"/>
                <w:lang w:val="en-US" w:eastAsia="zh-CN"/>
              </w:rPr>
              <w:t>PM</w:t>
            </w:r>
            <w:r>
              <w:rPr>
                <w:rFonts w:hint="eastAsia" w:ascii="Times New Roman" w:hAnsi="Times New Roman" w:cs="Times New Roman"/>
                <w:color w:val="auto"/>
                <w:vertAlign w:val="subscript"/>
                <w:lang w:val="en-US" w:eastAsia="zh-CN"/>
              </w:rPr>
              <w:t>10</w:t>
            </w:r>
          </w:p>
        </w:tc>
        <w:tc>
          <w:tcPr>
            <w:tcW w:w="1409" w:type="pct"/>
            <w:gridSpan w:val="2"/>
            <w:tcBorders>
              <w:left w:val="single" w:color="000000" w:sz="4" w:space="0"/>
              <w:right w:val="single" w:color="000000" w:sz="4" w:space="0"/>
              <w:tl2br w:val="nil"/>
              <w:tr2bl w:val="nil"/>
            </w:tcBorders>
            <w:vAlign w:val="center"/>
          </w:tcPr>
          <w:p w14:paraId="6B4D6426">
            <w:pPr>
              <w:pStyle w:val="34"/>
              <w:bidi w:val="0"/>
              <w:rPr>
                <w:rFonts w:hint="default" w:ascii="Times New Roman" w:hAnsi="Times New Roman" w:cs="Times New Roman"/>
                <w:color w:val="auto"/>
              </w:rPr>
            </w:pPr>
            <w:r>
              <w:rPr>
                <w:rFonts w:hint="default" w:ascii="Times New Roman" w:hAnsi="Times New Roman" w:cs="Times New Roman"/>
                <w:color w:val="auto"/>
                <w:lang w:eastAsia="zh-CN"/>
              </w:rPr>
              <w:t>二氧化硫</w:t>
            </w:r>
          </w:p>
        </w:tc>
        <w:tc>
          <w:tcPr>
            <w:tcW w:w="1387" w:type="pct"/>
            <w:gridSpan w:val="2"/>
            <w:tcBorders>
              <w:left w:val="single" w:color="000000" w:sz="4" w:space="0"/>
              <w:tl2br w:val="nil"/>
              <w:tr2bl w:val="nil"/>
            </w:tcBorders>
            <w:vAlign w:val="center"/>
          </w:tcPr>
          <w:p w14:paraId="6DDB9501">
            <w:pPr>
              <w:pStyle w:val="34"/>
              <w:bidi w:val="0"/>
              <w:rPr>
                <w:rFonts w:hint="default" w:ascii="Times New Roman" w:hAnsi="Times New Roman" w:cs="Times New Roman"/>
                <w:color w:val="auto"/>
              </w:rPr>
            </w:pPr>
            <w:r>
              <w:rPr>
                <w:rFonts w:hint="default" w:ascii="Times New Roman" w:hAnsi="Times New Roman" w:cs="Times New Roman"/>
                <w:color w:val="auto"/>
                <w:lang w:eastAsia="zh-CN"/>
              </w:rPr>
              <w:t>氮氧化物</w:t>
            </w:r>
          </w:p>
        </w:tc>
      </w:tr>
      <w:tr w14:paraId="7CB345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vMerge w:val="continue"/>
            <w:tcBorders>
              <w:tl2br w:val="nil"/>
              <w:tr2bl w:val="nil"/>
            </w:tcBorders>
            <w:vAlign w:val="center"/>
          </w:tcPr>
          <w:p w14:paraId="27E5B7F5">
            <w:pPr>
              <w:pStyle w:val="34"/>
              <w:bidi w:val="0"/>
              <w:rPr>
                <w:rFonts w:hint="default" w:ascii="Times New Roman" w:hAnsi="Times New Roman" w:cs="Times New Roman"/>
                <w:color w:val="auto"/>
              </w:rPr>
            </w:pPr>
          </w:p>
        </w:tc>
        <w:tc>
          <w:tcPr>
            <w:tcW w:w="620" w:type="pct"/>
            <w:tcBorders>
              <w:right w:val="single" w:color="000000" w:sz="4" w:space="0"/>
              <w:tl2br w:val="nil"/>
              <w:tr2bl w:val="nil"/>
            </w:tcBorders>
            <w:vAlign w:val="center"/>
          </w:tcPr>
          <w:p w14:paraId="75E51B98">
            <w:pPr>
              <w:pStyle w:val="34"/>
              <w:bidi w:val="0"/>
              <w:rPr>
                <w:rFonts w:hint="default" w:ascii="Times New Roman" w:hAnsi="Times New Roman" w:cs="Times New Roman"/>
                <w:color w:val="auto"/>
              </w:rPr>
            </w:pPr>
            <w:r>
              <w:rPr>
                <w:rFonts w:hint="default" w:ascii="Times New Roman" w:hAnsi="Times New Roman" w:cs="Times New Roman"/>
                <w:color w:val="auto"/>
              </w:rPr>
              <w:t>预测质量浓度</w:t>
            </w:r>
            <w:r>
              <w:rPr>
                <w:rFonts w:hint="default" w:ascii="Times New Roman" w:hAnsi="Times New Roman" w:cs="Times New Roman"/>
                <w:color w:val="auto"/>
                <w:lang w:val="en-US"/>
              </w:rPr>
              <w:t>m</w:t>
            </w:r>
            <w:r>
              <w:rPr>
                <w:rFonts w:hint="default" w:ascii="Times New Roman" w:hAnsi="Times New Roman" w:cs="Times New Roman"/>
                <w:color w:val="auto"/>
              </w:rPr>
              <w:t>g/m³</w:t>
            </w:r>
          </w:p>
        </w:tc>
        <w:tc>
          <w:tcPr>
            <w:tcW w:w="549" w:type="pct"/>
            <w:tcBorders>
              <w:left w:val="single" w:color="000000" w:sz="4" w:space="0"/>
              <w:right w:val="single" w:color="000000" w:sz="4" w:space="0"/>
              <w:tl2br w:val="nil"/>
              <w:tr2bl w:val="nil"/>
            </w:tcBorders>
            <w:vAlign w:val="center"/>
          </w:tcPr>
          <w:p w14:paraId="0981895C">
            <w:pPr>
              <w:pStyle w:val="34"/>
              <w:bidi w:val="0"/>
              <w:rPr>
                <w:rFonts w:hint="default" w:ascii="Times New Roman" w:hAnsi="Times New Roman" w:cs="Times New Roman"/>
                <w:color w:val="auto"/>
              </w:rPr>
            </w:pPr>
            <w:r>
              <w:rPr>
                <w:rFonts w:hint="default" w:ascii="Times New Roman" w:hAnsi="Times New Roman" w:cs="Times New Roman"/>
                <w:color w:val="auto"/>
              </w:rPr>
              <w:t>占标率%</w:t>
            </w:r>
          </w:p>
        </w:tc>
        <w:tc>
          <w:tcPr>
            <w:tcW w:w="745" w:type="pct"/>
            <w:tcBorders>
              <w:left w:val="single" w:color="000000" w:sz="4" w:space="0"/>
              <w:right w:val="single" w:color="000000" w:sz="4" w:space="0"/>
              <w:tl2br w:val="nil"/>
              <w:tr2bl w:val="nil"/>
            </w:tcBorders>
            <w:vAlign w:val="center"/>
          </w:tcPr>
          <w:p w14:paraId="0EC68483">
            <w:pPr>
              <w:pStyle w:val="34"/>
              <w:bidi w:val="0"/>
              <w:rPr>
                <w:rFonts w:hint="default" w:ascii="Times New Roman" w:hAnsi="Times New Roman" w:cs="Times New Roman"/>
                <w:color w:val="auto"/>
              </w:rPr>
            </w:pPr>
            <w:r>
              <w:rPr>
                <w:rFonts w:hint="default" w:ascii="Times New Roman" w:hAnsi="Times New Roman" w:cs="Times New Roman"/>
                <w:color w:val="auto"/>
              </w:rPr>
              <w:t>预测质量浓度</w:t>
            </w:r>
            <w:r>
              <w:rPr>
                <w:rFonts w:hint="default" w:ascii="Times New Roman" w:hAnsi="Times New Roman" w:cs="Times New Roman"/>
                <w:color w:val="auto"/>
                <w:lang w:val="en-US"/>
              </w:rPr>
              <w:t>m</w:t>
            </w:r>
            <w:r>
              <w:rPr>
                <w:rFonts w:hint="default" w:ascii="Times New Roman" w:hAnsi="Times New Roman" w:cs="Times New Roman"/>
                <w:color w:val="auto"/>
              </w:rPr>
              <w:t>g/m³</w:t>
            </w:r>
          </w:p>
        </w:tc>
        <w:tc>
          <w:tcPr>
            <w:tcW w:w="664" w:type="pct"/>
            <w:tcBorders>
              <w:left w:val="single" w:color="000000" w:sz="4" w:space="0"/>
              <w:right w:val="single" w:color="000000" w:sz="4" w:space="0"/>
              <w:tl2br w:val="nil"/>
              <w:tr2bl w:val="nil"/>
            </w:tcBorders>
            <w:vAlign w:val="center"/>
          </w:tcPr>
          <w:p w14:paraId="08485E88">
            <w:pPr>
              <w:pStyle w:val="34"/>
              <w:bidi w:val="0"/>
              <w:rPr>
                <w:rFonts w:hint="default" w:ascii="Times New Roman" w:hAnsi="Times New Roman" w:cs="Times New Roman"/>
                <w:color w:val="auto"/>
              </w:rPr>
            </w:pPr>
            <w:r>
              <w:rPr>
                <w:rFonts w:hint="default" w:ascii="Times New Roman" w:hAnsi="Times New Roman" w:cs="Times New Roman"/>
                <w:color w:val="auto"/>
              </w:rPr>
              <w:t>占标率%</w:t>
            </w:r>
          </w:p>
        </w:tc>
        <w:tc>
          <w:tcPr>
            <w:tcW w:w="657" w:type="pct"/>
            <w:tcBorders>
              <w:left w:val="single" w:color="000000" w:sz="4" w:space="0"/>
              <w:right w:val="single" w:color="000000" w:sz="4" w:space="0"/>
              <w:tl2br w:val="nil"/>
              <w:tr2bl w:val="nil"/>
            </w:tcBorders>
            <w:vAlign w:val="center"/>
          </w:tcPr>
          <w:p w14:paraId="582A59AB">
            <w:pPr>
              <w:pStyle w:val="34"/>
              <w:bidi w:val="0"/>
              <w:rPr>
                <w:rFonts w:hint="default" w:ascii="Times New Roman" w:hAnsi="Times New Roman" w:cs="Times New Roman"/>
                <w:color w:val="auto"/>
              </w:rPr>
            </w:pPr>
            <w:r>
              <w:rPr>
                <w:rFonts w:hint="default" w:ascii="Times New Roman" w:hAnsi="Times New Roman" w:cs="Times New Roman"/>
                <w:color w:val="auto"/>
              </w:rPr>
              <w:t>预测质量浓度</w:t>
            </w:r>
            <w:r>
              <w:rPr>
                <w:rFonts w:hint="default" w:ascii="Times New Roman" w:hAnsi="Times New Roman" w:cs="Times New Roman"/>
                <w:color w:val="auto"/>
                <w:lang w:val="en-US"/>
              </w:rPr>
              <w:t>m</w:t>
            </w:r>
            <w:r>
              <w:rPr>
                <w:rFonts w:hint="default" w:ascii="Times New Roman" w:hAnsi="Times New Roman" w:cs="Times New Roman"/>
                <w:color w:val="auto"/>
              </w:rPr>
              <w:t>g/m³</w:t>
            </w:r>
          </w:p>
        </w:tc>
        <w:tc>
          <w:tcPr>
            <w:tcW w:w="729" w:type="pct"/>
            <w:tcBorders>
              <w:left w:val="single" w:color="000000" w:sz="4" w:space="0"/>
              <w:tl2br w:val="nil"/>
              <w:tr2bl w:val="nil"/>
            </w:tcBorders>
            <w:vAlign w:val="center"/>
          </w:tcPr>
          <w:p w14:paraId="7D172EEA">
            <w:pPr>
              <w:pStyle w:val="34"/>
              <w:bidi w:val="0"/>
              <w:rPr>
                <w:rFonts w:hint="default" w:ascii="Times New Roman" w:hAnsi="Times New Roman" w:cs="Times New Roman"/>
                <w:color w:val="auto"/>
              </w:rPr>
            </w:pPr>
            <w:r>
              <w:rPr>
                <w:rFonts w:hint="default" w:ascii="Times New Roman" w:hAnsi="Times New Roman" w:cs="Times New Roman"/>
                <w:color w:val="auto"/>
              </w:rPr>
              <w:t>占标率%</w:t>
            </w:r>
          </w:p>
        </w:tc>
      </w:tr>
      <w:tr w14:paraId="622E0E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vAlign w:val="center"/>
          </w:tcPr>
          <w:p w14:paraId="7F05A0C3">
            <w:pPr>
              <w:pStyle w:val="83"/>
              <w:spacing w:line="240" w:lineRule="auto"/>
              <w:ind w:left="0" w:leftChars="0" w:right="0" w:rightChars="0" w:firstLine="0" w:firstLineChars="0"/>
              <w:rPr>
                <w:rFonts w:hint="default" w:ascii="Times New Roman" w:hAnsi="Times New Roman" w:cs="Times New Roman"/>
                <w:color w:val="auto"/>
                <w:lang w:val="en-US"/>
              </w:rPr>
            </w:pPr>
            <w:r>
              <w:rPr>
                <w:rFonts w:hint="eastAsia" w:ascii="Times New Roman" w:hAnsi="Times New Roman" w:eastAsia="宋体" w:cs="Times New Roman"/>
                <w:color w:val="auto"/>
                <w:szCs w:val="21"/>
                <w:lang w:val="en-US" w:eastAsia="zh-CN"/>
              </w:rPr>
              <w:t>25</w:t>
            </w:r>
          </w:p>
        </w:tc>
        <w:tc>
          <w:tcPr>
            <w:tcW w:w="620" w:type="pct"/>
            <w:tcBorders>
              <w:right w:val="single" w:color="000000" w:sz="4" w:space="0"/>
              <w:tl2br w:val="nil"/>
              <w:tr2bl w:val="nil"/>
            </w:tcBorders>
            <w:vAlign w:val="center"/>
          </w:tcPr>
          <w:p w14:paraId="5D47F95C">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2.61E-09</w:t>
            </w:r>
          </w:p>
        </w:tc>
        <w:tc>
          <w:tcPr>
            <w:tcW w:w="549" w:type="pct"/>
            <w:tcBorders>
              <w:left w:val="single" w:color="000000" w:sz="4" w:space="0"/>
              <w:right w:val="single" w:color="000000" w:sz="4" w:space="0"/>
              <w:tl2br w:val="nil"/>
              <w:tr2bl w:val="nil"/>
            </w:tcBorders>
            <w:vAlign w:val="center"/>
          </w:tcPr>
          <w:p w14:paraId="29F6A4F1">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745" w:type="pct"/>
            <w:tcBorders>
              <w:left w:val="single" w:color="000000" w:sz="4" w:space="0"/>
              <w:right w:val="single" w:color="000000" w:sz="4" w:space="0"/>
              <w:tl2br w:val="nil"/>
              <w:tr2bl w:val="nil"/>
            </w:tcBorders>
            <w:vAlign w:val="center"/>
          </w:tcPr>
          <w:p w14:paraId="05C77DFE">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1.16E-10</w:t>
            </w:r>
          </w:p>
        </w:tc>
        <w:tc>
          <w:tcPr>
            <w:tcW w:w="664" w:type="pct"/>
            <w:tcBorders>
              <w:left w:val="single" w:color="000000" w:sz="4" w:space="0"/>
              <w:right w:val="single" w:color="000000" w:sz="4" w:space="0"/>
              <w:tl2br w:val="nil"/>
              <w:tr2bl w:val="nil"/>
            </w:tcBorders>
            <w:vAlign w:val="center"/>
          </w:tcPr>
          <w:p w14:paraId="235C2030">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4BB3F51A">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2.59E-08</w:t>
            </w:r>
          </w:p>
        </w:tc>
        <w:tc>
          <w:tcPr>
            <w:tcW w:w="729" w:type="pct"/>
            <w:tcBorders>
              <w:left w:val="single" w:color="000000" w:sz="4" w:space="0"/>
              <w:tl2br w:val="nil"/>
              <w:tr2bl w:val="nil"/>
            </w:tcBorders>
            <w:vAlign w:val="center"/>
          </w:tcPr>
          <w:p w14:paraId="71D169FE">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0.00</w:t>
            </w:r>
          </w:p>
        </w:tc>
      </w:tr>
      <w:tr w14:paraId="1708D2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FFFFFF" w:themeFill="background1"/>
            <w:vAlign w:val="center"/>
          </w:tcPr>
          <w:p w14:paraId="354FB695">
            <w:pPr>
              <w:pStyle w:val="83"/>
              <w:spacing w:line="240" w:lineRule="auto"/>
              <w:ind w:left="0" w:leftChars="0" w:right="0" w:rightChars="0" w:firstLine="0" w:firstLineChars="0"/>
              <w:rPr>
                <w:rFonts w:hint="default" w:ascii="Times New Roman" w:hAnsi="Times New Roman" w:cs="Times New Roman"/>
                <w:color w:val="auto"/>
                <w:lang w:val="en-US" w:eastAsia="zh-CN"/>
              </w:rPr>
            </w:pPr>
            <w:r>
              <w:rPr>
                <w:rFonts w:hint="eastAsia" w:ascii="Times New Roman" w:hAnsi="Times New Roman" w:eastAsia="宋体" w:cs="Times New Roman"/>
                <w:color w:val="auto"/>
                <w:szCs w:val="21"/>
                <w:lang w:val="en-US" w:eastAsia="zh-CN"/>
              </w:rPr>
              <w:t>50</w:t>
            </w:r>
          </w:p>
        </w:tc>
        <w:tc>
          <w:tcPr>
            <w:tcW w:w="620" w:type="pct"/>
            <w:tcBorders>
              <w:right w:val="single" w:color="000000" w:sz="4" w:space="0"/>
              <w:tl2br w:val="nil"/>
              <w:tr2bl w:val="nil"/>
            </w:tcBorders>
            <w:shd w:val="clear" w:color="auto" w:fill="FFFFFF" w:themeFill="background1"/>
            <w:vAlign w:val="center"/>
          </w:tcPr>
          <w:p w14:paraId="626D20F6">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2.42E-05</w:t>
            </w:r>
          </w:p>
        </w:tc>
        <w:tc>
          <w:tcPr>
            <w:tcW w:w="549" w:type="pct"/>
            <w:tcBorders>
              <w:left w:val="single" w:color="000000" w:sz="4" w:space="0"/>
              <w:right w:val="single" w:color="000000" w:sz="4" w:space="0"/>
              <w:tl2br w:val="nil"/>
              <w:tr2bl w:val="nil"/>
            </w:tcBorders>
            <w:shd w:val="clear" w:color="auto" w:fill="FFFFFF" w:themeFill="background1"/>
            <w:vAlign w:val="center"/>
          </w:tcPr>
          <w:p w14:paraId="7D901202">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0.01</w:t>
            </w:r>
          </w:p>
        </w:tc>
        <w:tc>
          <w:tcPr>
            <w:tcW w:w="745" w:type="pct"/>
            <w:tcBorders>
              <w:left w:val="single" w:color="000000" w:sz="4" w:space="0"/>
              <w:right w:val="single" w:color="000000" w:sz="4" w:space="0"/>
              <w:tl2br w:val="nil"/>
              <w:tr2bl w:val="nil"/>
            </w:tcBorders>
            <w:shd w:val="clear" w:color="auto" w:fill="FFFFFF" w:themeFill="background1"/>
            <w:vAlign w:val="center"/>
          </w:tcPr>
          <w:p w14:paraId="7F3334C4">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1.07E-06</w:t>
            </w:r>
          </w:p>
        </w:tc>
        <w:tc>
          <w:tcPr>
            <w:tcW w:w="664" w:type="pct"/>
            <w:tcBorders>
              <w:left w:val="single" w:color="000000" w:sz="4" w:space="0"/>
              <w:right w:val="single" w:color="000000" w:sz="4" w:space="0"/>
              <w:tl2br w:val="nil"/>
              <w:tr2bl w:val="nil"/>
            </w:tcBorders>
            <w:shd w:val="clear" w:color="auto" w:fill="FFFFFF" w:themeFill="background1"/>
            <w:vAlign w:val="center"/>
          </w:tcPr>
          <w:p w14:paraId="07F08DD7">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shd w:val="clear" w:color="auto" w:fill="FFFFFF" w:themeFill="background1"/>
            <w:vAlign w:val="center"/>
          </w:tcPr>
          <w:p w14:paraId="5D38E8A2">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2.39E-04</w:t>
            </w:r>
          </w:p>
        </w:tc>
        <w:tc>
          <w:tcPr>
            <w:tcW w:w="729" w:type="pct"/>
            <w:tcBorders>
              <w:left w:val="single" w:color="000000" w:sz="4" w:space="0"/>
              <w:tl2br w:val="nil"/>
              <w:tr2bl w:val="nil"/>
            </w:tcBorders>
            <w:shd w:val="clear" w:color="auto" w:fill="FFFFFF" w:themeFill="background1"/>
            <w:vAlign w:val="center"/>
          </w:tcPr>
          <w:p w14:paraId="333D27C1">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0.10</w:t>
            </w:r>
          </w:p>
        </w:tc>
      </w:tr>
      <w:tr w14:paraId="4F732D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FFFFFF" w:themeFill="background1"/>
            <w:vAlign w:val="center"/>
          </w:tcPr>
          <w:p w14:paraId="0E771072">
            <w:pPr>
              <w:pStyle w:val="83"/>
              <w:spacing w:line="240" w:lineRule="auto"/>
              <w:ind w:left="0" w:leftChars="0" w:right="0" w:rightChars="0" w:firstLine="0" w:firstLineChars="0"/>
              <w:rPr>
                <w:rFonts w:hint="default" w:ascii="Times New Roman" w:hAnsi="Times New Roman" w:cs="Times New Roman"/>
                <w:color w:val="auto"/>
                <w:lang w:val="en-US" w:eastAsia="zh-CN"/>
              </w:rPr>
            </w:pPr>
            <w:r>
              <w:rPr>
                <w:rFonts w:hint="eastAsia" w:ascii="Times New Roman" w:hAnsi="Times New Roman" w:eastAsia="宋体" w:cs="Times New Roman"/>
                <w:color w:val="auto"/>
                <w:szCs w:val="21"/>
                <w:lang w:val="en-US" w:eastAsia="zh-CN"/>
              </w:rPr>
              <w:t>75</w:t>
            </w:r>
          </w:p>
        </w:tc>
        <w:tc>
          <w:tcPr>
            <w:tcW w:w="620" w:type="pct"/>
            <w:tcBorders>
              <w:right w:val="single" w:color="000000" w:sz="4" w:space="0"/>
              <w:tl2br w:val="nil"/>
              <w:tr2bl w:val="nil"/>
            </w:tcBorders>
            <w:vAlign w:val="center"/>
          </w:tcPr>
          <w:p w14:paraId="04195954">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1.19E-04</w:t>
            </w:r>
          </w:p>
        </w:tc>
        <w:tc>
          <w:tcPr>
            <w:tcW w:w="549" w:type="pct"/>
            <w:tcBorders>
              <w:left w:val="single" w:color="000000" w:sz="4" w:space="0"/>
              <w:right w:val="single" w:color="000000" w:sz="4" w:space="0"/>
              <w:tl2br w:val="nil"/>
              <w:tr2bl w:val="nil"/>
            </w:tcBorders>
            <w:vAlign w:val="center"/>
          </w:tcPr>
          <w:p w14:paraId="3A9AD658">
            <w:pPr>
              <w:pStyle w:val="3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0.03</w:t>
            </w:r>
          </w:p>
        </w:tc>
        <w:tc>
          <w:tcPr>
            <w:tcW w:w="745" w:type="pct"/>
            <w:tcBorders>
              <w:left w:val="single" w:color="000000" w:sz="4" w:space="0"/>
              <w:right w:val="single" w:color="000000" w:sz="4" w:space="0"/>
              <w:tl2br w:val="nil"/>
              <w:tr2bl w:val="nil"/>
            </w:tcBorders>
            <w:vAlign w:val="center"/>
          </w:tcPr>
          <w:p w14:paraId="24C02705">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5.28E-06</w:t>
            </w:r>
          </w:p>
        </w:tc>
        <w:tc>
          <w:tcPr>
            <w:tcW w:w="664" w:type="pct"/>
            <w:tcBorders>
              <w:left w:val="single" w:color="000000" w:sz="4" w:space="0"/>
              <w:right w:val="single" w:color="000000" w:sz="4" w:space="0"/>
              <w:tl2br w:val="nil"/>
              <w:tr2bl w:val="nil"/>
            </w:tcBorders>
            <w:vAlign w:val="center"/>
          </w:tcPr>
          <w:p w14:paraId="34D74782">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689C9D51">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1.18E-03</w:t>
            </w:r>
          </w:p>
        </w:tc>
        <w:tc>
          <w:tcPr>
            <w:tcW w:w="729" w:type="pct"/>
            <w:tcBorders>
              <w:left w:val="single" w:color="000000" w:sz="4" w:space="0"/>
              <w:tl2br w:val="nil"/>
              <w:tr2bl w:val="nil"/>
            </w:tcBorders>
            <w:vAlign w:val="center"/>
          </w:tcPr>
          <w:p w14:paraId="3A69A974">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0.47</w:t>
            </w:r>
          </w:p>
        </w:tc>
      </w:tr>
      <w:tr w14:paraId="40A028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62CA96F9">
            <w:pPr>
              <w:pStyle w:val="83"/>
              <w:spacing w:line="240" w:lineRule="auto"/>
              <w:ind w:left="0" w:leftChars="0" w:right="0" w:rightChars="0"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szCs w:val="21"/>
              </w:rPr>
              <w:t>100</w:t>
            </w:r>
          </w:p>
        </w:tc>
        <w:tc>
          <w:tcPr>
            <w:tcW w:w="620" w:type="pct"/>
            <w:tcBorders>
              <w:right w:val="single" w:color="000000" w:sz="4" w:space="0"/>
              <w:tl2br w:val="nil"/>
              <w:tr2bl w:val="nil"/>
            </w:tcBorders>
            <w:vAlign w:val="center"/>
          </w:tcPr>
          <w:p w14:paraId="04B56659">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1.93E-04</w:t>
            </w:r>
          </w:p>
        </w:tc>
        <w:tc>
          <w:tcPr>
            <w:tcW w:w="549" w:type="pct"/>
            <w:tcBorders>
              <w:left w:val="single" w:color="000000" w:sz="4" w:space="0"/>
              <w:right w:val="single" w:color="000000" w:sz="4" w:space="0"/>
              <w:tl2br w:val="nil"/>
              <w:tr2bl w:val="nil"/>
            </w:tcBorders>
            <w:vAlign w:val="center"/>
          </w:tcPr>
          <w:p w14:paraId="2289BE15">
            <w:pPr>
              <w:pStyle w:val="3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0.04</w:t>
            </w:r>
          </w:p>
        </w:tc>
        <w:tc>
          <w:tcPr>
            <w:tcW w:w="745" w:type="pct"/>
            <w:tcBorders>
              <w:left w:val="single" w:color="000000" w:sz="4" w:space="0"/>
              <w:right w:val="single" w:color="000000" w:sz="4" w:space="0"/>
              <w:tl2br w:val="nil"/>
              <w:tr2bl w:val="nil"/>
            </w:tcBorders>
            <w:vAlign w:val="center"/>
          </w:tcPr>
          <w:p w14:paraId="3D9ADBBF">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8.60E-06</w:t>
            </w:r>
          </w:p>
        </w:tc>
        <w:tc>
          <w:tcPr>
            <w:tcW w:w="664" w:type="pct"/>
            <w:tcBorders>
              <w:left w:val="single" w:color="000000" w:sz="4" w:space="0"/>
              <w:right w:val="single" w:color="000000" w:sz="4" w:space="0"/>
              <w:tl2br w:val="nil"/>
              <w:tr2bl w:val="nil"/>
            </w:tcBorders>
            <w:vAlign w:val="center"/>
          </w:tcPr>
          <w:p w14:paraId="517F9C2B">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1CCE6C7D">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1.91E-03</w:t>
            </w:r>
          </w:p>
        </w:tc>
        <w:tc>
          <w:tcPr>
            <w:tcW w:w="729" w:type="pct"/>
            <w:tcBorders>
              <w:left w:val="single" w:color="000000" w:sz="4" w:space="0"/>
              <w:tl2br w:val="nil"/>
              <w:tr2bl w:val="nil"/>
            </w:tcBorders>
            <w:vAlign w:val="center"/>
          </w:tcPr>
          <w:p w14:paraId="65CE129B">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0.76</w:t>
            </w:r>
          </w:p>
        </w:tc>
      </w:tr>
      <w:tr w14:paraId="787157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63B8527D">
            <w:pPr>
              <w:pStyle w:val="83"/>
              <w:spacing w:line="240" w:lineRule="auto"/>
              <w:ind w:left="0" w:leftChars="0" w:right="0" w:rightChars="0" w:firstLine="0" w:firstLineChars="0"/>
              <w:rPr>
                <w:rFonts w:hint="eastAsia" w:ascii="Times New Roman" w:hAnsi="Times New Roman" w:eastAsia="宋体" w:cs="Times New Roman"/>
                <w:color w:val="auto"/>
                <w:lang w:val="en-US" w:eastAsia="zh-CN"/>
              </w:rPr>
            </w:pPr>
            <w:r>
              <w:rPr>
                <w:rFonts w:hint="default" w:ascii="Times New Roman" w:hAnsi="Times New Roman" w:cs="Times New Roman"/>
                <w:color w:val="auto"/>
                <w:szCs w:val="21"/>
              </w:rPr>
              <w:t>12</w:t>
            </w:r>
            <w:r>
              <w:rPr>
                <w:rFonts w:hint="eastAsia" w:ascii="Times New Roman" w:hAnsi="Times New Roman" w:eastAsia="宋体" w:cs="Times New Roman"/>
                <w:color w:val="auto"/>
                <w:szCs w:val="21"/>
                <w:lang w:val="en-US" w:eastAsia="zh-CN"/>
              </w:rPr>
              <w:t>2</w:t>
            </w:r>
          </w:p>
        </w:tc>
        <w:tc>
          <w:tcPr>
            <w:tcW w:w="620" w:type="pct"/>
            <w:tcBorders>
              <w:right w:val="single" w:color="000000" w:sz="4" w:space="0"/>
              <w:tl2br w:val="nil"/>
              <w:tr2bl w:val="nil"/>
            </w:tcBorders>
            <w:vAlign w:val="center"/>
          </w:tcPr>
          <w:p w14:paraId="655C7173">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2.11E-04</w:t>
            </w:r>
          </w:p>
        </w:tc>
        <w:tc>
          <w:tcPr>
            <w:tcW w:w="549" w:type="pct"/>
            <w:tcBorders>
              <w:left w:val="single" w:color="000000" w:sz="4" w:space="0"/>
              <w:right w:val="single" w:color="000000" w:sz="4" w:space="0"/>
              <w:tl2br w:val="nil"/>
              <w:tr2bl w:val="nil"/>
            </w:tcBorders>
            <w:vAlign w:val="center"/>
          </w:tcPr>
          <w:p w14:paraId="1F113162">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0.05</w:t>
            </w:r>
          </w:p>
        </w:tc>
        <w:tc>
          <w:tcPr>
            <w:tcW w:w="745" w:type="pct"/>
            <w:tcBorders>
              <w:left w:val="single" w:color="000000" w:sz="4" w:space="0"/>
              <w:right w:val="single" w:color="000000" w:sz="4" w:space="0"/>
              <w:tl2br w:val="nil"/>
              <w:tr2bl w:val="nil"/>
            </w:tcBorders>
            <w:vAlign w:val="center"/>
          </w:tcPr>
          <w:p w14:paraId="58E57B11">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9.39E-06</w:t>
            </w:r>
          </w:p>
        </w:tc>
        <w:tc>
          <w:tcPr>
            <w:tcW w:w="664" w:type="pct"/>
            <w:tcBorders>
              <w:left w:val="single" w:color="000000" w:sz="4" w:space="0"/>
              <w:right w:val="single" w:color="000000" w:sz="4" w:space="0"/>
              <w:tl2br w:val="nil"/>
              <w:tr2bl w:val="nil"/>
            </w:tcBorders>
            <w:vAlign w:val="center"/>
          </w:tcPr>
          <w:p w14:paraId="08E6B706">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3C27E19A">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2.09E-03</w:t>
            </w:r>
          </w:p>
        </w:tc>
        <w:tc>
          <w:tcPr>
            <w:tcW w:w="729" w:type="pct"/>
            <w:tcBorders>
              <w:left w:val="single" w:color="000000" w:sz="4" w:space="0"/>
              <w:tl2br w:val="nil"/>
              <w:tr2bl w:val="nil"/>
            </w:tcBorders>
            <w:vAlign w:val="center"/>
          </w:tcPr>
          <w:p w14:paraId="206CACD1">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0.84</w:t>
            </w:r>
          </w:p>
        </w:tc>
      </w:tr>
      <w:tr w14:paraId="470F9B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21E5EE70">
            <w:pPr>
              <w:pStyle w:val="83"/>
              <w:spacing w:line="240" w:lineRule="auto"/>
              <w:ind w:left="0" w:leftChars="0" w:right="0" w:rightChars="0"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szCs w:val="21"/>
              </w:rPr>
              <w:t>150</w:t>
            </w:r>
          </w:p>
        </w:tc>
        <w:tc>
          <w:tcPr>
            <w:tcW w:w="620" w:type="pct"/>
            <w:tcBorders>
              <w:right w:val="single" w:color="000000" w:sz="4" w:space="0"/>
              <w:tl2br w:val="nil"/>
              <w:tr2bl w:val="nil"/>
            </w:tcBorders>
            <w:vAlign w:val="center"/>
          </w:tcPr>
          <w:p w14:paraId="4A74D84C">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1.97E-04</w:t>
            </w:r>
          </w:p>
        </w:tc>
        <w:tc>
          <w:tcPr>
            <w:tcW w:w="549" w:type="pct"/>
            <w:tcBorders>
              <w:left w:val="single" w:color="000000" w:sz="4" w:space="0"/>
              <w:right w:val="single" w:color="000000" w:sz="4" w:space="0"/>
              <w:tl2br w:val="nil"/>
              <w:tr2bl w:val="nil"/>
            </w:tcBorders>
            <w:vAlign w:val="center"/>
          </w:tcPr>
          <w:p w14:paraId="3AFA2AB6">
            <w:pPr>
              <w:pStyle w:val="3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0.04</w:t>
            </w:r>
          </w:p>
        </w:tc>
        <w:tc>
          <w:tcPr>
            <w:tcW w:w="745" w:type="pct"/>
            <w:tcBorders>
              <w:left w:val="single" w:color="000000" w:sz="4" w:space="0"/>
              <w:right w:val="single" w:color="000000" w:sz="4" w:space="0"/>
              <w:tl2br w:val="nil"/>
              <w:tr2bl w:val="nil"/>
            </w:tcBorders>
            <w:vAlign w:val="center"/>
          </w:tcPr>
          <w:p w14:paraId="3EC6E0A6">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8.75E-06</w:t>
            </w:r>
          </w:p>
        </w:tc>
        <w:tc>
          <w:tcPr>
            <w:tcW w:w="664" w:type="pct"/>
            <w:tcBorders>
              <w:left w:val="single" w:color="000000" w:sz="4" w:space="0"/>
              <w:right w:val="single" w:color="000000" w:sz="4" w:space="0"/>
              <w:tl2br w:val="nil"/>
              <w:tr2bl w:val="nil"/>
            </w:tcBorders>
            <w:vAlign w:val="center"/>
          </w:tcPr>
          <w:p w14:paraId="54102172">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2E52C964">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1.95E-03</w:t>
            </w:r>
          </w:p>
        </w:tc>
        <w:tc>
          <w:tcPr>
            <w:tcW w:w="729" w:type="pct"/>
            <w:tcBorders>
              <w:left w:val="single" w:color="000000" w:sz="4" w:space="0"/>
              <w:tl2br w:val="nil"/>
              <w:tr2bl w:val="nil"/>
            </w:tcBorders>
            <w:vAlign w:val="center"/>
          </w:tcPr>
          <w:p w14:paraId="2E533EDE">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0.78</w:t>
            </w:r>
          </w:p>
        </w:tc>
      </w:tr>
      <w:tr w14:paraId="311F71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46E92AF6">
            <w:pPr>
              <w:pStyle w:val="83"/>
              <w:spacing w:line="240" w:lineRule="auto"/>
              <w:ind w:left="0" w:leftChars="0" w:right="0" w:rightChars="0" w:firstLine="0" w:firstLineChars="0"/>
              <w:rPr>
                <w:rFonts w:hint="default" w:ascii="Times New Roman" w:hAnsi="Times New Roman" w:cs="Times New Roman"/>
                <w:color w:val="auto"/>
                <w:lang w:val="en-US" w:eastAsia="zh-CN"/>
              </w:rPr>
            </w:pPr>
            <w:r>
              <w:rPr>
                <w:rFonts w:hint="eastAsia" w:ascii="Times New Roman" w:hAnsi="Times New Roman" w:eastAsia="宋体" w:cs="Times New Roman"/>
                <w:color w:val="auto"/>
                <w:szCs w:val="21"/>
                <w:lang w:val="en-US" w:eastAsia="zh-CN"/>
              </w:rPr>
              <w:t>175</w:t>
            </w:r>
          </w:p>
        </w:tc>
        <w:tc>
          <w:tcPr>
            <w:tcW w:w="620" w:type="pct"/>
            <w:tcBorders>
              <w:right w:val="single" w:color="000000" w:sz="4" w:space="0"/>
              <w:tl2br w:val="nil"/>
              <w:tr2bl w:val="nil"/>
            </w:tcBorders>
            <w:vAlign w:val="center"/>
          </w:tcPr>
          <w:p w14:paraId="4DF84285">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1.78E-04</w:t>
            </w:r>
          </w:p>
        </w:tc>
        <w:tc>
          <w:tcPr>
            <w:tcW w:w="549" w:type="pct"/>
            <w:tcBorders>
              <w:left w:val="single" w:color="000000" w:sz="4" w:space="0"/>
              <w:right w:val="single" w:color="000000" w:sz="4" w:space="0"/>
              <w:tl2br w:val="nil"/>
              <w:tr2bl w:val="nil"/>
            </w:tcBorders>
            <w:vAlign w:val="center"/>
          </w:tcPr>
          <w:p w14:paraId="20C02782">
            <w:pPr>
              <w:pStyle w:val="3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0.04</w:t>
            </w:r>
          </w:p>
        </w:tc>
        <w:tc>
          <w:tcPr>
            <w:tcW w:w="745" w:type="pct"/>
            <w:tcBorders>
              <w:left w:val="single" w:color="000000" w:sz="4" w:space="0"/>
              <w:right w:val="single" w:color="000000" w:sz="4" w:space="0"/>
              <w:tl2br w:val="nil"/>
              <w:tr2bl w:val="nil"/>
            </w:tcBorders>
            <w:vAlign w:val="center"/>
          </w:tcPr>
          <w:p w14:paraId="2230E137">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7.93E-06</w:t>
            </w:r>
          </w:p>
        </w:tc>
        <w:tc>
          <w:tcPr>
            <w:tcW w:w="664" w:type="pct"/>
            <w:tcBorders>
              <w:left w:val="single" w:color="000000" w:sz="4" w:space="0"/>
              <w:right w:val="single" w:color="000000" w:sz="4" w:space="0"/>
              <w:tl2br w:val="nil"/>
              <w:tr2bl w:val="nil"/>
            </w:tcBorders>
            <w:vAlign w:val="center"/>
          </w:tcPr>
          <w:p w14:paraId="39FABDE6">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4FD6228A">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1.76E-03</w:t>
            </w:r>
          </w:p>
        </w:tc>
        <w:tc>
          <w:tcPr>
            <w:tcW w:w="729" w:type="pct"/>
            <w:tcBorders>
              <w:left w:val="single" w:color="000000" w:sz="4" w:space="0"/>
              <w:tl2br w:val="nil"/>
              <w:tr2bl w:val="nil"/>
            </w:tcBorders>
            <w:vAlign w:val="center"/>
          </w:tcPr>
          <w:p w14:paraId="2197CA04">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0.71</w:t>
            </w:r>
          </w:p>
        </w:tc>
      </w:tr>
      <w:tr w14:paraId="58529C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26EF2CC7">
            <w:pPr>
              <w:pStyle w:val="83"/>
              <w:spacing w:line="240" w:lineRule="auto"/>
              <w:ind w:left="0" w:leftChars="0" w:right="0" w:rightChars="0"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szCs w:val="21"/>
              </w:rPr>
              <w:t>200</w:t>
            </w:r>
          </w:p>
        </w:tc>
        <w:tc>
          <w:tcPr>
            <w:tcW w:w="620" w:type="pct"/>
            <w:tcBorders>
              <w:right w:val="single" w:color="000000" w:sz="4" w:space="0"/>
              <w:tl2br w:val="nil"/>
              <w:tr2bl w:val="nil"/>
            </w:tcBorders>
            <w:vAlign w:val="center"/>
          </w:tcPr>
          <w:p w14:paraId="61289B9F">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1.61E-04</w:t>
            </w:r>
          </w:p>
        </w:tc>
        <w:tc>
          <w:tcPr>
            <w:tcW w:w="549" w:type="pct"/>
            <w:tcBorders>
              <w:left w:val="single" w:color="000000" w:sz="4" w:space="0"/>
              <w:right w:val="single" w:color="000000" w:sz="4" w:space="0"/>
              <w:tl2br w:val="nil"/>
              <w:tr2bl w:val="nil"/>
            </w:tcBorders>
            <w:vAlign w:val="center"/>
          </w:tcPr>
          <w:p w14:paraId="61C6021D">
            <w:pPr>
              <w:pStyle w:val="3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0.04</w:t>
            </w:r>
          </w:p>
        </w:tc>
        <w:tc>
          <w:tcPr>
            <w:tcW w:w="745" w:type="pct"/>
            <w:tcBorders>
              <w:left w:val="single" w:color="000000" w:sz="4" w:space="0"/>
              <w:right w:val="single" w:color="000000" w:sz="4" w:space="0"/>
              <w:tl2br w:val="nil"/>
              <w:tr2bl w:val="nil"/>
            </w:tcBorders>
            <w:vAlign w:val="center"/>
          </w:tcPr>
          <w:p w14:paraId="61D57504">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7.15E-06</w:t>
            </w:r>
          </w:p>
        </w:tc>
        <w:tc>
          <w:tcPr>
            <w:tcW w:w="664" w:type="pct"/>
            <w:tcBorders>
              <w:left w:val="single" w:color="000000" w:sz="4" w:space="0"/>
              <w:right w:val="single" w:color="000000" w:sz="4" w:space="0"/>
              <w:tl2br w:val="nil"/>
              <w:tr2bl w:val="nil"/>
            </w:tcBorders>
            <w:vAlign w:val="center"/>
          </w:tcPr>
          <w:p w14:paraId="2520E892">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13C0D2F0">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1.59E-03</w:t>
            </w:r>
          </w:p>
        </w:tc>
        <w:tc>
          <w:tcPr>
            <w:tcW w:w="729" w:type="pct"/>
            <w:tcBorders>
              <w:left w:val="single" w:color="000000" w:sz="4" w:space="0"/>
              <w:tl2br w:val="nil"/>
              <w:tr2bl w:val="nil"/>
            </w:tcBorders>
            <w:vAlign w:val="center"/>
          </w:tcPr>
          <w:p w14:paraId="73BD8D78">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0.64</w:t>
            </w:r>
          </w:p>
        </w:tc>
      </w:tr>
      <w:tr w14:paraId="4796B6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11254C29">
            <w:pPr>
              <w:pStyle w:val="83"/>
              <w:spacing w:line="240" w:lineRule="auto"/>
              <w:ind w:left="0" w:leftChars="0" w:right="0" w:rightChars="0"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szCs w:val="21"/>
              </w:rPr>
              <w:t>300</w:t>
            </w:r>
          </w:p>
        </w:tc>
        <w:tc>
          <w:tcPr>
            <w:tcW w:w="620" w:type="pct"/>
            <w:tcBorders>
              <w:right w:val="single" w:color="000000" w:sz="4" w:space="0"/>
              <w:tl2br w:val="nil"/>
              <w:tr2bl w:val="nil"/>
            </w:tcBorders>
            <w:vAlign w:val="center"/>
          </w:tcPr>
          <w:p w14:paraId="157144CB">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1.93E-04</w:t>
            </w:r>
          </w:p>
        </w:tc>
        <w:tc>
          <w:tcPr>
            <w:tcW w:w="549" w:type="pct"/>
            <w:tcBorders>
              <w:left w:val="single" w:color="000000" w:sz="4" w:space="0"/>
              <w:right w:val="single" w:color="000000" w:sz="4" w:space="0"/>
              <w:tl2br w:val="nil"/>
              <w:tr2bl w:val="nil"/>
            </w:tcBorders>
            <w:vAlign w:val="center"/>
          </w:tcPr>
          <w:p w14:paraId="15B8D09D">
            <w:pPr>
              <w:pStyle w:val="3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0.04</w:t>
            </w:r>
          </w:p>
        </w:tc>
        <w:tc>
          <w:tcPr>
            <w:tcW w:w="745" w:type="pct"/>
            <w:tcBorders>
              <w:left w:val="single" w:color="000000" w:sz="4" w:space="0"/>
              <w:right w:val="single" w:color="000000" w:sz="4" w:space="0"/>
              <w:tl2br w:val="nil"/>
              <w:tr2bl w:val="nil"/>
            </w:tcBorders>
            <w:vAlign w:val="center"/>
          </w:tcPr>
          <w:p w14:paraId="5159288F">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8.56E-06</w:t>
            </w:r>
          </w:p>
        </w:tc>
        <w:tc>
          <w:tcPr>
            <w:tcW w:w="664" w:type="pct"/>
            <w:tcBorders>
              <w:left w:val="single" w:color="000000" w:sz="4" w:space="0"/>
              <w:right w:val="single" w:color="000000" w:sz="4" w:space="0"/>
              <w:tl2br w:val="nil"/>
              <w:tr2bl w:val="nil"/>
            </w:tcBorders>
            <w:vAlign w:val="center"/>
          </w:tcPr>
          <w:p w14:paraId="69700AA6">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6E3ED75D">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1.90E-03</w:t>
            </w:r>
          </w:p>
        </w:tc>
        <w:tc>
          <w:tcPr>
            <w:tcW w:w="729" w:type="pct"/>
            <w:tcBorders>
              <w:left w:val="single" w:color="000000" w:sz="4" w:space="0"/>
              <w:tl2br w:val="nil"/>
              <w:tr2bl w:val="nil"/>
            </w:tcBorders>
            <w:vAlign w:val="center"/>
          </w:tcPr>
          <w:p w14:paraId="074347E7">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0.76</w:t>
            </w:r>
          </w:p>
        </w:tc>
      </w:tr>
      <w:tr w14:paraId="617F65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5C5C6480">
            <w:pPr>
              <w:pStyle w:val="83"/>
              <w:spacing w:line="240" w:lineRule="auto"/>
              <w:ind w:left="0" w:leftChars="0" w:right="0" w:rightChars="0"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szCs w:val="21"/>
              </w:rPr>
              <w:t>350</w:t>
            </w:r>
          </w:p>
        </w:tc>
        <w:tc>
          <w:tcPr>
            <w:tcW w:w="620" w:type="pct"/>
            <w:tcBorders>
              <w:right w:val="single" w:color="000000" w:sz="4" w:space="0"/>
              <w:tl2br w:val="nil"/>
              <w:tr2bl w:val="nil"/>
            </w:tcBorders>
            <w:vAlign w:val="center"/>
          </w:tcPr>
          <w:p w14:paraId="364A5987">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1.79E-04</w:t>
            </w:r>
          </w:p>
        </w:tc>
        <w:tc>
          <w:tcPr>
            <w:tcW w:w="549" w:type="pct"/>
            <w:tcBorders>
              <w:left w:val="single" w:color="000000" w:sz="4" w:space="0"/>
              <w:right w:val="single" w:color="000000" w:sz="4" w:space="0"/>
              <w:tl2br w:val="nil"/>
              <w:tr2bl w:val="nil"/>
            </w:tcBorders>
            <w:vAlign w:val="center"/>
          </w:tcPr>
          <w:p w14:paraId="40666467">
            <w:pPr>
              <w:pStyle w:val="3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0.04</w:t>
            </w:r>
          </w:p>
        </w:tc>
        <w:tc>
          <w:tcPr>
            <w:tcW w:w="745" w:type="pct"/>
            <w:tcBorders>
              <w:left w:val="single" w:color="000000" w:sz="4" w:space="0"/>
              <w:right w:val="single" w:color="000000" w:sz="4" w:space="0"/>
              <w:tl2br w:val="nil"/>
              <w:tr2bl w:val="nil"/>
            </w:tcBorders>
            <w:vAlign w:val="center"/>
          </w:tcPr>
          <w:p w14:paraId="4EB5E059">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7.96E-06</w:t>
            </w:r>
          </w:p>
        </w:tc>
        <w:tc>
          <w:tcPr>
            <w:tcW w:w="664" w:type="pct"/>
            <w:tcBorders>
              <w:left w:val="single" w:color="000000" w:sz="4" w:space="0"/>
              <w:right w:val="single" w:color="000000" w:sz="4" w:space="0"/>
              <w:tl2br w:val="nil"/>
              <w:tr2bl w:val="nil"/>
            </w:tcBorders>
            <w:vAlign w:val="center"/>
          </w:tcPr>
          <w:p w14:paraId="3C8F41AC">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4D0AFEB9">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1.77E-03</w:t>
            </w:r>
          </w:p>
        </w:tc>
        <w:tc>
          <w:tcPr>
            <w:tcW w:w="729" w:type="pct"/>
            <w:tcBorders>
              <w:left w:val="single" w:color="000000" w:sz="4" w:space="0"/>
              <w:tl2br w:val="nil"/>
              <w:tr2bl w:val="nil"/>
            </w:tcBorders>
            <w:vAlign w:val="center"/>
          </w:tcPr>
          <w:p w14:paraId="180800AA">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0.71</w:t>
            </w:r>
          </w:p>
        </w:tc>
      </w:tr>
      <w:tr w14:paraId="78F76A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7A20E10F">
            <w:pPr>
              <w:pStyle w:val="83"/>
              <w:spacing w:line="240" w:lineRule="auto"/>
              <w:ind w:left="0" w:leftChars="0" w:right="0" w:rightChars="0" w:firstLine="0" w:firstLineChars="0"/>
              <w:rPr>
                <w:rFonts w:hint="default" w:ascii="Times New Roman" w:hAnsi="Times New Roman" w:cs="Times New Roman"/>
                <w:color w:val="auto"/>
                <w:lang w:val="en-US" w:eastAsia="zh-CN"/>
              </w:rPr>
            </w:pPr>
            <w:r>
              <w:rPr>
                <w:rFonts w:hint="eastAsia" w:ascii="Times New Roman" w:hAnsi="Times New Roman" w:eastAsia="宋体" w:cs="Times New Roman"/>
                <w:color w:val="auto"/>
                <w:szCs w:val="21"/>
                <w:lang w:val="en-US" w:eastAsia="zh-CN"/>
              </w:rPr>
              <w:t>400</w:t>
            </w:r>
          </w:p>
        </w:tc>
        <w:tc>
          <w:tcPr>
            <w:tcW w:w="620" w:type="pct"/>
            <w:tcBorders>
              <w:right w:val="single" w:color="000000" w:sz="4" w:space="0"/>
              <w:tl2br w:val="nil"/>
              <w:tr2bl w:val="nil"/>
            </w:tcBorders>
            <w:vAlign w:val="center"/>
          </w:tcPr>
          <w:p w14:paraId="4213130F">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1.62E-04</w:t>
            </w:r>
          </w:p>
        </w:tc>
        <w:tc>
          <w:tcPr>
            <w:tcW w:w="549" w:type="pct"/>
            <w:tcBorders>
              <w:left w:val="single" w:color="000000" w:sz="4" w:space="0"/>
              <w:right w:val="single" w:color="000000" w:sz="4" w:space="0"/>
              <w:tl2br w:val="nil"/>
              <w:tr2bl w:val="nil"/>
            </w:tcBorders>
            <w:vAlign w:val="center"/>
          </w:tcPr>
          <w:p w14:paraId="31D88799">
            <w:pPr>
              <w:pStyle w:val="3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0.04</w:t>
            </w:r>
          </w:p>
        </w:tc>
        <w:tc>
          <w:tcPr>
            <w:tcW w:w="745" w:type="pct"/>
            <w:tcBorders>
              <w:left w:val="single" w:color="000000" w:sz="4" w:space="0"/>
              <w:right w:val="single" w:color="000000" w:sz="4" w:space="0"/>
              <w:tl2br w:val="nil"/>
              <w:tr2bl w:val="nil"/>
            </w:tcBorders>
            <w:vAlign w:val="center"/>
          </w:tcPr>
          <w:p w14:paraId="7AA2B45A">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7.21E-06</w:t>
            </w:r>
          </w:p>
        </w:tc>
        <w:tc>
          <w:tcPr>
            <w:tcW w:w="664" w:type="pct"/>
            <w:tcBorders>
              <w:left w:val="single" w:color="000000" w:sz="4" w:space="0"/>
              <w:right w:val="single" w:color="000000" w:sz="4" w:space="0"/>
              <w:tl2br w:val="nil"/>
              <w:tr2bl w:val="nil"/>
            </w:tcBorders>
            <w:vAlign w:val="center"/>
          </w:tcPr>
          <w:p w14:paraId="160421B6">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79D97AF4">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1.60E-03</w:t>
            </w:r>
          </w:p>
        </w:tc>
        <w:tc>
          <w:tcPr>
            <w:tcW w:w="729" w:type="pct"/>
            <w:tcBorders>
              <w:left w:val="single" w:color="000000" w:sz="4" w:space="0"/>
              <w:tl2br w:val="nil"/>
              <w:tr2bl w:val="nil"/>
            </w:tcBorders>
            <w:vAlign w:val="center"/>
          </w:tcPr>
          <w:p w14:paraId="1DCC0F7F">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0.64</w:t>
            </w:r>
          </w:p>
        </w:tc>
      </w:tr>
      <w:tr w14:paraId="2B8E4C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327DF64E">
            <w:pPr>
              <w:pStyle w:val="83"/>
              <w:spacing w:line="240" w:lineRule="auto"/>
              <w:ind w:left="0" w:leftChars="0" w:right="0" w:rightChars="0"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szCs w:val="21"/>
              </w:rPr>
              <w:t>500</w:t>
            </w:r>
          </w:p>
        </w:tc>
        <w:tc>
          <w:tcPr>
            <w:tcW w:w="620" w:type="pct"/>
            <w:tcBorders>
              <w:right w:val="single" w:color="000000" w:sz="4" w:space="0"/>
              <w:tl2br w:val="nil"/>
              <w:tr2bl w:val="nil"/>
            </w:tcBorders>
            <w:vAlign w:val="center"/>
          </w:tcPr>
          <w:p w14:paraId="214874F4">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1.30E-04</w:t>
            </w:r>
          </w:p>
        </w:tc>
        <w:tc>
          <w:tcPr>
            <w:tcW w:w="549" w:type="pct"/>
            <w:tcBorders>
              <w:left w:val="single" w:color="000000" w:sz="4" w:space="0"/>
              <w:right w:val="single" w:color="000000" w:sz="4" w:space="0"/>
              <w:tl2br w:val="nil"/>
              <w:tr2bl w:val="nil"/>
            </w:tcBorders>
            <w:vAlign w:val="center"/>
          </w:tcPr>
          <w:p w14:paraId="03102FB4">
            <w:pPr>
              <w:pStyle w:val="3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0.03</w:t>
            </w:r>
          </w:p>
        </w:tc>
        <w:tc>
          <w:tcPr>
            <w:tcW w:w="745" w:type="pct"/>
            <w:tcBorders>
              <w:left w:val="single" w:color="000000" w:sz="4" w:space="0"/>
              <w:right w:val="single" w:color="000000" w:sz="4" w:space="0"/>
              <w:tl2br w:val="nil"/>
              <w:tr2bl w:val="nil"/>
            </w:tcBorders>
            <w:vAlign w:val="center"/>
          </w:tcPr>
          <w:p w14:paraId="5C138218">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5.79E-06</w:t>
            </w:r>
          </w:p>
        </w:tc>
        <w:tc>
          <w:tcPr>
            <w:tcW w:w="664" w:type="pct"/>
            <w:tcBorders>
              <w:left w:val="single" w:color="000000" w:sz="4" w:space="0"/>
              <w:right w:val="single" w:color="000000" w:sz="4" w:space="0"/>
              <w:tl2br w:val="nil"/>
              <w:tr2bl w:val="nil"/>
            </w:tcBorders>
            <w:vAlign w:val="center"/>
          </w:tcPr>
          <w:p w14:paraId="2AE9543B">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1669347E">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1.29E-03</w:t>
            </w:r>
          </w:p>
        </w:tc>
        <w:tc>
          <w:tcPr>
            <w:tcW w:w="729" w:type="pct"/>
            <w:tcBorders>
              <w:left w:val="single" w:color="000000" w:sz="4" w:space="0"/>
              <w:tl2br w:val="nil"/>
              <w:tr2bl w:val="nil"/>
            </w:tcBorders>
            <w:vAlign w:val="center"/>
          </w:tcPr>
          <w:p w14:paraId="2BDFB41B">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0.52</w:t>
            </w:r>
          </w:p>
        </w:tc>
      </w:tr>
      <w:tr w14:paraId="2E67B5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0AC09546">
            <w:pPr>
              <w:pStyle w:val="83"/>
              <w:spacing w:line="240" w:lineRule="auto"/>
              <w:ind w:left="0" w:leftChars="0" w:right="0" w:rightChars="0"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1000</w:t>
            </w:r>
          </w:p>
        </w:tc>
        <w:tc>
          <w:tcPr>
            <w:tcW w:w="620" w:type="pct"/>
            <w:tcBorders>
              <w:right w:val="single" w:color="000000" w:sz="4" w:space="0"/>
              <w:tl2br w:val="nil"/>
              <w:tr2bl w:val="nil"/>
            </w:tcBorders>
            <w:vAlign w:val="center"/>
          </w:tcPr>
          <w:p w14:paraId="490A9079">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8.83E-05</w:t>
            </w:r>
          </w:p>
        </w:tc>
        <w:tc>
          <w:tcPr>
            <w:tcW w:w="549" w:type="pct"/>
            <w:tcBorders>
              <w:left w:val="single" w:color="000000" w:sz="4" w:space="0"/>
              <w:right w:val="single" w:color="000000" w:sz="4" w:space="0"/>
              <w:tl2br w:val="nil"/>
              <w:tr2bl w:val="nil"/>
            </w:tcBorders>
            <w:vAlign w:val="center"/>
          </w:tcPr>
          <w:p w14:paraId="065B4500">
            <w:pPr>
              <w:pStyle w:val="3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0.02</w:t>
            </w:r>
          </w:p>
        </w:tc>
        <w:tc>
          <w:tcPr>
            <w:tcW w:w="745" w:type="pct"/>
            <w:tcBorders>
              <w:left w:val="single" w:color="000000" w:sz="4" w:space="0"/>
              <w:right w:val="single" w:color="000000" w:sz="4" w:space="0"/>
              <w:tl2br w:val="nil"/>
              <w:tr2bl w:val="nil"/>
            </w:tcBorders>
            <w:vAlign w:val="center"/>
          </w:tcPr>
          <w:p w14:paraId="40ADF105">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3.93E-06</w:t>
            </w:r>
          </w:p>
        </w:tc>
        <w:tc>
          <w:tcPr>
            <w:tcW w:w="664" w:type="pct"/>
            <w:tcBorders>
              <w:left w:val="single" w:color="000000" w:sz="4" w:space="0"/>
              <w:right w:val="single" w:color="000000" w:sz="4" w:space="0"/>
              <w:tl2br w:val="nil"/>
              <w:tr2bl w:val="nil"/>
            </w:tcBorders>
            <w:vAlign w:val="center"/>
          </w:tcPr>
          <w:p w14:paraId="2EF043D4">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796C5B04">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8.73E-04</w:t>
            </w:r>
          </w:p>
        </w:tc>
        <w:tc>
          <w:tcPr>
            <w:tcW w:w="729" w:type="pct"/>
            <w:tcBorders>
              <w:left w:val="single" w:color="000000" w:sz="4" w:space="0"/>
              <w:tl2br w:val="nil"/>
              <w:tr2bl w:val="nil"/>
            </w:tcBorders>
            <w:vAlign w:val="center"/>
          </w:tcPr>
          <w:p w14:paraId="0B00B763">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0.35</w:t>
            </w:r>
          </w:p>
        </w:tc>
      </w:tr>
      <w:tr w14:paraId="37A511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336EF75D">
            <w:pPr>
              <w:pStyle w:val="83"/>
              <w:spacing w:line="240" w:lineRule="auto"/>
              <w:ind w:left="0" w:leftChars="0" w:right="0" w:rightChars="0"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2000</w:t>
            </w:r>
          </w:p>
        </w:tc>
        <w:tc>
          <w:tcPr>
            <w:tcW w:w="620" w:type="pct"/>
            <w:tcBorders>
              <w:right w:val="single" w:color="000000" w:sz="4" w:space="0"/>
              <w:tl2br w:val="nil"/>
              <w:tr2bl w:val="nil"/>
            </w:tcBorders>
            <w:vAlign w:val="center"/>
          </w:tcPr>
          <w:p w14:paraId="599E41C9">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6.82E-05</w:t>
            </w:r>
          </w:p>
        </w:tc>
        <w:tc>
          <w:tcPr>
            <w:tcW w:w="549" w:type="pct"/>
            <w:tcBorders>
              <w:left w:val="single" w:color="000000" w:sz="4" w:space="0"/>
              <w:right w:val="single" w:color="000000" w:sz="4" w:space="0"/>
              <w:tl2br w:val="nil"/>
              <w:tr2bl w:val="nil"/>
            </w:tcBorders>
            <w:vAlign w:val="center"/>
          </w:tcPr>
          <w:p w14:paraId="162D07DD">
            <w:pPr>
              <w:pStyle w:val="3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0.02</w:t>
            </w:r>
          </w:p>
        </w:tc>
        <w:tc>
          <w:tcPr>
            <w:tcW w:w="745" w:type="pct"/>
            <w:tcBorders>
              <w:left w:val="single" w:color="000000" w:sz="4" w:space="0"/>
              <w:right w:val="single" w:color="000000" w:sz="4" w:space="0"/>
              <w:tl2br w:val="nil"/>
              <w:tr2bl w:val="nil"/>
            </w:tcBorders>
            <w:vAlign w:val="center"/>
          </w:tcPr>
          <w:p w14:paraId="54639785">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3.03E-06</w:t>
            </w:r>
          </w:p>
        </w:tc>
        <w:tc>
          <w:tcPr>
            <w:tcW w:w="664" w:type="pct"/>
            <w:tcBorders>
              <w:left w:val="single" w:color="000000" w:sz="4" w:space="0"/>
              <w:right w:val="single" w:color="000000" w:sz="4" w:space="0"/>
              <w:tl2br w:val="nil"/>
              <w:tr2bl w:val="nil"/>
            </w:tcBorders>
            <w:vAlign w:val="center"/>
          </w:tcPr>
          <w:p w14:paraId="4B345A0E">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713FD1A4">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6.74E-04</w:t>
            </w:r>
          </w:p>
        </w:tc>
        <w:tc>
          <w:tcPr>
            <w:tcW w:w="729" w:type="pct"/>
            <w:tcBorders>
              <w:left w:val="single" w:color="000000" w:sz="4" w:space="0"/>
              <w:tl2br w:val="nil"/>
              <w:tr2bl w:val="nil"/>
            </w:tcBorders>
            <w:vAlign w:val="center"/>
          </w:tcPr>
          <w:p w14:paraId="1AFECE39">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0.27</w:t>
            </w:r>
          </w:p>
        </w:tc>
      </w:tr>
      <w:tr w14:paraId="681BD4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37C5B632">
            <w:pPr>
              <w:pStyle w:val="83"/>
              <w:spacing w:line="240" w:lineRule="auto"/>
              <w:ind w:left="0" w:leftChars="0" w:right="0" w:rightChars="0"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3000</w:t>
            </w:r>
          </w:p>
        </w:tc>
        <w:tc>
          <w:tcPr>
            <w:tcW w:w="620" w:type="pct"/>
            <w:tcBorders>
              <w:right w:val="single" w:color="000000" w:sz="4" w:space="0"/>
              <w:tl2br w:val="nil"/>
              <w:tr2bl w:val="nil"/>
            </w:tcBorders>
            <w:vAlign w:val="center"/>
          </w:tcPr>
          <w:p w14:paraId="5452B0D0">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5.61E-05</w:t>
            </w:r>
          </w:p>
        </w:tc>
        <w:tc>
          <w:tcPr>
            <w:tcW w:w="549" w:type="pct"/>
            <w:tcBorders>
              <w:left w:val="single" w:color="000000" w:sz="4" w:space="0"/>
              <w:right w:val="single" w:color="000000" w:sz="4" w:space="0"/>
              <w:tl2br w:val="nil"/>
              <w:tr2bl w:val="nil"/>
            </w:tcBorders>
            <w:vAlign w:val="center"/>
          </w:tcPr>
          <w:p w14:paraId="6C25E220">
            <w:pPr>
              <w:pStyle w:val="3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0.01</w:t>
            </w:r>
          </w:p>
        </w:tc>
        <w:tc>
          <w:tcPr>
            <w:tcW w:w="745" w:type="pct"/>
            <w:tcBorders>
              <w:left w:val="single" w:color="000000" w:sz="4" w:space="0"/>
              <w:right w:val="single" w:color="000000" w:sz="4" w:space="0"/>
              <w:tl2br w:val="nil"/>
              <w:tr2bl w:val="nil"/>
            </w:tcBorders>
            <w:vAlign w:val="center"/>
          </w:tcPr>
          <w:p w14:paraId="182EA01D">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2.49E-06</w:t>
            </w:r>
          </w:p>
        </w:tc>
        <w:tc>
          <w:tcPr>
            <w:tcW w:w="664" w:type="pct"/>
            <w:tcBorders>
              <w:left w:val="single" w:color="000000" w:sz="4" w:space="0"/>
              <w:right w:val="single" w:color="000000" w:sz="4" w:space="0"/>
              <w:tl2br w:val="nil"/>
              <w:tr2bl w:val="nil"/>
            </w:tcBorders>
            <w:vAlign w:val="center"/>
          </w:tcPr>
          <w:p w14:paraId="24594428">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73741AA9">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5.54E-04</w:t>
            </w:r>
          </w:p>
        </w:tc>
        <w:tc>
          <w:tcPr>
            <w:tcW w:w="729" w:type="pct"/>
            <w:tcBorders>
              <w:left w:val="single" w:color="000000" w:sz="4" w:space="0"/>
              <w:tl2br w:val="nil"/>
              <w:tr2bl w:val="nil"/>
            </w:tcBorders>
            <w:vAlign w:val="center"/>
          </w:tcPr>
          <w:p w14:paraId="0921069B">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0.22</w:t>
            </w:r>
          </w:p>
        </w:tc>
      </w:tr>
      <w:tr w14:paraId="381D5A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09B67DBE">
            <w:pPr>
              <w:pStyle w:val="83"/>
              <w:spacing w:line="240" w:lineRule="auto"/>
              <w:ind w:left="0" w:leftChars="0" w:right="0" w:rightChars="0" w:firstLine="0" w:firstLineChars="0"/>
              <w:rPr>
                <w:rFonts w:hint="default" w:ascii="Times New Roman" w:hAnsi="Times New Roman" w:cs="Times New Roman"/>
                <w:color w:val="auto"/>
                <w:szCs w:val="21"/>
              </w:rPr>
            </w:pPr>
            <w:r>
              <w:rPr>
                <w:rFonts w:hint="eastAsia" w:ascii="Times New Roman" w:hAnsi="Times New Roman" w:eastAsia="宋体" w:cs="Times New Roman"/>
                <w:color w:val="auto"/>
                <w:szCs w:val="21"/>
                <w:lang w:val="en-US" w:eastAsia="zh-CN"/>
              </w:rPr>
              <w:t>4000</w:t>
            </w:r>
          </w:p>
        </w:tc>
        <w:tc>
          <w:tcPr>
            <w:tcW w:w="620" w:type="pct"/>
            <w:tcBorders>
              <w:right w:val="single" w:color="000000" w:sz="4" w:space="0"/>
              <w:tl2br w:val="nil"/>
              <w:tr2bl w:val="nil"/>
            </w:tcBorders>
            <w:vAlign w:val="center"/>
          </w:tcPr>
          <w:p w14:paraId="7CF94014">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5.10E-05</w:t>
            </w:r>
          </w:p>
        </w:tc>
        <w:tc>
          <w:tcPr>
            <w:tcW w:w="549" w:type="pct"/>
            <w:tcBorders>
              <w:left w:val="single" w:color="000000" w:sz="4" w:space="0"/>
              <w:right w:val="single" w:color="000000" w:sz="4" w:space="0"/>
              <w:tl2br w:val="nil"/>
              <w:tr2bl w:val="nil"/>
            </w:tcBorders>
            <w:vAlign w:val="center"/>
          </w:tcPr>
          <w:p w14:paraId="09BBC9F9">
            <w:pPr>
              <w:pStyle w:val="3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0.01</w:t>
            </w:r>
          </w:p>
        </w:tc>
        <w:tc>
          <w:tcPr>
            <w:tcW w:w="745" w:type="pct"/>
            <w:tcBorders>
              <w:left w:val="single" w:color="000000" w:sz="4" w:space="0"/>
              <w:right w:val="single" w:color="000000" w:sz="4" w:space="0"/>
              <w:tl2br w:val="nil"/>
              <w:tr2bl w:val="nil"/>
            </w:tcBorders>
            <w:vAlign w:val="center"/>
          </w:tcPr>
          <w:p w14:paraId="5EDC4D81">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2.26E-06</w:t>
            </w:r>
          </w:p>
        </w:tc>
        <w:tc>
          <w:tcPr>
            <w:tcW w:w="664" w:type="pct"/>
            <w:tcBorders>
              <w:left w:val="single" w:color="000000" w:sz="4" w:space="0"/>
              <w:right w:val="single" w:color="000000" w:sz="4" w:space="0"/>
              <w:tl2br w:val="nil"/>
              <w:tr2bl w:val="nil"/>
            </w:tcBorders>
            <w:vAlign w:val="center"/>
          </w:tcPr>
          <w:p w14:paraId="4A72B337">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119B573F">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5.04E-04</w:t>
            </w:r>
          </w:p>
        </w:tc>
        <w:tc>
          <w:tcPr>
            <w:tcW w:w="729" w:type="pct"/>
            <w:tcBorders>
              <w:left w:val="single" w:color="000000" w:sz="4" w:space="0"/>
              <w:tl2br w:val="nil"/>
              <w:tr2bl w:val="nil"/>
            </w:tcBorders>
            <w:vAlign w:val="center"/>
          </w:tcPr>
          <w:p w14:paraId="62D36BB5">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0.20</w:t>
            </w:r>
          </w:p>
        </w:tc>
      </w:tr>
      <w:tr w14:paraId="68EDA3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0F187FEE">
            <w:pPr>
              <w:pStyle w:val="83"/>
              <w:spacing w:line="240" w:lineRule="auto"/>
              <w:ind w:left="0" w:leftChars="0" w:right="0" w:rightChars="0"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5000</w:t>
            </w:r>
          </w:p>
        </w:tc>
        <w:tc>
          <w:tcPr>
            <w:tcW w:w="620" w:type="pct"/>
            <w:tcBorders>
              <w:right w:val="single" w:color="000000" w:sz="4" w:space="0"/>
              <w:tl2br w:val="nil"/>
              <w:tr2bl w:val="nil"/>
            </w:tcBorders>
            <w:vAlign w:val="center"/>
          </w:tcPr>
          <w:p w14:paraId="7E6338C2">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4.44E-05</w:t>
            </w:r>
          </w:p>
        </w:tc>
        <w:tc>
          <w:tcPr>
            <w:tcW w:w="549" w:type="pct"/>
            <w:tcBorders>
              <w:left w:val="single" w:color="000000" w:sz="4" w:space="0"/>
              <w:right w:val="single" w:color="000000" w:sz="4" w:space="0"/>
              <w:tl2br w:val="nil"/>
              <w:tr2bl w:val="nil"/>
            </w:tcBorders>
            <w:vAlign w:val="center"/>
          </w:tcPr>
          <w:p w14:paraId="783E39BB">
            <w:pPr>
              <w:pStyle w:val="3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0.01</w:t>
            </w:r>
          </w:p>
        </w:tc>
        <w:tc>
          <w:tcPr>
            <w:tcW w:w="745" w:type="pct"/>
            <w:tcBorders>
              <w:left w:val="single" w:color="000000" w:sz="4" w:space="0"/>
              <w:right w:val="single" w:color="000000" w:sz="4" w:space="0"/>
              <w:tl2br w:val="nil"/>
              <w:tr2bl w:val="nil"/>
            </w:tcBorders>
            <w:vAlign w:val="center"/>
          </w:tcPr>
          <w:p w14:paraId="166BD515">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1.97E-06</w:t>
            </w:r>
          </w:p>
        </w:tc>
        <w:tc>
          <w:tcPr>
            <w:tcW w:w="664" w:type="pct"/>
            <w:tcBorders>
              <w:left w:val="single" w:color="000000" w:sz="4" w:space="0"/>
              <w:right w:val="single" w:color="000000" w:sz="4" w:space="0"/>
              <w:tl2br w:val="nil"/>
              <w:tr2bl w:val="nil"/>
            </w:tcBorders>
            <w:vAlign w:val="center"/>
          </w:tcPr>
          <w:p w14:paraId="2F9011C6">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0CC09FF2">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4.39E-04</w:t>
            </w:r>
          </w:p>
        </w:tc>
        <w:tc>
          <w:tcPr>
            <w:tcW w:w="729" w:type="pct"/>
            <w:tcBorders>
              <w:left w:val="single" w:color="000000" w:sz="4" w:space="0"/>
              <w:tl2br w:val="nil"/>
              <w:tr2bl w:val="nil"/>
            </w:tcBorders>
            <w:vAlign w:val="center"/>
          </w:tcPr>
          <w:p w14:paraId="021B05F1">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0.18</w:t>
            </w:r>
          </w:p>
        </w:tc>
      </w:tr>
      <w:tr w14:paraId="7AD132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6B52D66B">
            <w:pPr>
              <w:pStyle w:val="83"/>
              <w:spacing w:line="240" w:lineRule="auto"/>
              <w:ind w:left="0" w:leftChars="0" w:right="0" w:rightChars="0"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10000</w:t>
            </w:r>
          </w:p>
        </w:tc>
        <w:tc>
          <w:tcPr>
            <w:tcW w:w="620" w:type="pct"/>
            <w:tcBorders>
              <w:right w:val="single" w:color="000000" w:sz="4" w:space="0"/>
              <w:tl2br w:val="nil"/>
              <w:tr2bl w:val="nil"/>
            </w:tcBorders>
            <w:vAlign w:val="center"/>
          </w:tcPr>
          <w:p w14:paraId="241D193E">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2.32E-05</w:t>
            </w:r>
          </w:p>
        </w:tc>
        <w:tc>
          <w:tcPr>
            <w:tcW w:w="549" w:type="pct"/>
            <w:tcBorders>
              <w:left w:val="single" w:color="000000" w:sz="4" w:space="0"/>
              <w:right w:val="single" w:color="000000" w:sz="4" w:space="0"/>
              <w:tl2br w:val="nil"/>
              <w:tr2bl w:val="nil"/>
            </w:tcBorders>
            <w:vAlign w:val="center"/>
          </w:tcPr>
          <w:p w14:paraId="640FDA18">
            <w:pPr>
              <w:pStyle w:val="3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0.01</w:t>
            </w:r>
          </w:p>
        </w:tc>
        <w:tc>
          <w:tcPr>
            <w:tcW w:w="745" w:type="pct"/>
            <w:tcBorders>
              <w:left w:val="single" w:color="000000" w:sz="4" w:space="0"/>
              <w:right w:val="single" w:color="000000" w:sz="4" w:space="0"/>
              <w:tl2br w:val="nil"/>
              <w:tr2bl w:val="nil"/>
            </w:tcBorders>
            <w:vAlign w:val="center"/>
          </w:tcPr>
          <w:p w14:paraId="1EC623B4">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1.03E-06</w:t>
            </w:r>
          </w:p>
        </w:tc>
        <w:tc>
          <w:tcPr>
            <w:tcW w:w="664" w:type="pct"/>
            <w:tcBorders>
              <w:left w:val="single" w:color="000000" w:sz="4" w:space="0"/>
              <w:right w:val="single" w:color="000000" w:sz="4" w:space="0"/>
              <w:tl2br w:val="nil"/>
              <w:tr2bl w:val="nil"/>
            </w:tcBorders>
            <w:vAlign w:val="center"/>
          </w:tcPr>
          <w:p w14:paraId="109396AA">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1903211A">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2.29E-04</w:t>
            </w:r>
          </w:p>
        </w:tc>
        <w:tc>
          <w:tcPr>
            <w:tcW w:w="729" w:type="pct"/>
            <w:tcBorders>
              <w:left w:val="single" w:color="000000" w:sz="4" w:space="0"/>
              <w:tl2br w:val="nil"/>
              <w:tr2bl w:val="nil"/>
            </w:tcBorders>
            <w:vAlign w:val="center"/>
          </w:tcPr>
          <w:p w14:paraId="418D7DE2">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0.09</w:t>
            </w:r>
          </w:p>
        </w:tc>
      </w:tr>
      <w:tr w14:paraId="62F8F7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2BD033ED">
            <w:pPr>
              <w:pStyle w:val="83"/>
              <w:spacing w:line="240" w:lineRule="auto"/>
              <w:ind w:left="0" w:leftChars="0" w:right="0" w:rightChars="0"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15000</w:t>
            </w:r>
          </w:p>
        </w:tc>
        <w:tc>
          <w:tcPr>
            <w:tcW w:w="620" w:type="pct"/>
            <w:tcBorders>
              <w:right w:val="single" w:color="000000" w:sz="4" w:space="0"/>
              <w:tl2br w:val="nil"/>
              <w:tr2bl w:val="nil"/>
            </w:tcBorders>
            <w:vAlign w:val="center"/>
          </w:tcPr>
          <w:p w14:paraId="01A7846D">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1.46E-05</w:t>
            </w:r>
          </w:p>
        </w:tc>
        <w:tc>
          <w:tcPr>
            <w:tcW w:w="549" w:type="pct"/>
            <w:tcBorders>
              <w:left w:val="single" w:color="000000" w:sz="4" w:space="0"/>
              <w:right w:val="single" w:color="000000" w:sz="4" w:space="0"/>
              <w:tl2br w:val="nil"/>
              <w:tr2bl w:val="nil"/>
            </w:tcBorders>
            <w:vAlign w:val="center"/>
          </w:tcPr>
          <w:p w14:paraId="1AE1F86F">
            <w:pPr>
              <w:pStyle w:val="3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w:t>
            </w:r>
          </w:p>
        </w:tc>
        <w:tc>
          <w:tcPr>
            <w:tcW w:w="745" w:type="pct"/>
            <w:tcBorders>
              <w:left w:val="single" w:color="000000" w:sz="4" w:space="0"/>
              <w:right w:val="single" w:color="000000" w:sz="4" w:space="0"/>
              <w:tl2br w:val="nil"/>
              <w:tr2bl w:val="nil"/>
            </w:tcBorders>
            <w:vAlign w:val="center"/>
          </w:tcPr>
          <w:p w14:paraId="73C97811">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6.48E-07</w:t>
            </w:r>
          </w:p>
        </w:tc>
        <w:tc>
          <w:tcPr>
            <w:tcW w:w="664" w:type="pct"/>
            <w:tcBorders>
              <w:left w:val="single" w:color="000000" w:sz="4" w:space="0"/>
              <w:right w:val="single" w:color="000000" w:sz="4" w:space="0"/>
              <w:tl2br w:val="nil"/>
              <w:tr2bl w:val="nil"/>
            </w:tcBorders>
            <w:vAlign w:val="center"/>
          </w:tcPr>
          <w:p w14:paraId="3150248B">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3D05B251">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1.44E-04</w:t>
            </w:r>
          </w:p>
        </w:tc>
        <w:tc>
          <w:tcPr>
            <w:tcW w:w="729" w:type="pct"/>
            <w:tcBorders>
              <w:left w:val="single" w:color="000000" w:sz="4" w:space="0"/>
              <w:tl2br w:val="nil"/>
              <w:tr2bl w:val="nil"/>
            </w:tcBorders>
            <w:vAlign w:val="center"/>
          </w:tcPr>
          <w:p w14:paraId="399BDC25">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0.06</w:t>
            </w:r>
          </w:p>
        </w:tc>
      </w:tr>
      <w:tr w14:paraId="79BD3B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64DA5D43">
            <w:pPr>
              <w:pStyle w:val="83"/>
              <w:spacing w:line="240" w:lineRule="auto"/>
              <w:ind w:left="0" w:leftChars="0" w:right="0" w:rightChars="0"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20000</w:t>
            </w:r>
          </w:p>
        </w:tc>
        <w:tc>
          <w:tcPr>
            <w:tcW w:w="620" w:type="pct"/>
            <w:tcBorders>
              <w:right w:val="single" w:color="000000" w:sz="4" w:space="0"/>
              <w:tl2br w:val="nil"/>
              <w:tr2bl w:val="nil"/>
            </w:tcBorders>
            <w:vAlign w:val="center"/>
          </w:tcPr>
          <w:p w14:paraId="3554FE7C">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1.02E-05</w:t>
            </w:r>
          </w:p>
        </w:tc>
        <w:tc>
          <w:tcPr>
            <w:tcW w:w="549" w:type="pct"/>
            <w:tcBorders>
              <w:left w:val="single" w:color="000000" w:sz="4" w:space="0"/>
              <w:right w:val="single" w:color="000000" w:sz="4" w:space="0"/>
              <w:tl2br w:val="nil"/>
              <w:tr2bl w:val="nil"/>
            </w:tcBorders>
            <w:vAlign w:val="center"/>
          </w:tcPr>
          <w:p w14:paraId="6612A867">
            <w:pPr>
              <w:pStyle w:val="3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w:t>
            </w:r>
          </w:p>
        </w:tc>
        <w:tc>
          <w:tcPr>
            <w:tcW w:w="745" w:type="pct"/>
            <w:tcBorders>
              <w:left w:val="single" w:color="000000" w:sz="4" w:space="0"/>
              <w:right w:val="single" w:color="000000" w:sz="4" w:space="0"/>
              <w:tl2br w:val="nil"/>
              <w:tr2bl w:val="nil"/>
            </w:tcBorders>
            <w:vAlign w:val="center"/>
          </w:tcPr>
          <w:p w14:paraId="1916BAB0">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4.52E-07</w:t>
            </w:r>
          </w:p>
        </w:tc>
        <w:tc>
          <w:tcPr>
            <w:tcW w:w="664" w:type="pct"/>
            <w:tcBorders>
              <w:left w:val="single" w:color="000000" w:sz="4" w:space="0"/>
              <w:right w:val="single" w:color="000000" w:sz="4" w:space="0"/>
              <w:tl2br w:val="nil"/>
              <w:tr2bl w:val="nil"/>
            </w:tcBorders>
            <w:vAlign w:val="center"/>
          </w:tcPr>
          <w:p w14:paraId="1104C351">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3D896BDC">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1.00E-04</w:t>
            </w:r>
          </w:p>
        </w:tc>
        <w:tc>
          <w:tcPr>
            <w:tcW w:w="729" w:type="pct"/>
            <w:tcBorders>
              <w:left w:val="single" w:color="000000" w:sz="4" w:space="0"/>
              <w:tl2br w:val="nil"/>
              <w:tr2bl w:val="nil"/>
            </w:tcBorders>
            <w:vAlign w:val="center"/>
          </w:tcPr>
          <w:p w14:paraId="59CADE62">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0.04</w:t>
            </w:r>
          </w:p>
        </w:tc>
      </w:tr>
      <w:tr w14:paraId="65779B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39A4D9F0">
            <w:pPr>
              <w:pStyle w:val="83"/>
              <w:spacing w:line="240" w:lineRule="auto"/>
              <w:ind w:left="0" w:leftChars="0" w:right="0" w:rightChars="0"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25000</w:t>
            </w:r>
          </w:p>
        </w:tc>
        <w:tc>
          <w:tcPr>
            <w:tcW w:w="620" w:type="pct"/>
            <w:tcBorders>
              <w:right w:val="single" w:color="000000" w:sz="4" w:space="0"/>
              <w:tl2br w:val="nil"/>
              <w:tr2bl w:val="nil"/>
            </w:tcBorders>
            <w:vAlign w:val="center"/>
          </w:tcPr>
          <w:p w14:paraId="2DB868B5">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7.56E-06</w:t>
            </w:r>
          </w:p>
        </w:tc>
        <w:tc>
          <w:tcPr>
            <w:tcW w:w="549" w:type="pct"/>
            <w:tcBorders>
              <w:left w:val="single" w:color="000000" w:sz="4" w:space="0"/>
              <w:right w:val="single" w:color="000000" w:sz="4" w:space="0"/>
              <w:tl2br w:val="nil"/>
              <w:tr2bl w:val="nil"/>
            </w:tcBorders>
            <w:vAlign w:val="center"/>
          </w:tcPr>
          <w:p w14:paraId="04A60691">
            <w:pPr>
              <w:pStyle w:val="34"/>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w:t>
            </w:r>
          </w:p>
        </w:tc>
        <w:tc>
          <w:tcPr>
            <w:tcW w:w="745" w:type="pct"/>
            <w:tcBorders>
              <w:left w:val="single" w:color="000000" w:sz="4" w:space="0"/>
              <w:right w:val="single" w:color="000000" w:sz="4" w:space="0"/>
              <w:tl2br w:val="nil"/>
              <w:tr2bl w:val="nil"/>
            </w:tcBorders>
            <w:vAlign w:val="center"/>
          </w:tcPr>
          <w:p w14:paraId="756A201E">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3.36E-07</w:t>
            </w:r>
          </w:p>
        </w:tc>
        <w:tc>
          <w:tcPr>
            <w:tcW w:w="664" w:type="pct"/>
            <w:tcBorders>
              <w:left w:val="single" w:color="000000" w:sz="4" w:space="0"/>
              <w:right w:val="single" w:color="000000" w:sz="4" w:space="0"/>
              <w:tl2br w:val="nil"/>
              <w:tr2bl w:val="nil"/>
            </w:tcBorders>
            <w:vAlign w:val="center"/>
          </w:tcPr>
          <w:p w14:paraId="0A8FC4BD">
            <w:pPr>
              <w:bidi w:val="0"/>
              <w:jc w:val="center"/>
              <w:rPr>
                <w:rFonts w:hint="default" w:ascii="Times New Roman" w:hAnsi="Times New Roman" w:cs="Times New Roman"/>
                <w:color w:val="auto"/>
                <w:lang w:val="en-US"/>
              </w:rPr>
            </w:pPr>
            <w:r>
              <w:rPr>
                <w:rFonts w:hint="default" w:ascii="Times New Roman" w:hAnsi="Times New Roman" w:cs="Times New Roman"/>
                <w:color w:val="auto"/>
                <w:lang w:val="en-US"/>
              </w:rPr>
              <w:t>0.00</w:t>
            </w:r>
          </w:p>
        </w:tc>
        <w:tc>
          <w:tcPr>
            <w:tcW w:w="657" w:type="pct"/>
            <w:tcBorders>
              <w:left w:val="single" w:color="000000" w:sz="4" w:space="0"/>
              <w:right w:val="single" w:color="000000" w:sz="4" w:space="0"/>
              <w:tl2br w:val="nil"/>
              <w:tr2bl w:val="nil"/>
            </w:tcBorders>
            <w:vAlign w:val="center"/>
          </w:tcPr>
          <w:p w14:paraId="1F66436A">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7.48E-05</w:t>
            </w:r>
          </w:p>
        </w:tc>
        <w:tc>
          <w:tcPr>
            <w:tcW w:w="729" w:type="pct"/>
            <w:tcBorders>
              <w:left w:val="single" w:color="000000" w:sz="4" w:space="0"/>
              <w:tl2br w:val="nil"/>
              <w:tr2bl w:val="nil"/>
            </w:tcBorders>
            <w:vAlign w:val="center"/>
          </w:tcPr>
          <w:p w14:paraId="588DB515">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0.03</w:t>
            </w:r>
          </w:p>
        </w:tc>
      </w:tr>
      <w:tr w14:paraId="0F4357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shd w:val="clear" w:color="auto" w:fill="auto"/>
            <w:vAlign w:val="center"/>
          </w:tcPr>
          <w:p w14:paraId="2369303E">
            <w:pPr>
              <w:pStyle w:val="34"/>
              <w:bidi w:val="0"/>
              <w:rPr>
                <w:rFonts w:hint="default" w:ascii="Times New Roman" w:hAnsi="Times New Roman" w:cs="Times New Roman"/>
                <w:color w:val="auto"/>
                <w:lang w:val="en-US" w:eastAsia="zh-CN"/>
              </w:rPr>
            </w:pPr>
            <w:r>
              <w:rPr>
                <w:rFonts w:hint="default" w:ascii="Times New Roman" w:hAnsi="Times New Roman" w:cs="Times New Roman"/>
                <w:color w:val="auto"/>
              </w:rPr>
              <w:t>下风向最大质量浓度及占标率</w:t>
            </w:r>
          </w:p>
        </w:tc>
        <w:tc>
          <w:tcPr>
            <w:tcW w:w="620" w:type="pct"/>
            <w:tcBorders>
              <w:right w:val="single" w:color="000000" w:sz="4" w:space="0"/>
              <w:tl2br w:val="nil"/>
              <w:tr2bl w:val="nil"/>
            </w:tcBorders>
            <w:shd w:val="clear" w:color="auto" w:fill="FFFFFF" w:themeFill="background1"/>
            <w:vAlign w:val="center"/>
          </w:tcPr>
          <w:p w14:paraId="3796FF28">
            <w:pPr>
              <w:pStyle w:val="34"/>
              <w:bidi w:val="0"/>
              <w:ind w:left="0" w:leftChars="0" w:firstLine="0" w:firstLineChars="0"/>
              <w:rPr>
                <w:rFonts w:hint="default" w:ascii="Times New Roman" w:hAnsi="Times New Roman" w:eastAsia="宋体" w:cs="Times New Roman"/>
                <w:b/>
                <w:bCs/>
                <w:snapToGrid w:val="0"/>
                <w:color w:val="auto"/>
                <w:kern w:val="2"/>
                <w:sz w:val="21"/>
                <w:szCs w:val="21"/>
                <w:lang w:val="en-US" w:eastAsia="zh-CN" w:bidi="ar-SA"/>
              </w:rPr>
            </w:pPr>
            <w:r>
              <w:rPr>
                <w:rFonts w:hint="default" w:ascii="Times New Roman" w:hAnsi="Times New Roman" w:eastAsia="宋体" w:cs="Times New Roman"/>
                <w:b/>
                <w:bCs/>
                <w:snapToGrid w:val="0"/>
                <w:color w:val="auto"/>
                <w:kern w:val="2"/>
                <w:sz w:val="21"/>
                <w:szCs w:val="21"/>
                <w:lang w:val="en-US" w:eastAsia="zh-CN" w:bidi="ar-SA"/>
              </w:rPr>
              <w:t>2.11E-04</w:t>
            </w:r>
          </w:p>
        </w:tc>
        <w:tc>
          <w:tcPr>
            <w:tcW w:w="549" w:type="pct"/>
            <w:tcBorders>
              <w:left w:val="single" w:color="000000" w:sz="4" w:space="0"/>
              <w:right w:val="single" w:color="000000" w:sz="4" w:space="0"/>
              <w:tl2br w:val="nil"/>
              <w:tr2bl w:val="nil"/>
            </w:tcBorders>
            <w:shd w:val="clear" w:color="auto" w:fill="FFFFFF" w:themeFill="background1"/>
            <w:vAlign w:val="center"/>
          </w:tcPr>
          <w:p w14:paraId="7837B98C">
            <w:pPr>
              <w:pStyle w:val="34"/>
              <w:bidi w:val="0"/>
              <w:ind w:left="0" w:leftChars="0" w:firstLine="0" w:firstLineChars="0"/>
              <w:rPr>
                <w:rFonts w:hint="default" w:ascii="Times New Roman" w:hAnsi="Times New Roman" w:eastAsia="宋体" w:cs="Times New Roman"/>
                <w:b/>
                <w:bCs/>
                <w:snapToGrid w:val="0"/>
                <w:color w:val="auto"/>
                <w:kern w:val="2"/>
                <w:sz w:val="21"/>
                <w:szCs w:val="21"/>
                <w:lang w:val="en-US" w:eastAsia="zh-CN" w:bidi="ar-SA"/>
              </w:rPr>
            </w:pPr>
            <w:r>
              <w:rPr>
                <w:rFonts w:hint="default" w:ascii="Times New Roman" w:hAnsi="Times New Roman" w:eastAsia="宋体" w:cs="Times New Roman"/>
                <w:b/>
                <w:bCs/>
                <w:snapToGrid w:val="0"/>
                <w:color w:val="auto"/>
                <w:kern w:val="2"/>
                <w:sz w:val="21"/>
                <w:szCs w:val="21"/>
                <w:lang w:val="en-US" w:eastAsia="zh-CN" w:bidi="ar-SA"/>
              </w:rPr>
              <w:t>0.05</w:t>
            </w:r>
          </w:p>
        </w:tc>
        <w:tc>
          <w:tcPr>
            <w:tcW w:w="745" w:type="pct"/>
            <w:tcBorders>
              <w:left w:val="single" w:color="000000" w:sz="4" w:space="0"/>
              <w:right w:val="single" w:color="000000" w:sz="4" w:space="0"/>
              <w:tl2br w:val="nil"/>
              <w:tr2bl w:val="nil"/>
            </w:tcBorders>
            <w:shd w:val="clear" w:color="auto" w:fill="FFFFFF" w:themeFill="background1"/>
            <w:vAlign w:val="center"/>
          </w:tcPr>
          <w:p w14:paraId="4762568A">
            <w:pPr>
              <w:pStyle w:val="34"/>
              <w:bidi w:val="0"/>
              <w:ind w:left="0" w:leftChars="0" w:firstLine="0" w:firstLineChars="0"/>
              <w:rPr>
                <w:rFonts w:hint="default" w:ascii="Times New Roman" w:hAnsi="Times New Roman" w:eastAsia="宋体" w:cs="Times New Roman"/>
                <w:b/>
                <w:bCs/>
                <w:snapToGrid w:val="0"/>
                <w:color w:val="auto"/>
                <w:kern w:val="2"/>
                <w:sz w:val="21"/>
                <w:szCs w:val="21"/>
                <w:lang w:val="en-US" w:eastAsia="zh-CN" w:bidi="ar-SA"/>
              </w:rPr>
            </w:pPr>
            <w:r>
              <w:rPr>
                <w:rFonts w:hint="default" w:ascii="Times New Roman" w:hAnsi="Times New Roman" w:eastAsia="宋体" w:cs="Times New Roman"/>
                <w:b/>
                <w:bCs/>
                <w:snapToGrid w:val="0"/>
                <w:color w:val="auto"/>
                <w:kern w:val="2"/>
                <w:sz w:val="21"/>
                <w:szCs w:val="21"/>
                <w:lang w:val="en-US" w:eastAsia="zh-CN" w:bidi="ar-SA"/>
              </w:rPr>
              <w:t>9.39E-06</w:t>
            </w:r>
          </w:p>
        </w:tc>
        <w:tc>
          <w:tcPr>
            <w:tcW w:w="664" w:type="pct"/>
            <w:tcBorders>
              <w:left w:val="single" w:color="000000" w:sz="4" w:space="0"/>
              <w:right w:val="single" w:color="000000" w:sz="4" w:space="0"/>
              <w:tl2br w:val="nil"/>
              <w:tr2bl w:val="nil"/>
            </w:tcBorders>
            <w:shd w:val="clear" w:color="auto" w:fill="FFFFFF" w:themeFill="background1"/>
            <w:vAlign w:val="center"/>
          </w:tcPr>
          <w:p w14:paraId="575C72C8">
            <w:pPr>
              <w:bidi w:val="0"/>
              <w:ind w:left="0" w:leftChars="0" w:firstLine="0" w:firstLineChars="0"/>
              <w:jc w:val="center"/>
              <w:rPr>
                <w:rFonts w:hint="default" w:ascii="Times New Roman" w:hAnsi="Times New Roman" w:eastAsia="宋体" w:cs="Times New Roman"/>
                <w:b/>
                <w:bCs/>
                <w:snapToGrid w:val="0"/>
                <w:color w:val="auto"/>
                <w:kern w:val="2"/>
                <w:sz w:val="21"/>
                <w:szCs w:val="21"/>
                <w:lang w:val="en-US" w:eastAsia="zh-CN" w:bidi="ar-SA"/>
              </w:rPr>
            </w:pPr>
            <w:r>
              <w:rPr>
                <w:rFonts w:hint="default" w:ascii="Times New Roman" w:hAnsi="Times New Roman" w:cs="Times New Roman"/>
                <w:b/>
                <w:bCs/>
                <w:color w:val="auto"/>
                <w:lang w:val="en-US"/>
              </w:rPr>
              <w:t>0.00</w:t>
            </w:r>
          </w:p>
        </w:tc>
        <w:tc>
          <w:tcPr>
            <w:tcW w:w="657" w:type="pct"/>
            <w:tcBorders>
              <w:left w:val="single" w:color="000000" w:sz="4" w:space="0"/>
              <w:right w:val="single" w:color="000000" w:sz="4" w:space="0"/>
              <w:tl2br w:val="nil"/>
              <w:tr2bl w:val="nil"/>
            </w:tcBorders>
            <w:shd w:val="clear" w:color="auto" w:fill="FFFFFF" w:themeFill="background1"/>
            <w:vAlign w:val="center"/>
          </w:tcPr>
          <w:p w14:paraId="42716283">
            <w:pPr>
              <w:pStyle w:val="34"/>
              <w:bidi w:val="0"/>
              <w:ind w:left="0" w:leftChars="0" w:firstLine="0" w:firstLineChars="0"/>
              <w:rPr>
                <w:rFonts w:hint="default" w:ascii="Times New Roman" w:hAnsi="Times New Roman" w:eastAsia="宋体" w:cs="Times New Roman"/>
                <w:b/>
                <w:bCs/>
                <w:snapToGrid w:val="0"/>
                <w:color w:val="auto"/>
                <w:kern w:val="2"/>
                <w:sz w:val="21"/>
                <w:szCs w:val="21"/>
                <w:lang w:val="en-US" w:eastAsia="zh-CN" w:bidi="ar-SA"/>
              </w:rPr>
            </w:pPr>
            <w:r>
              <w:rPr>
                <w:rFonts w:hint="default" w:ascii="Times New Roman" w:hAnsi="Times New Roman" w:eastAsia="宋体" w:cs="Times New Roman"/>
                <w:b/>
                <w:bCs/>
                <w:snapToGrid w:val="0"/>
                <w:color w:val="auto"/>
                <w:kern w:val="2"/>
                <w:sz w:val="21"/>
                <w:szCs w:val="21"/>
                <w:lang w:val="en-US" w:eastAsia="zh-CN" w:bidi="ar-SA"/>
              </w:rPr>
              <w:t>2.09E-03</w:t>
            </w:r>
          </w:p>
        </w:tc>
        <w:tc>
          <w:tcPr>
            <w:tcW w:w="729" w:type="pct"/>
            <w:tcBorders>
              <w:left w:val="single" w:color="000000" w:sz="4" w:space="0"/>
              <w:tl2br w:val="nil"/>
              <w:tr2bl w:val="nil"/>
            </w:tcBorders>
            <w:shd w:val="clear" w:color="auto" w:fill="FFFFFF" w:themeFill="background1"/>
            <w:vAlign w:val="center"/>
          </w:tcPr>
          <w:p w14:paraId="76B8FD97">
            <w:pPr>
              <w:pStyle w:val="34"/>
              <w:bidi w:val="0"/>
              <w:ind w:left="0" w:leftChars="0" w:firstLine="0" w:firstLineChars="0"/>
              <w:rPr>
                <w:rFonts w:hint="default" w:ascii="Times New Roman" w:hAnsi="Times New Roman" w:eastAsia="宋体" w:cs="Times New Roman"/>
                <w:b/>
                <w:bCs/>
                <w:snapToGrid w:val="0"/>
                <w:color w:val="auto"/>
                <w:kern w:val="2"/>
                <w:sz w:val="21"/>
                <w:szCs w:val="21"/>
                <w:lang w:val="en-US" w:eastAsia="zh-CN" w:bidi="ar-SA"/>
              </w:rPr>
            </w:pPr>
            <w:r>
              <w:rPr>
                <w:rFonts w:hint="default" w:ascii="Times New Roman" w:hAnsi="Times New Roman" w:eastAsia="宋体" w:cs="Times New Roman"/>
                <w:b/>
                <w:bCs/>
                <w:snapToGrid w:val="0"/>
                <w:color w:val="auto"/>
                <w:kern w:val="2"/>
                <w:sz w:val="21"/>
                <w:szCs w:val="21"/>
                <w:lang w:val="en-US" w:eastAsia="zh-CN" w:bidi="ar-SA"/>
              </w:rPr>
              <w:t>0.84</w:t>
            </w:r>
          </w:p>
        </w:tc>
      </w:tr>
      <w:tr w14:paraId="10E767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vAlign w:val="center"/>
          </w:tcPr>
          <w:p w14:paraId="07123302">
            <w:pPr>
              <w:pStyle w:val="34"/>
              <w:bidi w:val="0"/>
              <w:rPr>
                <w:rFonts w:hint="default" w:ascii="Times New Roman" w:hAnsi="Times New Roman" w:cs="Times New Roman"/>
                <w:color w:val="auto"/>
                <w:lang w:val="en-US"/>
              </w:rPr>
            </w:pPr>
            <w:r>
              <w:rPr>
                <w:rFonts w:hint="default" w:ascii="Times New Roman" w:hAnsi="Times New Roman" w:cs="Times New Roman"/>
                <w:color w:val="auto"/>
              </w:rPr>
              <w:t>下风向最大浓度出现距离</w:t>
            </w:r>
          </w:p>
        </w:tc>
        <w:tc>
          <w:tcPr>
            <w:tcW w:w="1169" w:type="pct"/>
            <w:gridSpan w:val="2"/>
            <w:tcBorders>
              <w:right w:val="single" w:color="000000" w:sz="4" w:space="0"/>
              <w:tl2br w:val="nil"/>
              <w:tr2bl w:val="nil"/>
            </w:tcBorders>
            <w:vAlign w:val="center"/>
          </w:tcPr>
          <w:p w14:paraId="5697AB60">
            <w:pPr>
              <w:pStyle w:val="34"/>
              <w:bidi w:val="0"/>
              <w:rPr>
                <w:rFonts w:hint="default"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122m</w:t>
            </w:r>
          </w:p>
        </w:tc>
        <w:tc>
          <w:tcPr>
            <w:tcW w:w="1409" w:type="pct"/>
            <w:gridSpan w:val="2"/>
            <w:tcBorders>
              <w:left w:val="single" w:color="000000" w:sz="4" w:space="0"/>
              <w:right w:val="single" w:color="000000" w:sz="4" w:space="0"/>
              <w:tl2br w:val="nil"/>
              <w:tr2bl w:val="nil"/>
            </w:tcBorders>
            <w:vAlign w:val="center"/>
          </w:tcPr>
          <w:p w14:paraId="0D603153">
            <w:pPr>
              <w:pStyle w:val="34"/>
              <w:bidi w:val="0"/>
              <w:rPr>
                <w:rFonts w:hint="default"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122m</w:t>
            </w:r>
          </w:p>
        </w:tc>
        <w:tc>
          <w:tcPr>
            <w:tcW w:w="1387" w:type="pct"/>
            <w:gridSpan w:val="2"/>
            <w:tcBorders>
              <w:left w:val="single" w:color="000000" w:sz="4" w:space="0"/>
              <w:tl2br w:val="nil"/>
              <w:tr2bl w:val="nil"/>
            </w:tcBorders>
            <w:vAlign w:val="center"/>
          </w:tcPr>
          <w:p w14:paraId="1707C43B">
            <w:pPr>
              <w:pStyle w:val="34"/>
              <w:bidi w:val="0"/>
              <w:rPr>
                <w:rFonts w:hint="default"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122m</w:t>
            </w:r>
          </w:p>
        </w:tc>
      </w:tr>
      <w:tr w14:paraId="454A93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4" w:type="pct"/>
            <w:tcBorders>
              <w:tl2br w:val="nil"/>
              <w:tr2bl w:val="nil"/>
            </w:tcBorders>
            <w:vAlign w:val="center"/>
          </w:tcPr>
          <w:p w14:paraId="22290895">
            <w:pPr>
              <w:pStyle w:val="34"/>
              <w:bidi w:val="0"/>
              <w:rPr>
                <w:rFonts w:hint="default" w:ascii="Times New Roman" w:hAnsi="Times New Roman" w:cs="Times New Roman"/>
                <w:color w:val="auto"/>
                <w:lang w:val="en-US"/>
              </w:rPr>
            </w:pPr>
            <w:r>
              <w:rPr>
                <w:rFonts w:hint="default" w:ascii="Times New Roman" w:hAnsi="Times New Roman" w:cs="Times New Roman"/>
                <w:color w:val="auto"/>
              </w:rPr>
              <w:t>D10%最远距离m</w:t>
            </w:r>
          </w:p>
        </w:tc>
        <w:tc>
          <w:tcPr>
            <w:tcW w:w="1169" w:type="pct"/>
            <w:gridSpan w:val="2"/>
            <w:tcBorders>
              <w:right w:val="single" w:color="000000" w:sz="4" w:space="0"/>
              <w:tl2br w:val="nil"/>
              <w:tr2bl w:val="nil"/>
            </w:tcBorders>
            <w:vAlign w:val="center"/>
          </w:tcPr>
          <w:p w14:paraId="142D448F">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w:t>
            </w:r>
          </w:p>
        </w:tc>
        <w:tc>
          <w:tcPr>
            <w:tcW w:w="1409" w:type="pct"/>
            <w:gridSpan w:val="2"/>
            <w:tcBorders>
              <w:left w:val="single" w:color="000000" w:sz="4" w:space="0"/>
              <w:right w:val="single" w:color="000000" w:sz="4" w:space="0"/>
              <w:tl2br w:val="nil"/>
              <w:tr2bl w:val="nil"/>
            </w:tcBorders>
            <w:vAlign w:val="center"/>
          </w:tcPr>
          <w:p w14:paraId="4851D9DE">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w:t>
            </w:r>
          </w:p>
        </w:tc>
        <w:tc>
          <w:tcPr>
            <w:tcW w:w="1387" w:type="pct"/>
            <w:gridSpan w:val="2"/>
            <w:tcBorders>
              <w:left w:val="single" w:color="000000" w:sz="4" w:space="0"/>
              <w:tl2br w:val="nil"/>
              <w:tr2bl w:val="nil"/>
            </w:tcBorders>
            <w:vAlign w:val="center"/>
          </w:tcPr>
          <w:p w14:paraId="75C0C3F7">
            <w:pPr>
              <w:pStyle w:val="34"/>
              <w:bidi w:val="0"/>
              <w:rPr>
                <w:rFonts w:hint="default" w:ascii="Times New Roman" w:hAnsi="Times New Roman" w:cs="Times New Roman"/>
                <w:color w:val="auto"/>
                <w:lang w:val="en-US"/>
              </w:rPr>
            </w:pPr>
            <w:r>
              <w:rPr>
                <w:rFonts w:hint="default" w:ascii="Times New Roman" w:hAnsi="Times New Roman" w:cs="Times New Roman"/>
                <w:color w:val="auto"/>
                <w:lang w:val="en-US"/>
              </w:rPr>
              <w:t>/</w:t>
            </w:r>
          </w:p>
        </w:tc>
      </w:tr>
    </w:tbl>
    <w:p w14:paraId="1AB8E769">
      <w:pPr>
        <w:pStyle w:val="44"/>
        <w:tabs>
          <w:tab w:val="left" w:pos="567"/>
          <w:tab w:val="clear" w:pos="1120"/>
        </w:tabs>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eastAsia" w:ascii="Times New Roman" w:hAnsi="Times New Roman" w:cs="Times New Roman"/>
          <w:color w:val="auto"/>
          <w:lang w:val="en-US" w:eastAsia="zh-CN"/>
        </w:rPr>
        <w:t>2.6</w:t>
      </w:r>
      <w:r>
        <w:rPr>
          <w:rFonts w:hint="default" w:ascii="Times New Roman" w:hAnsi="Times New Roman" w:cs="Times New Roman"/>
          <w:color w:val="auto"/>
          <w:lang w:eastAsia="zh-CN"/>
        </w:rPr>
        <w:t>-</w:t>
      </w:r>
      <w:r>
        <w:rPr>
          <w:rFonts w:hint="eastAsia" w:cs="Times New Roman"/>
          <w:color w:val="auto"/>
          <w:lang w:val="en-US" w:eastAsia="zh-CN"/>
        </w:rPr>
        <w:t>9</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lang w:val="en-US"/>
        </w:rPr>
        <w:t>废气</w:t>
      </w:r>
      <w:r>
        <w:rPr>
          <w:rFonts w:hint="default" w:ascii="Times New Roman" w:hAnsi="Times New Roman" w:eastAsia="宋体" w:cs="Times New Roman"/>
          <w:color w:val="auto"/>
          <w:highlight w:val="none"/>
        </w:rPr>
        <w:t>估算模式计算结果表（</w:t>
      </w:r>
      <w:r>
        <w:rPr>
          <w:rFonts w:hint="default" w:ascii="Times New Roman" w:hAnsi="Times New Roman" w:eastAsia="宋体" w:cs="Times New Roman"/>
          <w:color w:val="auto"/>
          <w:highlight w:val="none"/>
          <w:lang w:val="en-US"/>
        </w:rPr>
        <w:t>面源</w:t>
      </w:r>
      <w:r>
        <w:rPr>
          <w:rFonts w:hint="default" w:ascii="Times New Roman" w:hAnsi="Times New Roman" w:eastAsia="宋体" w:cs="Times New Roman"/>
          <w:color w:val="auto"/>
          <w:highlight w:val="none"/>
        </w:rPr>
        <w:t>）</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01"/>
        <w:gridCol w:w="1716"/>
        <w:gridCol w:w="1695"/>
        <w:gridCol w:w="1716"/>
        <w:gridCol w:w="1677"/>
        <w:gridCol w:w="1722"/>
        <w:gridCol w:w="1597"/>
        <w:gridCol w:w="1722"/>
        <w:gridCol w:w="1642"/>
      </w:tblGrid>
      <w:tr w14:paraId="30996F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5" w:hRule="atLeast"/>
          <w:jc w:val="center"/>
        </w:trPr>
        <w:tc>
          <w:tcPr>
            <w:tcW w:w="440" w:type="pct"/>
            <w:vMerge w:val="restart"/>
            <w:tcBorders>
              <w:tl2br w:val="nil"/>
              <w:tr2bl w:val="nil"/>
            </w:tcBorders>
            <w:vAlign w:val="center"/>
          </w:tcPr>
          <w:p w14:paraId="4D358CAF">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下风向距离/m</w:t>
            </w:r>
          </w:p>
        </w:tc>
        <w:tc>
          <w:tcPr>
            <w:tcW w:w="4559" w:type="pct"/>
            <w:gridSpan w:val="8"/>
            <w:tcBorders>
              <w:tl2br w:val="nil"/>
              <w:tr2bl w:val="nil"/>
            </w:tcBorders>
            <w:vAlign w:val="center"/>
          </w:tcPr>
          <w:p w14:paraId="144F7BAE">
            <w:pPr>
              <w:pStyle w:val="83"/>
              <w:spacing w:line="240" w:lineRule="auto"/>
              <w:ind w:left="0" w:leftChars="0" w:right="0" w:right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注塑</w:t>
            </w:r>
          </w:p>
        </w:tc>
      </w:tr>
      <w:tr w14:paraId="72FB5E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5" w:hRule="atLeast"/>
          <w:jc w:val="center"/>
        </w:trPr>
        <w:tc>
          <w:tcPr>
            <w:tcW w:w="440" w:type="pct"/>
            <w:vMerge w:val="continue"/>
            <w:tcBorders>
              <w:tl2br w:val="nil"/>
              <w:tr2bl w:val="nil"/>
            </w:tcBorders>
            <w:vAlign w:val="center"/>
          </w:tcPr>
          <w:p w14:paraId="2F575BEF">
            <w:pPr>
              <w:pStyle w:val="83"/>
              <w:spacing w:line="240" w:lineRule="auto"/>
              <w:ind w:left="0" w:leftChars="0" w:right="0" w:rightChars="0"/>
              <w:rPr>
                <w:rFonts w:hint="default" w:ascii="Times New Roman" w:hAnsi="Times New Roman" w:cs="Times New Roman"/>
                <w:color w:val="auto"/>
                <w:szCs w:val="21"/>
              </w:rPr>
            </w:pPr>
          </w:p>
        </w:tc>
        <w:tc>
          <w:tcPr>
            <w:tcW w:w="3271" w:type="dxa"/>
            <w:gridSpan w:val="2"/>
            <w:tcBorders>
              <w:tl2br w:val="nil"/>
              <w:tr2bl w:val="nil"/>
            </w:tcBorders>
            <w:vAlign w:val="center"/>
          </w:tcPr>
          <w:p w14:paraId="415C2F9A">
            <w:pPr>
              <w:pStyle w:val="83"/>
              <w:spacing w:line="240" w:lineRule="auto"/>
              <w:ind w:left="19" w:leftChars="9" w:right="19" w:rightChars="9" w:firstLine="0" w:firstLineChars="0"/>
              <w:rPr>
                <w:rFonts w:hint="default" w:ascii="Times New Roman" w:hAnsi="Times New Roman" w:cs="Times New Roman"/>
                <w:color w:val="auto"/>
                <w:szCs w:val="21"/>
              </w:rPr>
            </w:pPr>
            <w:r>
              <w:rPr>
                <w:rFonts w:hint="default" w:ascii="Times New Roman" w:hAnsi="Times New Roman" w:cs="Times New Roman"/>
                <w:color w:val="auto"/>
              </w:rPr>
              <w:t>非甲烷总烃</w:t>
            </w:r>
          </w:p>
        </w:tc>
        <w:tc>
          <w:tcPr>
            <w:tcW w:w="3254" w:type="dxa"/>
            <w:gridSpan w:val="2"/>
            <w:tcBorders>
              <w:tl2br w:val="nil"/>
              <w:tr2bl w:val="nil"/>
            </w:tcBorders>
            <w:vAlign w:val="center"/>
          </w:tcPr>
          <w:p w14:paraId="46384268">
            <w:pPr>
              <w:pStyle w:val="83"/>
              <w:spacing w:line="240" w:lineRule="auto"/>
              <w:ind w:left="19" w:leftChars="9" w:right="19" w:rightChars="9" w:firstLine="0" w:firstLineChars="0"/>
              <w:rPr>
                <w:rFonts w:hint="default" w:ascii="Times New Roman" w:hAnsi="Times New Roman" w:cs="Times New Roman"/>
                <w:color w:val="auto"/>
                <w:szCs w:val="21"/>
              </w:rPr>
            </w:pPr>
            <w:r>
              <w:rPr>
                <w:rFonts w:hint="default" w:ascii="Times New Roman" w:hAnsi="Times New Roman" w:cs="Times New Roman"/>
                <w:color w:val="auto"/>
              </w:rPr>
              <w:t>甲苯</w:t>
            </w:r>
          </w:p>
        </w:tc>
        <w:tc>
          <w:tcPr>
            <w:tcW w:w="3181" w:type="dxa"/>
            <w:gridSpan w:val="2"/>
            <w:tcBorders>
              <w:tl2br w:val="nil"/>
              <w:tr2bl w:val="nil"/>
            </w:tcBorders>
            <w:vAlign w:val="center"/>
          </w:tcPr>
          <w:p w14:paraId="5ED76B03">
            <w:pPr>
              <w:pStyle w:val="83"/>
              <w:spacing w:line="240" w:lineRule="auto"/>
              <w:ind w:left="19" w:leftChars="9" w:right="19" w:rightChars="9" w:firstLine="0" w:firstLineChars="0"/>
              <w:rPr>
                <w:rFonts w:hint="default" w:ascii="Times New Roman" w:hAnsi="Times New Roman" w:cs="Times New Roman"/>
                <w:color w:val="auto"/>
                <w:szCs w:val="21"/>
              </w:rPr>
            </w:pPr>
            <w:r>
              <w:rPr>
                <w:rFonts w:hint="eastAsia" w:ascii="Times New Roman" w:hAnsi="Times New Roman" w:eastAsia="宋体" w:cs="Times New Roman"/>
                <w:color w:val="auto"/>
                <w:lang w:val="en-US" w:eastAsia="zh-CN"/>
              </w:rPr>
              <w:t>苯乙烯</w:t>
            </w:r>
          </w:p>
        </w:tc>
        <w:tc>
          <w:tcPr>
            <w:tcW w:w="3221" w:type="dxa"/>
            <w:gridSpan w:val="2"/>
            <w:tcBorders>
              <w:tl2br w:val="nil"/>
              <w:tr2bl w:val="nil"/>
            </w:tcBorders>
            <w:vAlign w:val="center"/>
          </w:tcPr>
          <w:p w14:paraId="279E42AD">
            <w:pPr>
              <w:pStyle w:val="83"/>
              <w:spacing w:line="240" w:lineRule="auto"/>
              <w:ind w:left="19" w:leftChars="9" w:right="19" w:rightChars="9" w:firstLine="0" w:firstLineChars="0"/>
              <w:rPr>
                <w:rFonts w:hint="default" w:ascii="Times New Roman" w:hAnsi="Times New Roman" w:cs="Times New Roman"/>
                <w:color w:val="auto"/>
                <w:szCs w:val="21"/>
              </w:rPr>
            </w:pPr>
            <w:r>
              <w:rPr>
                <w:rFonts w:hint="eastAsia" w:ascii="Times New Roman" w:hAnsi="Times New Roman" w:eastAsia="宋体" w:cs="Times New Roman"/>
                <w:color w:val="auto"/>
                <w:lang w:val="en-US" w:eastAsia="zh-CN"/>
              </w:rPr>
              <w:t>丙烯腈</w:t>
            </w:r>
          </w:p>
        </w:tc>
      </w:tr>
      <w:tr w14:paraId="11BE40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vMerge w:val="continue"/>
            <w:tcBorders>
              <w:tl2br w:val="nil"/>
              <w:tr2bl w:val="nil"/>
            </w:tcBorders>
            <w:vAlign w:val="center"/>
          </w:tcPr>
          <w:p w14:paraId="3DDC0F33">
            <w:pPr>
              <w:pStyle w:val="83"/>
              <w:spacing w:line="240" w:lineRule="auto"/>
              <w:ind w:left="0" w:leftChars="0" w:right="0" w:rightChars="0"/>
              <w:rPr>
                <w:rFonts w:hint="default" w:ascii="Times New Roman" w:hAnsi="Times New Roman" w:cs="Times New Roman"/>
                <w:color w:val="auto"/>
                <w:szCs w:val="21"/>
              </w:rPr>
            </w:pPr>
          </w:p>
        </w:tc>
        <w:tc>
          <w:tcPr>
            <w:tcW w:w="580" w:type="pct"/>
            <w:tcBorders>
              <w:tl2br w:val="nil"/>
              <w:tr2bl w:val="nil"/>
            </w:tcBorders>
            <w:vAlign w:val="center"/>
          </w:tcPr>
          <w:p w14:paraId="57DA8C7B">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预测质量浓度/ mg/m</w:t>
            </w:r>
            <w:r>
              <w:rPr>
                <w:rFonts w:hint="default" w:ascii="Times New Roman" w:hAnsi="Times New Roman" w:cs="Times New Roman"/>
                <w:color w:val="auto"/>
                <w:szCs w:val="21"/>
                <w:vertAlign w:val="superscript"/>
              </w:rPr>
              <w:t>3</w:t>
            </w:r>
          </w:p>
        </w:tc>
        <w:tc>
          <w:tcPr>
            <w:tcW w:w="573" w:type="pct"/>
            <w:tcBorders>
              <w:tl2br w:val="nil"/>
              <w:tr2bl w:val="nil"/>
            </w:tcBorders>
            <w:vAlign w:val="center"/>
          </w:tcPr>
          <w:p w14:paraId="4EF83F7B">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占标率/%</w:t>
            </w:r>
          </w:p>
        </w:tc>
        <w:tc>
          <w:tcPr>
            <w:tcW w:w="580" w:type="pct"/>
            <w:tcBorders>
              <w:tl2br w:val="nil"/>
              <w:tr2bl w:val="nil"/>
            </w:tcBorders>
            <w:vAlign w:val="center"/>
          </w:tcPr>
          <w:p w14:paraId="49D16418">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预测质量浓度/ mg/m</w:t>
            </w:r>
            <w:r>
              <w:rPr>
                <w:rFonts w:hint="default" w:ascii="Times New Roman" w:hAnsi="Times New Roman" w:cs="Times New Roman"/>
                <w:color w:val="auto"/>
                <w:szCs w:val="21"/>
                <w:vertAlign w:val="superscript"/>
              </w:rPr>
              <w:t>3</w:t>
            </w:r>
          </w:p>
        </w:tc>
        <w:tc>
          <w:tcPr>
            <w:tcW w:w="567" w:type="pct"/>
            <w:tcBorders>
              <w:tl2br w:val="nil"/>
              <w:tr2bl w:val="nil"/>
            </w:tcBorders>
            <w:vAlign w:val="center"/>
          </w:tcPr>
          <w:p w14:paraId="789B8B03">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占标率/%</w:t>
            </w:r>
          </w:p>
        </w:tc>
        <w:tc>
          <w:tcPr>
            <w:tcW w:w="582" w:type="pct"/>
            <w:tcBorders>
              <w:tl2br w:val="nil"/>
              <w:tr2bl w:val="nil"/>
            </w:tcBorders>
            <w:vAlign w:val="center"/>
          </w:tcPr>
          <w:p w14:paraId="08A29D0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预测质量浓度/ mg/m</w:t>
            </w:r>
            <w:r>
              <w:rPr>
                <w:rFonts w:hint="default" w:ascii="Times New Roman" w:hAnsi="Times New Roman" w:cs="Times New Roman"/>
                <w:color w:val="auto"/>
                <w:szCs w:val="21"/>
                <w:vertAlign w:val="superscript"/>
              </w:rPr>
              <w:t>3</w:t>
            </w:r>
          </w:p>
        </w:tc>
        <w:tc>
          <w:tcPr>
            <w:tcW w:w="540" w:type="pct"/>
            <w:tcBorders>
              <w:tl2br w:val="nil"/>
              <w:tr2bl w:val="nil"/>
            </w:tcBorders>
            <w:vAlign w:val="center"/>
          </w:tcPr>
          <w:p w14:paraId="4E077051">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占标率/%</w:t>
            </w:r>
          </w:p>
        </w:tc>
        <w:tc>
          <w:tcPr>
            <w:tcW w:w="582" w:type="pct"/>
            <w:tcBorders>
              <w:tl2br w:val="nil"/>
              <w:tr2bl w:val="nil"/>
            </w:tcBorders>
            <w:vAlign w:val="center"/>
          </w:tcPr>
          <w:p w14:paraId="5503430E">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预测质量浓度/ mg/m</w:t>
            </w:r>
            <w:r>
              <w:rPr>
                <w:rFonts w:hint="default" w:ascii="Times New Roman" w:hAnsi="Times New Roman" w:cs="Times New Roman"/>
                <w:color w:val="auto"/>
                <w:szCs w:val="21"/>
                <w:vertAlign w:val="superscript"/>
              </w:rPr>
              <w:t>3</w:t>
            </w:r>
          </w:p>
        </w:tc>
        <w:tc>
          <w:tcPr>
            <w:tcW w:w="551" w:type="pct"/>
            <w:tcBorders>
              <w:tl2br w:val="nil"/>
              <w:tr2bl w:val="nil"/>
            </w:tcBorders>
            <w:vAlign w:val="center"/>
          </w:tcPr>
          <w:p w14:paraId="29965BDE">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占标率/%</w:t>
            </w:r>
          </w:p>
        </w:tc>
      </w:tr>
      <w:tr w14:paraId="03BDCA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12E20FB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580" w:type="pct"/>
            <w:tcBorders>
              <w:tl2br w:val="nil"/>
              <w:tr2bl w:val="nil"/>
            </w:tcBorders>
            <w:vAlign w:val="center"/>
          </w:tcPr>
          <w:p w14:paraId="6A3A252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1.86E-02</w:t>
            </w:r>
          </w:p>
        </w:tc>
        <w:tc>
          <w:tcPr>
            <w:tcW w:w="573" w:type="pct"/>
            <w:tcBorders>
              <w:tl2br w:val="nil"/>
              <w:tr2bl w:val="nil"/>
            </w:tcBorders>
            <w:vAlign w:val="center"/>
          </w:tcPr>
          <w:p w14:paraId="01814D2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0.93</w:t>
            </w:r>
          </w:p>
        </w:tc>
        <w:tc>
          <w:tcPr>
            <w:tcW w:w="580" w:type="pct"/>
            <w:tcBorders>
              <w:tl2br w:val="nil"/>
              <w:tr2bl w:val="nil"/>
            </w:tcBorders>
            <w:vAlign w:val="center"/>
          </w:tcPr>
          <w:p w14:paraId="182EF473">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2.43E-04</w:t>
            </w:r>
          </w:p>
        </w:tc>
        <w:tc>
          <w:tcPr>
            <w:tcW w:w="567" w:type="pct"/>
            <w:tcBorders>
              <w:tl2br w:val="nil"/>
              <w:tr2bl w:val="nil"/>
            </w:tcBorders>
            <w:vAlign w:val="center"/>
          </w:tcPr>
          <w:p w14:paraId="731E5D3F">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0.12</w:t>
            </w:r>
          </w:p>
        </w:tc>
        <w:tc>
          <w:tcPr>
            <w:tcW w:w="582" w:type="pct"/>
            <w:tcBorders>
              <w:tl2br w:val="nil"/>
              <w:tr2bl w:val="nil"/>
            </w:tcBorders>
            <w:vAlign w:val="center"/>
          </w:tcPr>
          <w:p w14:paraId="34AF0623">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1.89E-04</w:t>
            </w:r>
          </w:p>
        </w:tc>
        <w:tc>
          <w:tcPr>
            <w:tcW w:w="540" w:type="pct"/>
            <w:tcBorders>
              <w:tl2br w:val="nil"/>
              <w:tr2bl w:val="nil"/>
            </w:tcBorders>
            <w:shd w:val="clear" w:color="auto" w:fill="auto"/>
            <w:vAlign w:val="center"/>
          </w:tcPr>
          <w:p w14:paraId="6E0B2287">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1.89</w:t>
            </w:r>
          </w:p>
        </w:tc>
        <w:tc>
          <w:tcPr>
            <w:tcW w:w="582" w:type="pct"/>
            <w:tcBorders>
              <w:tl2br w:val="nil"/>
              <w:tr2bl w:val="nil"/>
            </w:tcBorders>
            <w:vAlign w:val="center"/>
          </w:tcPr>
          <w:p w14:paraId="30B6017F">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8.10E-05</w:t>
            </w:r>
          </w:p>
        </w:tc>
        <w:tc>
          <w:tcPr>
            <w:tcW w:w="551" w:type="pct"/>
            <w:tcBorders>
              <w:tl2br w:val="nil"/>
              <w:tr2bl w:val="nil"/>
            </w:tcBorders>
            <w:shd w:val="clear" w:color="auto" w:fill="auto"/>
            <w:vAlign w:val="center"/>
          </w:tcPr>
          <w:p w14:paraId="5AEDC542">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0.16</w:t>
            </w:r>
          </w:p>
        </w:tc>
      </w:tr>
      <w:tr w14:paraId="524B01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16693A8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25</w:t>
            </w:r>
          </w:p>
        </w:tc>
        <w:tc>
          <w:tcPr>
            <w:tcW w:w="580" w:type="pct"/>
            <w:tcBorders>
              <w:tl2br w:val="nil"/>
              <w:tr2bl w:val="nil"/>
            </w:tcBorders>
            <w:vAlign w:val="center"/>
          </w:tcPr>
          <w:p w14:paraId="114462E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2.20E-02</w:t>
            </w:r>
          </w:p>
        </w:tc>
        <w:tc>
          <w:tcPr>
            <w:tcW w:w="573" w:type="pct"/>
            <w:tcBorders>
              <w:tl2br w:val="nil"/>
              <w:tr2bl w:val="nil"/>
            </w:tcBorders>
            <w:vAlign w:val="center"/>
          </w:tcPr>
          <w:p w14:paraId="433B59D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1.10</w:t>
            </w:r>
          </w:p>
        </w:tc>
        <w:tc>
          <w:tcPr>
            <w:tcW w:w="580" w:type="pct"/>
            <w:tcBorders>
              <w:tl2br w:val="nil"/>
              <w:tr2bl w:val="nil"/>
            </w:tcBorders>
            <w:vAlign w:val="center"/>
          </w:tcPr>
          <w:p w14:paraId="3B29A919">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2.86E-04</w:t>
            </w:r>
          </w:p>
        </w:tc>
        <w:tc>
          <w:tcPr>
            <w:tcW w:w="567" w:type="pct"/>
            <w:tcBorders>
              <w:tl2br w:val="nil"/>
              <w:tr2bl w:val="nil"/>
            </w:tcBorders>
            <w:shd w:val="clear" w:color="auto" w:fill="auto"/>
            <w:vAlign w:val="center"/>
          </w:tcPr>
          <w:p w14:paraId="4DA9BCA1">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0.14</w:t>
            </w:r>
          </w:p>
        </w:tc>
        <w:tc>
          <w:tcPr>
            <w:tcW w:w="582" w:type="pct"/>
            <w:tcBorders>
              <w:tl2br w:val="nil"/>
              <w:tr2bl w:val="nil"/>
            </w:tcBorders>
            <w:vAlign w:val="center"/>
          </w:tcPr>
          <w:p w14:paraId="38E8B48B">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2.23E-04</w:t>
            </w:r>
          </w:p>
        </w:tc>
        <w:tc>
          <w:tcPr>
            <w:tcW w:w="540" w:type="pct"/>
            <w:tcBorders>
              <w:tl2br w:val="nil"/>
              <w:tr2bl w:val="nil"/>
            </w:tcBorders>
            <w:shd w:val="clear" w:color="auto" w:fill="auto"/>
            <w:vAlign w:val="center"/>
          </w:tcPr>
          <w:p w14:paraId="14DDC214">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2.23</w:t>
            </w:r>
          </w:p>
        </w:tc>
        <w:tc>
          <w:tcPr>
            <w:tcW w:w="582" w:type="pct"/>
            <w:tcBorders>
              <w:tl2br w:val="nil"/>
              <w:tr2bl w:val="nil"/>
            </w:tcBorders>
            <w:vAlign w:val="center"/>
          </w:tcPr>
          <w:p w14:paraId="28DC227A">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9.55E-05</w:t>
            </w:r>
          </w:p>
        </w:tc>
        <w:tc>
          <w:tcPr>
            <w:tcW w:w="551" w:type="pct"/>
            <w:tcBorders>
              <w:tl2br w:val="nil"/>
              <w:tr2bl w:val="nil"/>
            </w:tcBorders>
            <w:shd w:val="clear" w:color="auto" w:fill="auto"/>
            <w:vAlign w:val="center"/>
          </w:tcPr>
          <w:p w14:paraId="3EC6DB9C">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0.19</w:t>
            </w:r>
          </w:p>
        </w:tc>
      </w:tr>
      <w:tr w14:paraId="425EB0C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6058BFB3">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580" w:type="pct"/>
            <w:tcBorders>
              <w:tl2br w:val="nil"/>
              <w:tr2bl w:val="nil"/>
            </w:tcBorders>
            <w:vAlign w:val="center"/>
          </w:tcPr>
          <w:p w14:paraId="35282D5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2.73E-02</w:t>
            </w:r>
          </w:p>
        </w:tc>
        <w:tc>
          <w:tcPr>
            <w:tcW w:w="573" w:type="pct"/>
            <w:tcBorders>
              <w:tl2br w:val="nil"/>
              <w:tr2bl w:val="nil"/>
            </w:tcBorders>
            <w:vAlign w:val="center"/>
          </w:tcPr>
          <w:p w14:paraId="62BC451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1.36</w:t>
            </w:r>
          </w:p>
        </w:tc>
        <w:tc>
          <w:tcPr>
            <w:tcW w:w="580" w:type="pct"/>
            <w:tcBorders>
              <w:tl2br w:val="nil"/>
              <w:tr2bl w:val="nil"/>
            </w:tcBorders>
            <w:vAlign w:val="center"/>
          </w:tcPr>
          <w:p w14:paraId="31C1D6E8">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3.56E-04</w:t>
            </w:r>
          </w:p>
        </w:tc>
        <w:tc>
          <w:tcPr>
            <w:tcW w:w="567" w:type="pct"/>
            <w:tcBorders>
              <w:tl2br w:val="nil"/>
              <w:tr2bl w:val="nil"/>
            </w:tcBorders>
            <w:shd w:val="clear" w:color="auto" w:fill="auto"/>
            <w:vAlign w:val="center"/>
          </w:tcPr>
          <w:p w14:paraId="4977C18A">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0.18</w:t>
            </w:r>
          </w:p>
        </w:tc>
        <w:tc>
          <w:tcPr>
            <w:tcW w:w="582" w:type="pct"/>
            <w:tcBorders>
              <w:tl2br w:val="nil"/>
              <w:tr2bl w:val="nil"/>
            </w:tcBorders>
            <w:vAlign w:val="center"/>
          </w:tcPr>
          <w:p w14:paraId="5B1281BB">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2.77E-04</w:t>
            </w:r>
          </w:p>
        </w:tc>
        <w:tc>
          <w:tcPr>
            <w:tcW w:w="540" w:type="pct"/>
            <w:tcBorders>
              <w:tl2br w:val="nil"/>
              <w:tr2bl w:val="nil"/>
            </w:tcBorders>
            <w:shd w:val="clear" w:color="auto" w:fill="auto"/>
            <w:vAlign w:val="center"/>
          </w:tcPr>
          <w:p w14:paraId="6F555D01">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2.77</w:t>
            </w:r>
          </w:p>
        </w:tc>
        <w:tc>
          <w:tcPr>
            <w:tcW w:w="582" w:type="pct"/>
            <w:tcBorders>
              <w:tl2br w:val="nil"/>
              <w:tr2bl w:val="nil"/>
            </w:tcBorders>
            <w:vAlign w:val="center"/>
          </w:tcPr>
          <w:p w14:paraId="1358195A">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1.19E-04</w:t>
            </w:r>
          </w:p>
        </w:tc>
        <w:tc>
          <w:tcPr>
            <w:tcW w:w="551" w:type="pct"/>
            <w:tcBorders>
              <w:tl2br w:val="nil"/>
              <w:tr2bl w:val="nil"/>
            </w:tcBorders>
            <w:shd w:val="clear" w:color="auto" w:fill="auto"/>
            <w:vAlign w:val="center"/>
          </w:tcPr>
          <w:p w14:paraId="10D47E62">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0.24</w:t>
            </w:r>
          </w:p>
        </w:tc>
      </w:tr>
      <w:tr w14:paraId="6987D2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6A84F34A">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75</w:t>
            </w:r>
          </w:p>
        </w:tc>
        <w:tc>
          <w:tcPr>
            <w:tcW w:w="580" w:type="pct"/>
            <w:tcBorders>
              <w:tl2br w:val="nil"/>
              <w:tr2bl w:val="nil"/>
            </w:tcBorders>
            <w:vAlign w:val="center"/>
          </w:tcPr>
          <w:p w14:paraId="23453E3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3.22E-02</w:t>
            </w:r>
          </w:p>
        </w:tc>
        <w:tc>
          <w:tcPr>
            <w:tcW w:w="573" w:type="pct"/>
            <w:tcBorders>
              <w:tl2br w:val="nil"/>
              <w:tr2bl w:val="nil"/>
            </w:tcBorders>
            <w:vAlign w:val="center"/>
          </w:tcPr>
          <w:p w14:paraId="13B1098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1.61</w:t>
            </w:r>
          </w:p>
        </w:tc>
        <w:tc>
          <w:tcPr>
            <w:tcW w:w="580" w:type="pct"/>
            <w:tcBorders>
              <w:tl2br w:val="nil"/>
              <w:tr2bl w:val="nil"/>
            </w:tcBorders>
            <w:vAlign w:val="center"/>
          </w:tcPr>
          <w:p w14:paraId="3C392324">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4.20E-04</w:t>
            </w:r>
          </w:p>
        </w:tc>
        <w:tc>
          <w:tcPr>
            <w:tcW w:w="567" w:type="pct"/>
            <w:tcBorders>
              <w:tl2br w:val="nil"/>
              <w:tr2bl w:val="nil"/>
            </w:tcBorders>
            <w:shd w:val="clear" w:color="auto" w:fill="auto"/>
            <w:vAlign w:val="center"/>
          </w:tcPr>
          <w:p w14:paraId="41541003">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0.21</w:t>
            </w:r>
          </w:p>
        </w:tc>
        <w:tc>
          <w:tcPr>
            <w:tcW w:w="582" w:type="pct"/>
            <w:tcBorders>
              <w:tl2br w:val="nil"/>
              <w:tr2bl w:val="nil"/>
            </w:tcBorders>
            <w:vAlign w:val="center"/>
          </w:tcPr>
          <w:p w14:paraId="63BDA460">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3.27E-04</w:t>
            </w:r>
          </w:p>
        </w:tc>
        <w:tc>
          <w:tcPr>
            <w:tcW w:w="540" w:type="pct"/>
            <w:tcBorders>
              <w:tl2br w:val="nil"/>
              <w:tr2bl w:val="nil"/>
            </w:tcBorders>
            <w:shd w:val="clear" w:color="auto" w:fill="auto"/>
            <w:vAlign w:val="center"/>
          </w:tcPr>
          <w:p w14:paraId="50AFD768">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3.27</w:t>
            </w:r>
          </w:p>
        </w:tc>
        <w:tc>
          <w:tcPr>
            <w:tcW w:w="582" w:type="pct"/>
            <w:tcBorders>
              <w:tl2br w:val="nil"/>
              <w:tr2bl w:val="nil"/>
            </w:tcBorders>
            <w:vAlign w:val="center"/>
          </w:tcPr>
          <w:p w14:paraId="4C6E43B5">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1.40E-04</w:t>
            </w:r>
          </w:p>
        </w:tc>
        <w:tc>
          <w:tcPr>
            <w:tcW w:w="551" w:type="pct"/>
            <w:tcBorders>
              <w:tl2br w:val="nil"/>
              <w:tr2bl w:val="nil"/>
            </w:tcBorders>
            <w:shd w:val="clear" w:color="auto" w:fill="auto"/>
            <w:vAlign w:val="center"/>
          </w:tcPr>
          <w:p w14:paraId="2902FE01">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0.28</w:t>
            </w:r>
          </w:p>
        </w:tc>
      </w:tr>
      <w:tr w14:paraId="71E0F6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35ED3D56">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100</w:t>
            </w:r>
          </w:p>
        </w:tc>
        <w:tc>
          <w:tcPr>
            <w:tcW w:w="580" w:type="pct"/>
            <w:tcBorders>
              <w:tl2br w:val="nil"/>
              <w:tr2bl w:val="nil"/>
            </w:tcBorders>
            <w:vAlign w:val="center"/>
          </w:tcPr>
          <w:p w14:paraId="2F17873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3.60E-02</w:t>
            </w:r>
          </w:p>
        </w:tc>
        <w:tc>
          <w:tcPr>
            <w:tcW w:w="573" w:type="pct"/>
            <w:tcBorders>
              <w:tl2br w:val="nil"/>
              <w:tr2bl w:val="nil"/>
            </w:tcBorders>
            <w:vAlign w:val="center"/>
          </w:tcPr>
          <w:p w14:paraId="71B66A8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1.80</w:t>
            </w:r>
          </w:p>
        </w:tc>
        <w:tc>
          <w:tcPr>
            <w:tcW w:w="580" w:type="pct"/>
            <w:tcBorders>
              <w:tl2br w:val="nil"/>
              <w:tr2bl w:val="nil"/>
            </w:tcBorders>
            <w:vAlign w:val="center"/>
          </w:tcPr>
          <w:p w14:paraId="47F30B4A">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4.69E-04</w:t>
            </w:r>
          </w:p>
        </w:tc>
        <w:tc>
          <w:tcPr>
            <w:tcW w:w="567" w:type="pct"/>
            <w:tcBorders>
              <w:tl2br w:val="nil"/>
              <w:tr2bl w:val="nil"/>
            </w:tcBorders>
            <w:shd w:val="clear" w:color="auto" w:fill="auto"/>
            <w:vAlign w:val="center"/>
          </w:tcPr>
          <w:p w14:paraId="39D65609">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0.23</w:t>
            </w:r>
          </w:p>
        </w:tc>
        <w:tc>
          <w:tcPr>
            <w:tcW w:w="582" w:type="pct"/>
            <w:tcBorders>
              <w:tl2br w:val="nil"/>
              <w:tr2bl w:val="nil"/>
            </w:tcBorders>
            <w:vAlign w:val="center"/>
          </w:tcPr>
          <w:p w14:paraId="1B429E27">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3.65E-04</w:t>
            </w:r>
          </w:p>
        </w:tc>
        <w:tc>
          <w:tcPr>
            <w:tcW w:w="540" w:type="pct"/>
            <w:tcBorders>
              <w:tl2br w:val="nil"/>
              <w:tr2bl w:val="nil"/>
            </w:tcBorders>
            <w:shd w:val="clear" w:color="auto" w:fill="auto"/>
            <w:vAlign w:val="center"/>
          </w:tcPr>
          <w:p w14:paraId="474CAFF2">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3.65</w:t>
            </w:r>
          </w:p>
        </w:tc>
        <w:tc>
          <w:tcPr>
            <w:tcW w:w="582" w:type="pct"/>
            <w:tcBorders>
              <w:tl2br w:val="nil"/>
              <w:tr2bl w:val="nil"/>
            </w:tcBorders>
            <w:vAlign w:val="center"/>
          </w:tcPr>
          <w:p w14:paraId="3F75B609">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1.56E-04</w:t>
            </w:r>
          </w:p>
        </w:tc>
        <w:tc>
          <w:tcPr>
            <w:tcW w:w="551" w:type="pct"/>
            <w:tcBorders>
              <w:tl2br w:val="nil"/>
              <w:tr2bl w:val="nil"/>
            </w:tcBorders>
            <w:shd w:val="clear" w:color="auto" w:fill="auto"/>
            <w:vAlign w:val="center"/>
          </w:tcPr>
          <w:p w14:paraId="244FA706">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0.31</w:t>
            </w:r>
          </w:p>
        </w:tc>
      </w:tr>
      <w:tr w14:paraId="2B42EA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3329D85E">
            <w:pPr>
              <w:pStyle w:val="83"/>
              <w:spacing w:line="240" w:lineRule="auto"/>
              <w:ind w:left="0" w:leftChars="0" w:right="0" w:right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118</w:t>
            </w:r>
          </w:p>
        </w:tc>
        <w:tc>
          <w:tcPr>
            <w:tcW w:w="580" w:type="pct"/>
            <w:tcBorders>
              <w:tl2br w:val="nil"/>
              <w:tr2bl w:val="nil"/>
            </w:tcBorders>
            <w:vAlign w:val="center"/>
          </w:tcPr>
          <w:p w14:paraId="253F660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3.66E-02</w:t>
            </w:r>
          </w:p>
        </w:tc>
        <w:tc>
          <w:tcPr>
            <w:tcW w:w="573" w:type="pct"/>
            <w:tcBorders>
              <w:tl2br w:val="nil"/>
              <w:tr2bl w:val="nil"/>
            </w:tcBorders>
            <w:vAlign w:val="center"/>
          </w:tcPr>
          <w:p w14:paraId="2CC11CF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1.83</w:t>
            </w:r>
          </w:p>
        </w:tc>
        <w:tc>
          <w:tcPr>
            <w:tcW w:w="580" w:type="pct"/>
            <w:tcBorders>
              <w:tl2br w:val="nil"/>
              <w:tr2bl w:val="nil"/>
            </w:tcBorders>
            <w:vAlign w:val="center"/>
          </w:tcPr>
          <w:p w14:paraId="45B7F1FF">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4.78E-04</w:t>
            </w:r>
          </w:p>
        </w:tc>
        <w:tc>
          <w:tcPr>
            <w:tcW w:w="567" w:type="pct"/>
            <w:tcBorders>
              <w:tl2br w:val="nil"/>
              <w:tr2bl w:val="nil"/>
            </w:tcBorders>
            <w:shd w:val="clear" w:color="auto" w:fill="auto"/>
            <w:vAlign w:val="center"/>
          </w:tcPr>
          <w:p w14:paraId="1CFCE0AE">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0.24</w:t>
            </w:r>
          </w:p>
        </w:tc>
        <w:tc>
          <w:tcPr>
            <w:tcW w:w="582" w:type="pct"/>
            <w:tcBorders>
              <w:tl2br w:val="nil"/>
              <w:tr2bl w:val="nil"/>
            </w:tcBorders>
            <w:vAlign w:val="center"/>
          </w:tcPr>
          <w:p w14:paraId="12F393B1">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3.71E-04</w:t>
            </w:r>
          </w:p>
        </w:tc>
        <w:tc>
          <w:tcPr>
            <w:tcW w:w="540" w:type="pct"/>
            <w:tcBorders>
              <w:tl2br w:val="nil"/>
              <w:tr2bl w:val="nil"/>
            </w:tcBorders>
            <w:shd w:val="clear" w:color="auto" w:fill="auto"/>
            <w:vAlign w:val="center"/>
          </w:tcPr>
          <w:p w14:paraId="330D2C7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3.71</w:t>
            </w:r>
          </w:p>
        </w:tc>
        <w:tc>
          <w:tcPr>
            <w:tcW w:w="582" w:type="pct"/>
            <w:tcBorders>
              <w:tl2br w:val="nil"/>
              <w:tr2bl w:val="nil"/>
            </w:tcBorders>
            <w:vAlign w:val="center"/>
          </w:tcPr>
          <w:p w14:paraId="2BB461FE">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1.59E-04</w:t>
            </w:r>
          </w:p>
        </w:tc>
        <w:tc>
          <w:tcPr>
            <w:tcW w:w="551" w:type="pct"/>
            <w:tcBorders>
              <w:tl2br w:val="nil"/>
              <w:tr2bl w:val="nil"/>
            </w:tcBorders>
            <w:shd w:val="clear" w:color="auto" w:fill="auto"/>
            <w:vAlign w:val="center"/>
          </w:tcPr>
          <w:p w14:paraId="7112FE5C">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0.32</w:t>
            </w:r>
          </w:p>
        </w:tc>
      </w:tr>
      <w:tr w14:paraId="6F90A6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192B234B">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125</w:t>
            </w:r>
          </w:p>
        </w:tc>
        <w:tc>
          <w:tcPr>
            <w:tcW w:w="580" w:type="pct"/>
            <w:tcBorders>
              <w:tl2br w:val="nil"/>
              <w:tr2bl w:val="nil"/>
            </w:tcBorders>
            <w:vAlign w:val="center"/>
          </w:tcPr>
          <w:p w14:paraId="5AB5015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3.65E-02</w:t>
            </w:r>
          </w:p>
        </w:tc>
        <w:tc>
          <w:tcPr>
            <w:tcW w:w="573" w:type="pct"/>
            <w:tcBorders>
              <w:tl2br w:val="nil"/>
              <w:tr2bl w:val="nil"/>
            </w:tcBorders>
            <w:vAlign w:val="center"/>
          </w:tcPr>
          <w:p w14:paraId="55CE654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1.83</w:t>
            </w:r>
          </w:p>
        </w:tc>
        <w:tc>
          <w:tcPr>
            <w:tcW w:w="580" w:type="pct"/>
            <w:tcBorders>
              <w:tl2br w:val="nil"/>
              <w:tr2bl w:val="nil"/>
            </w:tcBorders>
            <w:vAlign w:val="center"/>
          </w:tcPr>
          <w:p w14:paraId="50351CD4">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4.77E-04</w:t>
            </w:r>
          </w:p>
        </w:tc>
        <w:tc>
          <w:tcPr>
            <w:tcW w:w="567" w:type="pct"/>
            <w:tcBorders>
              <w:tl2br w:val="nil"/>
              <w:tr2bl w:val="nil"/>
            </w:tcBorders>
            <w:shd w:val="clear" w:color="auto" w:fill="auto"/>
            <w:vAlign w:val="center"/>
          </w:tcPr>
          <w:p w14:paraId="444FE94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0.24</w:t>
            </w:r>
          </w:p>
        </w:tc>
        <w:tc>
          <w:tcPr>
            <w:tcW w:w="582" w:type="pct"/>
            <w:tcBorders>
              <w:tl2br w:val="nil"/>
              <w:tr2bl w:val="nil"/>
            </w:tcBorders>
            <w:vAlign w:val="center"/>
          </w:tcPr>
          <w:p w14:paraId="40BE5002">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3.71E-04</w:t>
            </w:r>
          </w:p>
        </w:tc>
        <w:tc>
          <w:tcPr>
            <w:tcW w:w="540" w:type="pct"/>
            <w:tcBorders>
              <w:tl2br w:val="nil"/>
              <w:tr2bl w:val="nil"/>
            </w:tcBorders>
            <w:shd w:val="clear" w:color="auto" w:fill="auto"/>
            <w:vAlign w:val="center"/>
          </w:tcPr>
          <w:p w14:paraId="1D477FC0">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3.71</w:t>
            </w:r>
          </w:p>
        </w:tc>
        <w:tc>
          <w:tcPr>
            <w:tcW w:w="582" w:type="pct"/>
            <w:tcBorders>
              <w:tl2br w:val="nil"/>
              <w:tr2bl w:val="nil"/>
            </w:tcBorders>
            <w:vAlign w:val="center"/>
          </w:tcPr>
          <w:p w14:paraId="55C80364">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1.59E-04</w:t>
            </w:r>
          </w:p>
        </w:tc>
        <w:tc>
          <w:tcPr>
            <w:tcW w:w="551" w:type="pct"/>
            <w:tcBorders>
              <w:tl2br w:val="nil"/>
              <w:tr2bl w:val="nil"/>
            </w:tcBorders>
            <w:shd w:val="clear" w:color="auto" w:fill="auto"/>
            <w:vAlign w:val="center"/>
          </w:tcPr>
          <w:p w14:paraId="59C4911F">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0.32</w:t>
            </w:r>
          </w:p>
        </w:tc>
      </w:tr>
      <w:tr w14:paraId="34F64F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28BE3247">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150</w:t>
            </w:r>
          </w:p>
        </w:tc>
        <w:tc>
          <w:tcPr>
            <w:tcW w:w="580" w:type="pct"/>
            <w:tcBorders>
              <w:tl2br w:val="nil"/>
              <w:tr2bl w:val="nil"/>
            </w:tcBorders>
            <w:vAlign w:val="center"/>
          </w:tcPr>
          <w:p w14:paraId="6596CB0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3.53E-02</w:t>
            </w:r>
          </w:p>
        </w:tc>
        <w:tc>
          <w:tcPr>
            <w:tcW w:w="573" w:type="pct"/>
            <w:tcBorders>
              <w:tl2br w:val="nil"/>
              <w:tr2bl w:val="nil"/>
            </w:tcBorders>
            <w:vAlign w:val="center"/>
          </w:tcPr>
          <w:p w14:paraId="2EE583E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1.76</w:t>
            </w:r>
          </w:p>
        </w:tc>
        <w:tc>
          <w:tcPr>
            <w:tcW w:w="580" w:type="pct"/>
            <w:tcBorders>
              <w:tl2br w:val="nil"/>
              <w:tr2bl w:val="nil"/>
            </w:tcBorders>
            <w:vAlign w:val="center"/>
          </w:tcPr>
          <w:p w14:paraId="5F80C140">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4.60E-04</w:t>
            </w:r>
          </w:p>
        </w:tc>
        <w:tc>
          <w:tcPr>
            <w:tcW w:w="567" w:type="pct"/>
            <w:tcBorders>
              <w:tl2br w:val="nil"/>
              <w:tr2bl w:val="nil"/>
            </w:tcBorders>
            <w:shd w:val="clear" w:color="auto" w:fill="auto"/>
            <w:vAlign w:val="center"/>
          </w:tcPr>
          <w:p w14:paraId="76F4124E">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0.23</w:t>
            </w:r>
          </w:p>
        </w:tc>
        <w:tc>
          <w:tcPr>
            <w:tcW w:w="582" w:type="pct"/>
            <w:tcBorders>
              <w:tl2br w:val="nil"/>
              <w:tr2bl w:val="nil"/>
            </w:tcBorders>
            <w:vAlign w:val="center"/>
          </w:tcPr>
          <w:p w14:paraId="30496D39">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3.58E-04</w:t>
            </w:r>
          </w:p>
        </w:tc>
        <w:tc>
          <w:tcPr>
            <w:tcW w:w="540" w:type="pct"/>
            <w:tcBorders>
              <w:tl2br w:val="nil"/>
              <w:tr2bl w:val="nil"/>
            </w:tcBorders>
            <w:shd w:val="clear" w:color="auto" w:fill="auto"/>
            <w:vAlign w:val="center"/>
          </w:tcPr>
          <w:p w14:paraId="0911FCBA">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3.58</w:t>
            </w:r>
          </w:p>
        </w:tc>
        <w:tc>
          <w:tcPr>
            <w:tcW w:w="582" w:type="pct"/>
            <w:tcBorders>
              <w:tl2br w:val="nil"/>
              <w:tr2bl w:val="nil"/>
            </w:tcBorders>
            <w:vAlign w:val="center"/>
          </w:tcPr>
          <w:p w14:paraId="136266F0">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1.53E-04</w:t>
            </w:r>
          </w:p>
        </w:tc>
        <w:tc>
          <w:tcPr>
            <w:tcW w:w="551" w:type="pct"/>
            <w:tcBorders>
              <w:tl2br w:val="nil"/>
              <w:tr2bl w:val="nil"/>
            </w:tcBorders>
            <w:shd w:val="clear" w:color="auto" w:fill="auto"/>
            <w:vAlign w:val="center"/>
          </w:tcPr>
          <w:p w14:paraId="444FA575">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0.31</w:t>
            </w:r>
          </w:p>
        </w:tc>
      </w:tr>
      <w:tr w14:paraId="0314F0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3442615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200</w:t>
            </w:r>
          </w:p>
        </w:tc>
        <w:tc>
          <w:tcPr>
            <w:tcW w:w="580" w:type="pct"/>
            <w:tcBorders>
              <w:tl2br w:val="nil"/>
              <w:tr2bl w:val="nil"/>
            </w:tcBorders>
            <w:vAlign w:val="center"/>
          </w:tcPr>
          <w:p w14:paraId="69695E6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3.05E-02</w:t>
            </w:r>
          </w:p>
        </w:tc>
        <w:tc>
          <w:tcPr>
            <w:tcW w:w="573" w:type="pct"/>
            <w:tcBorders>
              <w:tl2br w:val="nil"/>
              <w:tr2bl w:val="nil"/>
            </w:tcBorders>
            <w:vAlign w:val="center"/>
          </w:tcPr>
          <w:p w14:paraId="125C2B7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1.53</w:t>
            </w:r>
          </w:p>
        </w:tc>
        <w:tc>
          <w:tcPr>
            <w:tcW w:w="580" w:type="pct"/>
            <w:tcBorders>
              <w:tl2br w:val="nil"/>
              <w:tr2bl w:val="nil"/>
            </w:tcBorders>
            <w:vAlign w:val="center"/>
          </w:tcPr>
          <w:p w14:paraId="484BB8F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3.98E-04</w:t>
            </w:r>
          </w:p>
        </w:tc>
        <w:tc>
          <w:tcPr>
            <w:tcW w:w="567" w:type="pct"/>
            <w:tcBorders>
              <w:tl2br w:val="nil"/>
              <w:tr2bl w:val="nil"/>
            </w:tcBorders>
            <w:vAlign w:val="center"/>
          </w:tcPr>
          <w:p w14:paraId="277300F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0.20</w:t>
            </w:r>
          </w:p>
        </w:tc>
        <w:tc>
          <w:tcPr>
            <w:tcW w:w="582" w:type="pct"/>
            <w:tcBorders>
              <w:tl2br w:val="nil"/>
              <w:tr2bl w:val="nil"/>
            </w:tcBorders>
            <w:vAlign w:val="center"/>
          </w:tcPr>
          <w:p w14:paraId="4EFCF4D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3.10E-04</w:t>
            </w:r>
          </w:p>
        </w:tc>
        <w:tc>
          <w:tcPr>
            <w:tcW w:w="540" w:type="pct"/>
            <w:tcBorders>
              <w:tl2br w:val="nil"/>
              <w:tr2bl w:val="nil"/>
            </w:tcBorders>
            <w:vAlign w:val="center"/>
          </w:tcPr>
          <w:p w14:paraId="25DDF8C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3.10</w:t>
            </w:r>
          </w:p>
        </w:tc>
        <w:tc>
          <w:tcPr>
            <w:tcW w:w="582" w:type="pct"/>
            <w:tcBorders>
              <w:tl2br w:val="nil"/>
              <w:tr2bl w:val="nil"/>
            </w:tcBorders>
            <w:vAlign w:val="center"/>
          </w:tcPr>
          <w:p w14:paraId="46F0665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1.33E-04</w:t>
            </w:r>
          </w:p>
        </w:tc>
        <w:tc>
          <w:tcPr>
            <w:tcW w:w="551" w:type="pct"/>
            <w:tcBorders>
              <w:tl2br w:val="nil"/>
              <w:tr2bl w:val="nil"/>
            </w:tcBorders>
            <w:shd w:val="clear" w:color="auto" w:fill="auto"/>
            <w:vAlign w:val="center"/>
          </w:tcPr>
          <w:p w14:paraId="7C11BCA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0.27</w:t>
            </w:r>
          </w:p>
        </w:tc>
      </w:tr>
      <w:tr w14:paraId="18ECEE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1B74DC4D">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300</w:t>
            </w:r>
          </w:p>
        </w:tc>
        <w:tc>
          <w:tcPr>
            <w:tcW w:w="580" w:type="pct"/>
            <w:tcBorders>
              <w:tl2br w:val="nil"/>
              <w:tr2bl w:val="nil"/>
            </w:tcBorders>
            <w:vAlign w:val="center"/>
          </w:tcPr>
          <w:p w14:paraId="118F57D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3.98E-04</w:t>
            </w:r>
          </w:p>
        </w:tc>
        <w:tc>
          <w:tcPr>
            <w:tcW w:w="573" w:type="pct"/>
            <w:tcBorders>
              <w:tl2br w:val="nil"/>
              <w:tr2bl w:val="nil"/>
            </w:tcBorders>
            <w:vAlign w:val="center"/>
          </w:tcPr>
          <w:p w14:paraId="40A1589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1.09</w:t>
            </w:r>
          </w:p>
        </w:tc>
        <w:tc>
          <w:tcPr>
            <w:tcW w:w="580" w:type="pct"/>
            <w:tcBorders>
              <w:tl2br w:val="nil"/>
              <w:tr2bl w:val="nil"/>
            </w:tcBorders>
            <w:vAlign w:val="center"/>
          </w:tcPr>
          <w:p w14:paraId="2528B7F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2.86E-04</w:t>
            </w:r>
          </w:p>
        </w:tc>
        <w:tc>
          <w:tcPr>
            <w:tcW w:w="567" w:type="pct"/>
            <w:tcBorders>
              <w:tl2br w:val="nil"/>
              <w:tr2bl w:val="nil"/>
            </w:tcBorders>
            <w:vAlign w:val="center"/>
          </w:tcPr>
          <w:p w14:paraId="1417960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0.14</w:t>
            </w:r>
          </w:p>
        </w:tc>
        <w:tc>
          <w:tcPr>
            <w:tcW w:w="582" w:type="pct"/>
            <w:tcBorders>
              <w:tl2br w:val="nil"/>
              <w:tr2bl w:val="nil"/>
            </w:tcBorders>
            <w:vAlign w:val="center"/>
          </w:tcPr>
          <w:p w14:paraId="600D7B9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2.22E-04</w:t>
            </w:r>
          </w:p>
        </w:tc>
        <w:tc>
          <w:tcPr>
            <w:tcW w:w="540" w:type="pct"/>
            <w:tcBorders>
              <w:tl2br w:val="nil"/>
              <w:tr2bl w:val="nil"/>
            </w:tcBorders>
            <w:vAlign w:val="center"/>
          </w:tcPr>
          <w:p w14:paraId="1D02891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2.22</w:t>
            </w:r>
          </w:p>
        </w:tc>
        <w:tc>
          <w:tcPr>
            <w:tcW w:w="582" w:type="pct"/>
            <w:tcBorders>
              <w:tl2br w:val="nil"/>
              <w:tr2bl w:val="nil"/>
            </w:tcBorders>
            <w:vAlign w:val="center"/>
          </w:tcPr>
          <w:p w14:paraId="635B089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9.52E-05</w:t>
            </w:r>
          </w:p>
        </w:tc>
        <w:tc>
          <w:tcPr>
            <w:tcW w:w="551" w:type="pct"/>
            <w:tcBorders>
              <w:tl2br w:val="nil"/>
              <w:tr2bl w:val="nil"/>
            </w:tcBorders>
            <w:vAlign w:val="center"/>
          </w:tcPr>
          <w:p w14:paraId="3A9B2CA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0.19</w:t>
            </w:r>
          </w:p>
        </w:tc>
      </w:tr>
      <w:tr w14:paraId="61A09B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440" w:type="pct"/>
            <w:tcBorders>
              <w:tl2br w:val="nil"/>
              <w:tr2bl w:val="nil"/>
            </w:tcBorders>
            <w:vAlign w:val="center"/>
          </w:tcPr>
          <w:p w14:paraId="6F1679BD">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350</w:t>
            </w:r>
          </w:p>
        </w:tc>
        <w:tc>
          <w:tcPr>
            <w:tcW w:w="580" w:type="pct"/>
            <w:tcBorders>
              <w:tl2br w:val="nil"/>
              <w:tr2bl w:val="nil"/>
            </w:tcBorders>
            <w:vAlign w:val="center"/>
          </w:tcPr>
          <w:p w14:paraId="56919A4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1.88E-02</w:t>
            </w:r>
          </w:p>
        </w:tc>
        <w:tc>
          <w:tcPr>
            <w:tcW w:w="573" w:type="pct"/>
            <w:tcBorders>
              <w:tl2br w:val="nil"/>
              <w:tr2bl w:val="nil"/>
            </w:tcBorders>
            <w:vAlign w:val="center"/>
          </w:tcPr>
          <w:p w14:paraId="673A4A7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0.94</w:t>
            </w:r>
          </w:p>
        </w:tc>
        <w:tc>
          <w:tcPr>
            <w:tcW w:w="580" w:type="pct"/>
            <w:tcBorders>
              <w:tl2br w:val="nil"/>
              <w:tr2bl w:val="nil"/>
            </w:tcBorders>
            <w:vAlign w:val="center"/>
          </w:tcPr>
          <w:p w14:paraId="7CD2B5D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2.45E-04</w:t>
            </w:r>
          </w:p>
        </w:tc>
        <w:tc>
          <w:tcPr>
            <w:tcW w:w="567" w:type="pct"/>
            <w:tcBorders>
              <w:tl2br w:val="nil"/>
              <w:tr2bl w:val="nil"/>
            </w:tcBorders>
            <w:vAlign w:val="center"/>
          </w:tcPr>
          <w:p w14:paraId="1BEC478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0.12</w:t>
            </w:r>
          </w:p>
        </w:tc>
        <w:tc>
          <w:tcPr>
            <w:tcW w:w="582" w:type="pct"/>
            <w:tcBorders>
              <w:tl2br w:val="nil"/>
              <w:tr2bl w:val="nil"/>
            </w:tcBorders>
            <w:vAlign w:val="center"/>
          </w:tcPr>
          <w:p w14:paraId="76652BF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1.90E-04</w:t>
            </w:r>
          </w:p>
        </w:tc>
        <w:tc>
          <w:tcPr>
            <w:tcW w:w="540" w:type="pct"/>
            <w:tcBorders>
              <w:tl2br w:val="nil"/>
              <w:tr2bl w:val="nil"/>
            </w:tcBorders>
            <w:vAlign w:val="center"/>
          </w:tcPr>
          <w:p w14:paraId="2E8388E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1.90</w:t>
            </w:r>
          </w:p>
        </w:tc>
        <w:tc>
          <w:tcPr>
            <w:tcW w:w="582" w:type="pct"/>
            <w:tcBorders>
              <w:tl2br w:val="nil"/>
              <w:tr2bl w:val="nil"/>
            </w:tcBorders>
            <w:vAlign w:val="center"/>
          </w:tcPr>
          <w:p w14:paraId="2B303EC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8.15E-05</w:t>
            </w:r>
          </w:p>
        </w:tc>
        <w:tc>
          <w:tcPr>
            <w:tcW w:w="551" w:type="pct"/>
            <w:tcBorders>
              <w:tl2br w:val="nil"/>
              <w:tr2bl w:val="nil"/>
            </w:tcBorders>
            <w:vAlign w:val="center"/>
          </w:tcPr>
          <w:p w14:paraId="4608EAE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0.16</w:t>
            </w:r>
          </w:p>
        </w:tc>
      </w:tr>
      <w:tr w14:paraId="2480AB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440" w:type="pct"/>
            <w:tcBorders>
              <w:tl2br w:val="nil"/>
              <w:tr2bl w:val="nil"/>
            </w:tcBorders>
            <w:vAlign w:val="center"/>
          </w:tcPr>
          <w:p w14:paraId="6DEEBE9A">
            <w:pPr>
              <w:pStyle w:val="83"/>
              <w:spacing w:line="240" w:lineRule="auto"/>
              <w:ind w:left="0" w:leftChars="0" w:right="0" w:right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400</w:t>
            </w:r>
          </w:p>
        </w:tc>
        <w:tc>
          <w:tcPr>
            <w:tcW w:w="580" w:type="pct"/>
            <w:tcBorders>
              <w:tl2br w:val="nil"/>
              <w:tr2bl w:val="nil"/>
            </w:tcBorders>
            <w:vAlign w:val="center"/>
          </w:tcPr>
          <w:p w14:paraId="081605E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1.63E-02</w:t>
            </w:r>
          </w:p>
        </w:tc>
        <w:tc>
          <w:tcPr>
            <w:tcW w:w="573" w:type="pct"/>
            <w:tcBorders>
              <w:tl2br w:val="nil"/>
              <w:tr2bl w:val="nil"/>
            </w:tcBorders>
            <w:vAlign w:val="center"/>
          </w:tcPr>
          <w:p w14:paraId="5AC2AC8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0.81</w:t>
            </w:r>
          </w:p>
        </w:tc>
        <w:tc>
          <w:tcPr>
            <w:tcW w:w="580" w:type="pct"/>
            <w:tcBorders>
              <w:tl2br w:val="nil"/>
              <w:tr2bl w:val="nil"/>
            </w:tcBorders>
            <w:vAlign w:val="center"/>
          </w:tcPr>
          <w:p w14:paraId="232A2B1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2.12E-04</w:t>
            </w:r>
          </w:p>
        </w:tc>
        <w:tc>
          <w:tcPr>
            <w:tcW w:w="567" w:type="pct"/>
            <w:tcBorders>
              <w:tl2br w:val="nil"/>
              <w:tr2bl w:val="nil"/>
            </w:tcBorders>
            <w:vAlign w:val="center"/>
          </w:tcPr>
          <w:p w14:paraId="09960CA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0.11</w:t>
            </w:r>
          </w:p>
        </w:tc>
        <w:tc>
          <w:tcPr>
            <w:tcW w:w="582" w:type="pct"/>
            <w:tcBorders>
              <w:tl2br w:val="nil"/>
              <w:tr2bl w:val="nil"/>
            </w:tcBorders>
            <w:vAlign w:val="center"/>
          </w:tcPr>
          <w:p w14:paraId="5A8B689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1.65E-04</w:t>
            </w:r>
          </w:p>
        </w:tc>
        <w:tc>
          <w:tcPr>
            <w:tcW w:w="540" w:type="pct"/>
            <w:tcBorders>
              <w:tl2br w:val="nil"/>
              <w:tr2bl w:val="nil"/>
            </w:tcBorders>
            <w:vAlign w:val="center"/>
          </w:tcPr>
          <w:p w14:paraId="5996F01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1.65</w:t>
            </w:r>
          </w:p>
        </w:tc>
        <w:tc>
          <w:tcPr>
            <w:tcW w:w="582" w:type="pct"/>
            <w:tcBorders>
              <w:tl2br w:val="nil"/>
              <w:tr2bl w:val="nil"/>
            </w:tcBorders>
            <w:vAlign w:val="center"/>
          </w:tcPr>
          <w:p w14:paraId="13C9709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7.06E-05</w:t>
            </w:r>
          </w:p>
        </w:tc>
        <w:tc>
          <w:tcPr>
            <w:tcW w:w="551" w:type="pct"/>
            <w:tcBorders>
              <w:tl2br w:val="nil"/>
              <w:tr2bl w:val="nil"/>
            </w:tcBorders>
            <w:vAlign w:val="center"/>
          </w:tcPr>
          <w:p w14:paraId="54BB571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0.14</w:t>
            </w:r>
          </w:p>
        </w:tc>
      </w:tr>
      <w:tr w14:paraId="4CDDD27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560B644E">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500</w:t>
            </w:r>
          </w:p>
        </w:tc>
        <w:tc>
          <w:tcPr>
            <w:tcW w:w="580" w:type="pct"/>
            <w:tcBorders>
              <w:tl2br w:val="nil"/>
              <w:tr2bl w:val="nil"/>
            </w:tcBorders>
            <w:vAlign w:val="center"/>
          </w:tcPr>
          <w:p w14:paraId="13018B1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1.26E-02</w:t>
            </w:r>
          </w:p>
        </w:tc>
        <w:tc>
          <w:tcPr>
            <w:tcW w:w="573" w:type="pct"/>
            <w:tcBorders>
              <w:tl2br w:val="nil"/>
              <w:tr2bl w:val="nil"/>
            </w:tcBorders>
            <w:vAlign w:val="center"/>
          </w:tcPr>
          <w:p w14:paraId="42ACFD4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0.63</w:t>
            </w:r>
          </w:p>
        </w:tc>
        <w:tc>
          <w:tcPr>
            <w:tcW w:w="580" w:type="pct"/>
            <w:tcBorders>
              <w:tl2br w:val="nil"/>
              <w:tr2bl w:val="nil"/>
            </w:tcBorders>
            <w:vAlign w:val="center"/>
          </w:tcPr>
          <w:p w14:paraId="635E4CC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1.64E-04</w:t>
            </w:r>
          </w:p>
        </w:tc>
        <w:tc>
          <w:tcPr>
            <w:tcW w:w="567" w:type="pct"/>
            <w:tcBorders>
              <w:tl2br w:val="nil"/>
              <w:tr2bl w:val="nil"/>
            </w:tcBorders>
            <w:vAlign w:val="center"/>
          </w:tcPr>
          <w:p w14:paraId="371D860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0.08</w:t>
            </w:r>
          </w:p>
        </w:tc>
        <w:tc>
          <w:tcPr>
            <w:tcW w:w="582" w:type="pct"/>
            <w:tcBorders>
              <w:tl2br w:val="nil"/>
              <w:tr2bl w:val="nil"/>
            </w:tcBorders>
            <w:vAlign w:val="center"/>
          </w:tcPr>
          <w:p w14:paraId="4FF48AC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1.28E-04</w:t>
            </w:r>
          </w:p>
        </w:tc>
        <w:tc>
          <w:tcPr>
            <w:tcW w:w="540" w:type="pct"/>
            <w:tcBorders>
              <w:tl2br w:val="nil"/>
              <w:tr2bl w:val="nil"/>
            </w:tcBorders>
            <w:vAlign w:val="center"/>
          </w:tcPr>
          <w:p w14:paraId="7346CBF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1.28</w:t>
            </w:r>
          </w:p>
        </w:tc>
        <w:tc>
          <w:tcPr>
            <w:tcW w:w="582" w:type="pct"/>
            <w:tcBorders>
              <w:tl2br w:val="nil"/>
              <w:tr2bl w:val="nil"/>
            </w:tcBorders>
            <w:vAlign w:val="center"/>
          </w:tcPr>
          <w:p w14:paraId="0A0A5A6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5.48E-05</w:t>
            </w:r>
          </w:p>
        </w:tc>
        <w:tc>
          <w:tcPr>
            <w:tcW w:w="551" w:type="pct"/>
            <w:tcBorders>
              <w:tl2br w:val="nil"/>
              <w:tr2bl w:val="nil"/>
            </w:tcBorders>
            <w:vAlign w:val="center"/>
          </w:tcPr>
          <w:p w14:paraId="7DA4615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0.11</w:t>
            </w:r>
          </w:p>
        </w:tc>
      </w:tr>
      <w:tr w14:paraId="1F2CD4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42B7B734">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1000</w:t>
            </w:r>
          </w:p>
        </w:tc>
        <w:tc>
          <w:tcPr>
            <w:tcW w:w="580" w:type="pct"/>
            <w:tcBorders>
              <w:tl2br w:val="nil"/>
              <w:tr2bl w:val="nil"/>
            </w:tcBorders>
            <w:vAlign w:val="center"/>
          </w:tcPr>
          <w:p w14:paraId="102C387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5.33E-03</w:t>
            </w:r>
          </w:p>
        </w:tc>
        <w:tc>
          <w:tcPr>
            <w:tcW w:w="573" w:type="pct"/>
            <w:tcBorders>
              <w:tl2br w:val="nil"/>
              <w:tr2bl w:val="nil"/>
            </w:tcBorders>
            <w:vAlign w:val="center"/>
          </w:tcPr>
          <w:p w14:paraId="00C6090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0.27</w:t>
            </w:r>
          </w:p>
        </w:tc>
        <w:tc>
          <w:tcPr>
            <w:tcW w:w="580" w:type="pct"/>
            <w:tcBorders>
              <w:tl2br w:val="nil"/>
              <w:tr2bl w:val="nil"/>
            </w:tcBorders>
            <w:vAlign w:val="center"/>
          </w:tcPr>
          <w:p w14:paraId="6FD317B9">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6.95E-05</w:t>
            </w:r>
          </w:p>
        </w:tc>
        <w:tc>
          <w:tcPr>
            <w:tcW w:w="567" w:type="pct"/>
            <w:tcBorders>
              <w:tl2br w:val="nil"/>
              <w:tr2bl w:val="nil"/>
            </w:tcBorders>
            <w:vAlign w:val="center"/>
          </w:tcPr>
          <w:p w14:paraId="4BD859D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0.03</w:t>
            </w:r>
          </w:p>
        </w:tc>
        <w:tc>
          <w:tcPr>
            <w:tcW w:w="582" w:type="pct"/>
            <w:tcBorders>
              <w:tl2br w:val="nil"/>
              <w:tr2bl w:val="nil"/>
            </w:tcBorders>
            <w:vAlign w:val="center"/>
          </w:tcPr>
          <w:p w14:paraId="595A231A">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5.40E-05</w:t>
            </w:r>
          </w:p>
        </w:tc>
        <w:tc>
          <w:tcPr>
            <w:tcW w:w="540" w:type="pct"/>
            <w:tcBorders>
              <w:tl2br w:val="nil"/>
              <w:tr2bl w:val="nil"/>
            </w:tcBorders>
            <w:vAlign w:val="center"/>
          </w:tcPr>
          <w:p w14:paraId="3FD842BD">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0.54</w:t>
            </w:r>
          </w:p>
        </w:tc>
        <w:tc>
          <w:tcPr>
            <w:tcW w:w="582" w:type="pct"/>
            <w:tcBorders>
              <w:tl2br w:val="nil"/>
              <w:tr2bl w:val="nil"/>
            </w:tcBorders>
            <w:vAlign w:val="center"/>
          </w:tcPr>
          <w:p w14:paraId="55249A7E">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2.32E-05</w:t>
            </w:r>
          </w:p>
        </w:tc>
        <w:tc>
          <w:tcPr>
            <w:tcW w:w="551" w:type="pct"/>
            <w:tcBorders>
              <w:tl2br w:val="nil"/>
              <w:tr2bl w:val="nil"/>
            </w:tcBorders>
            <w:vAlign w:val="center"/>
          </w:tcPr>
          <w:p w14:paraId="5127134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0.05</w:t>
            </w:r>
          </w:p>
        </w:tc>
      </w:tr>
      <w:tr w14:paraId="432AC3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5F3D4ADF">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2000</w:t>
            </w:r>
          </w:p>
        </w:tc>
        <w:tc>
          <w:tcPr>
            <w:tcW w:w="580" w:type="pct"/>
            <w:tcBorders>
              <w:tl2br w:val="nil"/>
              <w:tr2bl w:val="nil"/>
            </w:tcBorders>
            <w:vAlign w:val="center"/>
          </w:tcPr>
          <w:p w14:paraId="75EC247C">
            <w:pPr>
              <w:pStyle w:val="83"/>
              <w:spacing w:line="240" w:lineRule="auto"/>
              <w:ind w:left="0" w:leftChars="0" w:right="0" w:rightChars="0"/>
              <w:jc w:val="center"/>
              <w:rPr>
                <w:rFonts w:hint="default" w:ascii="Times New Roman" w:hAnsi="Times New Roman" w:cs="Times New Roman"/>
                <w:color w:val="auto"/>
                <w:szCs w:val="21"/>
              </w:rPr>
            </w:pPr>
            <w:r>
              <w:rPr>
                <w:rFonts w:hint="default" w:ascii="Times New Roman" w:hAnsi="Times New Roman" w:cs="Times New Roman"/>
                <w:color w:val="auto"/>
                <w:szCs w:val="21"/>
              </w:rPr>
              <w:t>2.17E-03</w:t>
            </w:r>
          </w:p>
        </w:tc>
        <w:tc>
          <w:tcPr>
            <w:tcW w:w="573" w:type="pct"/>
            <w:tcBorders>
              <w:tl2br w:val="nil"/>
              <w:tr2bl w:val="nil"/>
            </w:tcBorders>
            <w:vAlign w:val="center"/>
          </w:tcPr>
          <w:p w14:paraId="53566FF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0.11</w:t>
            </w:r>
          </w:p>
        </w:tc>
        <w:tc>
          <w:tcPr>
            <w:tcW w:w="580" w:type="pct"/>
            <w:tcBorders>
              <w:tl2br w:val="nil"/>
              <w:tr2bl w:val="nil"/>
            </w:tcBorders>
            <w:vAlign w:val="center"/>
          </w:tcPr>
          <w:p w14:paraId="713AB22F">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2.83E-05</w:t>
            </w:r>
          </w:p>
        </w:tc>
        <w:tc>
          <w:tcPr>
            <w:tcW w:w="567" w:type="pct"/>
            <w:tcBorders>
              <w:tl2br w:val="nil"/>
              <w:tr2bl w:val="nil"/>
            </w:tcBorders>
            <w:vAlign w:val="center"/>
          </w:tcPr>
          <w:p w14:paraId="09AE432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c>
          <w:tcPr>
            <w:tcW w:w="582" w:type="pct"/>
            <w:tcBorders>
              <w:tl2br w:val="nil"/>
              <w:tr2bl w:val="nil"/>
            </w:tcBorders>
            <w:vAlign w:val="center"/>
          </w:tcPr>
          <w:p w14:paraId="39AEBEC7">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2.20E-05</w:t>
            </w:r>
          </w:p>
        </w:tc>
        <w:tc>
          <w:tcPr>
            <w:tcW w:w="540" w:type="pct"/>
            <w:tcBorders>
              <w:tl2br w:val="nil"/>
              <w:tr2bl w:val="nil"/>
            </w:tcBorders>
            <w:vAlign w:val="center"/>
          </w:tcPr>
          <w:p w14:paraId="1EFE507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0.22</w:t>
            </w:r>
          </w:p>
        </w:tc>
        <w:tc>
          <w:tcPr>
            <w:tcW w:w="582" w:type="pct"/>
            <w:tcBorders>
              <w:tl2br w:val="nil"/>
              <w:tr2bl w:val="nil"/>
            </w:tcBorders>
            <w:vAlign w:val="center"/>
          </w:tcPr>
          <w:p w14:paraId="3833EE49">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9.43E-06</w:t>
            </w:r>
          </w:p>
        </w:tc>
        <w:tc>
          <w:tcPr>
            <w:tcW w:w="551" w:type="pct"/>
            <w:tcBorders>
              <w:tl2br w:val="nil"/>
              <w:tr2bl w:val="nil"/>
            </w:tcBorders>
            <w:vAlign w:val="center"/>
          </w:tcPr>
          <w:p w14:paraId="3650248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0.02</w:t>
            </w:r>
          </w:p>
        </w:tc>
      </w:tr>
      <w:tr w14:paraId="45A98E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04F0EC33">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3000</w:t>
            </w:r>
          </w:p>
        </w:tc>
        <w:tc>
          <w:tcPr>
            <w:tcW w:w="580" w:type="pct"/>
            <w:tcBorders>
              <w:tl2br w:val="nil"/>
              <w:tr2bl w:val="nil"/>
            </w:tcBorders>
            <w:vAlign w:val="center"/>
          </w:tcPr>
          <w:p w14:paraId="41CFEE3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1.25E-03</w:t>
            </w:r>
          </w:p>
        </w:tc>
        <w:tc>
          <w:tcPr>
            <w:tcW w:w="573" w:type="pct"/>
            <w:tcBorders>
              <w:tl2br w:val="nil"/>
              <w:tr2bl w:val="nil"/>
            </w:tcBorders>
            <w:vAlign w:val="center"/>
          </w:tcPr>
          <w:p w14:paraId="29789A3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0.06</w:t>
            </w:r>
          </w:p>
        </w:tc>
        <w:tc>
          <w:tcPr>
            <w:tcW w:w="580" w:type="pct"/>
            <w:tcBorders>
              <w:tl2br w:val="nil"/>
              <w:tr2bl w:val="nil"/>
            </w:tcBorders>
            <w:vAlign w:val="center"/>
          </w:tcPr>
          <w:p w14:paraId="1BECB12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1.63E-05</w:t>
            </w:r>
          </w:p>
        </w:tc>
        <w:tc>
          <w:tcPr>
            <w:tcW w:w="567" w:type="pct"/>
            <w:tcBorders>
              <w:tl2br w:val="nil"/>
              <w:tr2bl w:val="nil"/>
            </w:tcBorders>
            <w:vAlign w:val="center"/>
          </w:tcPr>
          <w:p w14:paraId="45D9438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c>
          <w:tcPr>
            <w:tcW w:w="582" w:type="pct"/>
            <w:tcBorders>
              <w:tl2br w:val="nil"/>
              <w:tr2bl w:val="nil"/>
            </w:tcBorders>
            <w:vAlign w:val="center"/>
          </w:tcPr>
          <w:p w14:paraId="39118DE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1.27E-05</w:t>
            </w:r>
          </w:p>
        </w:tc>
        <w:tc>
          <w:tcPr>
            <w:tcW w:w="540" w:type="pct"/>
            <w:tcBorders>
              <w:tl2br w:val="nil"/>
              <w:tr2bl w:val="nil"/>
            </w:tcBorders>
            <w:vAlign w:val="center"/>
          </w:tcPr>
          <w:p w14:paraId="331B460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0.13</w:t>
            </w:r>
          </w:p>
        </w:tc>
        <w:tc>
          <w:tcPr>
            <w:tcW w:w="582" w:type="pct"/>
            <w:tcBorders>
              <w:tl2br w:val="nil"/>
              <w:tr2bl w:val="nil"/>
            </w:tcBorders>
            <w:vAlign w:val="center"/>
          </w:tcPr>
          <w:p w14:paraId="56A42C7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5.43E-06</w:t>
            </w:r>
          </w:p>
        </w:tc>
        <w:tc>
          <w:tcPr>
            <w:tcW w:w="551" w:type="pct"/>
            <w:tcBorders>
              <w:tl2br w:val="nil"/>
              <w:tr2bl w:val="nil"/>
            </w:tcBorders>
            <w:vAlign w:val="center"/>
          </w:tcPr>
          <w:p w14:paraId="5D063BB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r>
      <w:tr w14:paraId="68C864F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2575F612">
            <w:pPr>
              <w:pStyle w:val="83"/>
              <w:spacing w:line="240" w:lineRule="auto"/>
              <w:ind w:left="0" w:leftChars="0" w:right="0" w:right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4000</w:t>
            </w:r>
          </w:p>
        </w:tc>
        <w:tc>
          <w:tcPr>
            <w:tcW w:w="580" w:type="pct"/>
            <w:tcBorders>
              <w:tl2br w:val="nil"/>
              <w:tr2bl w:val="nil"/>
            </w:tcBorders>
            <w:vAlign w:val="center"/>
          </w:tcPr>
          <w:p w14:paraId="50F4773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8.45E-04</w:t>
            </w:r>
          </w:p>
        </w:tc>
        <w:tc>
          <w:tcPr>
            <w:tcW w:w="573" w:type="pct"/>
            <w:tcBorders>
              <w:tl2br w:val="nil"/>
              <w:tr2bl w:val="nil"/>
            </w:tcBorders>
            <w:vAlign w:val="center"/>
          </w:tcPr>
          <w:p w14:paraId="52FB0BC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0.04</w:t>
            </w:r>
          </w:p>
        </w:tc>
        <w:tc>
          <w:tcPr>
            <w:tcW w:w="580" w:type="pct"/>
            <w:tcBorders>
              <w:tl2br w:val="nil"/>
              <w:tr2bl w:val="nil"/>
            </w:tcBorders>
            <w:vAlign w:val="center"/>
          </w:tcPr>
          <w:p w14:paraId="79B9197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1.10E-05</w:t>
            </w:r>
          </w:p>
        </w:tc>
        <w:tc>
          <w:tcPr>
            <w:tcW w:w="567" w:type="pct"/>
            <w:tcBorders>
              <w:tl2br w:val="nil"/>
              <w:tr2bl w:val="nil"/>
            </w:tcBorders>
            <w:vAlign w:val="center"/>
          </w:tcPr>
          <w:p w14:paraId="3BFE5A7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c>
          <w:tcPr>
            <w:tcW w:w="582" w:type="pct"/>
            <w:tcBorders>
              <w:tl2br w:val="nil"/>
              <w:tr2bl w:val="nil"/>
            </w:tcBorders>
            <w:vAlign w:val="center"/>
          </w:tcPr>
          <w:p w14:paraId="58E5754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8.57E-06</w:t>
            </w:r>
          </w:p>
        </w:tc>
        <w:tc>
          <w:tcPr>
            <w:tcW w:w="540" w:type="pct"/>
            <w:tcBorders>
              <w:tl2br w:val="nil"/>
              <w:tr2bl w:val="nil"/>
            </w:tcBorders>
            <w:vAlign w:val="center"/>
          </w:tcPr>
          <w:p w14:paraId="34C256B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0.09</w:t>
            </w:r>
          </w:p>
        </w:tc>
        <w:tc>
          <w:tcPr>
            <w:tcW w:w="582" w:type="pct"/>
            <w:tcBorders>
              <w:tl2br w:val="nil"/>
              <w:tr2bl w:val="nil"/>
            </w:tcBorders>
            <w:vAlign w:val="center"/>
          </w:tcPr>
          <w:p w14:paraId="766C310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3.67E-06</w:t>
            </w:r>
          </w:p>
        </w:tc>
        <w:tc>
          <w:tcPr>
            <w:tcW w:w="551" w:type="pct"/>
            <w:tcBorders>
              <w:tl2br w:val="nil"/>
              <w:tr2bl w:val="nil"/>
            </w:tcBorders>
            <w:vAlign w:val="center"/>
          </w:tcPr>
          <w:p w14:paraId="6FDD924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r>
      <w:tr w14:paraId="7381D9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3990814A">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5000</w:t>
            </w:r>
          </w:p>
        </w:tc>
        <w:tc>
          <w:tcPr>
            <w:tcW w:w="580" w:type="pct"/>
            <w:tcBorders>
              <w:tl2br w:val="nil"/>
              <w:tr2bl w:val="nil"/>
            </w:tcBorders>
            <w:vAlign w:val="center"/>
          </w:tcPr>
          <w:p w14:paraId="4806E3B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6.24E-04</w:t>
            </w:r>
          </w:p>
        </w:tc>
        <w:tc>
          <w:tcPr>
            <w:tcW w:w="573" w:type="pct"/>
            <w:tcBorders>
              <w:tl2br w:val="nil"/>
              <w:tr2bl w:val="nil"/>
            </w:tcBorders>
            <w:vAlign w:val="center"/>
          </w:tcPr>
          <w:p w14:paraId="1BE4E3A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0.03</w:t>
            </w:r>
          </w:p>
        </w:tc>
        <w:tc>
          <w:tcPr>
            <w:tcW w:w="580" w:type="pct"/>
            <w:tcBorders>
              <w:tl2br w:val="nil"/>
              <w:tr2bl w:val="nil"/>
            </w:tcBorders>
            <w:vAlign w:val="center"/>
          </w:tcPr>
          <w:p w14:paraId="183FD36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8.13E-06</w:t>
            </w:r>
          </w:p>
        </w:tc>
        <w:tc>
          <w:tcPr>
            <w:tcW w:w="567" w:type="pct"/>
            <w:tcBorders>
              <w:tl2br w:val="nil"/>
              <w:tr2bl w:val="nil"/>
            </w:tcBorders>
            <w:vAlign w:val="center"/>
          </w:tcPr>
          <w:p w14:paraId="3BC78113">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w:t>
            </w:r>
          </w:p>
        </w:tc>
        <w:tc>
          <w:tcPr>
            <w:tcW w:w="582" w:type="pct"/>
            <w:tcBorders>
              <w:tl2br w:val="nil"/>
              <w:tr2bl w:val="nil"/>
            </w:tcBorders>
            <w:vAlign w:val="center"/>
          </w:tcPr>
          <w:p w14:paraId="0AF9EC3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6.32E-06</w:t>
            </w:r>
          </w:p>
        </w:tc>
        <w:tc>
          <w:tcPr>
            <w:tcW w:w="540" w:type="pct"/>
            <w:tcBorders>
              <w:tl2br w:val="nil"/>
              <w:tr2bl w:val="nil"/>
            </w:tcBorders>
            <w:vAlign w:val="center"/>
          </w:tcPr>
          <w:p w14:paraId="746D278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0.06</w:t>
            </w:r>
          </w:p>
        </w:tc>
        <w:tc>
          <w:tcPr>
            <w:tcW w:w="582" w:type="pct"/>
            <w:tcBorders>
              <w:tl2br w:val="nil"/>
              <w:tr2bl w:val="nil"/>
            </w:tcBorders>
            <w:vAlign w:val="center"/>
          </w:tcPr>
          <w:p w14:paraId="7663CAA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2.71E-06</w:t>
            </w:r>
          </w:p>
        </w:tc>
        <w:tc>
          <w:tcPr>
            <w:tcW w:w="551" w:type="pct"/>
            <w:tcBorders>
              <w:tl2br w:val="nil"/>
              <w:tr2bl w:val="nil"/>
            </w:tcBorders>
            <w:vAlign w:val="center"/>
          </w:tcPr>
          <w:p w14:paraId="6A569063">
            <w:pPr>
              <w:spacing w:line="240" w:lineRule="auto"/>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0.01</w:t>
            </w:r>
          </w:p>
        </w:tc>
      </w:tr>
      <w:tr w14:paraId="4CB0DA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5637A1F3">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10000</w:t>
            </w:r>
          </w:p>
        </w:tc>
        <w:tc>
          <w:tcPr>
            <w:tcW w:w="580" w:type="pct"/>
            <w:tcBorders>
              <w:tl2br w:val="nil"/>
              <w:tr2bl w:val="nil"/>
            </w:tcBorders>
            <w:vAlign w:val="center"/>
          </w:tcPr>
          <w:p w14:paraId="590778D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2.42E-04</w:t>
            </w:r>
          </w:p>
        </w:tc>
        <w:tc>
          <w:tcPr>
            <w:tcW w:w="573" w:type="pct"/>
            <w:tcBorders>
              <w:tl2br w:val="nil"/>
              <w:tr2bl w:val="nil"/>
            </w:tcBorders>
            <w:vAlign w:val="center"/>
          </w:tcPr>
          <w:p w14:paraId="4DF088B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c>
          <w:tcPr>
            <w:tcW w:w="580" w:type="pct"/>
            <w:tcBorders>
              <w:tl2br w:val="nil"/>
              <w:tr2bl w:val="nil"/>
            </w:tcBorders>
            <w:vAlign w:val="center"/>
          </w:tcPr>
          <w:p w14:paraId="6A644A2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3.16E-06</w:t>
            </w:r>
          </w:p>
        </w:tc>
        <w:tc>
          <w:tcPr>
            <w:tcW w:w="567" w:type="pct"/>
            <w:tcBorders>
              <w:tl2br w:val="nil"/>
              <w:tr2bl w:val="nil"/>
            </w:tcBorders>
            <w:vAlign w:val="center"/>
          </w:tcPr>
          <w:p w14:paraId="501C8D2F">
            <w:pPr>
              <w:spacing w:line="240" w:lineRule="auto"/>
              <w:ind w:firstLine="0" w:firstLineChars="0"/>
              <w:jc w:val="center"/>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0.00</w:t>
            </w:r>
          </w:p>
        </w:tc>
        <w:tc>
          <w:tcPr>
            <w:tcW w:w="582" w:type="pct"/>
            <w:tcBorders>
              <w:tl2br w:val="nil"/>
              <w:tr2bl w:val="nil"/>
            </w:tcBorders>
            <w:vAlign w:val="center"/>
          </w:tcPr>
          <w:p w14:paraId="0F55C7C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2.46E-06</w:t>
            </w:r>
          </w:p>
        </w:tc>
        <w:tc>
          <w:tcPr>
            <w:tcW w:w="540" w:type="pct"/>
            <w:tcBorders>
              <w:tl2br w:val="nil"/>
              <w:tr2bl w:val="nil"/>
            </w:tcBorders>
            <w:vAlign w:val="center"/>
          </w:tcPr>
          <w:p w14:paraId="026EAAA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0.02</w:t>
            </w:r>
          </w:p>
        </w:tc>
        <w:tc>
          <w:tcPr>
            <w:tcW w:w="582" w:type="pct"/>
            <w:tcBorders>
              <w:tl2br w:val="nil"/>
              <w:tr2bl w:val="nil"/>
            </w:tcBorders>
            <w:vAlign w:val="center"/>
          </w:tcPr>
          <w:p w14:paraId="55BD71F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1.05E-06</w:t>
            </w:r>
          </w:p>
        </w:tc>
        <w:tc>
          <w:tcPr>
            <w:tcW w:w="551" w:type="pct"/>
            <w:tcBorders>
              <w:tl2br w:val="nil"/>
              <w:tr2bl w:val="nil"/>
            </w:tcBorders>
            <w:vAlign w:val="center"/>
          </w:tcPr>
          <w:p w14:paraId="652107D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lang w:val="en-US"/>
              </w:rPr>
              <w:t>0.00</w:t>
            </w:r>
          </w:p>
        </w:tc>
      </w:tr>
      <w:tr w14:paraId="4E1781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4E252686">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15000</w:t>
            </w:r>
          </w:p>
        </w:tc>
        <w:tc>
          <w:tcPr>
            <w:tcW w:w="580" w:type="pct"/>
            <w:tcBorders>
              <w:tl2br w:val="nil"/>
              <w:tr2bl w:val="nil"/>
            </w:tcBorders>
            <w:vAlign w:val="center"/>
          </w:tcPr>
          <w:p w14:paraId="73DA312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1.39E-04</w:t>
            </w:r>
          </w:p>
        </w:tc>
        <w:tc>
          <w:tcPr>
            <w:tcW w:w="573" w:type="pct"/>
            <w:tcBorders>
              <w:tl2br w:val="nil"/>
              <w:tr2bl w:val="nil"/>
            </w:tcBorders>
            <w:vAlign w:val="center"/>
          </w:tcPr>
          <w:p w14:paraId="75D1CDE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c>
          <w:tcPr>
            <w:tcW w:w="580" w:type="pct"/>
            <w:tcBorders>
              <w:tl2br w:val="nil"/>
              <w:tr2bl w:val="nil"/>
            </w:tcBorders>
            <w:vAlign w:val="center"/>
          </w:tcPr>
          <w:p w14:paraId="4927C3A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1.82E-06</w:t>
            </w:r>
          </w:p>
        </w:tc>
        <w:tc>
          <w:tcPr>
            <w:tcW w:w="567" w:type="pct"/>
            <w:tcBorders>
              <w:tl2br w:val="nil"/>
              <w:tr2bl w:val="nil"/>
            </w:tcBorders>
            <w:vAlign w:val="center"/>
          </w:tcPr>
          <w:p w14:paraId="79ACC437">
            <w:pPr>
              <w:spacing w:line="240" w:lineRule="auto"/>
              <w:ind w:firstLine="0" w:firstLineChars="0"/>
              <w:jc w:val="center"/>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0.00</w:t>
            </w:r>
          </w:p>
        </w:tc>
        <w:tc>
          <w:tcPr>
            <w:tcW w:w="582" w:type="pct"/>
            <w:tcBorders>
              <w:tl2br w:val="nil"/>
              <w:tr2bl w:val="nil"/>
            </w:tcBorders>
            <w:vAlign w:val="center"/>
          </w:tcPr>
          <w:p w14:paraId="2876430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1.41E-06</w:t>
            </w:r>
          </w:p>
        </w:tc>
        <w:tc>
          <w:tcPr>
            <w:tcW w:w="540" w:type="pct"/>
            <w:tcBorders>
              <w:tl2br w:val="nil"/>
              <w:tr2bl w:val="nil"/>
            </w:tcBorders>
            <w:vAlign w:val="center"/>
          </w:tcPr>
          <w:p w14:paraId="7FDB718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c>
          <w:tcPr>
            <w:tcW w:w="582" w:type="pct"/>
            <w:tcBorders>
              <w:tl2br w:val="nil"/>
              <w:tr2bl w:val="nil"/>
            </w:tcBorders>
            <w:vAlign w:val="center"/>
          </w:tcPr>
          <w:p w14:paraId="1E6346E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6.06E-07</w:t>
            </w:r>
          </w:p>
        </w:tc>
        <w:tc>
          <w:tcPr>
            <w:tcW w:w="551" w:type="pct"/>
            <w:tcBorders>
              <w:tl2br w:val="nil"/>
              <w:tr2bl w:val="nil"/>
            </w:tcBorders>
            <w:vAlign w:val="center"/>
          </w:tcPr>
          <w:p w14:paraId="4E79327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lang w:val="en-US"/>
              </w:rPr>
              <w:t>0.00</w:t>
            </w:r>
          </w:p>
        </w:tc>
      </w:tr>
      <w:tr w14:paraId="0D8C4C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7" w:hRule="atLeast"/>
          <w:jc w:val="center"/>
        </w:trPr>
        <w:tc>
          <w:tcPr>
            <w:tcW w:w="440" w:type="pct"/>
            <w:tcBorders>
              <w:tl2br w:val="nil"/>
              <w:tr2bl w:val="nil"/>
            </w:tcBorders>
            <w:vAlign w:val="center"/>
          </w:tcPr>
          <w:p w14:paraId="41143A49">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20000</w:t>
            </w:r>
          </w:p>
        </w:tc>
        <w:tc>
          <w:tcPr>
            <w:tcW w:w="580" w:type="pct"/>
            <w:tcBorders>
              <w:tl2br w:val="nil"/>
              <w:tr2bl w:val="nil"/>
            </w:tcBorders>
            <w:vAlign w:val="center"/>
          </w:tcPr>
          <w:p w14:paraId="7C0AA94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9.41E-05</w:t>
            </w:r>
          </w:p>
        </w:tc>
        <w:tc>
          <w:tcPr>
            <w:tcW w:w="573" w:type="pct"/>
            <w:tcBorders>
              <w:tl2br w:val="nil"/>
              <w:tr2bl w:val="nil"/>
            </w:tcBorders>
            <w:vAlign w:val="center"/>
          </w:tcPr>
          <w:p w14:paraId="55B7D63B">
            <w:pPr>
              <w:spacing w:line="240" w:lineRule="auto"/>
              <w:ind w:firstLine="0" w:firstLineChars="0"/>
              <w:jc w:val="center"/>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0.00</w:t>
            </w:r>
          </w:p>
        </w:tc>
        <w:tc>
          <w:tcPr>
            <w:tcW w:w="580" w:type="pct"/>
            <w:tcBorders>
              <w:tl2br w:val="nil"/>
              <w:tr2bl w:val="nil"/>
            </w:tcBorders>
            <w:vAlign w:val="center"/>
          </w:tcPr>
          <w:p w14:paraId="5A66828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1.23E-06</w:t>
            </w:r>
          </w:p>
        </w:tc>
        <w:tc>
          <w:tcPr>
            <w:tcW w:w="567" w:type="pct"/>
            <w:tcBorders>
              <w:tl2br w:val="nil"/>
              <w:tr2bl w:val="nil"/>
            </w:tcBorders>
            <w:vAlign w:val="center"/>
          </w:tcPr>
          <w:p w14:paraId="4DB5E80B">
            <w:pPr>
              <w:spacing w:line="240" w:lineRule="auto"/>
              <w:ind w:firstLine="0" w:firstLineChars="0"/>
              <w:jc w:val="center"/>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0.00</w:t>
            </w:r>
          </w:p>
        </w:tc>
        <w:tc>
          <w:tcPr>
            <w:tcW w:w="582" w:type="pct"/>
            <w:tcBorders>
              <w:tl2br w:val="nil"/>
              <w:tr2bl w:val="nil"/>
            </w:tcBorders>
            <w:vAlign w:val="center"/>
          </w:tcPr>
          <w:p w14:paraId="2B59338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9.55E-07</w:t>
            </w:r>
          </w:p>
        </w:tc>
        <w:tc>
          <w:tcPr>
            <w:tcW w:w="540" w:type="pct"/>
            <w:tcBorders>
              <w:tl2br w:val="nil"/>
              <w:tr2bl w:val="nil"/>
            </w:tcBorders>
            <w:vAlign w:val="center"/>
          </w:tcPr>
          <w:p w14:paraId="7F0BAEF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c>
          <w:tcPr>
            <w:tcW w:w="582" w:type="pct"/>
            <w:tcBorders>
              <w:tl2br w:val="nil"/>
              <w:tr2bl w:val="nil"/>
            </w:tcBorders>
            <w:vAlign w:val="center"/>
          </w:tcPr>
          <w:p w14:paraId="5C92853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4.09E-07</w:t>
            </w:r>
          </w:p>
        </w:tc>
        <w:tc>
          <w:tcPr>
            <w:tcW w:w="551" w:type="pct"/>
            <w:tcBorders>
              <w:tl2br w:val="nil"/>
              <w:tr2bl w:val="nil"/>
            </w:tcBorders>
            <w:vAlign w:val="center"/>
          </w:tcPr>
          <w:p w14:paraId="7301F62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lang w:val="en-US"/>
              </w:rPr>
              <w:t>0.00</w:t>
            </w:r>
          </w:p>
        </w:tc>
      </w:tr>
      <w:tr w14:paraId="19B581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41E2EDDF">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25000</w:t>
            </w:r>
          </w:p>
        </w:tc>
        <w:tc>
          <w:tcPr>
            <w:tcW w:w="580" w:type="pct"/>
            <w:tcBorders>
              <w:tl2br w:val="nil"/>
              <w:tr2bl w:val="nil"/>
            </w:tcBorders>
            <w:vAlign w:val="center"/>
          </w:tcPr>
          <w:p w14:paraId="78903FD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6.94E-05</w:t>
            </w:r>
          </w:p>
        </w:tc>
        <w:tc>
          <w:tcPr>
            <w:tcW w:w="573" w:type="pct"/>
            <w:tcBorders>
              <w:tl2br w:val="nil"/>
              <w:tr2bl w:val="nil"/>
            </w:tcBorders>
            <w:vAlign w:val="center"/>
          </w:tcPr>
          <w:p w14:paraId="7D87D744">
            <w:pPr>
              <w:spacing w:line="240" w:lineRule="auto"/>
              <w:ind w:firstLine="0" w:firstLineChars="0"/>
              <w:jc w:val="center"/>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0.00</w:t>
            </w:r>
          </w:p>
        </w:tc>
        <w:tc>
          <w:tcPr>
            <w:tcW w:w="580" w:type="pct"/>
            <w:tcBorders>
              <w:tl2br w:val="nil"/>
              <w:tr2bl w:val="nil"/>
            </w:tcBorders>
            <w:vAlign w:val="center"/>
          </w:tcPr>
          <w:p w14:paraId="665A1FF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9.06E-07</w:t>
            </w:r>
          </w:p>
        </w:tc>
        <w:tc>
          <w:tcPr>
            <w:tcW w:w="567" w:type="pct"/>
            <w:tcBorders>
              <w:tl2br w:val="nil"/>
              <w:tr2bl w:val="nil"/>
            </w:tcBorders>
            <w:vAlign w:val="center"/>
          </w:tcPr>
          <w:p w14:paraId="45256EB7">
            <w:pPr>
              <w:spacing w:line="240" w:lineRule="auto"/>
              <w:ind w:firstLine="0" w:firstLineChars="0"/>
              <w:jc w:val="center"/>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0.00</w:t>
            </w:r>
          </w:p>
        </w:tc>
        <w:tc>
          <w:tcPr>
            <w:tcW w:w="582" w:type="pct"/>
            <w:tcBorders>
              <w:tl2br w:val="nil"/>
              <w:tr2bl w:val="nil"/>
            </w:tcBorders>
            <w:vAlign w:val="center"/>
          </w:tcPr>
          <w:p w14:paraId="3209402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7.04E-07</w:t>
            </w:r>
          </w:p>
        </w:tc>
        <w:tc>
          <w:tcPr>
            <w:tcW w:w="540" w:type="pct"/>
            <w:tcBorders>
              <w:tl2br w:val="nil"/>
              <w:tr2bl w:val="nil"/>
            </w:tcBorders>
            <w:vAlign w:val="center"/>
          </w:tcPr>
          <w:p w14:paraId="73CECF5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c>
          <w:tcPr>
            <w:tcW w:w="582" w:type="pct"/>
            <w:tcBorders>
              <w:tl2br w:val="nil"/>
              <w:tr2bl w:val="nil"/>
            </w:tcBorders>
            <w:vAlign w:val="center"/>
          </w:tcPr>
          <w:p w14:paraId="489579B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3.02E-07</w:t>
            </w:r>
          </w:p>
        </w:tc>
        <w:tc>
          <w:tcPr>
            <w:tcW w:w="551" w:type="pct"/>
            <w:tcBorders>
              <w:tl2br w:val="nil"/>
              <w:tr2bl w:val="nil"/>
            </w:tcBorders>
            <w:vAlign w:val="center"/>
          </w:tcPr>
          <w:p w14:paraId="24DCB95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lang w:val="en-US"/>
              </w:rPr>
              <w:t>0.00</w:t>
            </w:r>
          </w:p>
        </w:tc>
      </w:tr>
      <w:tr w14:paraId="308BCD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3F4500C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下风向最大质量浓度及占标率%</w:t>
            </w:r>
          </w:p>
        </w:tc>
        <w:tc>
          <w:tcPr>
            <w:tcW w:w="580" w:type="pct"/>
            <w:tcBorders>
              <w:tl2br w:val="nil"/>
              <w:tr2bl w:val="nil"/>
            </w:tcBorders>
            <w:vAlign w:val="center"/>
          </w:tcPr>
          <w:p w14:paraId="410B70F8">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3.66E-02</w:t>
            </w:r>
          </w:p>
        </w:tc>
        <w:tc>
          <w:tcPr>
            <w:tcW w:w="573" w:type="pct"/>
            <w:tcBorders>
              <w:tl2br w:val="nil"/>
              <w:tr2bl w:val="nil"/>
            </w:tcBorders>
            <w:vAlign w:val="center"/>
          </w:tcPr>
          <w:p w14:paraId="6DD34781">
            <w:pPr>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1.83</w:t>
            </w:r>
          </w:p>
        </w:tc>
        <w:tc>
          <w:tcPr>
            <w:tcW w:w="580" w:type="pct"/>
            <w:tcBorders>
              <w:tl2br w:val="nil"/>
              <w:tr2bl w:val="nil"/>
            </w:tcBorders>
            <w:vAlign w:val="center"/>
          </w:tcPr>
          <w:p w14:paraId="7711B68A">
            <w:pPr>
              <w:pStyle w:val="83"/>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rPr>
              <w:t>4.78E-04</w:t>
            </w:r>
          </w:p>
        </w:tc>
        <w:tc>
          <w:tcPr>
            <w:tcW w:w="567" w:type="pct"/>
            <w:tcBorders>
              <w:tl2br w:val="nil"/>
              <w:tr2bl w:val="nil"/>
            </w:tcBorders>
            <w:vAlign w:val="center"/>
          </w:tcPr>
          <w:p w14:paraId="6F7E85B5">
            <w:pPr>
              <w:pStyle w:val="83"/>
              <w:spacing w:line="240" w:lineRule="auto"/>
              <w:ind w:left="0" w:leftChars="0" w:right="0" w:rightChars="0"/>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0.24</w:t>
            </w:r>
          </w:p>
        </w:tc>
        <w:tc>
          <w:tcPr>
            <w:tcW w:w="582" w:type="pct"/>
            <w:tcBorders>
              <w:tl2br w:val="nil"/>
              <w:tr2bl w:val="nil"/>
            </w:tcBorders>
            <w:vAlign w:val="center"/>
          </w:tcPr>
          <w:p w14:paraId="4785209C">
            <w:pPr>
              <w:pStyle w:val="83"/>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rPr>
              <w:t>3.71E-04</w:t>
            </w:r>
          </w:p>
        </w:tc>
        <w:tc>
          <w:tcPr>
            <w:tcW w:w="540" w:type="pct"/>
            <w:tcBorders>
              <w:tl2br w:val="nil"/>
              <w:tr2bl w:val="nil"/>
            </w:tcBorders>
            <w:vAlign w:val="center"/>
          </w:tcPr>
          <w:p w14:paraId="78490273">
            <w:pPr>
              <w:pStyle w:val="83"/>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rPr>
              <w:t>3.71</w:t>
            </w:r>
          </w:p>
        </w:tc>
        <w:tc>
          <w:tcPr>
            <w:tcW w:w="582" w:type="pct"/>
            <w:tcBorders>
              <w:tl2br w:val="nil"/>
              <w:tr2bl w:val="nil"/>
            </w:tcBorders>
            <w:vAlign w:val="center"/>
          </w:tcPr>
          <w:p w14:paraId="251E8579">
            <w:pPr>
              <w:spacing w:line="240" w:lineRule="auto"/>
              <w:ind w:firstLine="0" w:firstLineChars="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1.59E-04</w:t>
            </w:r>
          </w:p>
        </w:tc>
        <w:tc>
          <w:tcPr>
            <w:tcW w:w="551" w:type="pct"/>
            <w:tcBorders>
              <w:tl2br w:val="nil"/>
              <w:tr2bl w:val="nil"/>
            </w:tcBorders>
            <w:vAlign w:val="center"/>
          </w:tcPr>
          <w:p w14:paraId="734DEB05">
            <w:pPr>
              <w:spacing w:line="240" w:lineRule="auto"/>
              <w:ind w:firstLine="0" w:firstLineChars="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0.32</w:t>
            </w:r>
          </w:p>
        </w:tc>
      </w:tr>
      <w:tr w14:paraId="2751C9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0EA2DDB7">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最大浓度落地点</w:t>
            </w:r>
          </w:p>
        </w:tc>
        <w:tc>
          <w:tcPr>
            <w:tcW w:w="4559" w:type="pct"/>
            <w:gridSpan w:val="8"/>
            <w:tcBorders>
              <w:tl2br w:val="nil"/>
              <w:tr2bl w:val="nil"/>
            </w:tcBorders>
            <w:vAlign w:val="center"/>
          </w:tcPr>
          <w:p w14:paraId="1E7FCD63">
            <w:pPr>
              <w:pStyle w:val="83"/>
              <w:spacing w:line="240" w:lineRule="auto"/>
              <w:ind w:left="0" w:leftChars="0" w:right="0" w:rightChars="0"/>
              <w:rPr>
                <w:rFonts w:hint="default" w:ascii="Times New Roman" w:hAnsi="Times New Roman" w:cs="Times New Roman"/>
                <w:b/>
                <w:bCs/>
                <w:color w:val="auto"/>
                <w:szCs w:val="21"/>
              </w:rPr>
            </w:pPr>
            <w:r>
              <w:rPr>
                <w:rFonts w:hint="eastAsia" w:ascii="Times New Roman" w:hAnsi="Times New Roman" w:eastAsia="宋体" w:cs="Times New Roman"/>
                <w:b/>
                <w:bCs/>
                <w:color w:val="auto"/>
                <w:szCs w:val="21"/>
                <w:lang w:val="en-US" w:eastAsia="zh-CN"/>
              </w:rPr>
              <w:t>118</w:t>
            </w:r>
            <w:r>
              <w:rPr>
                <w:rFonts w:hint="default" w:ascii="Times New Roman" w:hAnsi="Times New Roman" w:cs="Times New Roman"/>
                <w:b/>
                <w:bCs/>
                <w:color w:val="auto"/>
                <w:szCs w:val="21"/>
              </w:rPr>
              <w:t>m</w:t>
            </w:r>
          </w:p>
        </w:tc>
      </w:tr>
      <w:tr w14:paraId="43A5C1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40" w:type="pct"/>
            <w:tcBorders>
              <w:tl2br w:val="nil"/>
              <w:tr2bl w:val="nil"/>
            </w:tcBorders>
            <w:vAlign w:val="center"/>
          </w:tcPr>
          <w:p w14:paraId="55E71052">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D10%最远距离</w:t>
            </w:r>
          </w:p>
        </w:tc>
        <w:tc>
          <w:tcPr>
            <w:tcW w:w="4559" w:type="pct"/>
            <w:gridSpan w:val="8"/>
            <w:tcBorders>
              <w:tl2br w:val="nil"/>
              <w:tr2bl w:val="nil"/>
            </w:tcBorders>
            <w:vAlign w:val="center"/>
          </w:tcPr>
          <w:p w14:paraId="4845827D">
            <w:pPr>
              <w:pStyle w:val="83"/>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rPr>
              <w:t>/</w:t>
            </w:r>
          </w:p>
        </w:tc>
      </w:tr>
    </w:tbl>
    <w:p w14:paraId="166505BE">
      <w:pPr>
        <w:pStyle w:val="44"/>
        <w:tabs>
          <w:tab w:val="left" w:pos="567"/>
          <w:tab w:val="clear" w:pos="1120"/>
        </w:tabs>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eastAsia" w:ascii="Times New Roman" w:hAnsi="Times New Roman" w:cs="Times New Roman"/>
          <w:color w:val="auto"/>
          <w:lang w:val="en-US" w:eastAsia="zh-CN"/>
        </w:rPr>
        <w:t>2.6</w:t>
      </w:r>
      <w:r>
        <w:rPr>
          <w:rFonts w:hint="default" w:ascii="Times New Roman" w:hAnsi="Times New Roman" w:cs="Times New Roman"/>
          <w:color w:val="auto"/>
          <w:lang w:eastAsia="zh-CN"/>
        </w:rPr>
        <w:t>-</w:t>
      </w:r>
      <w:r>
        <w:rPr>
          <w:rFonts w:hint="eastAsia" w:cs="Times New Roman"/>
          <w:color w:val="auto"/>
          <w:lang w:val="en-US" w:eastAsia="zh-CN"/>
        </w:rPr>
        <w:t>10</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lang w:val="en-US"/>
        </w:rPr>
        <w:t>废气</w:t>
      </w:r>
      <w:r>
        <w:rPr>
          <w:rFonts w:hint="default" w:ascii="Times New Roman" w:hAnsi="Times New Roman" w:eastAsia="宋体" w:cs="Times New Roman"/>
          <w:color w:val="auto"/>
          <w:highlight w:val="none"/>
        </w:rPr>
        <w:t>估算模式计算结果表（</w:t>
      </w:r>
      <w:r>
        <w:rPr>
          <w:rFonts w:hint="default" w:ascii="Times New Roman" w:hAnsi="Times New Roman" w:eastAsia="宋体" w:cs="Times New Roman"/>
          <w:color w:val="auto"/>
          <w:highlight w:val="none"/>
          <w:lang w:val="en-US"/>
        </w:rPr>
        <w:t>面源</w:t>
      </w:r>
      <w:r>
        <w:rPr>
          <w:rFonts w:hint="default" w:ascii="Times New Roman" w:hAnsi="Times New Roman" w:eastAsia="宋体" w:cs="Times New Roman"/>
          <w:color w:val="auto"/>
          <w:highlight w:val="none"/>
        </w:rPr>
        <w:t>）</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29"/>
        <w:gridCol w:w="1667"/>
        <w:gridCol w:w="872"/>
        <w:gridCol w:w="1667"/>
        <w:gridCol w:w="872"/>
        <w:gridCol w:w="1667"/>
        <w:gridCol w:w="855"/>
        <w:gridCol w:w="1667"/>
        <w:gridCol w:w="853"/>
        <w:gridCol w:w="1667"/>
        <w:gridCol w:w="872"/>
      </w:tblGrid>
      <w:tr w14:paraId="2E6FEE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5" w:hRule="atLeast"/>
          <w:jc w:val="center"/>
        </w:trPr>
        <w:tc>
          <w:tcPr>
            <w:tcW w:w="0" w:type="auto"/>
            <w:vMerge w:val="restart"/>
            <w:tcBorders>
              <w:tl2br w:val="nil"/>
              <w:tr2bl w:val="nil"/>
            </w:tcBorders>
            <w:vAlign w:val="center"/>
          </w:tcPr>
          <w:p w14:paraId="05573B50">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下风向距离/m</w:t>
            </w:r>
          </w:p>
        </w:tc>
        <w:tc>
          <w:tcPr>
            <w:tcW w:w="0" w:type="auto"/>
            <w:gridSpan w:val="4"/>
            <w:tcBorders>
              <w:right w:val="single" w:color="000000" w:sz="4" w:space="0"/>
              <w:tl2br w:val="nil"/>
              <w:tr2bl w:val="nil"/>
            </w:tcBorders>
            <w:vAlign w:val="center"/>
          </w:tcPr>
          <w:p w14:paraId="1B5ECA40">
            <w:pPr>
              <w:pStyle w:val="83"/>
              <w:spacing w:line="240" w:lineRule="auto"/>
              <w:ind w:left="0" w:leftChars="0" w:right="0" w:right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lang w:val="en-US" w:eastAsia="zh-CN"/>
              </w:rPr>
              <w:t>喷涂、管路和喷枪清洗、丝印</w:t>
            </w:r>
          </w:p>
        </w:tc>
        <w:tc>
          <w:tcPr>
            <w:tcW w:w="0" w:type="auto"/>
            <w:gridSpan w:val="2"/>
            <w:tcBorders>
              <w:left w:val="single" w:color="000000" w:sz="4" w:space="0"/>
              <w:tl2br w:val="nil"/>
              <w:tr2bl w:val="nil"/>
            </w:tcBorders>
            <w:vAlign w:val="center"/>
          </w:tcPr>
          <w:p w14:paraId="2D302F98">
            <w:pPr>
              <w:pStyle w:val="83"/>
              <w:spacing w:line="240" w:lineRule="auto"/>
              <w:ind w:left="0" w:leftChars="0" w:right="0" w:right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配胶、喷胶及烘干</w:t>
            </w:r>
            <w:r>
              <w:rPr>
                <w:rFonts w:hint="default" w:ascii="Times New Roman" w:hAnsi="Times New Roman" w:cs="Times New Roman"/>
                <w:color w:val="auto"/>
                <w:lang w:val="en-US" w:eastAsia="zh-CN"/>
              </w:rPr>
              <w:t>、发泡</w:t>
            </w:r>
          </w:p>
        </w:tc>
        <w:tc>
          <w:tcPr>
            <w:tcW w:w="0" w:type="auto"/>
            <w:gridSpan w:val="2"/>
            <w:tcBorders>
              <w:left w:val="single" w:color="000000" w:sz="4" w:space="0"/>
              <w:right w:val="single" w:color="000000" w:sz="4" w:space="0"/>
              <w:tl2br w:val="nil"/>
              <w:tr2bl w:val="nil"/>
            </w:tcBorders>
            <w:vAlign w:val="center"/>
          </w:tcPr>
          <w:p w14:paraId="1AE0A86C">
            <w:pPr>
              <w:pStyle w:val="83"/>
              <w:spacing w:line="240" w:lineRule="auto"/>
              <w:ind w:left="19" w:leftChars="9" w:right="19" w:rightChars="9" w:firstLine="0" w:firstLineChars="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打磨、抛光</w:t>
            </w:r>
          </w:p>
        </w:tc>
        <w:tc>
          <w:tcPr>
            <w:tcW w:w="0" w:type="auto"/>
            <w:gridSpan w:val="2"/>
            <w:tcBorders>
              <w:left w:val="single" w:color="000000" w:sz="4" w:space="0"/>
              <w:tl2br w:val="nil"/>
              <w:tr2bl w:val="nil"/>
            </w:tcBorders>
            <w:vAlign w:val="center"/>
          </w:tcPr>
          <w:p w14:paraId="3ADB21EB">
            <w:pPr>
              <w:pStyle w:val="83"/>
              <w:spacing w:line="240" w:lineRule="auto"/>
              <w:ind w:left="0" w:leftChars="0" w:right="0" w:rightChars="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破碎</w:t>
            </w:r>
          </w:p>
        </w:tc>
      </w:tr>
      <w:tr w14:paraId="1A1768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5" w:hRule="atLeast"/>
          <w:jc w:val="center"/>
        </w:trPr>
        <w:tc>
          <w:tcPr>
            <w:tcW w:w="0" w:type="auto"/>
            <w:vMerge w:val="continue"/>
            <w:tcBorders>
              <w:tl2br w:val="nil"/>
              <w:tr2bl w:val="nil"/>
            </w:tcBorders>
            <w:vAlign w:val="center"/>
          </w:tcPr>
          <w:p w14:paraId="22D150D8">
            <w:pPr>
              <w:pStyle w:val="83"/>
              <w:spacing w:line="240" w:lineRule="auto"/>
              <w:ind w:left="0" w:leftChars="0" w:right="0" w:rightChars="0"/>
              <w:rPr>
                <w:rFonts w:hint="default" w:ascii="Times New Roman" w:hAnsi="Times New Roman" w:cs="Times New Roman"/>
                <w:color w:val="auto"/>
                <w:szCs w:val="21"/>
              </w:rPr>
            </w:pPr>
          </w:p>
        </w:tc>
        <w:tc>
          <w:tcPr>
            <w:tcW w:w="0" w:type="auto"/>
            <w:gridSpan w:val="2"/>
            <w:tcBorders>
              <w:tl2br w:val="nil"/>
              <w:tr2bl w:val="nil"/>
            </w:tcBorders>
            <w:vAlign w:val="center"/>
          </w:tcPr>
          <w:p w14:paraId="2ACBE831">
            <w:pPr>
              <w:pStyle w:val="83"/>
              <w:spacing w:line="240" w:lineRule="auto"/>
              <w:ind w:left="19" w:leftChars="9" w:right="19" w:rightChars="9" w:firstLine="0" w:firstLine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TSP</w:t>
            </w:r>
          </w:p>
        </w:tc>
        <w:tc>
          <w:tcPr>
            <w:tcW w:w="0" w:type="auto"/>
            <w:gridSpan w:val="2"/>
            <w:tcBorders>
              <w:right w:val="single" w:color="000000" w:sz="4" w:space="0"/>
              <w:tl2br w:val="nil"/>
              <w:tr2bl w:val="nil"/>
            </w:tcBorders>
            <w:vAlign w:val="center"/>
          </w:tcPr>
          <w:p w14:paraId="667C7133">
            <w:pPr>
              <w:pStyle w:val="83"/>
              <w:spacing w:line="240" w:lineRule="auto"/>
              <w:ind w:left="19" w:leftChars="9" w:right="19" w:rightChars="9" w:firstLine="0" w:firstLineChars="0"/>
              <w:rPr>
                <w:rFonts w:hint="default" w:ascii="Times New Roman" w:hAnsi="Times New Roman" w:cs="Times New Roman"/>
                <w:color w:val="auto"/>
                <w:szCs w:val="21"/>
              </w:rPr>
            </w:pPr>
            <w:r>
              <w:rPr>
                <w:rFonts w:hint="default" w:ascii="Times New Roman" w:hAnsi="Times New Roman" w:cs="Times New Roman"/>
                <w:color w:val="auto"/>
              </w:rPr>
              <w:t>非甲烷总烃</w:t>
            </w:r>
          </w:p>
        </w:tc>
        <w:tc>
          <w:tcPr>
            <w:tcW w:w="0" w:type="auto"/>
            <w:gridSpan w:val="2"/>
            <w:tcBorders>
              <w:left w:val="single" w:color="000000" w:sz="4" w:space="0"/>
              <w:tl2br w:val="nil"/>
              <w:tr2bl w:val="nil"/>
            </w:tcBorders>
            <w:vAlign w:val="center"/>
          </w:tcPr>
          <w:p w14:paraId="570EA423">
            <w:pPr>
              <w:pStyle w:val="83"/>
              <w:spacing w:line="240" w:lineRule="auto"/>
              <w:ind w:left="19" w:leftChars="9" w:right="19" w:rightChars="9" w:firstLine="0" w:firstLineChars="0"/>
              <w:rPr>
                <w:rFonts w:hint="default" w:ascii="Times New Roman" w:hAnsi="Times New Roman" w:cs="Times New Roman"/>
                <w:color w:val="auto"/>
                <w:szCs w:val="21"/>
              </w:rPr>
            </w:pPr>
            <w:r>
              <w:rPr>
                <w:rFonts w:hint="eastAsia" w:ascii="Times New Roman" w:hAnsi="Times New Roman" w:eastAsia="宋体" w:cs="Times New Roman"/>
                <w:color w:val="auto"/>
                <w:szCs w:val="21"/>
                <w:lang w:val="en-US" w:eastAsia="zh-CN"/>
              </w:rPr>
              <w:t>非甲烷总烃</w:t>
            </w:r>
          </w:p>
        </w:tc>
        <w:tc>
          <w:tcPr>
            <w:tcW w:w="0" w:type="auto"/>
            <w:gridSpan w:val="2"/>
            <w:tcBorders>
              <w:left w:val="single" w:color="000000" w:sz="4" w:space="0"/>
              <w:right w:val="single" w:color="000000" w:sz="4" w:space="0"/>
              <w:tl2br w:val="nil"/>
              <w:tr2bl w:val="nil"/>
            </w:tcBorders>
            <w:vAlign w:val="center"/>
          </w:tcPr>
          <w:p w14:paraId="5304149E">
            <w:pPr>
              <w:spacing w:line="240" w:lineRule="auto"/>
              <w:ind w:left="19" w:leftChars="9" w:right="19" w:rightChars="9" w:firstLine="0" w:firstLineChars="0"/>
              <w:jc w:val="center"/>
              <w:rPr>
                <w:rFonts w:hint="default" w:ascii="Times New Roman" w:hAnsi="Times New Roman" w:cs="Times New Roman"/>
                <w:color w:val="auto"/>
                <w:szCs w:val="21"/>
              </w:rPr>
            </w:pPr>
            <w:r>
              <w:rPr>
                <w:rFonts w:hint="eastAsia" w:ascii="Times New Roman" w:hAnsi="Times New Roman" w:eastAsia="宋体" w:cs="Times New Roman"/>
                <w:color w:val="auto"/>
                <w:szCs w:val="21"/>
                <w:lang w:val="en-US" w:eastAsia="zh-CN"/>
              </w:rPr>
              <w:t>TSP</w:t>
            </w:r>
          </w:p>
        </w:tc>
        <w:tc>
          <w:tcPr>
            <w:tcW w:w="0" w:type="auto"/>
            <w:gridSpan w:val="2"/>
            <w:tcBorders>
              <w:left w:val="single" w:color="000000" w:sz="4" w:space="0"/>
              <w:tl2br w:val="nil"/>
              <w:tr2bl w:val="nil"/>
            </w:tcBorders>
            <w:vAlign w:val="center"/>
          </w:tcPr>
          <w:p w14:paraId="203F9B49">
            <w:pPr>
              <w:spacing w:line="240" w:lineRule="auto"/>
              <w:ind w:left="19" w:leftChars="9" w:right="19" w:rightChars="9" w:firstLine="0" w:firstLineChars="0"/>
              <w:jc w:val="center"/>
              <w:rPr>
                <w:rFonts w:hint="default" w:ascii="Times New Roman" w:hAnsi="Times New Roman" w:cs="Times New Roman"/>
                <w:color w:val="auto"/>
                <w:szCs w:val="21"/>
              </w:rPr>
            </w:pPr>
            <w:r>
              <w:rPr>
                <w:rFonts w:hint="eastAsia" w:ascii="Times New Roman" w:hAnsi="Times New Roman" w:eastAsia="宋体" w:cs="Times New Roman"/>
                <w:color w:val="auto"/>
                <w:szCs w:val="21"/>
                <w:lang w:val="en-US" w:eastAsia="zh-CN"/>
              </w:rPr>
              <w:t>TSP</w:t>
            </w:r>
          </w:p>
        </w:tc>
      </w:tr>
      <w:tr w14:paraId="0FAC09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14:paraId="33347D38">
            <w:pPr>
              <w:pStyle w:val="83"/>
              <w:spacing w:line="240" w:lineRule="auto"/>
              <w:ind w:left="0" w:leftChars="0" w:right="0" w:rightChars="0"/>
              <w:rPr>
                <w:rFonts w:hint="default" w:ascii="Times New Roman" w:hAnsi="Times New Roman" w:cs="Times New Roman"/>
                <w:color w:val="auto"/>
                <w:szCs w:val="21"/>
              </w:rPr>
            </w:pPr>
          </w:p>
        </w:tc>
        <w:tc>
          <w:tcPr>
            <w:tcW w:w="0" w:type="auto"/>
            <w:tcBorders>
              <w:tl2br w:val="nil"/>
              <w:tr2bl w:val="nil"/>
            </w:tcBorders>
            <w:vAlign w:val="center"/>
          </w:tcPr>
          <w:p w14:paraId="1E24DCCD">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预测质量浓度/ mg/m</w:t>
            </w:r>
            <w:r>
              <w:rPr>
                <w:rFonts w:hint="default" w:ascii="Times New Roman" w:hAnsi="Times New Roman" w:cs="Times New Roman"/>
                <w:color w:val="auto"/>
                <w:szCs w:val="21"/>
                <w:vertAlign w:val="superscript"/>
              </w:rPr>
              <w:t>3</w:t>
            </w:r>
          </w:p>
        </w:tc>
        <w:tc>
          <w:tcPr>
            <w:tcW w:w="0" w:type="auto"/>
            <w:tcBorders>
              <w:tl2br w:val="nil"/>
              <w:tr2bl w:val="nil"/>
            </w:tcBorders>
            <w:vAlign w:val="center"/>
          </w:tcPr>
          <w:p w14:paraId="001413F1">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占标率/%</w:t>
            </w:r>
          </w:p>
        </w:tc>
        <w:tc>
          <w:tcPr>
            <w:tcW w:w="0" w:type="auto"/>
            <w:tcBorders>
              <w:tl2br w:val="nil"/>
              <w:tr2bl w:val="nil"/>
            </w:tcBorders>
            <w:vAlign w:val="center"/>
          </w:tcPr>
          <w:p w14:paraId="5F01F722">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预测质量浓度/ mg/m</w:t>
            </w:r>
            <w:r>
              <w:rPr>
                <w:rFonts w:hint="default" w:ascii="Times New Roman" w:hAnsi="Times New Roman" w:cs="Times New Roman"/>
                <w:color w:val="auto"/>
                <w:szCs w:val="21"/>
                <w:vertAlign w:val="superscript"/>
              </w:rPr>
              <w:t>3</w:t>
            </w:r>
          </w:p>
        </w:tc>
        <w:tc>
          <w:tcPr>
            <w:tcW w:w="0" w:type="auto"/>
            <w:tcBorders>
              <w:tl2br w:val="nil"/>
              <w:tr2bl w:val="nil"/>
            </w:tcBorders>
            <w:vAlign w:val="center"/>
          </w:tcPr>
          <w:p w14:paraId="770CD763">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占标率/%</w:t>
            </w:r>
          </w:p>
        </w:tc>
        <w:tc>
          <w:tcPr>
            <w:tcW w:w="0" w:type="auto"/>
            <w:tcBorders>
              <w:tl2br w:val="nil"/>
              <w:tr2bl w:val="nil"/>
            </w:tcBorders>
            <w:vAlign w:val="center"/>
          </w:tcPr>
          <w:p w14:paraId="6BC198F9">
            <w:pPr>
              <w:pStyle w:val="83"/>
              <w:spacing w:line="240" w:lineRule="auto"/>
              <w:ind w:left="0" w:leftChars="0" w:right="0" w:rightChars="0"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预测质量浓度/ mg/m</w:t>
            </w:r>
            <w:r>
              <w:rPr>
                <w:rFonts w:hint="default" w:ascii="Times New Roman" w:hAnsi="Times New Roman" w:cs="Times New Roman"/>
                <w:color w:val="auto"/>
                <w:szCs w:val="21"/>
                <w:vertAlign w:val="superscript"/>
              </w:rPr>
              <w:t>3</w:t>
            </w:r>
          </w:p>
        </w:tc>
        <w:tc>
          <w:tcPr>
            <w:tcW w:w="0" w:type="auto"/>
            <w:tcBorders>
              <w:tl2br w:val="nil"/>
              <w:tr2bl w:val="nil"/>
            </w:tcBorders>
            <w:vAlign w:val="center"/>
          </w:tcPr>
          <w:p w14:paraId="389902A5">
            <w:pPr>
              <w:pStyle w:val="83"/>
              <w:spacing w:line="240" w:lineRule="auto"/>
              <w:ind w:left="0" w:leftChars="0" w:right="0" w:rightChars="0"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占标率/%</w:t>
            </w:r>
          </w:p>
        </w:tc>
        <w:tc>
          <w:tcPr>
            <w:tcW w:w="0" w:type="auto"/>
            <w:tcBorders>
              <w:tl2br w:val="nil"/>
              <w:tr2bl w:val="nil"/>
            </w:tcBorders>
            <w:vAlign w:val="center"/>
          </w:tcPr>
          <w:p w14:paraId="7F627B57">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预测质量浓度/ mg/m</w:t>
            </w:r>
            <w:r>
              <w:rPr>
                <w:rFonts w:hint="default" w:ascii="Times New Roman" w:hAnsi="Times New Roman" w:cs="Times New Roman"/>
                <w:color w:val="auto"/>
                <w:szCs w:val="21"/>
                <w:vertAlign w:val="superscript"/>
              </w:rPr>
              <w:t>3</w:t>
            </w:r>
          </w:p>
        </w:tc>
        <w:tc>
          <w:tcPr>
            <w:tcW w:w="0" w:type="auto"/>
            <w:tcBorders>
              <w:tl2br w:val="nil"/>
              <w:tr2bl w:val="nil"/>
            </w:tcBorders>
            <w:vAlign w:val="center"/>
          </w:tcPr>
          <w:p w14:paraId="7A52B227">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占标率/%</w:t>
            </w:r>
          </w:p>
        </w:tc>
        <w:tc>
          <w:tcPr>
            <w:tcW w:w="0" w:type="auto"/>
            <w:tcBorders>
              <w:tl2br w:val="nil"/>
              <w:tr2bl w:val="nil"/>
            </w:tcBorders>
            <w:vAlign w:val="center"/>
          </w:tcPr>
          <w:p w14:paraId="46C01A0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预测质量浓度/ mg/m</w:t>
            </w:r>
            <w:r>
              <w:rPr>
                <w:rFonts w:hint="default" w:ascii="Times New Roman" w:hAnsi="Times New Roman" w:cs="Times New Roman"/>
                <w:color w:val="auto"/>
                <w:szCs w:val="21"/>
                <w:vertAlign w:val="superscript"/>
              </w:rPr>
              <w:t>3</w:t>
            </w:r>
          </w:p>
        </w:tc>
        <w:tc>
          <w:tcPr>
            <w:tcW w:w="0" w:type="auto"/>
            <w:tcBorders>
              <w:tl2br w:val="nil"/>
              <w:tr2bl w:val="nil"/>
            </w:tcBorders>
            <w:vAlign w:val="center"/>
          </w:tcPr>
          <w:p w14:paraId="04D1117E">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占标率/%</w:t>
            </w:r>
          </w:p>
        </w:tc>
      </w:tr>
      <w:tr w14:paraId="7984C0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54DCCA7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0" w:type="auto"/>
            <w:tcBorders>
              <w:tl2br w:val="nil"/>
              <w:tr2bl w:val="nil"/>
            </w:tcBorders>
            <w:vAlign w:val="center"/>
          </w:tcPr>
          <w:p w14:paraId="5DE1208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2.65E-02</w:t>
            </w:r>
          </w:p>
        </w:tc>
        <w:tc>
          <w:tcPr>
            <w:tcW w:w="0" w:type="auto"/>
            <w:tcBorders>
              <w:tl2br w:val="nil"/>
              <w:tr2bl w:val="nil"/>
            </w:tcBorders>
            <w:vAlign w:val="center"/>
          </w:tcPr>
          <w:p w14:paraId="090269D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2.94</w:t>
            </w:r>
          </w:p>
        </w:tc>
        <w:tc>
          <w:tcPr>
            <w:tcW w:w="0" w:type="auto"/>
            <w:tcBorders>
              <w:tl2br w:val="nil"/>
              <w:tr2bl w:val="nil"/>
            </w:tcBorders>
            <w:vAlign w:val="center"/>
          </w:tcPr>
          <w:p w14:paraId="6DA8BC94">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4.92E-03</w:t>
            </w:r>
          </w:p>
        </w:tc>
        <w:tc>
          <w:tcPr>
            <w:tcW w:w="0" w:type="auto"/>
            <w:tcBorders>
              <w:tl2br w:val="nil"/>
              <w:tr2bl w:val="nil"/>
            </w:tcBorders>
            <w:vAlign w:val="center"/>
          </w:tcPr>
          <w:p w14:paraId="06DFC4D0">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0.25</w:t>
            </w:r>
          </w:p>
        </w:tc>
        <w:tc>
          <w:tcPr>
            <w:tcW w:w="0" w:type="auto"/>
            <w:tcBorders>
              <w:tl2br w:val="nil"/>
              <w:tr2bl w:val="nil"/>
            </w:tcBorders>
            <w:vAlign w:val="center"/>
          </w:tcPr>
          <w:p w14:paraId="21BCF28B">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4.21E-02</w:t>
            </w:r>
          </w:p>
        </w:tc>
        <w:tc>
          <w:tcPr>
            <w:tcW w:w="0" w:type="auto"/>
            <w:tcBorders>
              <w:tl2br w:val="nil"/>
              <w:tr2bl w:val="nil"/>
            </w:tcBorders>
            <w:vAlign w:val="center"/>
          </w:tcPr>
          <w:p w14:paraId="6DD62B94">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2.11</w:t>
            </w:r>
          </w:p>
        </w:tc>
        <w:tc>
          <w:tcPr>
            <w:tcW w:w="0" w:type="auto"/>
            <w:tcBorders>
              <w:tl2br w:val="nil"/>
              <w:tr2bl w:val="nil"/>
            </w:tcBorders>
            <w:vAlign w:val="center"/>
          </w:tcPr>
          <w:p w14:paraId="1D50223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1.85E-03</w:t>
            </w:r>
          </w:p>
        </w:tc>
        <w:tc>
          <w:tcPr>
            <w:tcW w:w="0" w:type="auto"/>
            <w:tcBorders>
              <w:tl2br w:val="nil"/>
              <w:tr2bl w:val="nil"/>
            </w:tcBorders>
            <w:shd w:val="clear" w:color="auto" w:fill="auto"/>
            <w:vAlign w:val="center"/>
          </w:tcPr>
          <w:p w14:paraId="2A4C98B9">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0.21</w:t>
            </w:r>
          </w:p>
        </w:tc>
        <w:tc>
          <w:tcPr>
            <w:tcW w:w="0" w:type="auto"/>
            <w:tcBorders>
              <w:tl2br w:val="nil"/>
              <w:tr2bl w:val="nil"/>
            </w:tcBorders>
            <w:vAlign w:val="center"/>
          </w:tcPr>
          <w:p w14:paraId="4ED4E48D">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7.83E-03</w:t>
            </w:r>
          </w:p>
        </w:tc>
        <w:tc>
          <w:tcPr>
            <w:tcW w:w="0" w:type="auto"/>
            <w:tcBorders>
              <w:tl2br w:val="nil"/>
              <w:tr2bl w:val="nil"/>
            </w:tcBorders>
            <w:shd w:val="clear" w:color="auto" w:fill="auto"/>
            <w:vAlign w:val="center"/>
          </w:tcPr>
          <w:p w14:paraId="10FD3E94">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0.87</w:t>
            </w:r>
          </w:p>
        </w:tc>
      </w:tr>
      <w:tr w14:paraId="2D043A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608F1309">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25</w:t>
            </w:r>
          </w:p>
        </w:tc>
        <w:tc>
          <w:tcPr>
            <w:tcW w:w="0" w:type="auto"/>
            <w:tcBorders>
              <w:tl2br w:val="nil"/>
              <w:tr2bl w:val="nil"/>
            </w:tcBorders>
            <w:vAlign w:val="center"/>
          </w:tcPr>
          <w:p w14:paraId="7F2D322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3.46E-02</w:t>
            </w:r>
          </w:p>
        </w:tc>
        <w:tc>
          <w:tcPr>
            <w:tcW w:w="0" w:type="auto"/>
            <w:tcBorders>
              <w:tl2br w:val="nil"/>
              <w:tr2bl w:val="nil"/>
            </w:tcBorders>
            <w:vAlign w:val="center"/>
          </w:tcPr>
          <w:p w14:paraId="223AA3D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3.84</w:t>
            </w:r>
          </w:p>
        </w:tc>
        <w:tc>
          <w:tcPr>
            <w:tcW w:w="0" w:type="auto"/>
            <w:tcBorders>
              <w:tl2br w:val="nil"/>
              <w:tr2bl w:val="nil"/>
            </w:tcBorders>
            <w:vAlign w:val="center"/>
          </w:tcPr>
          <w:p w14:paraId="176B6384">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6.42E-03</w:t>
            </w:r>
          </w:p>
        </w:tc>
        <w:tc>
          <w:tcPr>
            <w:tcW w:w="0" w:type="auto"/>
            <w:tcBorders>
              <w:tl2br w:val="nil"/>
              <w:tr2bl w:val="nil"/>
            </w:tcBorders>
            <w:shd w:val="clear" w:color="auto" w:fill="auto"/>
            <w:vAlign w:val="center"/>
          </w:tcPr>
          <w:p w14:paraId="0F7AA17A">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0.32</w:t>
            </w:r>
          </w:p>
        </w:tc>
        <w:tc>
          <w:tcPr>
            <w:tcW w:w="0" w:type="auto"/>
            <w:tcBorders>
              <w:tl2br w:val="nil"/>
              <w:tr2bl w:val="nil"/>
            </w:tcBorders>
            <w:vAlign w:val="center"/>
          </w:tcPr>
          <w:p w14:paraId="4217E194">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4.96E-02</w:t>
            </w:r>
          </w:p>
        </w:tc>
        <w:tc>
          <w:tcPr>
            <w:tcW w:w="0" w:type="auto"/>
            <w:tcBorders>
              <w:tl2br w:val="nil"/>
              <w:tr2bl w:val="nil"/>
            </w:tcBorders>
            <w:vAlign w:val="center"/>
          </w:tcPr>
          <w:p w14:paraId="068778F3">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2.48</w:t>
            </w:r>
          </w:p>
        </w:tc>
        <w:tc>
          <w:tcPr>
            <w:tcW w:w="0" w:type="auto"/>
            <w:tcBorders>
              <w:tl2br w:val="nil"/>
              <w:tr2bl w:val="nil"/>
            </w:tcBorders>
            <w:vAlign w:val="center"/>
          </w:tcPr>
          <w:p w14:paraId="014DDD27">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2.38E-03</w:t>
            </w:r>
          </w:p>
        </w:tc>
        <w:tc>
          <w:tcPr>
            <w:tcW w:w="0" w:type="auto"/>
            <w:tcBorders>
              <w:tl2br w:val="nil"/>
              <w:tr2bl w:val="nil"/>
            </w:tcBorders>
            <w:shd w:val="clear" w:color="auto" w:fill="auto"/>
            <w:vAlign w:val="center"/>
          </w:tcPr>
          <w:p w14:paraId="7641DCE7">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0.26</w:t>
            </w:r>
          </w:p>
        </w:tc>
        <w:tc>
          <w:tcPr>
            <w:tcW w:w="0" w:type="auto"/>
            <w:tcBorders>
              <w:tl2br w:val="nil"/>
              <w:tr2bl w:val="nil"/>
            </w:tcBorders>
            <w:vAlign w:val="center"/>
          </w:tcPr>
          <w:p w14:paraId="48E71E68">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9.23E-03</w:t>
            </w:r>
          </w:p>
        </w:tc>
        <w:tc>
          <w:tcPr>
            <w:tcW w:w="0" w:type="auto"/>
            <w:tcBorders>
              <w:tl2br w:val="nil"/>
              <w:tr2bl w:val="nil"/>
            </w:tcBorders>
            <w:shd w:val="clear" w:color="auto" w:fill="auto"/>
            <w:vAlign w:val="center"/>
          </w:tcPr>
          <w:p w14:paraId="0DC6226A">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1.03</w:t>
            </w:r>
          </w:p>
        </w:tc>
      </w:tr>
      <w:tr w14:paraId="49ED1B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4796B026">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0" w:type="auto"/>
            <w:tcBorders>
              <w:tl2br w:val="nil"/>
              <w:tr2bl w:val="nil"/>
            </w:tcBorders>
            <w:vAlign w:val="center"/>
          </w:tcPr>
          <w:p w14:paraId="70C779D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4.92E-02</w:t>
            </w:r>
          </w:p>
        </w:tc>
        <w:tc>
          <w:tcPr>
            <w:tcW w:w="0" w:type="auto"/>
            <w:tcBorders>
              <w:tl2br w:val="nil"/>
              <w:tr2bl w:val="nil"/>
            </w:tcBorders>
            <w:vAlign w:val="center"/>
          </w:tcPr>
          <w:p w14:paraId="509BB8C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5.46</w:t>
            </w:r>
          </w:p>
        </w:tc>
        <w:tc>
          <w:tcPr>
            <w:tcW w:w="0" w:type="auto"/>
            <w:tcBorders>
              <w:tl2br w:val="nil"/>
              <w:tr2bl w:val="nil"/>
            </w:tcBorders>
            <w:vAlign w:val="center"/>
          </w:tcPr>
          <w:p w14:paraId="679E531E">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9.13E-03</w:t>
            </w:r>
          </w:p>
        </w:tc>
        <w:tc>
          <w:tcPr>
            <w:tcW w:w="0" w:type="auto"/>
            <w:tcBorders>
              <w:tl2br w:val="nil"/>
              <w:tr2bl w:val="nil"/>
            </w:tcBorders>
            <w:shd w:val="clear" w:color="auto" w:fill="auto"/>
            <w:vAlign w:val="center"/>
          </w:tcPr>
          <w:p w14:paraId="6C07D009">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0.46</w:t>
            </w:r>
          </w:p>
        </w:tc>
        <w:tc>
          <w:tcPr>
            <w:tcW w:w="0" w:type="auto"/>
            <w:tcBorders>
              <w:tl2br w:val="nil"/>
              <w:tr2bl w:val="nil"/>
            </w:tcBorders>
            <w:vAlign w:val="center"/>
          </w:tcPr>
          <w:p w14:paraId="1A8F2DFE">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6.16E-02</w:t>
            </w:r>
          </w:p>
        </w:tc>
        <w:tc>
          <w:tcPr>
            <w:tcW w:w="0" w:type="auto"/>
            <w:tcBorders>
              <w:tl2br w:val="nil"/>
              <w:tr2bl w:val="nil"/>
            </w:tcBorders>
            <w:vAlign w:val="center"/>
          </w:tcPr>
          <w:p w14:paraId="44918323">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3.08</w:t>
            </w:r>
          </w:p>
        </w:tc>
        <w:tc>
          <w:tcPr>
            <w:tcW w:w="0" w:type="auto"/>
            <w:tcBorders>
              <w:tl2br w:val="nil"/>
              <w:tr2bl w:val="nil"/>
            </w:tcBorders>
            <w:vAlign w:val="center"/>
          </w:tcPr>
          <w:p w14:paraId="1A59F099">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3.28E-03</w:t>
            </w:r>
          </w:p>
        </w:tc>
        <w:tc>
          <w:tcPr>
            <w:tcW w:w="0" w:type="auto"/>
            <w:tcBorders>
              <w:tl2br w:val="nil"/>
              <w:tr2bl w:val="nil"/>
            </w:tcBorders>
            <w:shd w:val="clear" w:color="auto" w:fill="auto"/>
            <w:vAlign w:val="center"/>
          </w:tcPr>
          <w:p w14:paraId="746815A6">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0.36</w:t>
            </w:r>
          </w:p>
        </w:tc>
        <w:tc>
          <w:tcPr>
            <w:tcW w:w="0" w:type="auto"/>
            <w:tcBorders>
              <w:tl2br w:val="nil"/>
              <w:tr2bl w:val="nil"/>
            </w:tcBorders>
            <w:vAlign w:val="center"/>
          </w:tcPr>
          <w:p w14:paraId="41476546">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1.15E-02</w:t>
            </w:r>
          </w:p>
        </w:tc>
        <w:tc>
          <w:tcPr>
            <w:tcW w:w="0" w:type="auto"/>
            <w:tcBorders>
              <w:tl2br w:val="nil"/>
              <w:tr2bl w:val="nil"/>
            </w:tcBorders>
            <w:shd w:val="clear" w:color="auto" w:fill="auto"/>
            <w:vAlign w:val="center"/>
          </w:tcPr>
          <w:p w14:paraId="0E7CF7F4">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1.27</w:t>
            </w:r>
          </w:p>
        </w:tc>
      </w:tr>
      <w:tr w14:paraId="01D48D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3E8344DB">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75</w:t>
            </w:r>
          </w:p>
        </w:tc>
        <w:tc>
          <w:tcPr>
            <w:tcW w:w="0" w:type="auto"/>
            <w:tcBorders>
              <w:tl2br w:val="nil"/>
              <w:tr2bl w:val="nil"/>
            </w:tcBorders>
            <w:vAlign w:val="center"/>
          </w:tcPr>
          <w:p w14:paraId="2F742CF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5.88E-02</w:t>
            </w:r>
          </w:p>
        </w:tc>
        <w:tc>
          <w:tcPr>
            <w:tcW w:w="0" w:type="auto"/>
            <w:tcBorders>
              <w:tl2br w:val="nil"/>
              <w:tr2bl w:val="nil"/>
            </w:tcBorders>
            <w:vAlign w:val="center"/>
          </w:tcPr>
          <w:p w14:paraId="0E48172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6.53</w:t>
            </w:r>
          </w:p>
        </w:tc>
        <w:tc>
          <w:tcPr>
            <w:tcW w:w="0" w:type="auto"/>
            <w:tcBorders>
              <w:tl2br w:val="nil"/>
              <w:tr2bl w:val="nil"/>
            </w:tcBorders>
            <w:vAlign w:val="center"/>
          </w:tcPr>
          <w:p w14:paraId="4275A643">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1.09E-02</w:t>
            </w:r>
          </w:p>
        </w:tc>
        <w:tc>
          <w:tcPr>
            <w:tcW w:w="0" w:type="auto"/>
            <w:tcBorders>
              <w:tl2br w:val="nil"/>
              <w:tr2bl w:val="nil"/>
            </w:tcBorders>
            <w:shd w:val="clear" w:color="auto" w:fill="auto"/>
            <w:vAlign w:val="center"/>
          </w:tcPr>
          <w:p w14:paraId="3722E61B">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0.55</w:t>
            </w:r>
          </w:p>
        </w:tc>
        <w:tc>
          <w:tcPr>
            <w:tcW w:w="0" w:type="auto"/>
            <w:tcBorders>
              <w:tl2br w:val="nil"/>
              <w:tr2bl w:val="nil"/>
            </w:tcBorders>
            <w:vAlign w:val="center"/>
          </w:tcPr>
          <w:p w14:paraId="194D4174">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7.28E-02</w:t>
            </w:r>
          </w:p>
        </w:tc>
        <w:tc>
          <w:tcPr>
            <w:tcW w:w="0" w:type="auto"/>
            <w:tcBorders>
              <w:tl2br w:val="nil"/>
              <w:tr2bl w:val="nil"/>
            </w:tcBorders>
            <w:vAlign w:val="center"/>
          </w:tcPr>
          <w:p w14:paraId="7624E4AF">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3.64</w:t>
            </w:r>
          </w:p>
        </w:tc>
        <w:tc>
          <w:tcPr>
            <w:tcW w:w="0" w:type="auto"/>
            <w:tcBorders>
              <w:tl2br w:val="nil"/>
              <w:tr2bl w:val="nil"/>
            </w:tcBorders>
            <w:vAlign w:val="center"/>
          </w:tcPr>
          <w:p w14:paraId="02AB87C3">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3.87E-03</w:t>
            </w:r>
          </w:p>
        </w:tc>
        <w:tc>
          <w:tcPr>
            <w:tcW w:w="0" w:type="auto"/>
            <w:tcBorders>
              <w:tl2br w:val="nil"/>
              <w:tr2bl w:val="nil"/>
            </w:tcBorders>
            <w:shd w:val="clear" w:color="auto" w:fill="auto"/>
            <w:vAlign w:val="center"/>
          </w:tcPr>
          <w:p w14:paraId="062FED16">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0.43</w:t>
            </w:r>
          </w:p>
        </w:tc>
        <w:tc>
          <w:tcPr>
            <w:tcW w:w="0" w:type="auto"/>
            <w:tcBorders>
              <w:tl2br w:val="nil"/>
              <w:tr2bl w:val="nil"/>
            </w:tcBorders>
            <w:vAlign w:val="center"/>
          </w:tcPr>
          <w:p w14:paraId="579B0B86">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1.35E-02</w:t>
            </w:r>
          </w:p>
        </w:tc>
        <w:tc>
          <w:tcPr>
            <w:tcW w:w="0" w:type="auto"/>
            <w:tcBorders>
              <w:tl2br w:val="nil"/>
              <w:tr2bl w:val="nil"/>
            </w:tcBorders>
            <w:shd w:val="clear" w:color="auto" w:fill="auto"/>
            <w:vAlign w:val="center"/>
          </w:tcPr>
          <w:p w14:paraId="1E3FD055">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w:t>
            </w:r>
          </w:p>
        </w:tc>
      </w:tr>
      <w:tr w14:paraId="232706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5E0313EA">
            <w:pPr>
              <w:pStyle w:val="83"/>
              <w:spacing w:line="240" w:lineRule="auto"/>
              <w:ind w:left="0" w:leftChars="0" w:right="0" w:right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95</w:t>
            </w:r>
          </w:p>
        </w:tc>
        <w:tc>
          <w:tcPr>
            <w:tcW w:w="0" w:type="auto"/>
            <w:tcBorders>
              <w:tl2br w:val="nil"/>
              <w:tr2bl w:val="nil"/>
            </w:tcBorders>
            <w:vAlign w:val="center"/>
          </w:tcPr>
          <w:p w14:paraId="578F504E">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0" w:type="auto"/>
            <w:tcBorders>
              <w:tl2br w:val="nil"/>
              <w:tr2bl w:val="nil"/>
            </w:tcBorders>
            <w:vAlign w:val="center"/>
          </w:tcPr>
          <w:p w14:paraId="77F89E35">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0" w:type="auto"/>
            <w:tcBorders>
              <w:tl2br w:val="nil"/>
              <w:tr2bl w:val="nil"/>
            </w:tcBorders>
            <w:vAlign w:val="center"/>
          </w:tcPr>
          <w:p w14:paraId="28593ABF">
            <w:pPr>
              <w:pStyle w:val="83"/>
              <w:spacing w:line="240" w:lineRule="auto"/>
              <w:ind w:left="0" w:leftChars="0" w:right="0" w:right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0" w:type="auto"/>
            <w:tcBorders>
              <w:tl2br w:val="nil"/>
              <w:tr2bl w:val="nil"/>
            </w:tcBorders>
            <w:shd w:val="clear" w:color="auto" w:fill="auto"/>
            <w:vAlign w:val="center"/>
          </w:tcPr>
          <w:p w14:paraId="7CE6BF92">
            <w:pPr>
              <w:pStyle w:val="83"/>
              <w:spacing w:line="240" w:lineRule="auto"/>
              <w:ind w:left="0" w:leftChars="0" w:right="0" w:right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0" w:type="auto"/>
            <w:tcBorders>
              <w:tl2br w:val="nil"/>
              <w:tr2bl w:val="nil"/>
            </w:tcBorders>
            <w:vAlign w:val="center"/>
          </w:tcPr>
          <w:p w14:paraId="5D5CEFCD">
            <w:pPr>
              <w:pStyle w:val="83"/>
              <w:spacing w:line="240" w:lineRule="auto"/>
              <w:ind w:left="0" w:leftChars="0" w:right="0" w:right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0" w:type="auto"/>
            <w:tcBorders>
              <w:tl2br w:val="nil"/>
              <w:tr2bl w:val="nil"/>
            </w:tcBorders>
            <w:vAlign w:val="center"/>
          </w:tcPr>
          <w:p w14:paraId="79038CF7">
            <w:pPr>
              <w:pStyle w:val="83"/>
              <w:spacing w:line="240" w:lineRule="auto"/>
              <w:ind w:left="0" w:leftChars="0" w:right="0" w:right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0" w:type="auto"/>
            <w:tcBorders>
              <w:tl2br w:val="nil"/>
              <w:tr2bl w:val="nil"/>
            </w:tcBorders>
            <w:vAlign w:val="center"/>
          </w:tcPr>
          <w:p w14:paraId="1E23DC47">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3.98E-03</w:t>
            </w:r>
          </w:p>
        </w:tc>
        <w:tc>
          <w:tcPr>
            <w:tcW w:w="0" w:type="auto"/>
            <w:tcBorders>
              <w:tl2br w:val="nil"/>
              <w:tr2bl w:val="nil"/>
            </w:tcBorders>
            <w:shd w:val="clear" w:color="auto" w:fill="auto"/>
            <w:vAlign w:val="center"/>
          </w:tcPr>
          <w:p w14:paraId="0AC2B0E7">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0.44</w:t>
            </w:r>
          </w:p>
        </w:tc>
        <w:tc>
          <w:tcPr>
            <w:tcW w:w="0" w:type="auto"/>
            <w:tcBorders>
              <w:tl2br w:val="nil"/>
              <w:tr2bl w:val="nil"/>
            </w:tcBorders>
            <w:vAlign w:val="center"/>
          </w:tcPr>
          <w:p w14:paraId="3C5583D5">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0" w:type="auto"/>
            <w:tcBorders>
              <w:tl2br w:val="nil"/>
              <w:tr2bl w:val="nil"/>
            </w:tcBorders>
            <w:shd w:val="clear" w:color="auto" w:fill="auto"/>
            <w:vAlign w:val="center"/>
          </w:tcPr>
          <w:p w14:paraId="4C7723C1">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69A9DD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36999A00">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100</w:t>
            </w:r>
          </w:p>
        </w:tc>
        <w:tc>
          <w:tcPr>
            <w:tcW w:w="0" w:type="auto"/>
            <w:tcBorders>
              <w:tl2br w:val="nil"/>
              <w:tr2bl w:val="nil"/>
            </w:tcBorders>
            <w:vAlign w:val="center"/>
          </w:tcPr>
          <w:p w14:paraId="4B81BDE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6.47E-02</w:t>
            </w:r>
          </w:p>
        </w:tc>
        <w:tc>
          <w:tcPr>
            <w:tcW w:w="0" w:type="auto"/>
            <w:tcBorders>
              <w:tl2br w:val="nil"/>
              <w:tr2bl w:val="nil"/>
            </w:tcBorders>
            <w:vAlign w:val="center"/>
          </w:tcPr>
          <w:p w14:paraId="15F0AE3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7.19</w:t>
            </w:r>
          </w:p>
        </w:tc>
        <w:tc>
          <w:tcPr>
            <w:tcW w:w="0" w:type="auto"/>
            <w:tcBorders>
              <w:tl2br w:val="nil"/>
              <w:tr2bl w:val="nil"/>
            </w:tcBorders>
            <w:vAlign w:val="center"/>
          </w:tcPr>
          <w:p w14:paraId="1D7AE749">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1.20E-02</w:t>
            </w:r>
          </w:p>
        </w:tc>
        <w:tc>
          <w:tcPr>
            <w:tcW w:w="0" w:type="auto"/>
            <w:tcBorders>
              <w:tl2br w:val="nil"/>
              <w:tr2bl w:val="nil"/>
            </w:tcBorders>
            <w:shd w:val="clear" w:color="auto" w:fill="auto"/>
            <w:vAlign w:val="center"/>
          </w:tcPr>
          <w:p w14:paraId="60D6B12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0.60</w:t>
            </w:r>
          </w:p>
        </w:tc>
        <w:tc>
          <w:tcPr>
            <w:tcW w:w="0" w:type="auto"/>
            <w:tcBorders>
              <w:tl2br w:val="nil"/>
              <w:tr2bl w:val="nil"/>
            </w:tcBorders>
            <w:vAlign w:val="center"/>
          </w:tcPr>
          <w:p w14:paraId="08AB4499">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8.13E-02</w:t>
            </w:r>
          </w:p>
        </w:tc>
        <w:tc>
          <w:tcPr>
            <w:tcW w:w="0" w:type="auto"/>
            <w:tcBorders>
              <w:tl2br w:val="nil"/>
              <w:tr2bl w:val="nil"/>
            </w:tcBorders>
            <w:vAlign w:val="center"/>
          </w:tcPr>
          <w:p w14:paraId="7F58BCF7">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4.06</w:t>
            </w:r>
          </w:p>
        </w:tc>
        <w:tc>
          <w:tcPr>
            <w:tcW w:w="0" w:type="auto"/>
            <w:tcBorders>
              <w:tl2br w:val="nil"/>
              <w:tr2bl w:val="nil"/>
            </w:tcBorders>
            <w:vAlign w:val="center"/>
          </w:tcPr>
          <w:p w14:paraId="50F74921">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3.98E-03</w:t>
            </w:r>
          </w:p>
        </w:tc>
        <w:tc>
          <w:tcPr>
            <w:tcW w:w="0" w:type="auto"/>
            <w:tcBorders>
              <w:tl2br w:val="nil"/>
              <w:tr2bl w:val="nil"/>
            </w:tcBorders>
            <w:shd w:val="clear" w:color="auto" w:fill="auto"/>
            <w:vAlign w:val="center"/>
          </w:tcPr>
          <w:p w14:paraId="495C1306">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0.44</w:t>
            </w:r>
          </w:p>
        </w:tc>
        <w:tc>
          <w:tcPr>
            <w:tcW w:w="0" w:type="auto"/>
            <w:tcBorders>
              <w:tl2br w:val="nil"/>
              <w:tr2bl w:val="nil"/>
            </w:tcBorders>
            <w:vAlign w:val="center"/>
          </w:tcPr>
          <w:p w14:paraId="2B37E573">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1.51E-02</w:t>
            </w:r>
          </w:p>
        </w:tc>
        <w:tc>
          <w:tcPr>
            <w:tcW w:w="0" w:type="auto"/>
            <w:tcBorders>
              <w:tl2br w:val="nil"/>
              <w:tr2bl w:val="nil"/>
            </w:tcBorders>
            <w:shd w:val="clear" w:color="auto" w:fill="auto"/>
            <w:vAlign w:val="center"/>
          </w:tcPr>
          <w:p w14:paraId="409AC5CE">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1.68</w:t>
            </w:r>
          </w:p>
        </w:tc>
      </w:tr>
      <w:tr w14:paraId="5F12C0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4CA87CA9">
            <w:pPr>
              <w:pStyle w:val="83"/>
              <w:spacing w:line="240" w:lineRule="auto"/>
              <w:ind w:left="0" w:leftChars="0" w:right="0" w:right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118</w:t>
            </w:r>
          </w:p>
        </w:tc>
        <w:tc>
          <w:tcPr>
            <w:tcW w:w="0" w:type="auto"/>
            <w:tcBorders>
              <w:tl2br w:val="nil"/>
              <w:tr2bl w:val="nil"/>
            </w:tcBorders>
            <w:vAlign w:val="center"/>
          </w:tcPr>
          <w:p w14:paraId="6E4A240A">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0" w:type="auto"/>
            <w:tcBorders>
              <w:tl2br w:val="nil"/>
              <w:tr2bl w:val="nil"/>
            </w:tcBorders>
            <w:vAlign w:val="center"/>
          </w:tcPr>
          <w:p w14:paraId="7C00297E">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0" w:type="auto"/>
            <w:tcBorders>
              <w:tl2br w:val="nil"/>
              <w:tr2bl w:val="nil"/>
            </w:tcBorders>
            <w:vAlign w:val="center"/>
          </w:tcPr>
          <w:p w14:paraId="18948FF5">
            <w:pPr>
              <w:pStyle w:val="83"/>
              <w:spacing w:line="240" w:lineRule="auto"/>
              <w:ind w:left="0" w:leftChars="0" w:right="0" w:right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0" w:type="auto"/>
            <w:tcBorders>
              <w:tl2br w:val="nil"/>
              <w:tr2bl w:val="nil"/>
            </w:tcBorders>
            <w:shd w:val="clear" w:color="auto" w:fill="auto"/>
            <w:vAlign w:val="center"/>
          </w:tcPr>
          <w:p w14:paraId="30A154A1">
            <w:pPr>
              <w:pStyle w:val="83"/>
              <w:spacing w:line="240" w:lineRule="auto"/>
              <w:ind w:left="0" w:leftChars="0" w:right="0" w:right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0" w:type="auto"/>
            <w:tcBorders>
              <w:tl2br w:val="nil"/>
              <w:tr2bl w:val="nil"/>
            </w:tcBorders>
            <w:vAlign w:val="center"/>
          </w:tcPr>
          <w:p w14:paraId="4F3412FE">
            <w:pPr>
              <w:pStyle w:val="83"/>
              <w:spacing w:line="240" w:lineRule="auto"/>
              <w:ind w:left="0" w:leftChars="0" w:right="0" w:rightChars="0"/>
              <w:rPr>
                <w:rFonts w:hint="default" w:ascii="Times New Roman" w:hAnsi="Times New Roman" w:cs="Times New Roman"/>
                <w:color w:val="auto"/>
                <w:szCs w:val="21"/>
                <w:lang w:val="en-US"/>
              </w:rPr>
            </w:pPr>
            <w:r>
              <w:rPr>
                <w:rFonts w:hint="default" w:ascii="Times New Roman" w:hAnsi="Times New Roman" w:cs="Times New Roman"/>
                <w:color w:val="auto"/>
                <w:szCs w:val="21"/>
                <w:lang w:val="en-US"/>
              </w:rPr>
              <w:t>8.28E-02</w:t>
            </w:r>
          </w:p>
        </w:tc>
        <w:tc>
          <w:tcPr>
            <w:tcW w:w="0" w:type="auto"/>
            <w:tcBorders>
              <w:tl2br w:val="nil"/>
              <w:tr2bl w:val="nil"/>
            </w:tcBorders>
            <w:vAlign w:val="center"/>
          </w:tcPr>
          <w:p w14:paraId="0746E158">
            <w:pPr>
              <w:pStyle w:val="83"/>
              <w:spacing w:line="240" w:lineRule="auto"/>
              <w:ind w:left="0" w:leftChars="0" w:right="0" w:rightChars="0"/>
              <w:rPr>
                <w:rFonts w:hint="default" w:ascii="Times New Roman" w:hAnsi="Times New Roman" w:cs="Times New Roman"/>
                <w:color w:val="auto"/>
                <w:szCs w:val="21"/>
                <w:lang w:val="en-US"/>
              </w:rPr>
            </w:pPr>
            <w:r>
              <w:rPr>
                <w:rFonts w:hint="default" w:ascii="Times New Roman" w:hAnsi="Times New Roman" w:cs="Times New Roman"/>
                <w:color w:val="auto"/>
                <w:szCs w:val="21"/>
                <w:lang w:val="en-US"/>
              </w:rPr>
              <w:t>4.14</w:t>
            </w:r>
          </w:p>
        </w:tc>
        <w:tc>
          <w:tcPr>
            <w:tcW w:w="0" w:type="auto"/>
            <w:tcBorders>
              <w:tl2br w:val="nil"/>
              <w:tr2bl w:val="nil"/>
            </w:tcBorders>
            <w:vAlign w:val="center"/>
          </w:tcPr>
          <w:p w14:paraId="18AA663F">
            <w:pPr>
              <w:pStyle w:val="83"/>
              <w:spacing w:line="240" w:lineRule="auto"/>
              <w:ind w:left="0" w:leftChars="0" w:right="0" w:right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0" w:type="auto"/>
            <w:tcBorders>
              <w:tl2br w:val="nil"/>
              <w:tr2bl w:val="nil"/>
            </w:tcBorders>
            <w:shd w:val="clear" w:color="auto" w:fill="auto"/>
            <w:vAlign w:val="center"/>
          </w:tcPr>
          <w:p w14:paraId="1EB25863">
            <w:pPr>
              <w:pStyle w:val="83"/>
              <w:spacing w:line="240" w:lineRule="auto"/>
              <w:ind w:left="0" w:leftChars="0" w:right="0" w:right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0" w:type="auto"/>
            <w:tcBorders>
              <w:tl2br w:val="nil"/>
              <w:tr2bl w:val="nil"/>
            </w:tcBorders>
            <w:vAlign w:val="center"/>
          </w:tcPr>
          <w:p w14:paraId="1D7DE345">
            <w:pPr>
              <w:spacing w:line="240" w:lineRule="auto"/>
              <w:ind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1.54E-02</w:t>
            </w:r>
          </w:p>
        </w:tc>
        <w:tc>
          <w:tcPr>
            <w:tcW w:w="0" w:type="auto"/>
            <w:tcBorders>
              <w:tl2br w:val="nil"/>
              <w:tr2bl w:val="nil"/>
            </w:tcBorders>
            <w:shd w:val="clear" w:color="auto" w:fill="auto"/>
            <w:vAlign w:val="center"/>
          </w:tcPr>
          <w:p w14:paraId="5D370D50">
            <w:pPr>
              <w:spacing w:line="240" w:lineRule="auto"/>
              <w:ind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1.71</w:t>
            </w:r>
          </w:p>
        </w:tc>
      </w:tr>
      <w:tr w14:paraId="4E93A77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2C28D848">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125</w:t>
            </w:r>
          </w:p>
        </w:tc>
        <w:tc>
          <w:tcPr>
            <w:tcW w:w="0" w:type="auto"/>
            <w:tcBorders>
              <w:tl2br w:val="nil"/>
              <w:tr2bl w:val="nil"/>
            </w:tcBorders>
            <w:vAlign w:val="center"/>
          </w:tcPr>
          <w:p w14:paraId="18FC43B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6.77E-02</w:t>
            </w:r>
          </w:p>
        </w:tc>
        <w:tc>
          <w:tcPr>
            <w:tcW w:w="0" w:type="auto"/>
            <w:tcBorders>
              <w:tl2br w:val="nil"/>
              <w:tr2bl w:val="nil"/>
            </w:tcBorders>
            <w:vAlign w:val="center"/>
          </w:tcPr>
          <w:p w14:paraId="4AD27C4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7.52</w:t>
            </w:r>
          </w:p>
        </w:tc>
        <w:tc>
          <w:tcPr>
            <w:tcW w:w="0" w:type="auto"/>
            <w:tcBorders>
              <w:tl2br w:val="nil"/>
              <w:tr2bl w:val="nil"/>
            </w:tcBorders>
            <w:vAlign w:val="center"/>
          </w:tcPr>
          <w:p w14:paraId="04BFA95B">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1.26E-02</w:t>
            </w:r>
          </w:p>
        </w:tc>
        <w:tc>
          <w:tcPr>
            <w:tcW w:w="0" w:type="auto"/>
            <w:tcBorders>
              <w:tl2br w:val="nil"/>
              <w:tr2bl w:val="nil"/>
            </w:tcBorders>
            <w:shd w:val="clear" w:color="auto" w:fill="auto"/>
            <w:vAlign w:val="center"/>
          </w:tcPr>
          <w:p w14:paraId="4BF60892">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0.63</w:t>
            </w:r>
          </w:p>
        </w:tc>
        <w:tc>
          <w:tcPr>
            <w:tcW w:w="0" w:type="auto"/>
            <w:tcBorders>
              <w:tl2br w:val="nil"/>
              <w:tr2bl w:val="nil"/>
            </w:tcBorders>
            <w:vAlign w:val="center"/>
          </w:tcPr>
          <w:p w14:paraId="3BBC5BAA">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8.26E-02</w:t>
            </w:r>
          </w:p>
        </w:tc>
        <w:tc>
          <w:tcPr>
            <w:tcW w:w="0" w:type="auto"/>
            <w:tcBorders>
              <w:tl2br w:val="nil"/>
              <w:tr2bl w:val="nil"/>
            </w:tcBorders>
            <w:vAlign w:val="center"/>
          </w:tcPr>
          <w:p w14:paraId="1356800B">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4.13</w:t>
            </w:r>
          </w:p>
        </w:tc>
        <w:tc>
          <w:tcPr>
            <w:tcW w:w="0" w:type="auto"/>
            <w:tcBorders>
              <w:tl2br w:val="nil"/>
              <w:tr2bl w:val="nil"/>
            </w:tcBorders>
            <w:vAlign w:val="center"/>
          </w:tcPr>
          <w:p w14:paraId="4E27D5A4">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3.85E-03</w:t>
            </w:r>
          </w:p>
        </w:tc>
        <w:tc>
          <w:tcPr>
            <w:tcW w:w="0" w:type="auto"/>
            <w:tcBorders>
              <w:tl2br w:val="nil"/>
              <w:tr2bl w:val="nil"/>
            </w:tcBorders>
            <w:shd w:val="clear" w:color="auto" w:fill="auto"/>
            <w:vAlign w:val="center"/>
          </w:tcPr>
          <w:p w14:paraId="5D1B367E">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0.43</w:t>
            </w:r>
          </w:p>
        </w:tc>
        <w:tc>
          <w:tcPr>
            <w:tcW w:w="0" w:type="auto"/>
            <w:tcBorders>
              <w:tl2br w:val="nil"/>
              <w:tr2bl w:val="nil"/>
            </w:tcBorders>
            <w:vAlign w:val="center"/>
          </w:tcPr>
          <w:p w14:paraId="69554966">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1.54E-02</w:t>
            </w:r>
          </w:p>
        </w:tc>
        <w:tc>
          <w:tcPr>
            <w:tcW w:w="0" w:type="auto"/>
            <w:tcBorders>
              <w:tl2br w:val="nil"/>
              <w:tr2bl w:val="nil"/>
            </w:tcBorders>
            <w:shd w:val="clear" w:color="auto" w:fill="auto"/>
            <w:vAlign w:val="center"/>
          </w:tcPr>
          <w:p w14:paraId="1E90F71F">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1.71</w:t>
            </w:r>
          </w:p>
        </w:tc>
      </w:tr>
      <w:tr w14:paraId="61C48A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6624EF64">
            <w:pPr>
              <w:pStyle w:val="83"/>
              <w:spacing w:line="240" w:lineRule="auto"/>
              <w:ind w:left="0" w:leftChars="0" w:right="0" w:right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141</w:t>
            </w:r>
          </w:p>
        </w:tc>
        <w:tc>
          <w:tcPr>
            <w:tcW w:w="0" w:type="auto"/>
            <w:tcBorders>
              <w:tl2br w:val="nil"/>
              <w:tr2bl w:val="nil"/>
            </w:tcBorders>
            <w:vAlign w:val="center"/>
          </w:tcPr>
          <w:p w14:paraId="6FF43C2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6.81E-02</w:t>
            </w:r>
          </w:p>
        </w:tc>
        <w:tc>
          <w:tcPr>
            <w:tcW w:w="0" w:type="auto"/>
            <w:tcBorders>
              <w:tl2br w:val="nil"/>
              <w:tr2bl w:val="nil"/>
            </w:tcBorders>
            <w:vAlign w:val="center"/>
          </w:tcPr>
          <w:p w14:paraId="1B53552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7.57</w:t>
            </w:r>
          </w:p>
        </w:tc>
        <w:tc>
          <w:tcPr>
            <w:tcW w:w="0" w:type="auto"/>
            <w:tcBorders>
              <w:tl2br w:val="nil"/>
              <w:tr2bl w:val="nil"/>
            </w:tcBorders>
            <w:vAlign w:val="center"/>
          </w:tcPr>
          <w:p w14:paraId="04A76BC6">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1.27E-02</w:t>
            </w:r>
          </w:p>
        </w:tc>
        <w:tc>
          <w:tcPr>
            <w:tcW w:w="0" w:type="auto"/>
            <w:tcBorders>
              <w:tl2br w:val="nil"/>
              <w:tr2bl w:val="nil"/>
            </w:tcBorders>
            <w:shd w:val="clear" w:color="auto" w:fill="auto"/>
            <w:vAlign w:val="center"/>
          </w:tcPr>
          <w:p w14:paraId="26BDC8E7">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0.63</w:t>
            </w:r>
          </w:p>
        </w:tc>
        <w:tc>
          <w:tcPr>
            <w:tcW w:w="0" w:type="auto"/>
            <w:tcBorders>
              <w:tl2br w:val="nil"/>
              <w:tr2bl w:val="nil"/>
            </w:tcBorders>
            <w:vAlign w:val="center"/>
          </w:tcPr>
          <w:p w14:paraId="3086EA76">
            <w:pPr>
              <w:pStyle w:val="83"/>
              <w:spacing w:line="240" w:lineRule="auto"/>
              <w:ind w:left="0" w:leftChars="0" w:right="0" w:right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0" w:type="auto"/>
            <w:tcBorders>
              <w:tl2br w:val="nil"/>
              <w:tr2bl w:val="nil"/>
            </w:tcBorders>
            <w:vAlign w:val="center"/>
          </w:tcPr>
          <w:p w14:paraId="402A9F67">
            <w:pPr>
              <w:pStyle w:val="83"/>
              <w:spacing w:line="240" w:lineRule="auto"/>
              <w:ind w:left="0" w:leftChars="0" w:right="0" w:right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0" w:type="auto"/>
            <w:tcBorders>
              <w:tl2br w:val="nil"/>
              <w:tr2bl w:val="nil"/>
            </w:tcBorders>
            <w:vAlign w:val="center"/>
          </w:tcPr>
          <w:p w14:paraId="3A926ADD">
            <w:pPr>
              <w:pStyle w:val="83"/>
              <w:spacing w:line="240" w:lineRule="auto"/>
              <w:ind w:left="0" w:leftChars="0" w:right="0" w:right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0" w:type="auto"/>
            <w:tcBorders>
              <w:tl2br w:val="nil"/>
              <w:tr2bl w:val="nil"/>
            </w:tcBorders>
            <w:shd w:val="clear" w:color="auto" w:fill="auto"/>
            <w:vAlign w:val="center"/>
          </w:tcPr>
          <w:p w14:paraId="11396ACD">
            <w:pPr>
              <w:pStyle w:val="83"/>
              <w:spacing w:line="240" w:lineRule="auto"/>
              <w:ind w:left="0" w:leftChars="0" w:right="0" w:right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w:t>
            </w:r>
          </w:p>
        </w:tc>
        <w:tc>
          <w:tcPr>
            <w:tcW w:w="0" w:type="auto"/>
            <w:tcBorders>
              <w:tl2br w:val="nil"/>
              <w:tr2bl w:val="nil"/>
            </w:tcBorders>
            <w:vAlign w:val="center"/>
          </w:tcPr>
          <w:p w14:paraId="0368043F">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0" w:type="auto"/>
            <w:tcBorders>
              <w:tl2br w:val="nil"/>
              <w:tr2bl w:val="nil"/>
            </w:tcBorders>
            <w:shd w:val="clear" w:color="auto" w:fill="auto"/>
            <w:vAlign w:val="center"/>
          </w:tcPr>
          <w:p w14:paraId="11CA2129">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69D0F8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6D3C7739">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150</w:t>
            </w:r>
          </w:p>
        </w:tc>
        <w:tc>
          <w:tcPr>
            <w:tcW w:w="0" w:type="auto"/>
            <w:tcBorders>
              <w:tl2br w:val="nil"/>
              <w:tr2bl w:val="nil"/>
            </w:tcBorders>
            <w:vAlign w:val="center"/>
          </w:tcPr>
          <w:p w14:paraId="7689F7F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6.79E-02</w:t>
            </w:r>
          </w:p>
        </w:tc>
        <w:tc>
          <w:tcPr>
            <w:tcW w:w="0" w:type="auto"/>
            <w:tcBorders>
              <w:tl2br w:val="nil"/>
              <w:tr2bl w:val="nil"/>
            </w:tcBorders>
            <w:vAlign w:val="center"/>
          </w:tcPr>
          <w:p w14:paraId="1251490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7.54</w:t>
            </w:r>
          </w:p>
        </w:tc>
        <w:tc>
          <w:tcPr>
            <w:tcW w:w="0" w:type="auto"/>
            <w:tcBorders>
              <w:tl2br w:val="nil"/>
              <w:tr2bl w:val="nil"/>
            </w:tcBorders>
            <w:vAlign w:val="center"/>
          </w:tcPr>
          <w:p w14:paraId="5D7E341A">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1.26E-02</w:t>
            </w:r>
          </w:p>
        </w:tc>
        <w:tc>
          <w:tcPr>
            <w:tcW w:w="0" w:type="auto"/>
            <w:tcBorders>
              <w:tl2br w:val="nil"/>
              <w:tr2bl w:val="nil"/>
            </w:tcBorders>
            <w:shd w:val="clear" w:color="auto" w:fill="auto"/>
            <w:vAlign w:val="center"/>
          </w:tcPr>
          <w:p w14:paraId="0DD2D204">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0.63</w:t>
            </w:r>
          </w:p>
        </w:tc>
        <w:tc>
          <w:tcPr>
            <w:tcW w:w="0" w:type="auto"/>
            <w:tcBorders>
              <w:tl2br w:val="nil"/>
              <w:tr2bl w:val="nil"/>
            </w:tcBorders>
            <w:vAlign w:val="center"/>
          </w:tcPr>
          <w:p w14:paraId="19FB08B1">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7.97E-02</w:t>
            </w:r>
          </w:p>
        </w:tc>
        <w:tc>
          <w:tcPr>
            <w:tcW w:w="0" w:type="auto"/>
            <w:tcBorders>
              <w:tl2br w:val="nil"/>
              <w:tr2bl w:val="nil"/>
            </w:tcBorders>
            <w:vAlign w:val="center"/>
          </w:tcPr>
          <w:p w14:paraId="230BB71C">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3.98</w:t>
            </w:r>
          </w:p>
        </w:tc>
        <w:tc>
          <w:tcPr>
            <w:tcW w:w="0" w:type="auto"/>
            <w:tcBorders>
              <w:tl2br w:val="nil"/>
              <w:tr2bl w:val="nil"/>
            </w:tcBorders>
            <w:vAlign w:val="center"/>
          </w:tcPr>
          <w:p w14:paraId="7D7CC17E">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3.61E-03</w:t>
            </w:r>
          </w:p>
        </w:tc>
        <w:tc>
          <w:tcPr>
            <w:tcW w:w="0" w:type="auto"/>
            <w:tcBorders>
              <w:tl2br w:val="nil"/>
              <w:tr2bl w:val="nil"/>
            </w:tcBorders>
            <w:shd w:val="clear" w:color="auto" w:fill="auto"/>
            <w:vAlign w:val="center"/>
          </w:tcPr>
          <w:p w14:paraId="79B831B0">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0.40</w:t>
            </w:r>
          </w:p>
        </w:tc>
        <w:tc>
          <w:tcPr>
            <w:tcW w:w="0" w:type="auto"/>
            <w:tcBorders>
              <w:tl2br w:val="nil"/>
              <w:tr2bl w:val="nil"/>
            </w:tcBorders>
            <w:vAlign w:val="center"/>
          </w:tcPr>
          <w:p w14:paraId="4E10405A">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1.48E-02</w:t>
            </w:r>
          </w:p>
        </w:tc>
        <w:tc>
          <w:tcPr>
            <w:tcW w:w="0" w:type="auto"/>
            <w:tcBorders>
              <w:tl2br w:val="nil"/>
              <w:tr2bl w:val="nil"/>
            </w:tcBorders>
            <w:shd w:val="clear" w:color="auto" w:fill="auto"/>
            <w:vAlign w:val="center"/>
          </w:tcPr>
          <w:p w14:paraId="5B5BBD16">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1.65</w:t>
            </w:r>
          </w:p>
        </w:tc>
      </w:tr>
      <w:tr w14:paraId="0B9E7F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tcBorders>
              <w:tl2br w:val="nil"/>
              <w:tr2bl w:val="nil"/>
            </w:tcBorders>
            <w:vAlign w:val="center"/>
          </w:tcPr>
          <w:p w14:paraId="1D2AD9E4">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200</w:t>
            </w:r>
          </w:p>
        </w:tc>
        <w:tc>
          <w:tcPr>
            <w:tcW w:w="0" w:type="auto"/>
            <w:tcBorders>
              <w:tl2br w:val="nil"/>
              <w:tr2bl w:val="nil"/>
            </w:tcBorders>
            <w:vAlign w:val="center"/>
          </w:tcPr>
          <w:p w14:paraId="1EE510C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6.32E-02</w:t>
            </w:r>
          </w:p>
        </w:tc>
        <w:tc>
          <w:tcPr>
            <w:tcW w:w="0" w:type="auto"/>
            <w:tcBorders>
              <w:tl2br w:val="nil"/>
              <w:tr2bl w:val="nil"/>
            </w:tcBorders>
            <w:vAlign w:val="center"/>
          </w:tcPr>
          <w:p w14:paraId="579DD77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7.02</w:t>
            </w:r>
          </w:p>
        </w:tc>
        <w:tc>
          <w:tcPr>
            <w:tcW w:w="0" w:type="auto"/>
            <w:tcBorders>
              <w:tl2br w:val="nil"/>
              <w:tr2bl w:val="nil"/>
            </w:tcBorders>
            <w:vAlign w:val="center"/>
          </w:tcPr>
          <w:p w14:paraId="153A1E2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1.17E-02</w:t>
            </w:r>
          </w:p>
        </w:tc>
        <w:tc>
          <w:tcPr>
            <w:tcW w:w="0" w:type="auto"/>
            <w:tcBorders>
              <w:tl2br w:val="nil"/>
              <w:tr2bl w:val="nil"/>
            </w:tcBorders>
            <w:vAlign w:val="center"/>
          </w:tcPr>
          <w:p w14:paraId="584E80B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0.59</w:t>
            </w:r>
          </w:p>
        </w:tc>
        <w:tc>
          <w:tcPr>
            <w:tcW w:w="0" w:type="auto"/>
            <w:tcBorders>
              <w:tl2br w:val="nil"/>
              <w:tr2bl w:val="nil"/>
            </w:tcBorders>
            <w:vAlign w:val="center"/>
          </w:tcPr>
          <w:p w14:paraId="3C7FD29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6.90E-02</w:t>
            </w:r>
          </w:p>
        </w:tc>
        <w:tc>
          <w:tcPr>
            <w:tcW w:w="0" w:type="auto"/>
            <w:tcBorders>
              <w:tl2br w:val="nil"/>
              <w:tr2bl w:val="nil"/>
            </w:tcBorders>
            <w:vAlign w:val="center"/>
          </w:tcPr>
          <w:p w14:paraId="2650C22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3.45</w:t>
            </w:r>
          </w:p>
        </w:tc>
        <w:tc>
          <w:tcPr>
            <w:tcW w:w="0" w:type="auto"/>
            <w:tcBorders>
              <w:tl2br w:val="nil"/>
              <w:tr2bl w:val="nil"/>
            </w:tcBorders>
            <w:vAlign w:val="center"/>
          </w:tcPr>
          <w:p w14:paraId="4C6A229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3.07E-03</w:t>
            </w:r>
          </w:p>
        </w:tc>
        <w:tc>
          <w:tcPr>
            <w:tcW w:w="0" w:type="auto"/>
            <w:tcBorders>
              <w:tl2br w:val="nil"/>
              <w:tr2bl w:val="nil"/>
            </w:tcBorders>
            <w:vAlign w:val="center"/>
          </w:tcPr>
          <w:p w14:paraId="3C8BADD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0.34</w:t>
            </w:r>
          </w:p>
        </w:tc>
        <w:tc>
          <w:tcPr>
            <w:tcW w:w="0" w:type="auto"/>
            <w:tcBorders>
              <w:tl2br w:val="nil"/>
              <w:tr2bl w:val="nil"/>
            </w:tcBorders>
            <w:vAlign w:val="center"/>
          </w:tcPr>
          <w:p w14:paraId="250FFF8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1.28E-02</w:t>
            </w:r>
          </w:p>
        </w:tc>
        <w:tc>
          <w:tcPr>
            <w:tcW w:w="0" w:type="auto"/>
            <w:tcBorders>
              <w:tl2br w:val="nil"/>
              <w:tr2bl w:val="nil"/>
            </w:tcBorders>
            <w:shd w:val="clear" w:color="auto" w:fill="auto"/>
            <w:vAlign w:val="center"/>
          </w:tcPr>
          <w:p w14:paraId="28BD74D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1.43</w:t>
            </w:r>
          </w:p>
        </w:tc>
      </w:tr>
      <w:tr w14:paraId="29AF50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4CE4A990">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300</w:t>
            </w:r>
          </w:p>
        </w:tc>
        <w:tc>
          <w:tcPr>
            <w:tcW w:w="0" w:type="auto"/>
            <w:tcBorders>
              <w:tl2br w:val="nil"/>
              <w:tr2bl w:val="nil"/>
            </w:tcBorders>
            <w:vAlign w:val="center"/>
          </w:tcPr>
          <w:p w14:paraId="55EC0CB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4.94E-02</w:t>
            </w:r>
          </w:p>
        </w:tc>
        <w:tc>
          <w:tcPr>
            <w:tcW w:w="0" w:type="auto"/>
            <w:tcBorders>
              <w:tl2br w:val="nil"/>
              <w:tr2bl w:val="nil"/>
            </w:tcBorders>
            <w:vAlign w:val="center"/>
          </w:tcPr>
          <w:p w14:paraId="5652827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5.49</w:t>
            </w:r>
          </w:p>
        </w:tc>
        <w:tc>
          <w:tcPr>
            <w:tcW w:w="0" w:type="auto"/>
            <w:tcBorders>
              <w:tl2br w:val="nil"/>
              <w:tr2bl w:val="nil"/>
            </w:tcBorders>
            <w:vAlign w:val="center"/>
          </w:tcPr>
          <w:p w14:paraId="1E58D4C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9.17E-03</w:t>
            </w:r>
          </w:p>
        </w:tc>
        <w:tc>
          <w:tcPr>
            <w:tcW w:w="0" w:type="auto"/>
            <w:tcBorders>
              <w:tl2br w:val="nil"/>
              <w:tr2bl w:val="nil"/>
            </w:tcBorders>
            <w:vAlign w:val="center"/>
          </w:tcPr>
          <w:p w14:paraId="7213422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0.46</w:t>
            </w:r>
          </w:p>
        </w:tc>
        <w:tc>
          <w:tcPr>
            <w:tcW w:w="0" w:type="auto"/>
            <w:tcBorders>
              <w:tl2br w:val="nil"/>
              <w:tr2bl w:val="nil"/>
            </w:tcBorders>
            <w:vAlign w:val="center"/>
          </w:tcPr>
          <w:p w14:paraId="14580EF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4.95E-02</w:t>
            </w:r>
          </w:p>
        </w:tc>
        <w:tc>
          <w:tcPr>
            <w:tcW w:w="0" w:type="auto"/>
            <w:tcBorders>
              <w:tl2br w:val="nil"/>
              <w:tr2bl w:val="nil"/>
            </w:tcBorders>
            <w:vAlign w:val="center"/>
          </w:tcPr>
          <w:p w14:paraId="6391DBF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2.47</w:t>
            </w:r>
          </w:p>
        </w:tc>
        <w:tc>
          <w:tcPr>
            <w:tcW w:w="0" w:type="auto"/>
            <w:tcBorders>
              <w:tl2br w:val="nil"/>
              <w:tr2bl w:val="nil"/>
            </w:tcBorders>
            <w:vAlign w:val="center"/>
          </w:tcPr>
          <w:p w14:paraId="56FEABC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2.19E-03</w:t>
            </w:r>
          </w:p>
        </w:tc>
        <w:tc>
          <w:tcPr>
            <w:tcW w:w="0" w:type="auto"/>
            <w:tcBorders>
              <w:tl2br w:val="nil"/>
              <w:tr2bl w:val="nil"/>
            </w:tcBorders>
            <w:vAlign w:val="center"/>
          </w:tcPr>
          <w:p w14:paraId="60603F4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0.24</w:t>
            </w:r>
          </w:p>
        </w:tc>
        <w:tc>
          <w:tcPr>
            <w:tcW w:w="0" w:type="auto"/>
            <w:tcBorders>
              <w:tl2br w:val="nil"/>
              <w:tr2bl w:val="nil"/>
            </w:tcBorders>
            <w:vAlign w:val="center"/>
          </w:tcPr>
          <w:p w14:paraId="7BDC7BD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9.20E-03</w:t>
            </w:r>
          </w:p>
        </w:tc>
        <w:tc>
          <w:tcPr>
            <w:tcW w:w="0" w:type="auto"/>
            <w:tcBorders>
              <w:tl2br w:val="nil"/>
              <w:tr2bl w:val="nil"/>
            </w:tcBorders>
            <w:vAlign w:val="center"/>
          </w:tcPr>
          <w:p w14:paraId="667CE13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1.02</w:t>
            </w:r>
          </w:p>
        </w:tc>
      </w:tr>
      <w:tr w14:paraId="397C07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0" w:type="auto"/>
            <w:tcBorders>
              <w:tl2br w:val="nil"/>
              <w:tr2bl w:val="nil"/>
            </w:tcBorders>
            <w:vAlign w:val="center"/>
          </w:tcPr>
          <w:p w14:paraId="7BEC24E1">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350</w:t>
            </w:r>
          </w:p>
        </w:tc>
        <w:tc>
          <w:tcPr>
            <w:tcW w:w="0" w:type="auto"/>
            <w:tcBorders>
              <w:tl2br w:val="nil"/>
              <w:tr2bl w:val="nil"/>
            </w:tcBorders>
            <w:vAlign w:val="center"/>
          </w:tcPr>
          <w:p w14:paraId="4B44137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4.34E-02</w:t>
            </w:r>
          </w:p>
        </w:tc>
        <w:tc>
          <w:tcPr>
            <w:tcW w:w="0" w:type="auto"/>
            <w:tcBorders>
              <w:tl2br w:val="nil"/>
              <w:tr2bl w:val="nil"/>
            </w:tcBorders>
            <w:vAlign w:val="center"/>
          </w:tcPr>
          <w:p w14:paraId="2448314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4.83</w:t>
            </w:r>
          </w:p>
        </w:tc>
        <w:tc>
          <w:tcPr>
            <w:tcW w:w="0" w:type="auto"/>
            <w:tcBorders>
              <w:tl2br w:val="nil"/>
              <w:tr2bl w:val="nil"/>
            </w:tcBorders>
            <w:vAlign w:val="center"/>
          </w:tcPr>
          <w:p w14:paraId="419C7BB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8.07E-03</w:t>
            </w:r>
          </w:p>
        </w:tc>
        <w:tc>
          <w:tcPr>
            <w:tcW w:w="0" w:type="auto"/>
            <w:tcBorders>
              <w:tl2br w:val="nil"/>
              <w:tr2bl w:val="nil"/>
            </w:tcBorders>
            <w:vAlign w:val="center"/>
          </w:tcPr>
          <w:p w14:paraId="2AF960B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0.40</w:t>
            </w:r>
          </w:p>
        </w:tc>
        <w:tc>
          <w:tcPr>
            <w:tcW w:w="0" w:type="auto"/>
            <w:tcBorders>
              <w:tl2br w:val="nil"/>
              <w:tr2bl w:val="nil"/>
            </w:tcBorders>
            <w:vAlign w:val="center"/>
          </w:tcPr>
          <w:p w14:paraId="580621E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4.24E-02</w:t>
            </w:r>
          </w:p>
        </w:tc>
        <w:tc>
          <w:tcPr>
            <w:tcW w:w="0" w:type="auto"/>
            <w:tcBorders>
              <w:tl2br w:val="nil"/>
              <w:tr2bl w:val="nil"/>
            </w:tcBorders>
            <w:vAlign w:val="center"/>
          </w:tcPr>
          <w:p w14:paraId="33975D9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2.12</w:t>
            </w:r>
          </w:p>
        </w:tc>
        <w:tc>
          <w:tcPr>
            <w:tcW w:w="0" w:type="auto"/>
            <w:tcBorders>
              <w:tl2br w:val="nil"/>
              <w:tr2bl w:val="nil"/>
            </w:tcBorders>
            <w:vAlign w:val="center"/>
          </w:tcPr>
          <w:p w14:paraId="66FBCB3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1.88E-03</w:t>
            </w:r>
          </w:p>
        </w:tc>
        <w:tc>
          <w:tcPr>
            <w:tcW w:w="0" w:type="auto"/>
            <w:tcBorders>
              <w:tl2br w:val="nil"/>
              <w:tr2bl w:val="nil"/>
            </w:tcBorders>
            <w:vAlign w:val="center"/>
          </w:tcPr>
          <w:p w14:paraId="7BE0B99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0.21</w:t>
            </w:r>
          </w:p>
        </w:tc>
        <w:tc>
          <w:tcPr>
            <w:tcW w:w="0" w:type="auto"/>
            <w:tcBorders>
              <w:tl2br w:val="nil"/>
              <w:tr2bl w:val="nil"/>
            </w:tcBorders>
            <w:vAlign w:val="center"/>
          </w:tcPr>
          <w:p w14:paraId="5C63FE9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7.88E-03</w:t>
            </w:r>
          </w:p>
        </w:tc>
        <w:tc>
          <w:tcPr>
            <w:tcW w:w="0" w:type="auto"/>
            <w:tcBorders>
              <w:tl2br w:val="nil"/>
              <w:tr2bl w:val="nil"/>
            </w:tcBorders>
            <w:vAlign w:val="center"/>
          </w:tcPr>
          <w:p w14:paraId="1692637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0.88</w:t>
            </w:r>
          </w:p>
        </w:tc>
      </w:tr>
      <w:tr w14:paraId="4D0A43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08194DF4">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500</w:t>
            </w:r>
          </w:p>
        </w:tc>
        <w:tc>
          <w:tcPr>
            <w:tcW w:w="0" w:type="auto"/>
            <w:tcBorders>
              <w:tl2br w:val="nil"/>
              <w:tr2bl w:val="nil"/>
            </w:tcBorders>
            <w:vAlign w:val="center"/>
          </w:tcPr>
          <w:p w14:paraId="2271A0A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3.06E-02</w:t>
            </w:r>
          </w:p>
        </w:tc>
        <w:tc>
          <w:tcPr>
            <w:tcW w:w="0" w:type="auto"/>
            <w:tcBorders>
              <w:tl2br w:val="nil"/>
              <w:tr2bl w:val="nil"/>
            </w:tcBorders>
            <w:vAlign w:val="center"/>
          </w:tcPr>
          <w:p w14:paraId="1C44968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3.40</w:t>
            </w:r>
          </w:p>
        </w:tc>
        <w:tc>
          <w:tcPr>
            <w:tcW w:w="0" w:type="auto"/>
            <w:tcBorders>
              <w:tl2br w:val="nil"/>
              <w:tr2bl w:val="nil"/>
            </w:tcBorders>
            <w:vAlign w:val="center"/>
          </w:tcPr>
          <w:p w14:paraId="74B2D10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5.68E-03</w:t>
            </w:r>
          </w:p>
        </w:tc>
        <w:tc>
          <w:tcPr>
            <w:tcW w:w="0" w:type="auto"/>
            <w:tcBorders>
              <w:tl2br w:val="nil"/>
              <w:tr2bl w:val="nil"/>
            </w:tcBorders>
            <w:vAlign w:val="center"/>
          </w:tcPr>
          <w:p w14:paraId="07B2989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0.28</w:t>
            </w:r>
          </w:p>
        </w:tc>
        <w:tc>
          <w:tcPr>
            <w:tcW w:w="0" w:type="auto"/>
            <w:tcBorders>
              <w:tl2br w:val="nil"/>
              <w:tr2bl w:val="nil"/>
            </w:tcBorders>
            <w:vAlign w:val="center"/>
          </w:tcPr>
          <w:p w14:paraId="3AFDA57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2.85E-02</w:t>
            </w:r>
          </w:p>
        </w:tc>
        <w:tc>
          <w:tcPr>
            <w:tcW w:w="0" w:type="auto"/>
            <w:tcBorders>
              <w:tl2br w:val="nil"/>
              <w:tr2bl w:val="nil"/>
            </w:tcBorders>
            <w:vAlign w:val="center"/>
          </w:tcPr>
          <w:p w14:paraId="3B08E2C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1.42</w:t>
            </w:r>
          </w:p>
        </w:tc>
        <w:tc>
          <w:tcPr>
            <w:tcW w:w="0" w:type="auto"/>
            <w:tcBorders>
              <w:tl2br w:val="nil"/>
              <w:tr2bl w:val="nil"/>
            </w:tcBorders>
            <w:vAlign w:val="center"/>
          </w:tcPr>
          <w:p w14:paraId="54BB875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1.27E-03</w:t>
            </w:r>
          </w:p>
        </w:tc>
        <w:tc>
          <w:tcPr>
            <w:tcW w:w="0" w:type="auto"/>
            <w:tcBorders>
              <w:tl2br w:val="nil"/>
              <w:tr2bl w:val="nil"/>
            </w:tcBorders>
            <w:vAlign w:val="center"/>
          </w:tcPr>
          <w:p w14:paraId="67404C5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0.14</w:t>
            </w:r>
          </w:p>
        </w:tc>
        <w:tc>
          <w:tcPr>
            <w:tcW w:w="0" w:type="auto"/>
            <w:tcBorders>
              <w:tl2br w:val="nil"/>
              <w:tr2bl w:val="nil"/>
            </w:tcBorders>
            <w:vAlign w:val="center"/>
          </w:tcPr>
          <w:p w14:paraId="690D91F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5.30E-03</w:t>
            </w:r>
          </w:p>
        </w:tc>
        <w:tc>
          <w:tcPr>
            <w:tcW w:w="0" w:type="auto"/>
            <w:tcBorders>
              <w:tl2br w:val="nil"/>
              <w:tr2bl w:val="nil"/>
            </w:tcBorders>
            <w:vAlign w:val="center"/>
          </w:tcPr>
          <w:p w14:paraId="5B0AC6F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0.59</w:t>
            </w:r>
          </w:p>
        </w:tc>
      </w:tr>
      <w:tr w14:paraId="18F8034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2D6AD98D">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1000</w:t>
            </w:r>
          </w:p>
        </w:tc>
        <w:tc>
          <w:tcPr>
            <w:tcW w:w="0" w:type="auto"/>
            <w:tcBorders>
              <w:tl2br w:val="nil"/>
              <w:tr2bl w:val="nil"/>
            </w:tcBorders>
            <w:vAlign w:val="center"/>
          </w:tcPr>
          <w:p w14:paraId="56435AE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1.36E-02</w:t>
            </w:r>
          </w:p>
        </w:tc>
        <w:tc>
          <w:tcPr>
            <w:tcW w:w="0" w:type="auto"/>
            <w:tcBorders>
              <w:tl2br w:val="nil"/>
              <w:tr2bl w:val="nil"/>
            </w:tcBorders>
            <w:vAlign w:val="center"/>
          </w:tcPr>
          <w:p w14:paraId="691030D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1.51</w:t>
            </w:r>
          </w:p>
        </w:tc>
        <w:tc>
          <w:tcPr>
            <w:tcW w:w="0" w:type="auto"/>
            <w:tcBorders>
              <w:tl2br w:val="nil"/>
              <w:tr2bl w:val="nil"/>
            </w:tcBorders>
            <w:vAlign w:val="center"/>
          </w:tcPr>
          <w:p w14:paraId="7F26DB4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2.53E-03</w:t>
            </w:r>
          </w:p>
        </w:tc>
        <w:tc>
          <w:tcPr>
            <w:tcW w:w="0" w:type="auto"/>
            <w:tcBorders>
              <w:tl2br w:val="nil"/>
              <w:tr2bl w:val="nil"/>
            </w:tcBorders>
            <w:vAlign w:val="center"/>
          </w:tcPr>
          <w:p w14:paraId="64F3180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0.13</w:t>
            </w:r>
          </w:p>
        </w:tc>
        <w:tc>
          <w:tcPr>
            <w:tcW w:w="0" w:type="auto"/>
            <w:tcBorders>
              <w:tl2br w:val="nil"/>
              <w:tr2bl w:val="nil"/>
            </w:tcBorders>
            <w:vAlign w:val="center"/>
          </w:tcPr>
          <w:p w14:paraId="6A713112">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1.20E-02</w:t>
            </w:r>
          </w:p>
        </w:tc>
        <w:tc>
          <w:tcPr>
            <w:tcW w:w="0" w:type="auto"/>
            <w:tcBorders>
              <w:tl2br w:val="nil"/>
              <w:tr2bl w:val="nil"/>
            </w:tcBorders>
            <w:vAlign w:val="center"/>
          </w:tcPr>
          <w:p w14:paraId="31308FD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0.60</w:t>
            </w:r>
          </w:p>
        </w:tc>
        <w:tc>
          <w:tcPr>
            <w:tcW w:w="0" w:type="auto"/>
            <w:tcBorders>
              <w:tl2br w:val="nil"/>
              <w:tr2bl w:val="nil"/>
            </w:tcBorders>
            <w:vAlign w:val="center"/>
          </w:tcPr>
          <w:p w14:paraId="63332C1C">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5.39E-04</w:t>
            </w:r>
          </w:p>
        </w:tc>
        <w:tc>
          <w:tcPr>
            <w:tcW w:w="0" w:type="auto"/>
            <w:tcBorders>
              <w:tl2br w:val="nil"/>
              <w:tr2bl w:val="nil"/>
            </w:tcBorders>
            <w:vAlign w:val="center"/>
          </w:tcPr>
          <w:p w14:paraId="4D86651B">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0.06</w:t>
            </w:r>
          </w:p>
        </w:tc>
        <w:tc>
          <w:tcPr>
            <w:tcW w:w="0" w:type="auto"/>
            <w:tcBorders>
              <w:tl2br w:val="nil"/>
              <w:tr2bl w:val="nil"/>
            </w:tcBorders>
            <w:vAlign w:val="center"/>
          </w:tcPr>
          <w:p w14:paraId="0A70FE6D">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2.24E-03</w:t>
            </w:r>
          </w:p>
        </w:tc>
        <w:tc>
          <w:tcPr>
            <w:tcW w:w="0" w:type="auto"/>
            <w:tcBorders>
              <w:tl2br w:val="nil"/>
              <w:tr2bl w:val="nil"/>
            </w:tcBorders>
            <w:vAlign w:val="center"/>
          </w:tcPr>
          <w:p w14:paraId="2DD2BEA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0.25</w:t>
            </w:r>
          </w:p>
        </w:tc>
      </w:tr>
      <w:tr w14:paraId="700699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0EE1B3EC">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2000</w:t>
            </w:r>
          </w:p>
        </w:tc>
        <w:tc>
          <w:tcPr>
            <w:tcW w:w="0" w:type="auto"/>
            <w:tcBorders>
              <w:tl2br w:val="nil"/>
              <w:tr2bl w:val="nil"/>
            </w:tcBorders>
            <w:vAlign w:val="center"/>
          </w:tcPr>
          <w:p w14:paraId="5B854D50">
            <w:pPr>
              <w:pStyle w:val="83"/>
              <w:spacing w:line="240" w:lineRule="auto"/>
              <w:ind w:left="0" w:leftChars="0" w:right="0" w:rightChars="0"/>
              <w:jc w:val="center"/>
              <w:rPr>
                <w:rFonts w:hint="default" w:ascii="Times New Roman" w:hAnsi="Times New Roman" w:cs="Times New Roman"/>
                <w:color w:val="auto"/>
                <w:szCs w:val="21"/>
              </w:rPr>
            </w:pPr>
            <w:r>
              <w:rPr>
                <w:rFonts w:hint="default" w:ascii="Times New Roman" w:hAnsi="Times New Roman" w:cs="Times New Roman"/>
                <w:color w:val="auto"/>
                <w:szCs w:val="21"/>
              </w:rPr>
              <w:t>5.65E-03</w:t>
            </w:r>
          </w:p>
        </w:tc>
        <w:tc>
          <w:tcPr>
            <w:tcW w:w="0" w:type="auto"/>
            <w:tcBorders>
              <w:tl2br w:val="nil"/>
              <w:tr2bl w:val="nil"/>
            </w:tcBorders>
            <w:vAlign w:val="center"/>
          </w:tcPr>
          <w:p w14:paraId="38EB4DE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0.63</w:t>
            </w:r>
          </w:p>
        </w:tc>
        <w:tc>
          <w:tcPr>
            <w:tcW w:w="0" w:type="auto"/>
            <w:tcBorders>
              <w:tl2br w:val="nil"/>
              <w:tr2bl w:val="nil"/>
            </w:tcBorders>
            <w:vAlign w:val="center"/>
          </w:tcPr>
          <w:p w14:paraId="3098A05A">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1.05E-03</w:t>
            </w:r>
          </w:p>
        </w:tc>
        <w:tc>
          <w:tcPr>
            <w:tcW w:w="0" w:type="auto"/>
            <w:tcBorders>
              <w:tl2br w:val="nil"/>
              <w:tr2bl w:val="nil"/>
            </w:tcBorders>
            <w:vAlign w:val="center"/>
          </w:tcPr>
          <w:p w14:paraId="4B00E8C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0.05</w:t>
            </w:r>
          </w:p>
        </w:tc>
        <w:tc>
          <w:tcPr>
            <w:tcW w:w="0" w:type="auto"/>
            <w:tcBorders>
              <w:tl2br w:val="nil"/>
              <w:tr2bl w:val="nil"/>
            </w:tcBorders>
            <w:vAlign w:val="center"/>
          </w:tcPr>
          <w:p w14:paraId="2F9CB373">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4.90E-03</w:t>
            </w:r>
          </w:p>
        </w:tc>
        <w:tc>
          <w:tcPr>
            <w:tcW w:w="0" w:type="auto"/>
            <w:tcBorders>
              <w:tl2br w:val="nil"/>
              <w:tr2bl w:val="nil"/>
            </w:tcBorders>
            <w:vAlign w:val="center"/>
          </w:tcPr>
          <w:p w14:paraId="596B7DB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0.25</w:t>
            </w:r>
          </w:p>
        </w:tc>
        <w:tc>
          <w:tcPr>
            <w:tcW w:w="0" w:type="auto"/>
            <w:tcBorders>
              <w:tl2br w:val="nil"/>
              <w:tr2bl w:val="nil"/>
            </w:tcBorders>
            <w:vAlign w:val="center"/>
          </w:tcPr>
          <w:p w14:paraId="64C97CCC">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2.20E-04</w:t>
            </w:r>
          </w:p>
        </w:tc>
        <w:tc>
          <w:tcPr>
            <w:tcW w:w="0" w:type="auto"/>
            <w:tcBorders>
              <w:tl2br w:val="nil"/>
              <w:tr2bl w:val="nil"/>
            </w:tcBorders>
            <w:vAlign w:val="center"/>
          </w:tcPr>
          <w:p w14:paraId="3230428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0.02</w:t>
            </w:r>
          </w:p>
        </w:tc>
        <w:tc>
          <w:tcPr>
            <w:tcW w:w="0" w:type="auto"/>
            <w:tcBorders>
              <w:tl2br w:val="nil"/>
              <w:tr2bl w:val="nil"/>
            </w:tcBorders>
            <w:vAlign w:val="center"/>
          </w:tcPr>
          <w:p w14:paraId="1C002DF1">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9.11E-04</w:t>
            </w:r>
          </w:p>
        </w:tc>
        <w:tc>
          <w:tcPr>
            <w:tcW w:w="0" w:type="auto"/>
            <w:tcBorders>
              <w:tl2br w:val="nil"/>
              <w:tr2bl w:val="nil"/>
            </w:tcBorders>
            <w:vAlign w:val="center"/>
          </w:tcPr>
          <w:p w14:paraId="7987F2C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0.10</w:t>
            </w:r>
          </w:p>
        </w:tc>
      </w:tr>
      <w:tr w14:paraId="110D12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5B7B43DE">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3000</w:t>
            </w:r>
          </w:p>
        </w:tc>
        <w:tc>
          <w:tcPr>
            <w:tcW w:w="0" w:type="auto"/>
            <w:tcBorders>
              <w:tl2br w:val="nil"/>
              <w:tr2bl w:val="nil"/>
            </w:tcBorders>
            <w:vAlign w:val="center"/>
          </w:tcPr>
          <w:p w14:paraId="2A0E0B6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3.28E-03</w:t>
            </w:r>
          </w:p>
        </w:tc>
        <w:tc>
          <w:tcPr>
            <w:tcW w:w="0" w:type="auto"/>
            <w:tcBorders>
              <w:tl2br w:val="nil"/>
              <w:tr2bl w:val="nil"/>
            </w:tcBorders>
            <w:vAlign w:val="center"/>
          </w:tcPr>
          <w:p w14:paraId="63B8BC2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0.36</w:t>
            </w:r>
          </w:p>
        </w:tc>
        <w:tc>
          <w:tcPr>
            <w:tcW w:w="0" w:type="auto"/>
            <w:tcBorders>
              <w:tl2br w:val="nil"/>
              <w:tr2bl w:val="nil"/>
            </w:tcBorders>
            <w:vAlign w:val="center"/>
          </w:tcPr>
          <w:p w14:paraId="6FF7088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6.09E-04</w:t>
            </w:r>
          </w:p>
        </w:tc>
        <w:tc>
          <w:tcPr>
            <w:tcW w:w="0" w:type="auto"/>
            <w:tcBorders>
              <w:tl2br w:val="nil"/>
              <w:tr2bl w:val="nil"/>
            </w:tcBorders>
            <w:vAlign w:val="center"/>
          </w:tcPr>
          <w:p w14:paraId="388481C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0.03</w:t>
            </w:r>
          </w:p>
        </w:tc>
        <w:tc>
          <w:tcPr>
            <w:tcW w:w="0" w:type="auto"/>
            <w:tcBorders>
              <w:tl2br w:val="nil"/>
              <w:tr2bl w:val="nil"/>
            </w:tcBorders>
            <w:vAlign w:val="center"/>
          </w:tcPr>
          <w:p w14:paraId="323CE69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2.83E-03</w:t>
            </w:r>
          </w:p>
        </w:tc>
        <w:tc>
          <w:tcPr>
            <w:tcW w:w="0" w:type="auto"/>
            <w:tcBorders>
              <w:tl2br w:val="nil"/>
              <w:tr2bl w:val="nil"/>
            </w:tcBorders>
            <w:vAlign w:val="center"/>
          </w:tcPr>
          <w:p w14:paraId="7C2DE14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0.14</w:t>
            </w:r>
          </w:p>
        </w:tc>
        <w:tc>
          <w:tcPr>
            <w:tcW w:w="0" w:type="auto"/>
            <w:tcBorders>
              <w:tl2br w:val="nil"/>
              <w:tr2bl w:val="nil"/>
            </w:tcBorders>
            <w:vAlign w:val="center"/>
          </w:tcPr>
          <w:p w14:paraId="599D3F8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1.27E-04</w:t>
            </w:r>
          </w:p>
        </w:tc>
        <w:tc>
          <w:tcPr>
            <w:tcW w:w="0" w:type="auto"/>
            <w:tcBorders>
              <w:tl2br w:val="nil"/>
              <w:tr2bl w:val="nil"/>
            </w:tcBorders>
            <w:vAlign w:val="center"/>
          </w:tcPr>
          <w:p w14:paraId="3B2E1F0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c>
          <w:tcPr>
            <w:tcW w:w="0" w:type="auto"/>
            <w:tcBorders>
              <w:tl2br w:val="nil"/>
              <w:tr2bl w:val="nil"/>
            </w:tcBorders>
            <w:vAlign w:val="center"/>
          </w:tcPr>
          <w:p w14:paraId="540E83B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5.25E-04</w:t>
            </w:r>
          </w:p>
        </w:tc>
        <w:tc>
          <w:tcPr>
            <w:tcW w:w="0" w:type="auto"/>
            <w:tcBorders>
              <w:tl2br w:val="nil"/>
              <w:tr2bl w:val="nil"/>
            </w:tcBorders>
            <w:vAlign w:val="center"/>
          </w:tcPr>
          <w:p w14:paraId="4B75912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0.06</w:t>
            </w:r>
          </w:p>
        </w:tc>
      </w:tr>
      <w:tr w14:paraId="30D7D2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41B7F83D">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5000</w:t>
            </w:r>
          </w:p>
        </w:tc>
        <w:tc>
          <w:tcPr>
            <w:tcW w:w="0" w:type="auto"/>
            <w:tcBorders>
              <w:tl2br w:val="nil"/>
              <w:tr2bl w:val="nil"/>
            </w:tcBorders>
            <w:vAlign w:val="center"/>
          </w:tcPr>
          <w:p w14:paraId="7A00AF8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1.65E-03</w:t>
            </w:r>
          </w:p>
        </w:tc>
        <w:tc>
          <w:tcPr>
            <w:tcW w:w="0" w:type="auto"/>
            <w:tcBorders>
              <w:tl2br w:val="nil"/>
              <w:tr2bl w:val="nil"/>
            </w:tcBorders>
            <w:vAlign w:val="center"/>
          </w:tcPr>
          <w:p w14:paraId="482A955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0.18</w:t>
            </w:r>
          </w:p>
        </w:tc>
        <w:tc>
          <w:tcPr>
            <w:tcW w:w="0" w:type="auto"/>
            <w:tcBorders>
              <w:tl2br w:val="nil"/>
              <w:tr2bl w:val="nil"/>
            </w:tcBorders>
            <w:vAlign w:val="center"/>
          </w:tcPr>
          <w:p w14:paraId="62A40B6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3.07E-04</w:t>
            </w:r>
          </w:p>
        </w:tc>
        <w:tc>
          <w:tcPr>
            <w:tcW w:w="0" w:type="auto"/>
            <w:tcBorders>
              <w:tl2br w:val="nil"/>
              <w:tr2bl w:val="nil"/>
            </w:tcBorders>
            <w:vAlign w:val="center"/>
          </w:tcPr>
          <w:p w14:paraId="7BD7732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0.02</w:t>
            </w:r>
          </w:p>
        </w:tc>
        <w:tc>
          <w:tcPr>
            <w:tcW w:w="0" w:type="auto"/>
            <w:tcBorders>
              <w:tl2br w:val="nil"/>
              <w:tr2bl w:val="nil"/>
            </w:tcBorders>
            <w:vAlign w:val="center"/>
          </w:tcPr>
          <w:p w14:paraId="2728559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1.41E-03</w:t>
            </w:r>
          </w:p>
        </w:tc>
        <w:tc>
          <w:tcPr>
            <w:tcW w:w="0" w:type="auto"/>
            <w:tcBorders>
              <w:tl2br w:val="nil"/>
              <w:tr2bl w:val="nil"/>
            </w:tcBorders>
            <w:vAlign w:val="center"/>
          </w:tcPr>
          <w:p w14:paraId="17114D0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0.07</w:t>
            </w:r>
          </w:p>
        </w:tc>
        <w:tc>
          <w:tcPr>
            <w:tcW w:w="0" w:type="auto"/>
            <w:tcBorders>
              <w:tl2br w:val="nil"/>
              <w:tr2bl w:val="nil"/>
            </w:tcBorders>
            <w:vAlign w:val="center"/>
          </w:tcPr>
          <w:p w14:paraId="79201CA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6.32E-05</w:t>
            </w:r>
          </w:p>
        </w:tc>
        <w:tc>
          <w:tcPr>
            <w:tcW w:w="0" w:type="auto"/>
            <w:tcBorders>
              <w:tl2br w:val="nil"/>
              <w:tr2bl w:val="nil"/>
            </w:tcBorders>
            <w:vAlign w:val="center"/>
          </w:tcPr>
          <w:p w14:paraId="372627E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c>
          <w:tcPr>
            <w:tcW w:w="0" w:type="auto"/>
            <w:tcBorders>
              <w:tl2br w:val="nil"/>
              <w:tr2bl w:val="nil"/>
            </w:tcBorders>
            <w:vAlign w:val="center"/>
          </w:tcPr>
          <w:p w14:paraId="7BC9F56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2.62E-04</w:t>
            </w:r>
          </w:p>
        </w:tc>
        <w:tc>
          <w:tcPr>
            <w:tcW w:w="0" w:type="auto"/>
            <w:tcBorders>
              <w:tl2br w:val="nil"/>
              <w:tr2bl w:val="nil"/>
            </w:tcBorders>
            <w:vAlign w:val="center"/>
          </w:tcPr>
          <w:p w14:paraId="6ADE4B61">
            <w:pPr>
              <w:spacing w:line="240" w:lineRule="auto"/>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0.03</w:t>
            </w:r>
          </w:p>
        </w:tc>
      </w:tr>
      <w:tr w14:paraId="0CCF93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445E8C63">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10000</w:t>
            </w:r>
          </w:p>
        </w:tc>
        <w:tc>
          <w:tcPr>
            <w:tcW w:w="0" w:type="auto"/>
            <w:tcBorders>
              <w:tl2br w:val="nil"/>
              <w:tr2bl w:val="nil"/>
            </w:tcBorders>
            <w:vAlign w:val="center"/>
          </w:tcPr>
          <w:p w14:paraId="4C39E59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6.48E-04</w:t>
            </w:r>
          </w:p>
        </w:tc>
        <w:tc>
          <w:tcPr>
            <w:tcW w:w="0" w:type="auto"/>
            <w:tcBorders>
              <w:tl2br w:val="nil"/>
              <w:tr2bl w:val="nil"/>
            </w:tcBorders>
            <w:vAlign w:val="center"/>
          </w:tcPr>
          <w:p w14:paraId="3D56DE3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0.07</w:t>
            </w:r>
          </w:p>
        </w:tc>
        <w:tc>
          <w:tcPr>
            <w:tcW w:w="0" w:type="auto"/>
            <w:tcBorders>
              <w:tl2br w:val="nil"/>
              <w:tr2bl w:val="nil"/>
            </w:tcBorders>
            <w:vAlign w:val="center"/>
          </w:tcPr>
          <w:p w14:paraId="7D02FDB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1.20E-04</w:t>
            </w:r>
          </w:p>
        </w:tc>
        <w:tc>
          <w:tcPr>
            <w:tcW w:w="0" w:type="auto"/>
            <w:tcBorders>
              <w:tl2br w:val="nil"/>
              <w:tr2bl w:val="nil"/>
            </w:tcBorders>
            <w:vAlign w:val="center"/>
          </w:tcPr>
          <w:p w14:paraId="50FFFA0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c>
          <w:tcPr>
            <w:tcW w:w="0" w:type="auto"/>
            <w:tcBorders>
              <w:tl2br w:val="nil"/>
              <w:tr2bl w:val="nil"/>
            </w:tcBorders>
            <w:vAlign w:val="center"/>
          </w:tcPr>
          <w:p w14:paraId="6B8498A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5.48E-04</w:t>
            </w:r>
          </w:p>
        </w:tc>
        <w:tc>
          <w:tcPr>
            <w:tcW w:w="0" w:type="auto"/>
            <w:tcBorders>
              <w:tl2br w:val="nil"/>
              <w:tr2bl w:val="nil"/>
            </w:tcBorders>
            <w:vAlign w:val="center"/>
          </w:tcPr>
          <w:p w14:paraId="2086707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0.03</w:t>
            </w:r>
          </w:p>
        </w:tc>
        <w:tc>
          <w:tcPr>
            <w:tcW w:w="0" w:type="auto"/>
            <w:tcBorders>
              <w:tl2br w:val="nil"/>
              <w:tr2bl w:val="nil"/>
            </w:tcBorders>
            <w:vAlign w:val="center"/>
          </w:tcPr>
          <w:p w14:paraId="4415DAD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2.46E-05</w:t>
            </w:r>
          </w:p>
        </w:tc>
        <w:tc>
          <w:tcPr>
            <w:tcW w:w="0" w:type="auto"/>
            <w:tcBorders>
              <w:tl2br w:val="nil"/>
              <w:tr2bl w:val="nil"/>
            </w:tcBorders>
            <w:vAlign w:val="center"/>
          </w:tcPr>
          <w:p w14:paraId="13EFE7F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0" w:type="auto"/>
            <w:tcBorders>
              <w:tl2br w:val="nil"/>
              <w:tr2bl w:val="nil"/>
            </w:tcBorders>
            <w:vAlign w:val="center"/>
          </w:tcPr>
          <w:p w14:paraId="6364A9E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1.02E-04</w:t>
            </w:r>
          </w:p>
        </w:tc>
        <w:tc>
          <w:tcPr>
            <w:tcW w:w="0" w:type="auto"/>
            <w:tcBorders>
              <w:tl2br w:val="nil"/>
              <w:tr2bl w:val="nil"/>
            </w:tcBorders>
            <w:vAlign w:val="center"/>
          </w:tcPr>
          <w:p w14:paraId="344556D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r>
      <w:tr w14:paraId="2A2A92F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4FB23440">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15000</w:t>
            </w:r>
          </w:p>
        </w:tc>
        <w:tc>
          <w:tcPr>
            <w:tcW w:w="0" w:type="auto"/>
            <w:tcBorders>
              <w:tl2br w:val="nil"/>
              <w:tr2bl w:val="nil"/>
            </w:tcBorders>
            <w:vAlign w:val="center"/>
          </w:tcPr>
          <w:p w14:paraId="7A03951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3.74E-04</w:t>
            </w:r>
          </w:p>
        </w:tc>
        <w:tc>
          <w:tcPr>
            <w:tcW w:w="0" w:type="auto"/>
            <w:tcBorders>
              <w:tl2br w:val="nil"/>
              <w:tr2bl w:val="nil"/>
            </w:tcBorders>
            <w:vAlign w:val="center"/>
          </w:tcPr>
          <w:p w14:paraId="6E45EAA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0.04</w:t>
            </w:r>
          </w:p>
        </w:tc>
        <w:tc>
          <w:tcPr>
            <w:tcW w:w="0" w:type="auto"/>
            <w:tcBorders>
              <w:tl2br w:val="nil"/>
              <w:tr2bl w:val="nil"/>
            </w:tcBorders>
            <w:vAlign w:val="center"/>
          </w:tcPr>
          <w:p w14:paraId="3D213A3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6.94E-05</w:t>
            </w:r>
          </w:p>
        </w:tc>
        <w:tc>
          <w:tcPr>
            <w:tcW w:w="0" w:type="auto"/>
            <w:tcBorders>
              <w:tl2br w:val="nil"/>
              <w:tr2bl w:val="nil"/>
            </w:tcBorders>
            <w:vAlign w:val="center"/>
          </w:tcPr>
          <w:p w14:paraId="7E2E438E">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w:t>
            </w:r>
          </w:p>
        </w:tc>
        <w:tc>
          <w:tcPr>
            <w:tcW w:w="0" w:type="auto"/>
            <w:tcBorders>
              <w:tl2br w:val="nil"/>
              <w:tr2bl w:val="nil"/>
            </w:tcBorders>
            <w:vAlign w:val="center"/>
          </w:tcPr>
          <w:p w14:paraId="778A115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3.15E-04</w:t>
            </w:r>
          </w:p>
        </w:tc>
        <w:tc>
          <w:tcPr>
            <w:tcW w:w="0" w:type="auto"/>
            <w:tcBorders>
              <w:tl2br w:val="nil"/>
              <w:tr2bl w:val="nil"/>
            </w:tcBorders>
            <w:vAlign w:val="center"/>
          </w:tcPr>
          <w:p w14:paraId="773635D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0.02</w:t>
            </w:r>
          </w:p>
        </w:tc>
        <w:tc>
          <w:tcPr>
            <w:tcW w:w="0" w:type="auto"/>
            <w:tcBorders>
              <w:tl2br w:val="nil"/>
              <w:tr2bl w:val="nil"/>
            </w:tcBorders>
            <w:vAlign w:val="center"/>
          </w:tcPr>
          <w:p w14:paraId="65DB3A7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1.41E-05</w:t>
            </w:r>
          </w:p>
        </w:tc>
        <w:tc>
          <w:tcPr>
            <w:tcW w:w="0" w:type="auto"/>
            <w:tcBorders>
              <w:tl2br w:val="nil"/>
              <w:tr2bl w:val="nil"/>
            </w:tcBorders>
            <w:vAlign w:val="center"/>
          </w:tcPr>
          <w:p w14:paraId="7B5752A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0" w:type="auto"/>
            <w:tcBorders>
              <w:tl2br w:val="nil"/>
              <w:tr2bl w:val="nil"/>
            </w:tcBorders>
            <w:vAlign w:val="center"/>
          </w:tcPr>
          <w:p w14:paraId="5EEBC94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5.86E-05</w:t>
            </w:r>
          </w:p>
        </w:tc>
        <w:tc>
          <w:tcPr>
            <w:tcW w:w="0" w:type="auto"/>
            <w:tcBorders>
              <w:tl2br w:val="nil"/>
              <w:tr2bl w:val="nil"/>
            </w:tcBorders>
            <w:vAlign w:val="center"/>
          </w:tcPr>
          <w:p w14:paraId="4DE0393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r>
      <w:tr w14:paraId="442215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7" w:hRule="atLeast"/>
          <w:jc w:val="center"/>
        </w:trPr>
        <w:tc>
          <w:tcPr>
            <w:tcW w:w="0" w:type="auto"/>
            <w:tcBorders>
              <w:tl2br w:val="nil"/>
              <w:tr2bl w:val="nil"/>
            </w:tcBorders>
            <w:vAlign w:val="center"/>
          </w:tcPr>
          <w:p w14:paraId="154E6AA5">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20000</w:t>
            </w:r>
          </w:p>
        </w:tc>
        <w:tc>
          <w:tcPr>
            <w:tcW w:w="0" w:type="auto"/>
            <w:tcBorders>
              <w:tl2br w:val="nil"/>
              <w:tr2bl w:val="nil"/>
            </w:tcBorders>
            <w:vAlign w:val="center"/>
          </w:tcPr>
          <w:p w14:paraId="354C56B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2.53E-04</w:t>
            </w:r>
          </w:p>
        </w:tc>
        <w:tc>
          <w:tcPr>
            <w:tcW w:w="0" w:type="auto"/>
            <w:tcBorders>
              <w:tl2br w:val="nil"/>
              <w:tr2bl w:val="nil"/>
            </w:tcBorders>
            <w:vAlign w:val="center"/>
          </w:tcPr>
          <w:p w14:paraId="55AD030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0.03</w:t>
            </w:r>
          </w:p>
        </w:tc>
        <w:tc>
          <w:tcPr>
            <w:tcW w:w="0" w:type="auto"/>
            <w:tcBorders>
              <w:tl2br w:val="nil"/>
              <w:tr2bl w:val="nil"/>
            </w:tcBorders>
            <w:vAlign w:val="center"/>
          </w:tcPr>
          <w:p w14:paraId="6E24872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4.69E-05</w:t>
            </w:r>
          </w:p>
        </w:tc>
        <w:tc>
          <w:tcPr>
            <w:tcW w:w="0" w:type="auto"/>
            <w:tcBorders>
              <w:tl2br w:val="nil"/>
              <w:tr2bl w:val="nil"/>
            </w:tcBorders>
            <w:vAlign w:val="center"/>
          </w:tcPr>
          <w:p w14:paraId="4C0DD2E0">
            <w:pPr>
              <w:spacing w:line="240" w:lineRule="auto"/>
              <w:ind w:firstLine="0" w:firstLineChars="0"/>
              <w:jc w:val="center"/>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0.00</w:t>
            </w:r>
          </w:p>
        </w:tc>
        <w:tc>
          <w:tcPr>
            <w:tcW w:w="0" w:type="auto"/>
            <w:tcBorders>
              <w:tl2br w:val="nil"/>
              <w:tr2bl w:val="nil"/>
            </w:tcBorders>
            <w:vAlign w:val="center"/>
          </w:tcPr>
          <w:p w14:paraId="3467001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2.13E-04</w:t>
            </w:r>
          </w:p>
        </w:tc>
        <w:tc>
          <w:tcPr>
            <w:tcW w:w="0" w:type="auto"/>
            <w:tcBorders>
              <w:tl2br w:val="nil"/>
              <w:tr2bl w:val="nil"/>
            </w:tcBorders>
            <w:vAlign w:val="center"/>
          </w:tcPr>
          <w:p w14:paraId="685905D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c>
          <w:tcPr>
            <w:tcW w:w="0" w:type="auto"/>
            <w:tcBorders>
              <w:tl2br w:val="nil"/>
              <w:tr2bl w:val="nil"/>
            </w:tcBorders>
            <w:vAlign w:val="center"/>
          </w:tcPr>
          <w:p w14:paraId="25450EF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9.55E-06</w:t>
            </w:r>
          </w:p>
        </w:tc>
        <w:tc>
          <w:tcPr>
            <w:tcW w:w="0" w:type="auto"/>
            <w:tcBorders>
              <w:tl2br w:val="nil"/>
              <w:tr2bl w:val="nil"/>
            </w:tcBorders>
            <w:vAlign w:val="center"/>
          </w:tcPr>
          <w:p w14:paraId="38BCBF0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0" w:type="auto"/>
            <w:tcBorders>
              <w:tl2br w:val="nil"/>
              <w:tr2bl w:val="nil"/>
            </w:tcBorders>
            <w:vAlign w:val="center"/>
          </w:tcPr>
          <w:p w14:paraId="288C940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3.96E-05</w:t>
            </w:r>
          </w:p>
        </w:tc>
        <w:tc>
          <w:tcPr>
            <w:tcW w:w="0" w:type="auto"/>
            <w:tcBorders>
              <w:tl2br w:val="nil"/>
              <w:tr2bl w:val="nil"/>
            </w:tcBorders>
            <w:vAlign w:val="center"/>
          </w:tcPr>
          <w:p w14:paraId="06B1A3FA">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w:t>
            </w:r>
          </w:p>
        </w:tc>
      </w:tr>
      <w:tr w14:paraId="67F94F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309E7949">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25000</w:t>
            </w:r>
          </w:p>
        </w:tc>
        <w:tc>
          <w:tcPr>
            <w:tcW w:w="0" w:type="auto"/>
            <w:tcBorders>
              <w:tl2br w:val="nil"/>
              <w:tr2bl w:val="nil"/>
            </w:tcBorders>
            <w:vAlign w:val="center"/>
          </w:tcPr>
          <w:p w14:paraId="783ABC3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1.87E-04</w:t>
            </w:r>
          </w:p>
        </w:tc>
        <w:tc>
          <w:tcPr>
            <w:tcW w:w="0" w:type="auto"/>
            <w:tcBorders>
              <w:tl2br w:val="nil"/>
              <w:tr2bl w:val="nil"/>
            </w:tcBorders>
            <w:vAlign w:val="center"/>
          </w:tcPr>
          <w:p w14:paraId="1FC0EA90">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w:t>
            </w:r>
          </w:p>
        </w:tc>
        <w:tc>
          <w:tcPr>
            <w:tcW w:w="0" w:type="auto"/>
            <w:tcBorders>
              <w:tl2br w:val="nil"/>
              <w:tr2bl w:val="nil"/>
            </w:tcBorders>
            <w:vAlign w:val="center"/>
          </w:tcPr>
          <w:p w14:paraId="5497675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3.46E-05</w:t>
            </w:r>
          </w:p>
        </w:tc>
        <w:tc>
          <w:tcPr>
            <w:tcW w:w="0" w:type="auto"/>
            <w:tcBorders>
              <w:tl2br w:val="nil"/>
              <w:tr2bl w:val="nil"/>
            </w:tcBorders>
            <w:vAlign w:val="center"/>
          </w:tcPr>
          <w:p w14:paraId="3ED9B76B">
            <w:pPr>
              <w:spacing w:line="240" w:lineRule="auto"/>
              <w:ind w:firstLine="0" w:firstLineChars="0"/>
              <w:jc w:val="center"/>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0.00</w:t>
            </w:r>
          </w:p>
        </w:tc>
        <w:tc>
          <w:tcPr>
            <w:tcW w:w="0" w:type="auto"/>
            <w:tcBorders>
              <w:tl2br w:val="nil"/>
              <w:tr2bl w:val="nil"/>
            </w:tcBorders>
            <w:vAlign w:val="center"/>
          </w:tcPr>
          <w:p w14:paraId="2063EBC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1.57E-04</w:t>
            </w:r>
          </w:p>
        </w:tc>
        <w:tc>
          <w:tcPr>
            <w:tcW w:w="0" w:type="auto"/>
            <w:tcBorders>
              <w:tl2br w:val="nil"/>
              <w:tr2bl w:val="nil"/>
            </w:tcBorders>
            <w:vAlign w:val="center"/>
          </w:tcPr>
          <w:p w14:paraId="766B0DD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w:t>
            </w:r>
          </w:p>
        </w:tc>
        <w:tc>
          <w:tcPr>
            <w:tcW w:w="0" w:type="auto"/>
            <w:tcBorders>
              <w:tl2br w:val="nil"/>
              <w:tr2bl w:val="nil"/>
            </w:tcBorders>
            <w:vAlign w:val="center"/>
          </w:tcPr>
          <w:p w14:paraId="63C62D7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7.04E-06</w:t>
            </w:r>
          </w:p>
        </w:tc>
        <w:tc>
          <w:tcPr>
            <w:tcW w:w="0" w:type="auto"/>
            <w:tcBorders>
              <w:tl2br w:val="nil"/>
              <w:tr2bl w:val="nil"/>
            </w:tcBorders>
            <w:vAlign w:val="center"/>
          </w:tcPr>
          <w:p w14:paraId="3931EE1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0" w:type="auto"/>
            <w:tcBorders>
              <w:tl2br w:val="nil"/>
              <w:tr2bl w:val="nil"/>
            </w:tcBorders>
            <w:vAlign w:val="center"/>
          </w:tcPr>
          <w:p w14:paraId="5C6A057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2.92E-05</w:t>
            </w:r>
          </w:p>
        </w:tc>
        <w:tc>
          <w:tcPr>
            <w:tcW w:w="0" w:type="auto"/>
            <w:tcBorders>
              <w:tl2br w:val="nil"/>
              <w:tr2bl w:val="nil"/>
            </w:tcBorders>
            <w:vAlign w:val="center"/>
          </w:tcPr>
          <w:p w14:paraId="210E5B38">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w:t>
            </w:r>
          </w:p>
        </w:tc>
      </w:tr>
      <w:tr w14:paraId="1687E8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0834CF0F">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下风向最大质量浓度及占标率%</w:t>
            </w:r>
          </w:p>
        </w:tc>
        <w:tc>
          <w:tcPr>
            <w:tcW w:w="0" w:type="auto"/>
            <w:tcBorders>
              <w:tl2br w:val="nil"/>
              <w:tr2bl w:val="nil"/>
            </w:tcBorders>
            <w:vAlign w:val="center"/>
          </w:tcPr>
          <w:p w14:paraId="07EB3F96">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6.81E-02</w:t>
            </w:r>
          </w:p>
        </w:tc>
        <w:tc>
          <w:tcPr>
            <w:tcW w:w="0" w:type="auto"/>
            <w:tcBorders>
              <w:tl2br w:val="nil"/>
              <w:tr2bl w:val="nil"/>
            </w:tcBorders>
            <w:vAlign w:val="center"/>
          </w:tcPr>
          <w:p w14:paraId="643453DE">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7.57</w:t>
            </w:r>
          </w:p>
        </w:tc>
        <w:tc>
          <w:tcPr>
            <w:tcW w:w="0" w:type="auto"/>
            <w:tcBorders>
              <w:tl2br w:val="nil"/>
              <w:tr2bl w:val="nil"/>
            </w:tcBorders>
            <w:vAlign w:val="center"/>
          </w:tcPr>
          <w:p w14:paraId="130ECC31">
            <w:pPr>
              <w:pStyle w:val="83"/>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rPr>
              <w:t>1.27E-02</w:t>
            </w:r>
          </w:p>
        </w:tc>
        <w:tc>
          <w:tcPr>
            <w:tcW w:w="0" w:type="auto"/>
            <w:tcBorders>
              <w:right w:val="single" w:color="auto" w:sz="4" w:space="0"/>
              <w:tl2br w:val="nil"/>
              <w:tr2bl w:val="nil"/>
            </w:tcBorders>
            <w:vAlign w:val="center"/>
          </w:tcPr>
          <w:p w14:paraId="4C0527E3">
            <w:pPr>
              <w:pStyle w:val="83"/>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rPr>
              <w:t>0.63</w:t>
            </w:r>
          </w:p>
        </w:tc>
        <w:tc>
          <w:tcPr>
            <w:tcW w:w="0" w:type="auto"/>
            <w:tcBorders>
              <w:left w:val="single" w:color="auto" w:sz="4" w:space="0"/>
              <w:tl2br w:val="nil"/>
              <w:tr2bl w:val="nil"/>
            </w:tcBorders>
            <w:vAlign w:val="center"/>
          </w:tcPr>
          <w:p w14:paraId="37B9796E">
            <w:pPr>
              <w:pStyle w:val="83"/>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lang w:val="en-US"/>
              </w:rPr>
              <w:t>8.28E-02</w:t>
            </w:r>
          </w:p>
        </w:tc>
        <w:tc>
          <w:tcPr>
            <w:tcW w:w="854" w:type="dxa"/>
            <w:tcBorders>
              <w:right w:val="single" w:color="auto" w:sz="4" w:space="0"/>
              <w:tl2br w:val="nil"/>
              <w:tr2bl w:val="nil"/>
            </w:tcBorders>
            <w:vAlign w:val="center"/>
          </w:tcPr>
          <w:p w14:paraId="271A6432">
            <w:pPr>
              <w:pStyle w:val="83"/>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rPr>
              <w:t>4.14</w:t>
            </w:r>
          </w:p>
        </w:tc>
        <w:tc>
          <w:tcPr>
            <w:tcW w:w="0" w:type="auto"/>
            <w:tcBorders>
              <w:left w:val="single" w:color="auto" w:sz="4" w:space="0"/>
              <w:tl2br w:val="nil"/>
              <w:tr2bl w:val="nil"/>
            </w:tcBorders>
            <w:vAlign w:val="center"/>
          </w:tcPr>
          <w:p w14:paraId="6612698D">
            <w:pPr>
              <w:pStyle w:val="83"/>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rPr>
              <w:t>3.98E-03</w:t>
            </w:r>
          </w:p>
        </w:tc>
        <w:tc>
          <w:tcPr>
            <w:tcW w:w="853" w:type="dxa"/>
            <w:tcBorders>
              <w:right w:val="single" w:color="auto" w:sz="4" w:space="0"/>
              <w:tl2br w:val="nil"/>
              <w:tr2bl w:val="nil"/>
            </w:tcBorders>
            <w:vAlign w:val="center"/>
          </w:tcPr>
          <w:p w14:paraId="0323C597">
            <w:pPr>
              <w:pStyle w:val="83"/>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rPr>
              <w:t>0.44</w:t>
            </w:r>
          </w:p>
        </w:tc>
        <w:tc>
          <w:tcPr>
            <w:tcW w:w="0" w:type="auto"/>
            <w:tcBorders>
              <w:left w:val="single" w:color="auto" w:sz="4" w:space="0"/>
              <w:tl2br w:val="nil"/>
              <w:tr2bl w:val="nil"/>
            </w:tcBorders>
            <w:vAlign w:val="center"/>
          </w:tcPr>
          <w:p w14:paraId="1A422930">
            <w:pPr>
              <w:spacing w:line="240" w:lineRule="auto"/>
              <w:ind w:firstLine="0" w:firstLineChars="0"/>
              <w:jc w:val="center"/>
              <w:rPr>
                <w:rFonts w:hint="default" w:ascii="Times New Roman" w:hAnsi="Times New Roman" w:cs="Times New Roman"/>
                <w:b/>
                <w:bCs/>
                <w:color w:val="auto"/>
                <w:szCs w:val="21"/>
              </w:rPr>
            </w:pPr>
            <w:r>
              <w:rPr>
                <w:rFonts w:hint="default" w:ascii="Times New Roman" w:hAnsi="Times New Roman" w:eastAsia="宋体" w:cs="Times New Roman"/>
                <w:b/>
                <w:bCs/>
                <w:color w:val="auto"/>
                <w:sz w:val="21"/>
                <w:szCs w:val="21"/>
                <w:lang w:val="en-US"/>
              </w:rPr>
              <w:t>1.54E-02</w:t>
            </w:r>
          </w:p>
        </w:tc>
        <w:tc>
          <w:tcPr>
            <w:tcW w:w="0" w:type="auto"/>
            <w:tcBorders>
              <w:tl2br w:val="nil"/>
              <w:tr2bl w:val="nil"/>
            </w:tcBorders>
            <w:vAlign w:val="center"/>
          </w:tcPr>
          <w:p w14:paraId="1D335A89">
            <w:pPr>
              <w:spacing w:line="240" w:lineRule="auto"/>
              <w:ind w:firstLine="0" w:firstLineChars="0"/>
              <w:jc w:val="center"/>
              <w:rPr>
                <w:rFonts w:hint="eastAsia"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1.71</w:t>
            </w:r>
          </w:p>
        </w:tc>
      </w:tr>
      <w:tr w14:paraId="1A2BD87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058DAF50">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最大浓度落地点</w:t>
            </w:r>
          </w:p>
        </w:tc>
        <w:tc>
          <w:tcPr>
            <w:tcW w:w="5130" w:type="dxa"/>
            <w:gridSpan w:val="4"/>
            <w:tcBorders>
              <w:right w:val="single" w:color="auto" w:sz="4" w:space="0"/>
              <w:tl2br w:val="nil"/>
              <w:tr2bl w:val="nil"/>
            </w:tcBorders>
            <w:vAlign w:val="center"/>
          </w:tcPr>
          <w:p w14:paraId="026AB313">
            <w:pPr>
              <w:pStyle w:val="83"/>
              <w:spacing w:line="240" w:lineRule="auto"/>
              <w:ind w:left="0" w:leftChars="0" w:right="0" w:rightChars="0"/>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141m</w:t>
            </w:r>
          </w:p>
        </w:tc>
        <w:tc>
          <w:tcPr>
            <w:tcW w:w="2539" w:type="dxa"/>
            <w:gridSpan w:val="2"/>
            <w:tcBorders>
              <w:left w:val="single" w:color="auto" w:sz="4" w:space="0"/>
              <w:right w:val="single" w:color="auto" w:sz="4" w:space="0"/>
              <w:tl2br w:val="nil"/>
              <w:tr2bl w:val="nil"/>
            </w:tcBorders>
            <w:vAlign w:val="center"/>
          </w:tcPr>
          <w:p w14:paraId="47F91866">
            <w:pPr>
              <w:pStyle w:val="83"/>
              <w:spacing w:line="240" w:lineRule="auto"/>
              <w:ind w:left="0" w:leftChars="0" w:right="0" w:rightChars="0"/>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118m</w:t>
            </w:r>
          </w:p>
        </w:tc>
        <w:tc>
          <w:tcPr>
            <w:tcW w:w="2533" w:type="dxa"/>
            <w:gridSpan w:val="2"/>
            <w:tcBorders>
              <w:left w:val="single" w:color="auto" w:sz="4" w:space="0"/>
              <w:right w:val="single" w:color="auto" w:sz="4" w:space="0"/>
              <w:tl2br w:val="nil"/>
              <w:tr2bl w:val="nil"/>
            </w:tcBorders>
            <w:vAlign w:val="center"/>
          </w:tcPr>
          <w:p w14:paraId="651FCA7B">
            <w:pPr>
              <w:pStyle w:val="83"/>
              <w:spacing w:line="240" w:lineRule="auto"/>
              <w:ind w:left="0" w:leftChars="0" w:right="0" w:rightChars="0"/>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95m</w:t>
            </w:r>
          </w:p>
        </w:tc>
        <w:tc>
          <w:tcPr>
            <w:tcW w:w="2419" w:type="dxa"/>
            <w:gridSpan w:val="2"/>
            <w:tcBorders>
              <w:left w:val="single" w:color="auto" w:sz="4" w:space="0"/>
              <w:tl2br w:val="nil"/>
              <w:tr2bl w:val="nil"/>
            </w:tcBorders>
            <w:vAlign w:val="center"/>
          </w:tcPr>
          <w:p w14:paraId="4DFBD96B">
            <w:pPr>
              <w:pStyle w:val="83"/>
              <w:spacing w:line="240" w:lineRule="auto"/>
              <w:ind w:left="0" w:leftChars="0" w:right="0" w:rightChars="0"/>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118m</w:t>
            </w:r>
          </w:p>
        </w:tc>
      </w:tr>
      <w:tr w14:paraId="57AD28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24404B2B">
            <w:pPr>
              <w:pStyle w:val="83"/>
              <w:spacing w:line="240" w:lineRule="auto"/>
              <w:ind w:left="0" w:leftChars="0" w:right="0" w:rightChars="0"/>
              <w:rPr>
                <w:rFonts w:hint="default" w:ascii="Times New Roman" w:hAnsi="Times New Roman" w:cs="Times New Roman"/>
                <w:color w:val="auto"/>
                <w:szCs w:val="21"/>
              </w:rPr>
            </w:pPr>
            <w:r>
              <w:rPr>
                <w:rFonts w:hint="default" w:ascii="Times New Roman" w:hAnsi="Times New Roman" w:cs="Times New Roman"/>
                <w:color w:val="auto"/>
                <w:szCs w:val="21"/>
              </w:rPr>
              <w:t>D10%最远距离</w:t>
            </w:r>
          </w:p>
        </w:tc>
        <w:tc>
          <w:tcPr>
            <w:tcW w:w="12621" w:type="dxa"/>
            <w:gridSpan w:val="10"/>
            <w:tcBorders>
              <w:tl2br w:val="nil"/>
              <w:tr2bl w:val="nil"/>
            </w:tcBorders>
            <w:vAlign w:val="center"/>
          </w:tcPr>
          <w:p w14:paraId="1FAC7431">
            <w:pPr>
              <w:pStyle w:val="83"/>
              <w:spacing w:line="240" w:lineRule="auto"/>
              <w:ind w:left="0" w:leftChars="0" w:right="0" w:rightChars="0"/>
              <w:rPr>
                <w:rFonts w:hint="default" w:ascii="Times New Roman" w:hAnsi="Times New Roman" w:cs="Times New Roman"/>
                <w:b/>
                <w:bCs/>
                <w:color w:val="auto"/>
                <w:szCs w:val="21"/>
              </w:rPr>
            </w:pPr>
            <w:r>
              <w:rPr>
                <w:rFonts w:hint="default" w:ascii="Times New Roman" w:hAnsi="Times New Roman" w:cs="Times New Roman"/>
                <w:b/>
                <w:bCs/>
                <w:color w:val="auto"/>
                <w:szCs w:val="21"/>
              </w:rPr>
              <w:t>/</w:t>
            </w:r>
          </w:p>
        </w:tc>
      </w:tr>
    </w:tbl>
    <w:p w14:paraId="5CA1F058">
      <w:pPr>
        <w:keepNext w:val="0"/>
        <w:keepLines w:val="0"/>
        <w:pageBreakBefore w:val="0"/>
        <w:widowControl/>
        <w:tabs>
          <w:tab w:val="right" w:leader="dot" w:pos="8505"/>
        </w:tabs>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default"/>
          <w:color w:val="auto"/>
          <w:highlight w:val="none"/>
        </w:rPr>
        <w:sectPr>
          <w:pgSz w:w="16839" w:h="11906" w:orient="landscape"/>
          <w:pgMar w:top="1417" w:right="1133" w:bottom="1417" w:left="1134" w:header="897" w:footer="1090" w:gutter="0"/>
          <w:pgBorders>
            <w:top w:val="none" w:sz="0" w:space="0"/>
            <w:left w:val="none" w:sz="0" w:space="0"/>
            <w:bottom w:val="none" w:sz="0" w:space="0"/>
            <w:right w:val="none" w:sz="0" w:space="0"/>
          </w:pgBorders>
          <w:pgNumType w:fmt="decimal"/>
          <w:cols w:space="720" w:num="1"/>
        </w:sectPr>
      </w:pPr>
      <w:r>
        <w:rPr>
          <w:rFonts w:hint="eastAsia" w:ascii="Times New Roman" w:hAnsi="Times New Roman" w:cs="Times New Roman"/>
          <w:color w:val="auto"/>
          <w:sz w:val="24"/>
          <w:szCs w:val="24"/>
          <w:highlight w:val="none"/>
          <w:lang w:eastAsia="zh-CN"/>
        </w:rPr>
        <w:t>本项目Pmax最大值为</w:t>
      </w:r>
      <w:r>
        <w:rPr>
          <w:rFonts w:hint="eastAsia" w:ascii="Times New Roman" w:hAnsi="Times New Roman" w:cs="Times New Roman"/>
          <w:color w:val="auto"/>
          <w:sz w:val="24"/>
          <w:szCs w:val="24"/>
          <w:highlight w:val="none"/>
          <w:lang w:val="en-US" w:eastAsia="zh-CN"/>
        </w:rPr>
        <w:t>无组织</w:t>
      </w:r>
      <w:r>
        <w:rPr>
          <w:rFonts w:hint="eastAsia" w:ascii="Times New Roman" w:hAnsi="Times New Roman" w:cs="Times New Roman"/>
          <w:color w:val="auto"/>
          <w:sz w:val="24"/>
          <w:szCs w:val="24"/>
          <w:highlight w:val="none"/>
          <w:lang w:eastAsia="zh-CN"/>
        </w:rPr>
        <w:t>排放的</w:t>
      </w:r>
      <w:r>
        <w:rPr>
          <w:rFonts w:hint="eastAsia" w:ascii="Times New Roman" w:hAnsi="Times New Roman" w:cs="Times New Roman"/>
          <w:color w:val="auto"/>
          <w:sz w:val="24"/>
          <w:szCs w:val="24"/>
          <w:highlight w:val="none"/>
          <w:lang w:val="en-US" w:eastAsia="zh-CN"/>
        </w:rPr>
        <w:t>颗粒物</w:t>
      </w:r>
      <w:r>
        <w:rPr>
          <w:rFonts w:hint="eastAsia" w:ascii="Times New Roman" w:hAnsi="Times New Roman" w:cs="Times New Roman"/>
          <w:color w:val="auto"/>
          <w:sz w:val="24"/>
          <w:szCs w:val="24"/>
          <w:highlight w:val="none"/>
          <w:lang w:eastAsia="zh-CN"/>
        </w:rPr>
        <w:t>，Pmax值</w:t>
      </w:r>
      <w:r>
        <w:rPr>
          <w:rFonts w:hint="eastAsia" w:ascii="Times New Roman" w:hAnsi="Times New Roman" w:cs="Times New Roman"/>
          <w:color w:val="auto"/>
          <w:sz w:val="24"/>
          <w:szCs w:val="24"/>
          <w:highlight w:val="none"/>
          <w:lang w:val="en-US" w:eastAsia="zh-CN"/>
        </w:rPr>
        <w:t>为7.57</w:t>
      </w:r>
      <w:r>
        <w:rPr>
          <w:rFonts w:hint="eastAsia" w:ascii="Times New Roman" w:hAnsi="Times New Roman" w:cs="Times New Roman"/>
          <w:color w:val="auto"/>
          <w:sz w:val="24"/>
          <w:szCs w:val="24"/>
          <w:highlight w:val="none"/>
          <w:lang w:eastAsia="zh-CN"/>
        </w:rPr>
        <w:t>%，根据《环境影响评价技术导则 大气环境》（HJ2.2-2018）分级判据，确定本项目大气环境影响评价工作等级为</w:t>
      </w:r>
      <w:r>
        <w:rPr>
          <w:rFonts w:hint="eastAsia" w:ascii="Times New Roman" w:hAnsi="Times New Roman" w:cs="Times New Roman"/>
          <w:color w:val="auto"/>
          <w:sz w:val="24"/>
          <w:szCs w:val="24"/>
          <w:highlight w:val="none"/>
          <w:lang w:val="en-US" w:eastAsia="zh-CN"/>
        </w:rPr>
        <w:t>二</w:t>
      </w:r>
      <w:r>
        <w:rPr>
          <w:rFonts w:hint="eastAsia" w:ascii="Times New Roman" w:hAnsi="Times New Roman" w:cs="Times New Roman"/>
          <w:color w:val="auto"/>
          <w:sz w:val="24"/>
          <w:szCs w:val="24"/>
          <w:highlight w:val="none"/>
          <w:lang w:eastAsia="zh-CN"/>
        </w:rPr>
        <w:t>级</w:t>
      </w:r>
      <w:r>
        <w:rPr>
          <w:rFonts w:hint="eastAsia"/>
          <w:color w:val="auto"/>
          <w:highlight w:val="none"/>
        </w:rPr>
        <w:t>。</w:t>
      </w:r>
    </w:p>
    <w:p w14:paraId="0435A9C1">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3"/>
        <w:rPr>
          <w:rFonts w:hint="default" w:ascii="Times New Roman" w:hAnsi="Times New Roman" w:eastAsia="微软雅黑" w:cs="Times New Roman"/>
          <w:color w:val="auto"/>
          <w:sz w:val="24"/>
          <w:szCs w:val="24"/>
        </w:rPr>
      </w:pPr>
      <w:r>
        <w:rPr>
          <w:rFonts w:hint="default" w:ascii="Times New Roman" w:hAnsi="Times New Roman" w:eastAsia="宋体" w:cs="Times New Roman"/>
          <w:b/>
          <w:bCs/>
          <w:color w:val="auto"/>
          <w:spacing w:val="-1"/>
          <w:sz w:val="28"/>
          <w:szCs w:val="28"/>
        </w:rPr>
        <w:fldChar w:fldCharType="begin"/>
      </w:r>
      <w:r>
        <w:rPr>
          <w:rFonts w:hint="default" w:ascii="Times New Roman" w:hAnsi="Times New Roman" w:eastAsia="宋体" w:cs="Times New Roman"/>
          <w:b/>
          <w:bCs/>
          <w:color w:val="auto"/>
          <w:spacing w:val="-1"/>
          <w:sz w:val="28"/>
          <w:szCs w:val="28"/>
        </w:rPr>
        <w:instrText xml:space="preserve"> HYPERLINK "2.3.1.2" </w:instrText>
      </w:r>
      <w:r>
        <w:rPr>
          <w:rFonts w:hint="default" w:ascii="Times New Roman" w:hAnsi="Times New Roman" w:eastAsia="宋体" w:cs="Times New Roman"/>
          <w:b/>
          <w:bCs/>
          <w:color w:val="auto"/>
          <w:spacing w:val="-1"/>
          <w:sz w:val="28"/>
          <w:szCs w:val="28"/>
        </w:rPr>
        <w:fldChar w:fldCharType="separate"/>
      </w:r>
      <w:r>
        <w:rPr>
          <w:rFonts w:hint="default" w:ascii="Times New Roman" w:hAnsi="Times New Roman" w:eastAsia="宋体" w:cs="Times New Roman"/>
          <w:b/>
          <w:bCs/>
          <w:color w:val="auto"/>
          <w:spacing w:val="-1"/>
          <w:sz w:val="28"/>
          <w:szCs w:val="28"/>
        </w:rPr>
        <w:t>2.</w:t>
      </w:r>
      <w:r>
        <w:rPr>
          <w:rFonts w:hint="default" w:ascii="Times New Roman" w:hAnsi="Times New Roman" w:eastAsia="宋体" w:cs="Times New Roman"/>
          <w:b/>
          <w:bCs/>
          <w:color w:val="auto"/>
          <w:spacing w:val="-1"/>
          <w:sz w:val="28"/>
          <w:szCs w:val="28"/>
          <w:lang w:val="en-US" w:eastAsia="zh-CN"/>
        </w:rPr>
        <w:t>6</w:t>
      </w:r>
      <w:r>
        <w:rPr>
          <w:rFonts w:hint="default" w:ascii="Times New Roman" w:hAnsi="Times New Roman" w:eastAsia="宋体" w:cs="Times New Roman"/>
          <w:b/>
          <w:bCs/>
          <w:color w:val="auto"/>
          <w:spacing w:val="-1"/>
          <w:sz w:val="28"/>
          <w:szCs w:val="28"/>
        </w:rPr>
        <w:t>.1.2</w:t>
      </w:r>
      <w:r>
        <w:rPr>
          <w:rFonts w:hint="default" w:ascii="Times New Roman" w:hAnsi="Times New Roman" w:eastAsia="宋体" w:cs="Times New Roman"/>
          <w:b/>
          <w:bCs/>
          <w:color w:val="auto"/>
          <w:spacing w:val="-1"/>
          <w:sz w:val="28"/>
          <w:szCs w:val="28"/>
        </w:rPr>
        <w:fldChar w:fldCharType="end"/>
      </w:r>
      <w:r>
        <w:rPr>
          <w:rFonts w:hint="default" w:ascii="Times New Roman" w:hAnsi="Times New Roman" w:eastAsia="宋体" w:cs="Times New Roman"/>
          <w:b/>
          <w:bCs/>
          <w:color w:val="auto"/>
          <w:spacing w:val="-1"/>
          <w:sz w:val="28"/>
          <w:szCs w:val="28"/>
        </w:rPr>
        <w:t>地表水环境评价等级</w:t>
      </w:r>
    </w:p>
    <w:p w14:paraId="511BD24B">
      <w:pPr>
        <w:keepNext w:val="0"/>
        <w:keepLines w:val="0"/>
        <w:pageBreakBefore w:val="0"/>
        <w:widowControl/>
        <w:tabs>
          <w:tab w:val="right" w:leader="dot" w:pos="8505"/>
        </w:tabs>
        <w:kinsoku/>
        <w:wordWrap w:val="0"/>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本项目废水排入</w:t>
      </w:r>
      <w:r>
        <w:rPr>
          <w:rFonts w:hint="default" w:ascii="Times New Roman" w:hAnsi="Times New Roman" w:cs="Times New Roman"/>
          <w:color w:val="auto"/>
          <w:sz w:val="24"/>
          <w:lang w:val="en-US" w:eastAsia="zh-CN"/>
        </w:rPr>
        <w:t>牛家满族镇污水处理厂</w:t>
      </w:r>
      <w:r>
        <w:rPr>
          <w:rFonts w:hint="default" w:ascii="Times New Roman" w:hAnsi="Times New Roman" w:cs="Times New Roman"/>
          <w:color w:val="auto"/>
          <w:sz w:val="24"/>
        </w:rPr>
        <w:t>处理，</w:t>
      </w:r>
      <w:r>
        <w:rPr>
          <w:rFonts w:hint="default" w:ascii="Times New Roman" w:hAnsi="Times New Roman" w:cs="Times New Roman"/>
          <w:color w:val="auto"/>
          <w:sz w:val="24"/>
          <w:lang w:val="en-US" w:eastAsia="zh-CN"/>
        </w:rPr>
        <w:t>不直接排入地表水体，</w:t>
      </w:r>
      <w:r>
        <w:rPr>
          <w:rFonts w:hint="default" w:ascii="Times New Roman" w:hAnsi="Times New Roman" w:cs="Times New Roman"/>
          <w:color w:val="auto"/>
          <w:sz w:val="24"/>
        </w:rPr>
        <w:t>废水为间接排放。根据《环境影响评价技术导则  地表水环境》</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HJ2.3-2018</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中“5.2评价等级确定”</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本项目地表水环境评价等级为三级B。判定依据详见表2.</w:t>
      </w:r>
      <w:r>
        <w:rPr>
          <w:rFonts w:hint="eastAsia" w:ascii="Times New Roman" w:hAnsi="Times New Roman" w:eastAsia="宋体" w:cs="Times New Roman"/>
          <w:color w:val="auto"/>
          <w:sz w:val="24"/>
          <w:lang w:val="en-US" w:eastAsia="zh-CN"/>
        </w:rPr>
        <w:t>6</w:t>
      </w:r>
      <w:r>
        <w:rPr>
          <w:rFonts w:hint="default" w:ascii="Times New Roman" w:hAnsi="Times New Roman" w:cs="Times New Roman"/>
          <w:color w:val="auto"/>
          <w:sz w:val="24"/>
        </w:rPr>
        <w:t>-</w:t>
      </w:r>
      <w:r>
        <w:rPr>
          <w:rFonts w:hint="eastAsia" w:ascii="Times New Roman" w:hAnsi="Times New Roman" w:eastAsia="宋体" w:cs="Times New Roman"/>
          <w:color w:val="auto"/>
          <w:sz w:val="24"/>
          <w:lang w:val="en-US" w:eastAsia="zh-CN"/>
        </w:rPr>
        <w:t>11</w:t>
      </w:r>
      <w:r>
        <w:rPr>
          <w:rFonts w:hint="default" w:ascii="Times New Roman" w:hAnsi="Times New Roman" w:cs="Times New Roman"/>
          <w:color w:val="auto"/>
          <w:sz w:val="24"/>
        </w:rPr>
        <w:t>。</w:t>
      </w:r>
    </w:p>
    <w:p w14:paraId="0A73B165">
      <w:pPr>
        <w:pStyle w:val="13"/>
        <w:keepNext w:val="0"/>
        <w:keepLines w:val="0"/>
        <w:pageBreakBefore w:val="0"/>
        <w:widowControl/>
        <w:numPr>
          <w:ilvl w:val="0"/>
          <w:numId w:val="0"/>
        </w:numPr>
        <w:kinsoku/>
        <w:wordWrap/>
        <w:overflowPunct/>
        <w:topLinePunct w:val="0"/>
        <w:autoSpaceDE/>
        <w:autoSpaceDN/>
        <w:bidi w:val="0"/>
        <w:adjustRightInd/>
        <w:snapToGrid w:val="0"/>
        <w:spacing w:beforeLines="0" w:afterLines="0" w:line="240" w:lineRule="auto"/>
        <w:ind w:right="0" w:right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表2.6-</w:t>
      </w:r>
      <w:r>
        <w:rPr>
          <w:rFonts w:hint="eastAsia" w:ascii="Times New Roman" w:hAnsi="Times New Roman" w:eastAsia="宋体" w:cs="Times New Roman"/>
          <w:b/>
          <w:bCs/>
          <w:color w:val="auto"/>
          <w:sz w:val="24"/>
          <w:szCs w:val="24"/>
          <w:highlight w:val="none"/>
          <w:lang w:val="en-US" w:eastAsia="zh-CN"/>
        </w:rPr>
        <w:t>11</w:t>
      </w:r>
      <w:r>
        <w:rPr>
          <w:rFonts w:hint="default" w:ascii="Times New Roman" w:hAnsi="Times New Roman" w:eastAsia="宋体" w:cs="Times New Roman"/>
          <w:b/>
          <w:bCs/>
          <w:color w:val="auto"/>
          <w:sz w:val="24"/>
          <w:szCs w:val="24"/>
          <w:highlight w:val="none"/>
          <w:lang w:val="en-US" w:eastAsia="zh-CN"/>
        </w:rPr>
        <w:t xml:space="preserve">  水污染影响型建设项目评价等级判定</w:t>
      </w:r>
    </w:p>
    <w:tbl>
      <w:tblPr>
        <w:tblStyle w:val="41"/>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509"/>
        <w:gridCol w:w="1964"/>
        <w:gridCol w:w="5596"/>
      </w:tblGrid>
      <w:tr w14:paraId="44E87C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32" w:type="pct"/>
            <w:vMerge w:val="restart"/>
            <w:tcBorders>
              <w:top w:val="single" w:color="000000" w:sz="12" w:space="0"/>
              <w:left w:val="nil"/>
              <w:bottom w:val="single" w:color="000000" w:sz="2" w:space="0"/>
            </w:tcBorders>
            <w:vAlign w:val="center"/>
          </w:tcPr>
          <w:p w14:paraId="2CE7473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评价等级</w:t>
            </w:r>
          </w:p>
        </w:tc>
        <w:tc>
          <w:tcPr>
            <w:tcW w:w="4167" w:type="pct"/>
            <w:gridSpan w:val="2"/>
            <w:tcBorders>
              <w:top w:val="single" w:color="000000" w:sz="12" w:space="0"/>
              <w:bottom w:val="single" w:color="000000" w:sz="2" w:space="0"/>
              <w:right w:val="nil"/>
            </w:tcBorders>
            <w:vAlign w:val="center"/>
          </w:tcPr>
          <w:p w14:paraId="4EA3D40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判定依据</w:t>
            </w:r>
          </w:p>
        </w:tc>
      </w:tr>
      <w:tr w14:paraId="2D5B38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32" w:type="pct"/>
            <w:vMerge w:val="continue"/>
            <w:tcBorders>
              <w:top w:val="single" w:color="000000" w:sz="2" w:space="0"/>
              <w:left w:val="nil"/>
              <w:bottom w:val="single" w:color="000000" w:sz="2" w:space="0"/>
            </w:tcBorders>
            <w:vAlign w:val="center"/>
          </w:tcPr>
          <w:p w14:paraId="3A9BAA1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p>
        </w:tc>
        <w:tc>
          <w:tcPr>
            <w:tcW w:w="1083" w:type="pct"/>
            <w:tcBorders>
              <w:top w:val="single" w:color="000000" w:sz="2" w:space="0"/>
              <w:bottom w:val="single" w:color="000000" w:sz="2" w:space="0"/>
            </w:tcBorders>
            <w:vAlign w:val="center"/>
          </w:tcPr>
          <w:p w14:paraId="0E86D38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排放方式</w:t>
            </w:r>
          </w:p>
        </w:tc>
        <w:tc>
          <w:tcPr>
            <w:tcW w:w="3083" w:type="pct"/>
            <w:tcBorders>
              <w:top w:val="single" w:color="000000" w:sz="2" w:space="0"/>
              <w:bottom w:val="single" w:color="000000" w:sz="2" w:space="0"/>
              <w:right w:val="nil"/>
            </w:tcBorders>
            <w:vAlign w:val="center"/>
          </w:tcPr>
          <w:p w14:paraId="30A07E58">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pacing w:val="15"/>
                <w:sz w:val="21"/>
                <w:szCs w:val="21"/>
              </w:rPr>
            </w:pPr>
            <w:r>
              <w:rPr>
                <w:rFonts w:hint="default" w:ascii="Times New Roman" w:hAnsi="Times New Roman" w:eastAsia="宋体" w:cs="Times New Roman"/>
                <w:color w:val="auto"/>
                <w:spacing w:val="7"/>
                <w:sz w:val="21"/>
                <w:szCs w:val="21"/>
              </w:rPr>
              <w:t>废水排放量</w:t>
            </w:r>
            <w:r>
              <w:rPr>
                <w:rFonts w:hint="default" w:ascii="Times New Roman" w:hAnsi="Times New Roman" w:eastAsia="宋体" w:cs="Times New Roman"/>
                <w:color w:val="auto"/>
                <w:spacing w:val="-39"/>
                <w:sz w:val="21"/>
                <w:szCs w:val="21"/>
              </w:rPr>
              <w:t xml:space="preserve"> </w:t>
            </w:r>
            <w:r>
              <w:rPr>
                <w:rFonts w:hint="default" w:ascii="Times New Roman" w:hAnsi="Times New Roman" w:cs="Times New Roman"/>
                <w:color w:val="auto"/>
                <w:spacing w:val="7"/>
                <w:sz w:val="21"/>
                <w:szCs w:val="21"/>
              </w:rPr>
              <w:t>Q</w:t>
            </w:r>
            <w:r>
              <w:rPr>
                <w:rFonts w:hint="default" w:ascii="Times New Roman" w:hAnsi="Times New Roman" w:eastAsia="宋体" w:cs="Times New Roman"/>
                <w:color w:val="auto"/>
                <w:spacing w:val="7"/>
                <w:sz w:val="21"/>
                <w:szCs w:val="21"/>
                <w:lang w:val="en-US" w:eastAsia="zh-CN"/>
              </w:rPr>
              <w:t>/</w:t>
            </w:r>
            <w:r>
              <w:rPr>
                <w:rFonts w:hint="default" w:ascii="Times New Roman" w:hAnsi="Times New Roman" w:eastAsia="宋体" w:cs="Times New Roman"/>
                <w:color w:val="auto"/>
                <w:spacing w:val="7"/>
                <w:sz w:val="21"/>
                <w:szCs w:val="21"/>
              </w:rPr>
              <w:t>（</w:t>
            </w:r>
            <w:r>
              <w:rPr>
                <w:rFonts w:hint="default" w:ascii="Times New Roman" w:hAnsi="Times New Roman" w:cs="Times New Roman"/>
                <w:color w:val="auto"/>
                <w:spacing w:val="7"/>
                <w:sz w:val="21"/>
                <w:szCs w:val="21"/>
              </w:rPr>
              <w:t>m</w:t>
            </w:r>
            <w:r>
              <w:rPr>
                <w:rFonts w:hint="default" w:ascii="Times New Roman" w:hAnsi="Times New Roman" w:eastAsia="宋体" w:cs="Times New Roman"/>
                <w:color w:val="auto"/>
                <w:spacing w:val="7"/>
                <w:sz w:val="21"/>
                <w:szCs w:val="21"/>
                <w:vertAlign w:val="superscript"/>
                <w:lang w:val="en-US" w:eastAsia="zh-CN"/>
              </w:rPr>
              <w:t>3</w:t>
            </w:r>
            <w:r>
              <w:rPr>
                <w:rFonts w:hint="default" w:ascii="Times New Roman" w:hAnsi="Times New Roman" w:cs="Times New Roman"/>
                <w:color w:val="auto"/>
                <w:spacing w:val="7"/>
                <w:sz w:val="21"/>
                <w:szCs w:val="21"/>
              </w:rPr>
              <w:t>/d</w:t>
            </w:r>
            <w:r>
              <w:rPr>
                <w:rFonts w:hint="default" w:ascii="Times New Roman" w:hAnsi="Times New Roman" w:eastAsia="宋体" w:cs="Times New Roman"/>
                <w:color w:val="auto"/>
                <w:spacing w:val="15"/>
                <w:sz w:val="21"/>
                <w:szCs w:val="21"/>
              </w:rPr>
              <w:t>）；</w:t>
            </w:r>
          </w:p>
          <w:p w14:paraId="2A23DBDE">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水污染物当量数</w:t>
            </w:r>
            <w:r>
              <w:rPr>
                <w:rFonts w:hint="default" w:ascii="Times New Roman" w:hAnsi="Times New Roman" w:cs="Times New Roman"/>
                <w:color w:val="auto"/>
                <w:spacing w:val="7"/>
                <w:sz w:val="21"/>
                <w:szCs w:val="21"/>
              </w:rPr>
              <w:t>W/</w:t>
            </w:r>
            <w:r>
              <w:rPr>
                <w:rFonts w:hint="default" w:ascii="Times New Roman" w:hAnsi="Times New Roman" w:eastAsia="宋体" w:cs="Times New Roman"/>
                <w:color w:val="auto"/>
                <w:spacing w:val="7"/>
                <w:sz w:val="21"/>
                <w:szCs w:val="21"/>
              </w:rPr>
              <w:t>（</w:t>
            </w:r>
            <w:r>
              <w:rPr>
                <w:rFonts w:hint="default" w:ascii="Times New Roman" w:hAnsi="Times New Roman" w:eastAsia="宋体" w:cs="Times New Roman"/>
                <w:color w:val="auto"/>
                <w:spacing w:val="6"/>
                <w:sz w:val="21"/>
                <w:szCs w:val="21"/>
              </w:rPr>
              <w:t>无量纲）</w:t>
            </w:r>
          </w:p>
        </w:tc>
      </w:tr>
      <w:tr w14:paraId="3AC537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32" w:type="pct"/>
            <w:tcBorders>
              <w:top w:val="single" w:color="000000" w:sz="2" w:space="0"/>
              <w:left w:val="nil"/>
              <w:bottom w:val="single" w:color="000000" w:sz="2" w:space="0"/>
            </w:tcBorders>
            <w:vAlign w:val="center"/>
          </w:tcPr>
          <w:p w14:paraId="5852C3F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一级</w:t>
            </w:r>
          </w:p>
        </w:tc>
        <w:tc>
          <w:tcPr>
            <w:tcW w:w="1083" w:type="pct"/>
            <w:tcBorders>
              <w:top w:val="single" w:color="000000" w:sz="2" w:space="0"/>
              <w:bottom w:val="single" w:color="000000" w:sz="2" w:space="0"/>
            </w:tcBorders>
            <w:vAlign w:val="center"/>
          </w:tcPr>
          <w:p w14:paraId="036FC6C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直接排放</w:t>
            </w:r>
          </w:p>
        </w:tc>
        <w:tc>
          <w:tcPr>
            <w:tcW w:w="3083" w:type="pct"/>
            <w:tcBorders>
              <w:top w:val="single" w:color="000000" w:sz="2" w:space="0"/>
              <w:bottom w:val="single" w:color="000000" w:sz="2" w:space="0"/>
              <w:right w:val="nil"/>
            </w:tcBorders>
            <w:vAlign w:val="center"/>
          </w:tcPr>
          <w:p w14:paraId="47758B40">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Q≥20000</w:t>
            </w:r>
            <w:r>
              <w:rPr>
                <w:rFonts w:hint="default" w:ascii="Times New Roman" w:hAnsi="Times New Roman" w:eastAsia="宋体" w:cs="Times New Roman"/>
                <w:color w:val="auto"/>
                <w:spacing w:val="5"/>
                <w:sz w:val="21"/>
                <w:szCs w:val="21"/>
              </w:rPr>
              <w:t>或</w:t>
            </w:r>
            <w:r>
              <w:rPr>
                <w:rFonts w:hint="default" w:ascii="Times New Roman" w:hAnsi="Times New Roman" w:eastAsia="宋体" w:cs="Times New Roman"/>
                <w:color w:val="auto"/>
                <w:spacing w:val="-45"/>
                <w:sz w:val="21"/>
                <w:szCs w:val="21"/>
              </w:rPr>
              <w:t xml:space="preserve"> </w:t>
            </w:r>
            <w:r>
              <w:rPr>
                <w:rFonts w:hint="default" w:ascii="Times New Roman" w:hAnsi="Times New Roman" w:cs="Times New Roman"/>
                <w:color w:val="auto"/>
                <w:spacing w:val="5"/>
                <w:sz w:val="21"/>
                <w:szCs w:val="21"/>
              </w:rPr>
              <w:t>W≥600000</w:t>
            </w:r>
          </w:p>
        </w:tc>
      </w:tr>
      <w:tr w14:paraId="7DE8F0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32" w:type="pct"/>
            <w:tcBorders>
              <w:top w:val="single" w:color="000000" w:sz="2" w:space="0"/>
              <w:left w:val="nil"/>
              <w:bottom w:val="single" w:color="000000" w:sz="2" w:space="0"/>
            </w:tcBorders>
            <w:vAlign w:val="center"/>
          </w:tcPr>
          <w:p w14:paraId="243EC47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二级</w:t>
            </w:r>
          </w:p>
        </w:tc>
        <w:tc>
          <w:tcPr>
            <w:tcW w:w="1083" w:type="pct"/>
            <w:tcBorders>
              <w:top w:val="single" w:color="000000" w:sz="2" w:space="0"/>
              <w:bottom w:val="single" w:color="000000" w:sz="2" w:space="0"/>
            </w:tcBorders>
            <w:vAlign w:val="center"/>
          </w:tcPr>
          <w:p w14:paraId="2B4AC7F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直接排放</w:t>
            </w:r>
          </w:p>
        </w:tc>
        <w:tc>
          <w:tcPr>
            <w:tcW w:w="3083" w:type="pct"/>
            <w:tcBorders>
              <w:top w:val="single" w:color="000000" w:sz="2" w:space="0"/>
              <w:bottom w:val="single" w:color="000000" w:sz="2" w:space="0"/>
              <w:right w:val="nil"/>
            </w:tcBorders>
            <w:vAlign w:val="center"/>
          </w:tcPr>
          <w:p w14:paraId="6FBE1397">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其他</w:t>
            </w:r>
          </w:p>
        </w:tc>
      </w:tr>
      <w:tr w14:paraId="65A05F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32" w:type="pct"/>
            <w:tcBorders>
              <w:top w:val="single" w:color="000000" w:sz="2" w:space="0"/>
              <w:left w:val="nil"/>
              <w:bottom w:val="single" w:color="000000" w:sz="2" w:space="0"/>
            </w:tcBorders>
            <w:vAlign w:val="center"/>
          </w:tcPr>
          <w:p w14:paraId="68AF5786">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eastAsia="宋体" w:cs="Times New Roman"/>
                <w:color w:val="auto"/>
                <w:spacing w:val="4"/>
                <w:sz w:val="21"/>
                <w:szCs w:val="21"/>
              </w:rPr>
              <w:t>三级</w:t>
            </w:r>
            <w:r>
              <w:rPr>
                <w:rFonts w:hint="default" w:ascii="Times New Roman" w:hAnsi="Times New Roman" w:cs="Times New Roman"/>
                <w:color w:val="auto"/>
                <w:spacing w:val="4"/>
                <w:sz w:val="21"/>
                <w:szCs w:val="21"/>
              </w:rPr>
              <w:t>A</w:t>
            </w:r>
          </w:p>
        </w:tc>
        <w:tc>
          <w:tcPr>
            <w:tcW w:w="1083" w:type="pct"/>
            <w:tcBorders>
              <w:top w:val="single" w:color="000000" w:sz="2" w:space="0"/>
              <w:bottom w:val="single" w:color="000000" w:sz="2" w:space="0"/>
            </w:tcBorders>
            <w:vAlign w:val="center"/>
          </w:tcPr>
          <w:p w14:paraId="285A724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直接排放</w:t>
            </w:r>
          </w:p>
        </w:tc>
        <w:tc>
          <w:tcPr>
            <w:tcW w:w="3083" w:type="pct"/>
            <w:tcBorders>
              <w:top w:val="single" w:color="000000" w:sz="2" w:space="0"/>
              <w:bottom w:val="single" w:color="000000" w:sz="2" w:space="0"/>
              <w:right w:val="nil"/>
            </w:tcBorders>
            <w:vAlign w:val="center"/>
          </w:tcPr>
          <w:p w14:paraId="24495DD5">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Q&lt;200</w:t>
            </w:r>
            <w:r>
              <w:rPr>
                <w:rFonts w:hint="default" w:ascii="Times New Roman" w:hAnsi="Times New Roman" w:eastAsia="宋体" w:cs="Times New Roman"/>
                <w:color w:val="auto"/>
                <w:spacing w:val="4"/>
                <w:sz w:val="21"/>
                <w:szCs w:val="21"/>
              </w:rPr>
              <w:t>且</w:t>
            </w:r>
            <w:r>
              <w:rPr>
                <w:rFonts w:hint="default" w:ascii="Times New Roman" w:hAnsi="Times New Roman" w:cs="Times New Roman"/>
                <w:color w:val="auto"/>
                <w:spacing w:val="4"/>
                <w:sz w:val="21"/>
                <w:szCs w:val="21"/>
              </w:rPr>
              <w:t>W&lt;6000</w:t>
            </w:r>
          </w:p>
        </w:tc>
      </w:tr>
      <w:tr w14:paraId="0671D6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32" w:type="pct"/>
            <w:tcBorders>
              <w:top w:val="single" w:color="000000" w:sz="2" w:space="0"/>
              <w:left w:val="nil"/>
              <w:bottom w:val="single" w:color="000000" w:sz="2" w:space="0"/>
            </w:tcBorders>
            <w:shd w:val="clear" w:color="auto" w:fill="FFFFFF" w:themeFill="background1"/>
            <w:vAlign w:val="center"/>
          </w:tcPr>
          <w:p w14:paraId="57DE51C6">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cs="Times New Roman"/>
                <w:color w:val="auto"/>
                <w:sz w:val="21"/>
                <w:szCs w:val="21"/>
              </w:rPr>
            </w:pPr>
            <w:r>
              <w:rPr>
                <w:rFonts w:hint="default" w:ascii="Times New Roman" w:hAnsi="Times New Roman" w:eastAsia="宋体" w:cs="Times New Roman"/>
                <w:color w:val="auto"/>
                <w:spacing w:val="3"/>
                <w:sz w:val="21"/>
                <w:szCs w:val="21"/>
              </w:rPr>
              <w:t>三级</w:t>
            </w:r>
            <w:r>
              <w:rPr>
                <w:rFonts w:hint="default" w:ascii="Times New Roman" w:hAnsi="Times New Roman" w:cs="Times New Roman"/>
                <w:color w:val="auto"/>
                <w:spacing w:val="3"/>
                <w:sz w:val="21"/>
                <w:szCs w:val="21"/>
              </w:rPr>
              <w:t>B</w:t>
            </w:r>
          </w:p>
        </w:tc>
        <w:tc>
          <w:tcPr>
            <w:tcW w:w="1083" w:type="pct"/>
            <w:tcBorders>
              <w:top w:val="single" w:color="000000" w:sz="2" w:space="0"/>
              <w:bottom w:val="single" w:color="000000" w:sz="2" w:space="0"/>
            </w:tcBorders>
            <w:shd w:val="clear" w:color="auto" w:fill="FFFFFF" w:themeFill="background1"/>
            <w:vAlign w:val="center"/>
          </w:tcPr>
          <w:p w14:paraId="617C84B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间接排放</w:t>
            </w:r>
          </w:p>
        </w:tc>
        <w:tc>
          <w:tcPr>
            <w:tcW w:w="3083" w:type="pct"/>
            <w:tcBorders>
              <w:top w:val="single" w:color="000000" w:sz="2" w:space="0"/>
              <w:bottom w:val="single" w:color="000000" w:sz="2" w:space="0"/>
              <w:right w:val="nil"/>
            </w:tcBorders>
            <w:shd w:val="clear" w:color="auto" w:fill="FFFFFF" w:themeFill="background1"/>
            <w:vAlign w:val="center"/>
          </w:tcPr>
          <w:p w14:paraId="71ED3B44">
            <w:pPr>
              <w:keepNext w:val="0"/>
              <w:keepLines w:val="0"/>
              <w:pageBreakBefore w:val="0"/>
              <w:widowControl/>
              <w:tabs>
                <w:tab w:val="left" w:pos="2963"/>
              </w:tabs>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155F87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00" w:type="pct"/>
            <w:gridSpan w:val="3"/>
            <w:tcBorders>
              <w:top w:val="single" w:color="000000" w:sz="2" w:space="0"/>
              <w:left w:val="nil"/>
              <w:bottom w:val="single" w:color="000000" w:sz="12" w:space="0"/>
              <w:right w:val="nil"/>
            </w:tcBorders>
            <w:vAlign w:val="center"/>
          </w:tcPr>
          <w:p w14:paraId="521A144A">
            <w:pPr>
              <w:pStyle w:val="37"/>
              <w:bidi w:val="0"/>
              <w:jc w:val="both"/>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76D199B3">
            <w:pPr>
              <w:pStyle w:val="37"/>
              <w:bidi w:val="0"/>
              <w:jc w:val="both"/>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注2：废水排放量按行业排放标准中规定的废水种类统计，没有相关行业排放标准要求的通过工程分析合理确定，应统计含热量大的冷却水的排放量，可不统计间接冷却水、循环水及其他含污染物极少的清净下水的排放量。</w:t>
            </w:r>
          </w:p>
          <w:p w14:paraId="2ED6A6A9">
            <w:pPr>
              <w:pStyle w:val="37"/>
              <w:bidi w:val="0"/>
              <w:jc w:val="both"/>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注3：厂区存在堆积物（露天堆放的原料、燃料、废渣等以及垃圾堆放场）、降尘污染的，应将初期雨污水纳入废水排放量，相应的主要污染物纳入水污染当量计算。</w:t>
            </w:r>
          </w:p>
          <w:p w14:paraId="7C77F1F5">
            <w:pPr>
              <w:pStyle w:val="37"/>
              <w:bidi w:val="0"/>
              <w:jc w:val="both"/>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注4：建设项目直接排放第一类污染物的，其评价等级为一级；建设项目直接排放的污染物为受纳水体超标因子的，评价等级不低于二级。</w:t>
            </w:r>
          </w:p>
          <w:p w14:paraId="03EAA25E">
            <w:pPr>
              <w:pStyle w:val="37"/>
              <w:bidi w:val="0"/>
              <w:jc w:val="both"/>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注5：直接排放受纳水体影响范围涉及饮用水水源保护区、饮用水取水口、重点保护与珍稀水生生物的栖息地、重要水生生物的自然产卵场等保护目标时，评价等级不低于二级。</w:t>
            </w:r>
          </w:p>
          <w:p w14:paraId="3F3B4685">
            <w:pPr>
              <w:pStyle w:val="37"/>
              <w:bidi w:val="0"/>
              <w:jc w:val="both"/>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注6：建设项目向河流、湖库排放温排水引起受纳水体水温变化超过水环境质量标准要求，且评价范围有水温敏感目标时，评价等级为一级。</w:t>
            </w:r>
          </w:p>
          <w:p w14:paraId="2BD1E0DB">
            <w:pPr>
              <w:pStyle w:val="37"/>
              <w:bidi w:val="0"/>
              <w:jc w:val="both"/>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注7：建设项目利用海水作为调节温度介质，排水量≥500万m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/d，评价等级为一级；排水量＜500万m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/d，评价等级为二级。</w:t>
            </w:r>
          </w:p>
          <w:p w14:paraId="56121291">
            <w:pPr>
              <w:pStyle w:val="37"/>
              <w:bidi w:val="0"/>
              <w:jc w:val="both"/>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注8：仅涉及清净下水排放的，如其排放水质满足受纳水体水环境质量标准要求的，评价等级为三级A。</w:t>
            </w:r>
          </w:p>
          <w:p w14:paraId="44604B6A">
            <w:pPr>
              <w:pStyle w:val="37"/>
              <w:bidi w:val="0"/>
              <w:jc w:val="both"/>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注9：依托现有排放口，且对外环境未新增排放污染物的直接排放建设项目，评价等级参照间接排放，定为三级B。</w:t>
            </w:r>
          </w:p>
          <w:p w14:paraId="299EF27E">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jc w:val="both"/>
              <w:textAlignment w:val="baseline"/>
              <w:rPr>
                <w:rFonts w:hint="default" w:ascii="Times New Roman" w:hAnsi="Times New Roman" w:eastAsia="宋体" w:cs="Times New Roman"/>
                <w:color w:val="FF0000"/>
                <w:sz w:val="21"/>
                <w:szCs w:val="21"/>
              </w:rPr>
            </w:pPr>
            <w:r>
              <w:rPr>
                <w:rFonts w:hint="default" w:ascii="Times New Roman" w:hAnsi="Times New Roman" w:cs="Times New Roman"/>
                <w:color w:val="000000" w:themeColor="text1"/>
                <w:sz w:val="21"/>
                <w:szCs w:val="21"/>
                <w:highlight w:val="none"/>
                <w14:textFill>
                  <w14:solidFill>
                    <w14:schemeClr w14:val="tx1"/>
                  </w14:solidFill>
                </w14:textFill>
              </w:rPr>
              <w:t>注10：建设项目生产工艺中有废水产生，但作为回水利用，不排放到外环境的，按三级B评价。</w:t>
            </w:r>
          </w:p>
        </w:tc>
      </w:tr>
    </w:tbl>
    <w:p w14:paraId="1F54B98F">
      <w:pPr>
        <w:keepNext w:val="0"/>
        <w:keepLines w:val="0"/>
        <w:pageBreakBefore w:val="0"/>
        <w:widowControl/>
        <w:wordWrap/>
        <w:overflowPunct/>
        <w:topLinePunct w:val="0"/>
        <w:bidi w:val="0"/>
        <w:spacing w:line="360" w:lineRule="auto"/>
        <w:ind w:left="0"/>
        <w:outlineLvl w:val="3"/>
        <w:rPr>
          <w:rFonts w:hint="default" w:ascii="Times New Roman" w:hAnsi="Times New Roman" w:eastAsia="微软雅黑" w:cs="Times New Roman"/>
          <w:color w:val="auto"/>
          <w:sz w:val="24"/>
          <w:szCs w:val="24"/>
        </w:rPr>
      </w:pPr>
      <w:r>
        <w:rPr>
          <w:rFonts w:hint="default" w:ascii="Times New Roman" w:hAnsi="Times New Roman" w:eastAsia="宋体" w:cs="Times New Roman"/>
          <w:b/>
          <w:bCs/>
          <w:color w:val="auto"/>
          <w:spacing w:val="-1"/>
          <w:sz w:val="28"/>
          <w:szCs w:val="28"/>
        </w:rPr>
        <w:fldChar w:fldCharType="begin"/>
      </w:r>
      <w:r>
        <w:rPr>
          <w:rFonts w:hint="default" w:ascii="Times New Roman" w:hAnsi="Times New Roman" w:eastAsia="宋体" w:cs="Times New Roman"/>
          <w:b/>
          <w:bCs/>
          <w:color w:val="auto"/>
          <w:spacing w:val="-1"/>
          <w:sz w:val="28"/>
          <w:szCs w:val="28"/>
        </w:rPr>
        <w:instrText xml:space="preserve"> HYPERLINK "2.3.1.3" </w:instrText>
      </w:r>
      <w:r>
        <w:rPr>
          <w:rFonts w:hint="default" w:ascii="Times New Roman" w:hAnsi="Times New Roman" w:eastAsia="宋体" w:cs="Times New Roman"/>
          <w:b/>
          <w:bCs/>
          <w:color w:val="auto"/>
          <w:spacing w:val="-1"/>
          <w:sz w:val="28"/>
          <w:szCs w:val="28"/>
        </w:rPr>
        <w:fldChar w:fldCharType="separate"/>
      </w:r>
      <w:r>
        <w:rPr>
          <w:rFonts w:hint="default" w:ascii="Times New Roman" w:hAnsi="Times New Roman" w:eastAsia="宋体" w:cs="Times New Roman"/>
          <w:b/>
          <w:bCs/>
          <w:color w:val="auto"/>
          <w:spacing w:val="-1"/>
          <w:sz w:val="28"/>
          <w:szCs w:val="28"/>
        </w:rPr>
        <w:t>2.</w:t>
      </w:r>
      <w:r>
        <w:rPr>
          <w:rFonts w:hint="default" w:ascii="Times New Roman" w:hAnsi="Times New Roman" w:eastAsia="宋体" w:cs="Times New Roman"/>
          <w:b/>
          <w:bCs/>
          <w:color w:val="auto"/>
          <w:spacing w:val="-1"/>
          <w:sz w:val="28"/>
          <w:szCs w:val="28"/>
          <w:lang w:val="en-US" w:eastAsia="zh-CN"/>
        </w:rPr>
        <w:t>6</w:t>
      </w:r>
      <w:r>
        <w:rPr>
          <w:rFonts w:hint="default" w:ascii="Times New Roman" w:hAnsi="Times New Roman" w:eastAsia="宋体" w:cs="Times New Roman"/>
          <w:b/>
          <w:bCs/>
          <w:color w:val="auto"/>
          <w:spacing w:val="-1"/>
          <w:sz w:val="28"/>
          <w:szCs w:val="28"/>
        </w:rPr>
        <w:t>.1.3</w:t>
      </w:r>
      <w:r>
        <w:rPr>
          <w:rFonts w:hint="default" w:ascii="Times New Roman" w:hAnsi="Times New Roman" w:eastAsia="宋体" w:cs="Times New Roman"/>
          <w:b/>
          <w:bCs/>
          <w:color w:val="auto"/>
          <w:spacing w:val="-1"/>
          <w:sz w:val="28"/>
          <w:szCs w:val="28"/>
        </w:rPr>
        <w:fldChar w:fldCharType="end"/>
      </w:r>
      <w:r>
        <w:rPr>
          <w:rFonts w:hint="default" w:ascii="Times New Roman" w:hAnsi="Times New Roman" w:eastAsia="宋体" w:cs="Times New Roman"/>
          <w:b/>
          <w:bCs/>
          <w:color w:val="auto"/>
          <w:spacing w:val="-1"/>
          <w:sz w:val="28"/>
          <w:szCs w:val="28"/>
        </w:rPr>
        <w:t>声环境评价等级</w:t>
      </w:r>
    </w:p>
    <w:p w14:paraId="3DD53F99">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根据《环境影响评价技术导则 声环境》（HJ2.4-2021）中“5.1评价等级”要求，将声环境影响评价工作等级分为三级，声环境评价工作等级划分依据见表2.</w:t>
      </w:r>
      <w:r>
        <w:rPr>
          <w:rFonts w:hint="eastAsia"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12</w:t>
      </w:r>
      <w:r>
        <w:rPr>
          <w:rFonts w:hint="default" w:ascii="Times New Roman" w:hAnsi="Times New Roman" w:eastAsia="宋体" w:cs="Times New Roman"/>
          <w:color w:val="auto"/>
          <w:sz w:val="24"/>
          <w:szCs w:val="24"/>
        </w:rPr>
        <w:t>。</w:t>
      </w:r>
    </w:p>
    <w:p w14:paraId="47783C1E">
      <w:pPr>
        <w:pStyle w:val="13"/>
        <w:keepNext w:val="0"/>
        <w:keepLines w:val="0"/>
        <w:pageBreakBefore w:val="0"/>
        <w:widowControl/>
        <w:numPr>
          <w:ilvl w:val="0"/>
          <w:numId w:val="0"/>
        </w:numPr>
        <w:kinsoku/>
        <w:wordWrap/>
        <w:overflowPunct/>
        <w:topLinePunct w:val="0"/>
        <w:autoSpaceDE/>
        <w:autoSpaceDN/>
        <w:bidi w:val="0"/>
        <w:adjustRightInd/>
        <w:snapToGrid w:val="0"/>
        <w:spacing w:beforeLines="0" w:afterLines="0" w:line="240" w:lineRule="auto"/>
        <w:ind w:right="0" w:right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表2.6-</w:t>
      </w:r>
      <w:r>
        <w:rPr>
          <w:rFonts w:hint="eastAsia" w:ascii="Times New Roman" w:hAnsi="Times New Roman" w:eastAsia="宋体" w:cs="Times New Roman"/>
          <w:b/>
          <w:bCs/>
          <w:color w:val="auto"/>
          <w:sz w:val="24"/>
          <w:szCs w:val="24"/>
          <w:highlight w:val="none"/>
          <w:lang w:val="en-US" w:eastAsia="zh-CN"/>
        </w:rPr>
        <w:t>12</w:t>
      </w:r>
      <w:r>
        <w:rPr>
          <w:rFonts w:hint="default" w:ascii="Times New Roman" w:hAnsi="Times New Roman" w:eastAsia="宋体" w:cs="Times New Roman"/>
          <w:b/>
          <w:bCs/>
          <w:color w:val="auto"/>
          <w:sz w:val="24"/>
          <w:szCs w:val="24"/>
          <w:highlight w:val="none"/>
          <w:lang w:val="en-US" w:eastAsia="zh-CN"/>
        </w:rPr>
        <w:t xml:space="preserve">  声环境影响评价等级划分</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86"/>
        <w:gridCol w:w="8501"/>
      </w:tblGrid>
      <w:tr w14:paraId="6619BC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23" w:type="pct"/>
            <w:tcBorders>
              <w:top w:val="single" w:color="auto" w:sz="12" w:space="0"/>
              <w:left w:val="nil"/>
              <w:bottom w:val="single" w:color="auto" w:sz="6" w:space="0"/>
              <w:right w:val="single" w:color="auto" w:sz="6" w:space="0"/>
            </w:tcBorders>
            <w:noWrap w:val="0"/>
            <w:vAlign w:val="center"/>
          </w:tcPr>
          <w:p w14:paraId="58A954A0">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等级</w:t>
            </w:r>
          </w:p>
        </w:tc>
        <w:tc>
          <w:tcPr>
            <w:tcW w:w="4576" w:type="pct"/>
            <w:tcBorders>
              <w:top w:val="single" w:color="auto" w:sz="12" w:space="0"/>
              <w:left w:val="single" w:color="auto" w:sz="6" w:space="0"/>
              <w:bottom w:val="single" w:color="auto" w:sz="6" w:space="0"/>
              <w:right w:val="nil"/>
            </w:tcBorders>
            <w:noWrap w:val="0"/>
            <w:vAlign w:val="center"/>
          </w:tcPr>
          <w:p w14:paraId="1A1882BC">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判定依据</w:t>
            </w:r>
          </w:p>
        </w:tc>
      </w:tr>
      <w:tr w14:paraId="2096318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23" w:type="pct"/>
            <w:tcBorders>
              <w:top w:val="single" w:color="auto" w:sz="6" w:space="0"/>
              <w:left w:val="nil"/>
              <w:bottom w:val="single" w:color="auto" w:sz="6" w:space="0"/>
              <w:right w:val="single" w:color="auto" w:sz="6" w:space="0"/>
            </w:tcBorders>
            <w:noWrap w:val="0"/>
            <w:vAlign w:val="center"/>
          </w:tcPr>
          <w:p w14:paraId="2BB53A1E">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一级</w:t>
            </w:r>
          </w:p>
        </w:tc>
        <w:tc>
          <w:tcPr>
            <w:tcW w:w="4576" w:type="pct"/>
            <w:tcBorders>
              <w:top w:val="single" w:color="auto" w:sz="6" w:space="0"/>
              <w:left w:val="single" w:color="auto" w:sz="6" w:space="0"/>
              <w:bottom w:val="single" w:color="auto" w:sz="6" w:space="0"/>
              <w:right w:val="nil"/>
            </w:tcBorders>
            <w:noWrap w:val="0"/>
            <w:vAlign w:val="center"/>
          </w:tcPr>
          <w:p w14:paraId="3C20BC6B">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评价范围内有适用于GB3096规定的0类声环境功能区域，或建设项目建设前后评价范围内声环境保护目标噪声级增量达5dB(A</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以上（不含5dB(A</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），或受影响人口数量显著增加时。</w:t>
            </w:r>
          </w:p>
        </w:tc>
      </w:tr>
      <w:tr w14:paraId="7AA69F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23" w:type="pct"/>
            <w:tcBorders>
              <w:top w:val="single" w:color="auto" w:sz="6" w:space="0"/>
              <w:left w:val="nil"/>
              <w:bottom w:val="single" w:color="auto" w:sz="6" w:space="0"/>
              <w:right w:val="single" w:color="auto" w:sz="6" w:space="0"/>
            </w:tcBorders>
            <w:noWrap w:val="0"/>
            <w:vAlign w:val="center"/>
          </w:tcPr>
          <w:p w14:paraId="7917771E">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二级</w:t>
            </w:r>
          </w:p>
        </w:tc>
        <w:tc>
          <w:tcPr>
            <w:tcW w:w="4576" w:type="pct"/>
            <w:tcBorders>
              <w:top w:val="single" w:color="auto" w:sz="6" w:space="0"/>
              <w:left w:val="single" w:color="auto" w:sz="6" w:space="0"/>
              <w:bottom w:val="single" w:color="auto" w:sz="6" w:space="0"/>
              <w:right w:val="nil"/>
            </w:tcBorders>
            <w:noWrap w:val="0"/>
            <w:vAlign w:val="center"/>
          </w:tcPr>
          <w:p w14:paraId="6DAF59C8">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建设项目所处的声环境功能区为GB3096规定的1类、2类地区，或建设项目建设前后评价范围内声环境保护目标噪声级</w:t>
            </w:r>
            <w:bookmarkStart w:id="16" w:name="OLE_LINK192"/>
            <w:r>
              <w:rPr>
                <w:rFonts w:hint="default" w:ascii="Times New Roman" w:hAnsi="Times New Roman" w:cs="Times New Roman"/>
                <w:color w:val="000000" w:themeColor="text1"/>
                <w:highlight w:val="none"/>
                <w14:textFill>
                  <w14:solidFill>
                    <w14:schemeClr w14:val="tx1"/>
                  </w14:solidFill>
                </w14:textFill>
              </w:rPr>
              <w:t>增量</w:t>
            </w:r>
            <w:bookmarkEnd w:id="16"/>
            <w:r>
              <w:rPr>
                <w:rFonts w:hint="default" w:ascii="Times New Roman" w:hAnsi="Times New Roman" w:cs="Times New Roman"/>
                <w:color w:val="000000" w:themeColor="text1"/>
                <w:highlight w:val="none"/>
                <w14:textFill>
                  <w14:solidFill>
                    <w14:schemeClr w14:val="tx1"/>
                  </w14:solidFill>
                </w14:textFill>
              </w:rPr>
              <w:t>达3dB(A)~5dB(A</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，或受影响人口数量增加较多时。</w:t>
            </w:r>
          </w:p>
        </w:tc>
      </w:tr>
      <w:tr w14:paraId="01E966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23" w:type="pct"/>
            <w:tcBorders>
              <w:top w:val="single" w:color="auto" w:sz="6" w:space="0"/>
              <w:left w:val="nil"/>
              <w:bottom w:val="single" w:color="auto" w:sz="6" w:space="0"/>
              <w:right w:val="single" w:color="auto" w:sz="6" w:space="0"/>
            </w:tcBorders>
            <w:noWrap w:val="0"/>
            <w:vAlign w:val="center"/>
          </w:tcPr>
          <w:p w14:paraId="122B20C8">
            <w:pPr>
              <w:pStyle w:val="37"/>
              <w:bidi w:val="0"/>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三级</w:t>
            </w:r>
          </w:p>
        </w:tc>
        <w:tc>
          <w:tcPr>
            <w:tcW w:w="4576" w:type="pct"/>
            <w:tcBorders>
              <w:top w:val="single" w:color="auto" w:sz="6" w:space="0"/>
              <w:left w:val="single" w:color="auto" w:sz="6" w:space="0"/>
              <w:bottom w:val="single" w:color="auto" w:sz="6" w:space="0"/>
              <w:right w:val="nil"/>
            </w:tcBorders>
            <w:noWrap w:val="0"/>
            <w:vAlign w:val="center"/>
          </w:tcPr>
          <w:p w14:paraId="2A9222DF">
            <w:pPr>
              <w:pStyle w:val="37"/>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建设项目所处的声环境功能区为GB3096规定的3类、4类地区，或建设项目建设前后评价范围内声环境保护目标噪声级增量在3dB(A</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以下（不含3dB(A</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），且受影响人口数量变化不大时。</w:t>
            </w:r>
          </w:p>
        </w:tc>
      </w:tr>
      <w:tr w14:paraId="247515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000" w:type="pct"/>
            <w:gridSpan w:val="2"/>
            <w:tcBorders>
              <w:top w:val="single" w:color="auto" w:sz="6" w:space="0"/>
              <w:left w:val="nil"/>
              <w:bottom w:val="single" w:color="auto" w:sz="12" w:space="0"/>
              <w:right w:val="nil"/>
            </w:tcBorders>
            <w:noWrap w:val="0"/>
            <w:vAlign w:val="center"/>
          </w:tcPr>
          <w:p w14:paraId="736A0727">
            <w:pPr>
              <w:pStyle w:val="37"/>
              <w:bidi w:val="0"/>
              <w:jc w:val="left"/>
              <w:rPr>
                <w:rFonts w:hint="default" w:ascii="Times New Roman" w:hAnsi="Times New Roman" w:cs="Times New Roman"/>
                <w:color w:val="000000" w:themeColor="text1"/>
                <w:highlight w:val="none"/>
                <w14:textFill>
                  <w14:solidFill>
                    <w14:schemeClr w14:val="tx1"/>
                  </w14:solidFill>
                </w14:textFill>
              </w:rPr>
            </w:pPr>
            <w:bookmarkStart w:id="17" w:name="OLE_LINK191"/>
            <w:r>
              <w:rPr>
                <w:rFonts w:hint="default" w:ascii="Times New Roman" w:hAnsi="Times New Roman" w:cs="Times New Roman"/>
                <w:color w:val="000000" w:themeColor="text1"/>
                <w:highlight w:val="none"/>
                <w14:textFill>
                  <w14:solidFill>
                    <w14:schemeClr w14:val="tx1"/>
                  </w14:solidFill>
                </w14:textFill>
              </w:rPr>
              <w:t>注：在确定评价等级时，如果建设项目符合两个等级的划分原则，按较高等级评价。</w:t>
            </w:r>
            <w:bookmarkEnd w:id="17"/>
          </w:p>
        </w:tc>
      </w:tr>
    </w:tbl>
    <w:p w14:paraId="223B44C2">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本项目所在区域声环境功能区为</w:t>
      </w:r>
      <w:r>
        <w:rPr>
          <w:rFonts w:hint="default" w:ascii="Times New Roman" w:hAnsi="Times New Roman" w:eastAsia="宋体" w:cs="Times New Roman"/>
          <w:color w:val="auto"/>
          <w:sz w:val="24"/>
          <w:szCs w:val="24"/>
          <w:lang w:eastAsia="zh-CN"/>
        </w:rPr>
        <w:t>2</w:t>
      </w:r>
      <w:r>
        <w:rPr>
          <w:rFonts w:hint="eastAsia" w:ascii="Times New Roman" w:hAnsi="Times New Roman" w:eastAsia="宋体" w:cs="Times New Roman"/>
          <w:color w:val="auto"/>
          <w:sz w:val="24"/>
          <w:szCs w:val="24"/>
          <w:lang w:eastAsia="zh-CN"/>
        </w:rPr>
        <w:t>类区域，</w:t>
      </w:r>
      <w:r>
        <w:rPr>
          <w:rFonts w:hint="eastAsia" w:ascii="Times New Roman" w:hAnsi="Times New Roman" w:eastAsia="宋体" w:cs="Times New Roman"/>
          <w:color w:val="auto"/>
          <w:sz w:val="24"/>
          <w:szCs w:val="24"/>
          <w:lang w:val="en-US" w:eastAsia="zh-CN"/>
        </w:rPr>
        <w:t>建设项目建设前后评价范围内声环境保护目标噪声级增量在3dB(A)以下，且受影响人口数量变化不大。</w:t>
      </w:r>
      <w:r>
        <w:rPr>
          <w:rFonts w:hint="eastAsia" w:ascii="Times New Roman" w:hAnsi="Times New Roman" w:eastAsia="宋体" w:cs="Times New Roman"/>
          <w:color w:val="auto"/>
          <w:sz w:val="24"/>
          <w:szCs w:val="24"/>
          <w:lang w:eastAsia="zh-CN"/>
        </w:rPr>
        <w:t>因此，本项目声环境影响评价工作等级为二级。</w:t>
      </w:r>
    </w:p>
    <w:p w14:paraId="74134A92">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微软雅黑" w:cs="Times New Roman"/>
          <w:color w:val="auto"/>
          <w:sz w:val="24"/>
          <w:szCs w:val="24"/>
        </w:rPr>
      </w:pPr>
      <w:r>
        <w:rPr>
          <w:rFonts w:hint="default" w:ascii="Times New Roman" w:hAnsi="Times New Roman" w:eastAsia="宋体" w:cs="Times New Roman"/>
          <w:b/>
          <w:bCs/>
          <w:color w:val="auto"/>
          <w:spacing w:val="-1"/>
          <w:sz w:val="28"/>
          <w:szCs w:val="28"/>
        </w:rPr>
        <w:fldChar w:fldCharType="begin"/>
      </w:r>
      <w:r>
        <w:rPr>
          <w:rFonts w:hint="default" w:ascii="Times New Roman" w:hAnsi="Times New Roman" w:eastAsia="宋体" w:cs="Times New Roman"/>
          <w:b/>
          <w:bCs/>
          <w:color w:val="auto"/>
          <w:spacing w:val="-1"/>
          <w:sz w:val="28"/>
          <w:szCs w:val="28"/>
        </w:rPr>
        <w:instrText xml:space="preserve"> HYPERLINK "2.3.1.4" </w:instrText>
      </w:r>
      <w:r>
        <w:rPr>
          <w:rFonts w:hint="default" w:ascii="Times New Roman" w:hAnsi="Times New Roman" w:eastAsia="宋体" w:cs="Times New Roman"/>
          <w:b/>
          <w:bCs/>
          <w:color w:val="auto"/>
          <w:spacing w:val="-1"/>
          <w:sz w:val="28"/>
          <w:szCs w:val="28"/>
        </w:rPr>
        <w:fldChar w:fldCharType="separate"/>
      </w:r>
      <w:r>
        <w:rPr>
          <w:rFonts w:hint="default" w:ascii="Times New Roman" w:hAnsi="Times New Roman" w:eastAsia="宋体" w:cs="Times New Roman"/>
          <w:b/>
          <w:bCs/>
          <w:color w:val="auto"/>
          <w:spacing w:val="-1"/>
          <w:sz w:val="28"/>
          <w:szCs w:val="28"/>
        </w:rPr>
        <w:t>2.</w:t>
      </w:r>
      <w:r>
        <w:rPr>
          <w:rFonts w:hint="default" w:ascii="Times New Roman" w:hAnsi="Times New Roman" w:eastAsia="宋体" w:cs="Times New Roman"/>
          <w:b/>
          <w:bCs/>
          <w:color w:val="auto"/>
          <w:spacing w:val="-1"/>
          <w:sz w:val="28"/>
          <w:szCs w:val="28"/>
          <w:lang w:val="en-US" w:eastAsia="zh-CN"/>
        </w:rPr>
        <w:t>6</w:t>
      </w:r>
      <w:r>
        <w:rPr>
          <w:rFonts w:hint="default" w:ascii="Times New Roman" w:hAnsi="Times New Roman" w:eastAsia="宋体" w:cs="Times New Roman"/>
          <w:b/>
          <w:bCs/>
          <w:color w:val="auto"/>
          <w:spacing w:val="-1"/>
          <w:sz w:val="28"/>
          <w:szCs w:val="28"/>
        </w:rPr>
        <w:t>.1.4</w:t>
      </w:r>
      <w:r>
        <w:rPr>
          <w:rFonts w:hint="default" w:ascii="Times New Roman" w:hAnsi="Times New Roman" w:eastAsia="宋体" w:cs="Times New Roman"/>
          <w:b/>
          <w:bCs/>
          <w:color w:val="auto"/>
          <w:spacing w:val="-1"/>
          <w:sz w:val="28"/>
          <w:szCs w:val="28"/>
        </w:rPr>
        <w:fldChar w:fldCharType="end"/>
      </w:r>
      <w:r>
        <w:rPr>
          <w:rFonts w:hint="default" w:ascii="Times New Roman" w:hAnsi="Times New Roman" w:eastAsia="宋体" w:cs="Times New Roman"/>
          <w:b/>
          <w:bCs/>
          <w:color w:val="auto"/>
          <w:spacing w:val="-1"/>
          <w:sz w:val="28"/>
          <w:szCs w:val="28"/>
        </w:rPr>
        <w:t>地下水环境评价等级</w:t>
      </w:r>
    </w:p>
    <w:p w14:paraId="6AA18E36">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根据《环境影响评价技术导则 地下水环境》（HJ610-2016）对建设项目地下水评价的要求，根据建设项目行业分类和地下水环境敏感程度分级进行判定，确定本项目地下水环境影响评价工作等级。</w:t>
      </w:r>
    </w:p>
    <w:p w14:paraId="1A585477">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（1）建设项目分类</w:t>
      </w:r>
    </w:p>
    <w:p w14:paraId="78080983">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w:t>
      </w:r>
      <w:r>
        <w:rPr>
          <w:rFonts w:hint="eastAsia" w:ascii="Times New Roman" w:hAnsi="Times New Roman" w:eastAsia="宋体" w:cs="Times New Roman"/>
          <w:color w:val="auto"/>
          <w:sz w:val="24"/>
          <w:szCs w:val="24"/>
          <w:lang w:val="en-US" w:eastAsia="zh-CN"/>
        </w:rPr>
        <w:t>为汽车零部件制造项目</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pacing w:val="0"/>
          <w:position w:val="0"/>
          <w:sz w:val="24"/>
          <w:lang w:val="en-US" w:eastAsia="zh-CN"/>
        </w:rPr>
        <w:t>依据《建设项目环境影响评价分类管理名录》(2021年版)的有关规定，本项目属于名录中:“三十三、汽车制造业36--第71项:汽车零部件及配件制造 367”，</w:t>
      </w:r>
      <w:r>
        <w:rPr>
          <w:rFonts w:hint="default" w:ascii="Times New Roman" w:hAnsi="Times New Roman" w:eastAsia="宋体" w:cs="Times New Roman"/>
          <w:color w:val="auto"/>
          <w:sz w:val="24"/>
          <w:szCs w:val="24"/>
        </w:rPr>
        <w:t>同时参照《环境影响评价技术导则 地下水环境》（HJ610-2016）附录A“地下水环境影响评价行业分类表”可知，本项目属于“</w:t>
      </w:r>
      <w:r>
        <w:rPr>
          <w:rFonts w:hint="eastAsia" w:ascii="Times New Roman" w:hAnsi="Times New Roman" w:eastAsia="宋体" w:cs="Times New Roman"/>
          <w:color w:val="auto"/>
          <w:sz w:val="24"/>
          <w:szCs w:val="24"/>
          <w:lang w:val="en-US" w:eastAsia="zh-CN"/>
        </w:rPr>
        <w:t>K机械、电子</w:t>
      </w:r>
      <w:r>
        <w:rPr>
          <w:rFonts w:hint="default" w:ascii="Times New Roman" w:hAnsi="Times New Roman" w:eastAsia="宋体" w:cs="Times New Roman"/>
          <w:color w:val="auto"/>
          <w:sz w:val="24"/>
          <w:szCs w:val="24"/>
        </w:rPr>
        <w:t>”中的“7</w:t>
      </w:r>
      <w:r>
        <w:rPr>
          <w:rFonts w:hint="eastAsia" w:ascii="Times New Roman" w:hAnsi="Times New Roman" w:eastAsia="宋体" w:cs="Times New Roman"/>
          <w:color w:val="auto"/>
          <w:sz w:val="24"/>
          <w:szCs w:val="24"/>
          <w:lang w:val="en-US" w:eastAsia="zh-CN"/>
        </w:rPr>
        <w:t>3汽车、摩托车制造</w:t>
      </w:r>
      <w:r>
        <w:rPr>
          <w:rFonts w:hint="default" w:ascii="Times New Roman" w:hAnsi="Times New Roman" w:eastAsia="宋体" w:cs="Times New Roman"/>
          <w:color w:val="auto"/>
          <w:sz w:val="24"/>
          <w:szCs w:val="24"/>
        </w:rPr>
        <w:t>”，因此本项目地下水环境影响评价项目类别为Ⅲ类建设项目。地下水环境影响评价行业分类见表2.</w:t>
      </w:r>
      <w:r>
        <w:rPr>
          <w:rFonts w:hint="eastAsia" w:ascii="Times New Roman" w:hAnsi="Times New Roman" w:eastAsia="宋体" w:cs="Times New Roman"/>
          <w:color w:val="auto"/>
          <w:sz w:val="24"/>
          <w:szCs w:val="24"/>
          <w:lang w:val="en-US" w:eastAsia="zh-CN"/>
        </w:rPr>
        <w:t>6-13</w:t>
      </w:r>
      <w:r>
        <w:rPr>
          <w:rFonts w:hint="default" w:ascii="Times New Roman" w:hAnsi="Times New Roman" w:eastAsia="宋体" w:cs="Times New Roman"/>
          <w:color w:val="auto"/>
          <w:sz w:val="24"/>
          <w:szCs w:val="24"/>
        </w:rPr>
        <w:t>。</w:t>
      </w:r>
    </w:p>
    <w:p w14:paraId="758073AB">
      <w:pPr>
        <w:bidi w:val="0"/>
        <w:jc w:val="center"/>
        <w:rPr>
          <w:rFonts w:hint="default" w:ascii="Times New Roman" w:hAnsi="Times New Roman" w:eastAsia="宋体" w:cs="Times New Roman"/>
          <w:b/>
          <w:bCs/>
          <w:snapToGrid w:val="0"/>
          <w:color w:val="auto"/>
          <w:kern w:val="0"/>
          <w:sz w:val="24"/>
          <w:szCs w:val="24"/>
          <w:highlight w:val="none"/>
          <w:lang w:val="en-US" w:eastAsia="zh-CN" w:bidi="ar-SA"/>
        </w:rPr>
      </w:pPr>
      <w:r>
        <w:rPr>
          <w:rFonts w:hint="default" w:ascii="Times New Roman" w:hAnsi="Times New Roman" w:eastAsia="宋体" w:cs="Times New Roman"/>
          <w:b/>
          <w:bCs/>
          <w:snapToGrid w:val="0"/>
          <w:color w:val="auto"/>
          <w:kern w:val="0"/>
          <w:sz w:val="24"/>
          <w:szCs w:val="24"/>
          <w:highlight w:val="none"/>
          <w:lang w:val="en-US" w:eastAsia="zh-CN" w:bidi="ar-SA"/>
        </w:rPr>
        <w:t>表2.</w:t>
      </w:r>
      <w:r>
        <w:rPr>
          <w:rFonts w:hint="eastAsia" w:ascii="Times New Roman" w:hAnsi="Times New Roman" w:eastAsia="宋体" w:cs="Times New Roman"/>
          <w:b/>
          <w:bCs/>
          <w:snapToGrid w:val="0"/>
          <w:color w:val="auto"/>
          <w:kern w:val="0"/>
          <w:sz w:val="24"/>
          <w:szCs w:val="24"/>
          <w:highlight w:val="none"/>
          <w:lang w:val="en-US" w:eastAsia="zh-CN" w:bidi="ar-SA"/>
        </w:rPr>
        <w:t>6</w:t>
      </w:r>
      <w:r>
        <w:rPr>
          <w:rFonts w:hint="default" w:ascii="Times New Roman" w:hAnsi="Times New Roman" w:eastAsia="宋体" w:cs="Times New Roman"/>
          <w:b/>
          <w:bCs/>
          <w:snapToGrid w:val="0"/>
          <w:color w:val="auto"/>
          <w:kern w:val="0"/>
          <w:sz w:val="24"/>
          <w:szCs w:val="24"/>
          <w:highlight w:val="none"/>
          <w:lang w:val="en-US" w:eastAsia="zh-CN" w:bidi="ar-SA"/>
        </w:rPr>
        <w:t>-</w:t>
      </w:r>
      <w:r>
        <w:rPr>
          <w:rFonts w:hint="eastAsia" w:ascii="Times New Roman" w:hAnsi="Times New Roman" w:eastAsia="宋体" w:cs="Times New Roman"/>
          <w:b/>
          <w:bCs/>
          <w:snapToGrid w:val="0"/>
          <w:color w:val="auto"/>
          <w:kern w:val="0"/>
          <w:sz w:val="24"/>
          <w:szCs w:val="24"/>
          <w:highlight w:val="none"/>
          <w:lang w:val="en-US" w:eastAsia="zh-CN" w:bidi="ar-SA"/>
        </w:rPr>
        <w:t>13</w:t>
      </w:r>
      <w:r>
        <w:rPr>
          <w:rFonts w:hint="default" w:ascii="Times New Roman" w:hAnsi="Times New Roman" w:eastAsia="宋体" w:cs="Times New Roman"/>
          <w:b/>
          <w:bCs/>
          <w:snapToGrid w:val="0"/>
          <w:color w:val="auto"/>
          <w:kern w:val="0"/>
          <w:sz w:val="24"/>
          <w:szCs w:val="24"/>
          <w:highlight w:val="none"/>
          <w:lang w:val="en-US" w:eastAsia="zh-CN" w:bidi="ar-SA"/>
        </w:rPr>
        <w:t xml:space="preserve">  地下水环境影响评价行业分类表（相关部分节选）</w:t>
      </w:r>
    </w:p>
    <w:tbl>
      <w:tblPr>
        <w:tblStyle w:val="22"/>
        <w:tblW w:w="4999"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2484"/>
        <w:gridCol w:w="1731"/>
        <w:gridCol w:w="1382"/>
        <w:gridCol w:w="1983"/>
        <w:gridCol w:w="1705"/>
      </w:tblGrid>
      <w:tr w14:paraId="1B0D4B1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trPr>
        <w:tc>
          <w:tcPr>
            <w:tcW w:w="1338" w:type="pct"/>
            <w:vMerge w:val="restart"/>
            <w:tcBorders>
              <w:tl2br w:val="nil"/>
              <w:tr2bl w:val="nil"/>
            </w:tcBorders>
            <w:vAlign w:val="center"/>
            <mc:AlternateContent>
              <mc:Choice Requires="wpsCustomData">
                <wpsCustomData:diagonals>
                  <wpsCustomData:diagonal from="10000" to="30000">
                    <wpsCustomData:border w:val="single" w:color="000000" w:sz="12" w:space="0"/>
                  </wpsCustomData:diagonal>
                </wpsCustomData:diagonals>
              </mc:Choice>
            </mc:AlternateContent>
          </w:tcPr>
          <w:p w14:paraId="3757CDEF">
            <w:pPr>
              <w:pStyle w:val="37"/>
              <w:bidi w:val="0"/>
              <w:snapToGrid w:val="0"/>
              <w:jc w:val="left"/>
              <w:rPr>
                <w:rFonts w:hint="default" w:ascii="Times New Roman" w:hAnsi="Times New Roman" w:cs="Times New Roman"/>
                <w:color w:val="auto"/>
                <w:highlight w:val="none"/>
              </w:rPr>
            </w:pPr>
          </w:p>
          <w:p w14:paraId="56806ED8">
            <w:pPr>
              <w:pStyle w:val="37"/>
              <w:bidi w:val="0"/>
              <w:snapToGrid w:val="0"/>
              <w:jc w:val="left"/>
              <mc:AlternateContent>
                <mc:Choice Requires="wpsCustomData">
                  <wpsCustomData:diagonalParaType/>
                </mc:Choice>
              </mc:AlternateContent>
              <w:rPr>
                <w:rFonts w:hint="default" w:ascii="Times New Roman" w:hAnsi="Times New Roman" w:cs="Times New Roman"/>
                <w:color w:val="auto"/>
                <w:highlight w:val="none"/>
              </w:rPr>
            </w:pPr>
            <w:r>
              <w:rPr>
                <w:rFonts w:hint="default" w:ascii="Times New Roman" w:hAnsi="Times New Roman" w:cs="Times New Roman"/>
                <w:color w:val="auto"/>
                <w:highlight w:val="none"/>
              </w:rPr>
              <w:t>行业类别</w:t>
            </w:r>
          </w:p>
          <w:p w14:paraId="1FEA9171">
            <w:pPr>
              <w:pStyle w:val="37"/>
              <w:bidi w:val="0"/>
              <w:jc w:val="right"/>
              <w:rPr>
                <w:rFonts w:hint="default" w:ascii="Times New Roman" w:hAnsi="Times New Roman" w:cs="Times New Roman"/>
                <w:color w:val="auto"/>
                <w:highlight w:val="none"/>
              </w:rPr>
            </w:pPr>
            <w:r>
              <w:rPr>
                <w:rFonts w:hint="default" w:ascii="Times New Roman" w:hAnsi="Times New Roman" w:cs="Times New Roman"/>
                <w:color w:val="auto"/>
                <w:highlight w:val="none"/>
              </w:rPr>
              <w:t>环评类别</w:t>
            </w:r>
          </w:p>
        </w:tc>
        <w:tc>
          <w:tcPr>
            <w:tcW w:w="932" w:type="pct"/>
            <w:vMerge w:val="restart"/>
            <w:tcBorders>
              <w:tl2br w:val="nil"/>
              <w:tr2bl w:val="nil"/>
            </w:tcBorders>
            <w:vAlign w:val="center"/>
          </w:tcPr>
          <w:p w14:paraId="0B03A7E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报告书</w:t>
            </w:r>
          </w:p>
        </w:tc>
        <w:tc>
          <w:tcPr>
            <w:tcW w:w="744" w:type="pct"/>
            <w:vMerge w:val="restart"/>
            <w:tcBorders>
              <w:tl2br w:val="nil"/>
              <w:tr2bl w:val="nil"/>
            </w:tcBorders>
            <w:vAlign w:val="center"/>
          </w:tcPr>
          <w:p w14:paraId="53B8167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报告表</w:t>
            </w:r>
          </w:p>
        </w:tc>
        <w:tc>
          <w:tcPr>
            <w:tcW w:w="1984" w:type="pct"/>
            <w:gridSpan w:val="2"/>
            <w:tcBorders>
              <w:tl2br w:val="nil"/>
              <w:tr2bl w:val="nil"/>
            </w:tcBorders>
            <w:vAlign w:val="center"/>
          </w:tcPr>
          <w:p w14:paraId="37E31363">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地下水环境影响评价项目类别</w:t>
            </w:r>
          </w:p>
        </w:tc>
      </w:tr>
      <w:tr w14:paraId="6573501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trPr>
        <w:tc>
          <w:tcPr>
            <w:tcW w:w="1338" w:type="pct"/>
            <w:vMerge w:val="continue"/>
            <w:tcBorders>
              <w:tl2br w:val="nil"/>
              <w:tr2bl w:val="nil"/>
            </w:tcBorders>
            <w:vAlign w:val="center"/>
          </w:tcPr>
          <w:p w14:paraId="6C0A6CBE">
            <w:pPr>
              <w:pStyle w:val="37"/>
              <w:bidi w:val="0"/>
              <w:rPr>
                <w:rFonts w:hint="default" w:ascii="Times New Roman" w:hAnsi="Times New Roman" w:cs="Times New Roman"/>
                <w:color w:val="auto"/>
                <w:highlight w:val="none"/>
              </w:rPr>
            </w:pPr>
          </w:p>
        </w:tc>
        <w:tc>
          <w:tcPr>
            <w:tcW w:w="932" w:type="pct"/>
            <w:vMerge w:val="continue"/>
            <w:tcBorders>
              <w:tl2br w:val="nil"/>
              <w:tr2bl w:val="nil"/>
            </w:tcBorders>
            <w:vAlign w:val="center"/>
          </w:tcPr>
          <w:p w14:paraId="61F73EDC">
            <w:pPr>
              <w:pStyle w:val="37"/>
              <w:bidi w:val="0"/>
              <w:rPr>
                <w:rFonts w:hint="default" w:ascii="Times New Roman" w:hAnsi="Times New Roman" w:cs="Times New Roman"/>
                <w:color w:val="auto"/>
                <w:highlight w:val="none"/>
              </w:rPr>
            </w:pPr>
          </w:p>
        </w:tc>
        <w:tc>
          <w:tcPr>
            <w:tcW w:w="744" w:type="pct"/>
            <w:vMerge w:val="continue"/>
            <w:tcBorders>
              <w:tl2br w:val="nil"/>
              <w:tr2bl w:val="nil"/>
            </w:tcBorders>
            <w:vAlign w:val="center"/>
          </w:tcPr>
          <w:p w14:paraId="085F1920">
            <w:pPr>
              <w:pStyle w:val="37"/>
              <w:bidi w:val="0"/>
              <w:rPr>
                <w:rFonts w:hint="default" w:ascii="Times New Roman" w:hAnsi="Times New Roman" w:cs="Times New Roman"/>
                <w:color w:val="auto"/>
                <w:highlight w:val="none"/>
              </w:rPr>
            </w:pPr>
          </w:p>
        </w:tc>
        <w:tc>
          <w:tcPr>
            <w:tcW w:w="1068" w:type="pct"/>
            <w:tcBorders>
              <w:tl2br w:val="nil"/>
              <w:tr2bl w:val="nil"/>
            </w:tcBorders>
            <w:vAlign w:val="center"/>
          </w:tcPr>
          <w:p w14:paraId="38205454">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报告书</w:t>
            </w:r>
          </w:p>
        </w:tc>
        <w:tc>
          <w:tcPr>
            <w:tcW w:w="915" w:type="pct"/>
            <w:tcBorders>
              <w:tl2br w:val="nil"/>
              <w:tr2bl w:val="nil"/>
            </w:tcBorders>
            <w:vAlign w:val="center"/>
          </w:tcPr>
          <w:p w14:paraId="1E45E1B8">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报告表</w:t>
            </w:r>
          </w:p>
        </w:tc>
      </w:tr>
      <w:tr w14:paraId="4715541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trPr>
        <w:tc>
          <w:tcPr>
            <w:tcW w:w="5000" w:type="pct"/>
            <w:gridSpan w:val="5"/>
            <w:tcBorders>
              <w:tl2br w:val="nil"/>
              <w:tr2bl w:val="nil"/>
            </w:tcBorders>
            <w:vAlign w:val="center"/>
          </w:tcPr>
          <w:p w14:paraId="6C8A9D42">
            <w:pPr>
              <w:pStyle w:val="37"/>
              <w:bidi w:val="0"/>
              <w:jc w:val="both"/>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K机械、电子</w:t>
            </w:r>
          </w:p>
        </w:tc>
      </w:tr>
      <w:tr w14:paraId="21A7D96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trPr>
        <w:tc>
          <w:tcPr>
            <w:tcW w:w="1338" w:type="pct"/>
            <w:tcBorders>
              <w:tl2br w:val="nil"/>
              <w:tr2bl w:val="nil"/>
            </w:tcBorders>
            <w:vAlign w:val="center"/>
          </w:tcPr>
          <w:p w14:paraId="17F57BF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w:t>
            </w:r>
            <w:r>
              <w:rPr>
                <w:rFonts w:hint="default" w:ascii="Times New Roman" w:hAnsi="Times New Roman" w:cs="Times New Roman"/>
                <w:color w:val="auto"/>
                <w:highlight w:val="none"/>
                <w:lang w:val="en-US" w:eastAsia="zh-CN"/>
              </w:rPr>
              <w:t>3汽车、摩托车制造</w:t>
            </w:r>
          </w:p>
        </w:tc>
        <w:tc>
          <w:tcPr>
            <w:tcW w:w="932" w:type="pct"/>
            <w:tcBorders>
              <w:tl2br w:val="nil"/>
              <w:tr2bl w:val="nil"/>
            </w:tcBorders>
            <w:vAlign w:val="center"/>
          </w:tcPr>
          <w:p w14:paraId="3F6797E2">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有电镀或喷漆工艺的</w:t>
            </w:r>
            <w:r>
              <w:rPr>
                <w:rFonts w:hint="default" w:ascii="Times New Roman" w:hAnsi="Times New Roman" w:eastAsia="宋体" w:cs="Times New Roman"/>
                <w:color w:val="auto"/>
                <w:highlight w:val="none"/>
                <w:lang w:val="en-US" w:eastAsia="zh-CN"/>
              </w:rPr>
              <w:t>零部件生产</w:t>
            </w:r>
          </w:p>
        </w:tc>
        <w:tc>
          <w:tcPr>
            <w:tcW w:w="744" w:type="pct"/>
            <w:tcBorders>
              <w:tl2br w:val="nil"/>
              <w:tr2bl w:val="nil"/>
            </w:tcBorders>
            <w:vAlign w:val="center"/>
          </w:tcPr>
          <w:p w14:paraId="08185C5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w:t>
            </w:r>
          </w:p>
        </w:tc>
        <w:tc>
          <w:tcPr>
            <w:tcW w:w="1068" w:type="pct"/>
            <w:tcBorders>
              <w:tl2br w:val="nil"/>
              <w:tr2bl w:val="nil"/>
            </w:tcBorders>
            <w:vAlign w:val="center"/>
          </w:tcPr>
          <w:p w14:paraId="463BF18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Ⅲ类</w:t>
            </w:r>
          </w:p>
        </w:tc>
        <w:tc>
          <w:tcPr>
            <w:tcW w:w="915" w:type="pct"/>
            <w:tcBorders>
              <w:tl2br w:val="nil"/>
              <w:tr2bl w:val="nil"/>
            </w:tcBorders>
            <w:vAlign w:val="center"/>
          </w:tcPr>
          <w:p w14:paraId="39E2E80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Ⅳ类</w:t>
            </w:r>
          </w:p>
        </w:tc>
      </w:tr>
    </w:tbl>
    <w:p w14:paraId="22CC6756">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（2）地下水环境敏感程度</w:t>
      </w:r>
    </w:p>
    <w:p w14:paraId="033B6C8A">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color w:val="auto"/>
          <w:highlight w:val="none"/>
        </w:rPr>
      </w:pPr>
      <w:r>
        <w:rPr>
          <w:rFonts w:hint="default" w:ascii="Times New Roman" w:hAnsi="Times New Roman" w:eastAsia="宋体" w:cs="Times New Roman"/>
          <w:color w:val="auto"/>
          <w:sz w:val="24"/>
          <w:szCs w:val="24"/>
        </w:rPr>
        <w:t>建设项目的地下水环境敏感程度可分为敏感、较敏感、不敏感三个级别，见表</w:t>
      </w:r>
      <w:r>
        <w:rPr>
          <w:rFonts w:hint="eastAsia" w:ascii="Times New Roman" w:hAnsi="Times New Roman" w:eastAsia="宋体" w:cs="Times New Roman"/>
          <w:color w:val="auto"/>
          <w:sz w:val="24"/>
          <w:szCs w:val="24"/>
        </w:rPr>
        <w:t>2.</w:t>
      </w:r>
      <w:r>
        <w:rPr>
          <w:rFonts w:hint="eastAsia" w:ascii="Times New Roman" w:hAnsi="Times New Roman" w:eastAsia="宋体" w:cs="Times New Roman"/>
          <w:color w:val="auto"/>
          <w:sz w:val="24"/>
          <w:szCs w:val="24"/>
          <w:lang w:val="en-US" w:eastAsia="zh-CN"/>
        </w:rPr>
        <w:t>6</w:t>
      </w:r>
      <w:r>
        <w:rPr>
          <w:rFonts w:hint="eastAsia"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rPr>
        <w:t>1</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w:t>
      </w:r>
    </w:p>
    <w:p w14:paraId="4E31DC19">
      <w:pPr>
        <w:bidi w:val="0"/>
        <w:jc w:val="center"/>
        <w:rPr>
          <w:rFonts w:hint="default" w:ascii="Times New Roman" w:hAnsi="Times New Roman" w:eastAsia="宋体" w:cs="Times New Roman"/>
          <w:b/>
          <w:bCs/>
          <w:snapToGrid w:val="0"/>
          <w:color w:val="auto"/>
          <w:kern w:val="0"/>
          <w:sz w:val="24"/>
          <w:szCs w:val="24"/>
          <w:highlight w:val="none"/>
          <w:lang w:val="en-US" w:eastAsia="zh-CN" w:bidi="ar-SA"/>
        </w:rPr>
      </w:pPr>
      <w:r>
        <w:rPr>
          <w:rFonts w:hint="default" w:ascii="Times New Roman" w:hAnsi="Times New Roman" w:eastAsia="宋体" w:cs="Times New Roman"/>
          <w:b/>
          <w:bCs/>
          <w:snapToGrid w:val="0"/>
          <w:color w:val="auto"/>
          <w:kern w:val="0"/>
          <w:sz w:val="24"/>
          <w:szCs w:val="24"/>
          <w:highlight w:val="none"/>
          <w:lang w:val="en-US" w:eastAsia="zh-CN" w:bidi="ar-SA"/>
        </w:rPr>
        <w:t>表</w:t>
      </w:r>
      <w:r>
        <w:rPr>
          <w:rFonts w:hint="eastAsia" w:ascii="Times New Roman" w:hAnsi="Times New Roman" w:eastAsia="宋体" w:cs="Times New Roman"/>
          <w:b/>
          <w:bCs/>
          <w:snapToGrid w:val="0"/>
          <w:color w:val="auto"/>
          <w:kern w:val="0"/>
          <w:sz w:val="24"/>
          <w:szCs w:val="24"/>
          <w:highlight w:val="none"/>
          <w:lang w:val="en-US" w:eastAsia="zh-CN" w:bidi="ar-SA"/>
        </w:rPr>
        <w:t>2.6-</w:t>
      </w:r>
      <w:r>
        <w:rPr>
          <w:rFonts w:hint="default" w:ascii="Times New Roman" w:hAnsi="Times New Roman" w:eastAsia="宋体" w:cs="Times New Roman"/>
          <w:b/>
          <w:bCs/>
          <w:snapToGrid w:val="0"/>
          <w:color w:val="auto"/>
          <w:kern w:val="0"/>
          <w:sz w:val="24"/>
          <w:szCs w:val="24"/>
          <w:highlight w:val="none"/>
          <w:lang w:val="en-US" w:eastAsia="zh-CN" w:bidi="ar-SA"/>
        </w:rPr>
        <w:t>1</w:t>
      </w:r>
      <w:r>
        <w:rPr>
          <w:rFonts w:hint="eastAsia" w:ascii="Times New Roman" w:hAnsi="Times New Roman" w:eastAsia="宋体" w:cs="Times New Roman"/>
          <w:b/>
          <w:bCs/>
          <w:snapToGrid w:val="0"/>
          <w:color w:val="auto"/>
          <w:kern w:val="0"/>
          <w:sz w:val="24"/>
          <w:szCs w:val="24"/>
          <w:highlight w:val="none"/>
          <w:lang w:val="en-US" w:eastAsia="zh-CN" w:bidi="ar-SA"/>
        </w:rPr>
        <w:t>4</w:t>
      </w:r>
      <w:r>
        <w:rPr>
          <w:rFonts w:hint="default" w:ascii="Times New Roman" w:hAnsi="Times New Roman" w:eastAsia="宋体" w:cs="Times New Roman"/>
          <w:b/>
          <w:bCs/>
          <w:snapToGrid w:val="0"/>
          <w:color w:val="auto"/>
          <w:kern w:val="0"/>
          <w:sz w:val="24"/>
          <w:szCs w:val="24"/>
          <w:highlight w:val="none"/>
          <w:lang w:val="en-US" w:eastAsia="zh-CN" w:bidi="ar-SA"/>
        </w:rPr>
        <w:t xml:space="preserve">  地下水环境敏感程度分级表</w:t>
      </w:r>
    </w:p>
    <w:tbl>
      <w:tblPr>
        <w:tblStyle w:val="22"/>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46"/>
        <w:gridCol w:w="8139"/>
      </w:tblGrid>
      <w:tr w14:paraId="79A1C4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17" w:type="pct"/>
            <w:noWrap w:val="0"/>
            <w:vAlign w:val="center"/>
          </w:tcPr>
          <w:p w14:paraId="615CDCE7">
            <w:pPr>
              <w:pStyle w:val="37"/>
              <w:bidi w:val="0"/>
              <w:rPr>
                <w:color w:val="auto"/>
                <w:highlight w:val="none"/>
              </w:rPr>
            </w:pPr>
            <w:r>
              <w:rPr>
                <w:color w:val="auto"/>
                <w:highlight w:val="none"/>
              </w:rPr>
              <w:t>敏感程度</w:t>
            </w:r>
          </w:p>
        </w:tc>
        <w:tc>
          <w:tcPr>
            <w:tcW w:w="4382" w:type="pct"/>
            <w:noWrap w:val="0"/>
            <w:vAlign w:val="center"/>
          </w:tcPr>
          <w:p w14:paraId="162DC1BD">
            <w:pPr>
              <w:pStyle w:val="37"/>
              <w:bidi w:val="0"/>
              <w:rPr>
                <w:color w:val="auto"/>
                <w:highlight w:val="none"/>
              </w:rPr>
            </w:pPr>
            <w:r>
              <w:rPr>
                <w:color w:val="auto"/>
                <w:highlight w:val="none"/>
              </w:rPr>
              <w:t>地下水环境敏感特征</w:t>
            </w:r>
          </w:p>
        </w:tc>
      </w:tr>
      <w:tr w14:paraId="7210F2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17" w:type="pct"/>
            <w:noWrap w:val="0"/>
            <w:vAlign w:val="center"/>
          </w:tcPr>
          <w:p w14:paraId="01C89642">
            <w:pPr>
              <w:pStyle w:val="37"/>
              <w:bidi w:val="0"/>
              <w:rPr>
                <w:color w:val="auto"/>
                <w:highlight w:val="none"/>
              </w:rPr>
            </w:pPr>
            <w:r>
              <w:rPr>
                <w:color w:val="auto"/>
                <w:highlight w:val="none"/>
              </w:rPr>
              <w:t>敏感</w:t>
            </w:r>
          </w:p>
        </w:tc>
        <w:tc>
          <w:tcPr>
            <w:tcW w:w="4382" w:type="pct"/>
            <w:noWrap w:val="0"/>
            <w:vAlign w:val="center"/>
          </w:tcPr>
          <w:p w14:paraId="7C112804">
            <w:pPr>
              <w:pStyle w:val="37"/>
              <w:bidi w:val="0"/>
              <w:rPr>
                <w:color w:val="auto"/>
                <w:highlight w:val="none"/>
              </w:rPr>
            </w:pPr>
            <w:r>
              <w:rPr>
                <w:color w:val="auto"/>
                <w:highlight w:val="none"/>
              </w:rPr>
              <w:t>集中式饮用水水源（包括已建成的在用、备用、应急水源，在建和规划的饮用水水源）准保护区；除集中式饮用水源以外的国家或地方政府设定的与地下水环境相关的其它保护区，如热水、矿泉水、温泉等特殊地下水资源保护区。</w:t>
            </w:r>
          </w:p>
        </w:tc>
      </w:tr>
      <w:tr w14:paraId="4987D1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17" w:type="pct"/>
            <w:noWrap w:val="0"/>
            <w:vAlign w:val="center"/>
          </w:tcPr>
          <w:p w14:paraId="2B98296E">
            <w:pPr>
              <w:pStyle w:val="37"/>
              <w:bidi w:val="0"/>
              <w:rPr>
                <w:color w:val="auto"/>
                <w:highlight w:val="none"/>
              </w:rPr>
            </w:pPr>
            <w:r>
              <w:rPr>
                <w:color w:val="auto"/>
                <w:highlight w:val="none"/>
              </w:rPr>
              <w:t>较敏感</w:t>
            </w:r>
          </w:p>
        </w:tc>
        <w:tc>
          <w:tcPr>
            <w:tcW w:w="4382" w:type="pct"/>
            <w:noWrap w:val="0"/>
            <w:vAlign w:val="center"/>
          </w:tcPr>
          <w:p w14:paraId="05FA1B62">
            <w:pPr>
              <w:pStyle w:val="37"/>
              <w:bidi w:val="0"/>
              <w:rPr>
                <w:color w:val="auto"/>
                <w:highlight w:val="none"/>
              </w:rPr>
            </w:pPr>
            <w:r>
              <w:rPr>
                <w:color w:val="auto"/>
                <w:highlight w:val="none"/>
              </w:rPr>
              <w:t>集中式饮用水水源（包括已建成的在用、备用、应急水源，在建和规划的饮用水水源）准保护区以外的补给径流区；未划定准保护区的</w:t>
            </w:r>
            <w:r>
              <w:rPr>
                <w:rFonts w:hint="eastAsia"/>
                <w:color w:val="auto"/>
                <w:highlight w:val="none"/>
                <w:lang w:eastAsia="zh-CN"/>
              </w:rPr>
              <w:t>集中</w:t>
            </w:r>
            <w:r>
              <w:rPr>
                <w:color w:val="auto"/>
                <w:highlight w:val="none"/>
              </w:rPr>
              <w:t>式饮用水水源，其保护区以外的补给径流区；分散式饮用水水源地；特殊地下水资源（如矿泉水、温泉等）保护区以外的分布区等其它未列入上述敏感分级的环境敏感区a。</w:t>
            </w:r>
          </w:p>
        </w:tc>
      </w:tr>
      <w:tr w14:paraId="10C8CE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17" w:type="pct"/>
            <w:noWrap w:val="0"/>
            <w:vAlign w:val="center"/>
          </w:tcPr>
          <w:p w14:paraId="58ED97B9">
            <w:pPr>
              <w:pStyle w:val="37"/>
              <w:bidi w:val="0"/>
              <w:rPr>
                <w:color w:val="auto"/>
                <w:highlight w:val="none"/>
              </w:rPr>
            </w:pPr>
            <w:r>
              <w:rPr>
                <w:color w:val="auto"/>
                <w:highlight w:val="none"/>
              </w:rPr>
              <w:t>不敏感</w:t>
            </w:r>
          </w:p>
        </w:tc>
        <w:tc>
          <w:tcPr>
            <w:tcW w:w="4382" w:type="pct"/>
            <w:noWrap w:val="0"/>
            <w:vAlign w:val="center"/>
          </w:tcPr>
          <w:p w14:paraId="1B63E569">
            <w:pPr>
              <w:pStyle w:val="37"/>
              <w:bidi w:val="0"/>
              <w:rPr>
                <w:color w:val="auto"/>
                <w:highlight w:val="none"/>
              </w:rPr>
            </w:pPr>
            <w:r>
              <w:rPr>
                <w:color w:val="auto"/>
                <w:highlight w:val="none"/>
              </w:rPr>
              <w:t>上述地区之外的其它地区。</w:t>
            </w:r>
          </w:p>
        </w:tc>
      </w:tr>
      <w:tr w14:paraId="1F1BE0C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00" w:type="pct"/>
            <w:gridSpan w:val="2"/>
            <w:noWrap w:val="0"/>
            <w:vAlign w:val="center"/>
          </w:tcPr>
          <w:p w14:paraId="7196A37D">
            <w:pPr>
              <w:pStyle w:val="37"/>
              <w:bidi w:val="0"/>
              <w:rPr>
                <w:color w:val="auto"/>
                <w:highlight w:val="none"/>
              </w:rPr>
            </w:pPr>
            <w:r>
              <w:rPr>
                <w:color w:val="auto"/>
                <w:highlight w:val="none"/>
              </w:rPr>
              <w:t>注：a是指《建设项目环境影响评价分类管理名录》中所界定的涉及地下水的环境敏感区。</w:t>
            </w:r>
          </w:p>
        </w:tc>
      </w:tr>
    </w:tbl>
    <w:p w14:paraId="24616248">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根据现场调查，</w:t>
      </w:r>
      <w:r>
        <w:rPr>
          <w:rFonts w:hint="eastAsia" w:ascii="Times New Roman" w:hAnsi="Times New Roman" w:eastAsia="宋体" w:cs="Times New Roman"/>
          <w:color w:val="auto"/>
          <w:sz w:val="24"/>
          <w:szCs w:val="24"/>
        </w:rPr>
        <w:t>调查评价区内无集中式饮用水水源地(包括已建成的在用、备用、应急水源，在建和规划的饮用水水源)准保护区以外的补给径流区</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无未划定准保护区的集中水式饮用水水源，其保护区以外的补给径流区</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无分散式饮用水水源地</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民井主要用于洗衣拖地、浇地等生活之用</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厂区周边分布的村屯及居民点生活饮用水为市政自来水</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无特殊地下水资源</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如矿泉水、温泉等</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保护区，本项目的地下水环境敏感程度最终定为“不敏感”。</w:t>
      </w:r>
    </w:p>
    <w:p w14:paraId="38A59B57">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（3）评价等级的确定</w:t>
      </w:r>
    </w:p>
    <w:p w14:paraId="37353637">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根据《环境影响评价技术导则 地下水环境》（HJ610-2016），建设项目地下水环境影响评价工作等级划分详见表2.</w:t>
      </w:r>
      <w:r>
        <w:rPr>
          <w:rFonts w:hint="eastAsia" w:ascii="Times New Roman" w:hAnsi="Times New Roman" w:eastAsia="宋体" w:cs="Times New Roman"/>
          <w:color w:val="auto"/>
          <w:sz w:val="24"/>
          <w:szCs w:val="24"/>
          <w:lang w:val="en-US" w:eastAsia="zh-CN"/>
        </w:rPr>
        <w:t>6-15</w:t>
      </w:r>
      <w:r>
        <w:rPr>
          <w:rFonts w:hint="eastAsia" w:ascii="Times New Roman" w:hAnsi="Times New Roman" w:eastAsia="宋体" w:cs="Times New Roman"/>
          <w:color w:val="auto"/>
          <w:sz w:val="24"/>
          <w:szCs w:val="24"/>
        </w:rPr>
        <w:t>。</w:t>
      </w:r>
    </w:p>
    <w:p w14:paraId="5921E355">
      <w:pPr>
        <w:bidi w:val="0"/>
        <w:jc w:val="center"/>
        <w:rPr>
          <w:rFonts w:hint="default" w:ascii="Times New Roman" w:hAnsi="Times New Roman" w:eastAsia="宋体" w:cs="Times New Roman"/>
          <w:b/>
          <w:bCs/>
          <w:snapToGrid w:val="0"/>
          <w:color w:val="auto"/>
          <w:kern w:val="0"/>
          <w:sz w:val="24"/>
          <w:szCs w:val="24"/>
          <w:highlight w:val="none"/>
          <w:lang w:val="en-US" w:eastAsia="zh-CN" w:bidi="ar-SA"/>
        </w:rPr>
      </w:pPr>
      <w:r>
        <w:rPr>
          <w:rFonts w:hint="default" w:ascii="Times New Roman" w:hAnsi="Times New Roman" w:eastAsia="宋体" w:cs="Times New Roman"/>
          <w:b/>
          <w:bCs/>
          <w:snapToGrid w:val="0"/>
          <w:color w:val="auto"/>
          <w:kern w:val="0"/>
          <w:sz w:val="24"/>
          <w:szCs w:val="24"/>
          <w:highlight w:val="none"/>
          <w:lang w:val="en-US" w:eastAsia="zh-CN" w:bidi="ar-SA"/>
        </w:rPr>
        <w:t>表2.</w:t>
      </w:r>
      <w:r>
        <w:rPr>
          <w:rFonts w:hint="eastAsia" w:ascii="Times New Roman" w:hAnsi="Times New Roman" w:eastAsia="宋体" w:cs="Times New Roman"/>
          <w:b/>
          <w:bCs/>
          <w:snapToGrid w:val="0"/>
          <w:color w:val="auto"/>
          <w:kern w:val="0"/>
          <w:sz w:val="24"/>
          <w:szCs w:val="24"/>
          <w:highlight w:val="none"/>
          <w:lang w:val="en-US" w:eastAsia="zh-CN" w:bidi="ar-SA"/>
        </w:rPr>
        <w:t xml:space="preserve">6-15  </w:t>
      </w:r>
      <w:r>
        <w:rPr>
          <w:rFonts w:hint="default" w:ascii="Times New Roman" w:hAnsi="Times New Roman" w:eastAsia="宋体" w:cs="Times New Roman"/>
          <w:b/>
          <w:bCs/>
          <w:snapToGrid w:val="0"/>
          <w:color w:val="auto"/>
          <w:kern w:val="0"/>
          <w:sz w:val="24"/>
          <w:szCs w:val="24"/>
          <w:highlight w:val="none"/>
          <w:lang w:val="en-US" w:eastAsia="zh-CN" w:bidi="ar-SA"/>
        </w:rPr>
        <w:t>评价工作等级分级表</w:t>
      </w:r>
    </w:p>
    <w:tbl>
      <w:tblPr>
        <w:tblStyle w:val="22"/>
        <w:tblW w:w="4998"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3099"/>
        <w:gridCol w:w="1926"/>
        <w:gridCol w:w="2061"/>
        <w:gridCol w:w="2197"/>
      </w:tblGrid>
      <w:tr w14:paraId="25EEB14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850" w:hRule="atLeast"/>
          <w:jc w:val="center"/>
        </w:trPr>
        <w:tc>
          <w:tcPr>
            <w:tcW w:w="1669" w:type="pct"/>
            <w:tcBorders>
              <w:tl2br w:val="nil"/>
              <w:tr2bl w:val="nil"/>
            </w:tcBorders>
            <w:vAlign w:val="center"/>
            <mc:AlternateContent>
              <mc:Choice Requires="wpsCustomData">
                <wpsCustomData:diagonals>
                  <wpsCustomData:diagonal from="10000" to="30000">
                    <wpsCustomData:border w:val="single" w:color="000000" w:sz="12" w:space="0"/>
                  </wpsCustomData:diagonal>
                </wpsCustomData:diagonals>
              </mc:Choice>
            </mc:AlternateContent>
          </w:tcPr>
          <w:p w14:paraId="6FAD2EDE">
            <w:pPr>
              <w:pStyle w:val="37"/>
              <w:bidi w:val="0"/>
              <w:snapToGrid w:val="0"/>
              <w:jc w:val="left"/>
              <w:rPr>
                <w:rFonts w:hint="default" w:ascii="Times New Roman" w:hAnsi="Times New Roman" w:cs="Times New Roman"/>
                <w:color w:val="auto"/>
                <w:highlight w:val="none"/>
              </w:rPr>
            </w:pPr>
          </w:p>
          <w:p w14:paraId="7594B31F">
            <w:pPr>
              <w:pStyle w:val="37"/>
              <w:bidi w:val="0"/>
              <w:snapToGrid w:val="0"/>
              <w:jc w:val="left"/>
              <mc:AlternateContent>
                <mc:Choice Requires="wpsCustomData">
                  <wpsCustomData:diagonalParaType/>
                </mc:Choice>
              </mc:AlternateContent>
              <w:rPr>
                <w:rFonts w:hint="default" w:ascii="Times New Roman" w:hAnsi="Times New Roman" w:cs="Times New Roman"/>
                <w:color w:val="auto"/>
                <w:highlight w:val="none"/>
              </w:rPr>
            </w:pPr>
            <w:r>
              <w:rPr>
                <w:rFonts w:hint="default" w:ascii="Times New Roman" w:hAnsi="Times New Roman" w:cs="Times New Roman"/>
                <w:color w:val="auto"/>
                <w:highlight w:val="none"/>
              </w:rPr>
              <w:t>环境敏感程度</w:t>
            </w:r>
          </w:p>
          <w:p w14:paraId="78F28B9C">
            <w:pPr>
              <w:pStyle w:val="37"/>
              <w:bidi w:val="0"/>
              <w:jc w:val="right"/>
              <w:rPr>
                <w:rFonts w:hint="default" w:ascii="Times New Roman" w:hAnsi="Times New Roman" w:cs="Times New Roman"/>
                <w:color w:val="auto"/>
                <w:highlight w:val="none"/>
              </w:rPr>
            </w:pPr>
            <w:r>
              <w:rPr>
                <w:rFonts w:hint="default" w:ascii="Times New Roman" w:hAnsi="Times New Roman" w:cs="Times New Roman"/>
                <w:color w:val="auto"/>
                <w:highlight w:val="none"/>
              </w:rPr>
              <w:t>项目类别</w:t>
            </w:r>
          </w:p>
        </w:tc>
        <w:tc>
          <w:tcPr>
            <w:tcW w:w="1037" w:type="pct"/>
            <w:tcBorders>
              <w:tl2br w:val="nil"/>
              <w:tr2bl w:val="nil"/>
            </w:tcBorders>
            <w:vAlign w:val="center"/>
          </w:tcPr>
          <w:p w14:paraId="592FC1FB">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Ⅰ类项目</w:t>
            </w:r>
          </w:p>
        </w:tc>
        <w:tc>
          <w:tcPr>
            <w:tcW w:w="1110" w:type="pct"/>
            <w:tcBorders>
              <w:tl2br w:val="nil"/>
              <w:tr2bl w:val="nil"/>
            </w:tcBorders>
            <w:vAlign w:val="center"/>
          </w:tcPr>
          <w:p w14:paraId="70C8EA20">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Ⅱ类项目</w:t>
            </w:r>
          </w:p>
        </w:tc>
        <w:tc>
          <w:tcPr>
            <w:tcW w:w="1183" w:type="pct"/>
            <w:tcBorders>
              <w:tl2br w:val="nil"/>
              <w:tr2bl w:val="nil"/>
            </w:tcBorders>
            <w:vAlign w:val="center"/>
          </w:tcPr>
          <w:p w14:paraId="03D3663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Ⅲ类项目</w:t>
            </w:r>
          </w:p>
        </w:tc>
      </w:tr>
      <w:tr w14:paraId="6440C7B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1669" w:type="pct"/>
            <w:tcBorders>
              <w:tl2br w:val="nil"/>
              <w:tr2bl w:val="nil"/>
            </w:tcBorders>
            <w:vAlign w:val="center"/>
          </w:tcPr>
          <w:p w14:paraId="6F1006A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敏感</w:t>
            </w:r>
          </w:p>
        </w:tc>
        <w:tc>
          <w:tcPr>
            <w:tcW w:w="1037" w:type="pct"/>
            <w:tcBorders>
              <w:tl2br w:val="nil"/>
              <w:tr2bl w:val="nil"/>
            </w:tcBorders>
            <w:vAlign w:val="center"/>
          </w:tcPr>
          <w:p w14:paraId="1DF6DC8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w:t>
            </w:r>
          </w:p>
        </w:tc>
        <w:tc>
          <w:tcPr>
            <w:tcW w:w="1110" w:type="pct"/>
            <w:tcBorders>
              <w:tl2br w:val="nil"/>
              <w:tr2bl w:val="nil"/>
            </w:tcBorders>
            <w:vAlign w:val="center"/>
          </w:tcPr>
          <w:p w14:paraId="3C9CDBD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w:t>
            </w:r>
          </w:p>
        </w:tc>
        <w:tc>
          <w:tcPr>
            <w:tcW w:w="1183" w:type="pct"/>
            <w:tcBorders>
              <w:tl2br w:val="nil"/>
              <w:tr2bl w:val="nil"/>
            </w:tcBorders>
            <w:vAlign w:val="center"/>
          </w:tcPr>
          <w:p w14:paraId="120CB57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w:t>
            </w:r>
          </w:p>
        </w:tc>
      </w:tr>
      <w:tr w14:paraId="262971B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1669" w:type="pct"/>
            <w:tcBorders>
              <w:tl2br w:val="nil"/>
              <w:tr2bl w:val="nil"/>
            </w:tcBorders>
            <w:vAlign w:val="center"/>
          </w:tcPr>
          <w:p w14:paraId="1337006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较敏感</w:t>
            </w:r>
          </w:p>
        </w:tc>
        <w:tc>
          <w:tcPr>
            <w:tcW w:w="1037" w:type="pct"/>
            <w:tcBorders>
              <w:tl2br w:val="nil"/>
              <w:tr2bl w:val="nil"/>
            </w:tcBorders>
            <w:vAlign w:val="center"/>
          </w:tcPr>
          <w:p w14:paraId="293E429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w:t>
            </w:r>
          </w:p>
        </w:tc>
        <w:tc>
          <w:tcPr>
            <w:tcW w:w="1110" w:type="pct"/>
            <w:tcBorders>
              <w:tl2br w:val="nil"/>
              <w:tr2bl w:val="nil"/>
            </w:tcBorders>
            <w:vAlign w:val="center"/>
          </w:tcPr>
          <w:p w14:paraId="2EACAB0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w:t>
            </w:r>
          </w:p>
        </w:tc>
        <w:tc>
          <w:tcPr>
            <w:tcW w:w="1183" w:type="pct"/>
            <w:tcBorders>
              <w:tl2br w:val="nil"/>
              <w:tr2bl w:val="nil"/>
            </w:tcBorders>
            <w:vAlign w:val="center"/>
          </w:tcPr>
          <w:p w14:paraId="768AA3B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三</w:t>
            </w:r>
          </w:p>
        </w:tc>
      </w:tr>
      <w:tr w14:paraId="08A54B6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1669" w:type="pct"/>
            <w:tcBorders>
              <w:tl2br w:val="nil"/>
              <w:tr2bl w:val="nil"/>
            </w:tcBorders>
            <w:vAlign w:val="center"/>
          </w:tcPr>
          <w:p w14:paraId="3E693AD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不敏感</w:t>
            </w:r>
          </w:p>
        </w:tc>
        <w:tc>
          <w:tcPr>
            <w:tcW w:w="1037" w:type="pct"/>
            <w:tcBorders>
              <w:tl2br w:val="nil"/>
              <w:tr2bl w:val="nil"/>
            </w:tcBorders>
            <w:vAlign w:val="center"/>
          </w:tcPr>
          <w:p w14:paraId="235174F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w:t>
            </w:r>
          </w:p>
        </w:tc>
        <w:tc>
          <w:tcPr>
            <w:tcW w:w="1110" w:type="pct"/>
            <w:tcBorders>
              <w:tl2br w:val="nil"/>
              <w:tr2bl w:val="nil"/>
            </w:tcBorders>
            <w:vAlign w:val="center"/>
          </w:tcPr>
          <w:p w14:paraId="53AE03C3">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三</w:t>
            </w:r>
          </w:p>
        </w:tc>
        <w:tc>
          <w:tcPr>
            <w:tcW w:w="1183" w:type="pct"/>
            <w:tcBorders>
              <w:tl2br w:val="nil"/>
              <w:tr2bl w:val="nil"/>
            </w:tcBorders>
            <w:vAlign w:val="center"/>
          </w:tcPr>
          <w:p w14:paraId="38712F9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三</w:t>
            </w:r>
          </w:p>
        </w:tc>
      </w:tr>
    </w:tbl>
    <w:p w14:paraId="67C172B4">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FF0000"/>
          <w:sz w:val="24"/>
          <w:szCs w:val="24"/>
        </w:rPr>
      </w:pPr>
      <w:r>
        <w:rPr>
          <w:rFonts w:hint="default" w:ascii="Times New Roman" w:hAnsi="Times New Roman" w:eastAsia="宋体" w:cs="Times New Roman"/>
          <w:color w:val="auto"/>
          <w:sz w:val="24"/>
          <w:szCs w:val="24"/>
          <w:lang w:val="en-US" w:eastAsia="zh-CN"/>
        </w:rPr>
        <w:t>本项目</w:t>
      </w:r>
      <w:r>
        <w:rPr>
          <w:rFonts w:hint="default" w:ascii="Times New Roman" w:hAnsi="Times New Roman" w:eastAsia="宋体" w:cs="Times New Roman"/>
          <w:color w:val="auto"/>
          <w:sz w:val="24"/>
          <w:szCs w:val="24"/>
        </w:rPr>
        <w:t>类别为Ⅲ类项目，</w:t>
      </w:r>
      <w:r>
        <w:rPr>
          <w:rFonts w:hint="default" w:ascii="Times New Roman" w:hAnsi="Times New Roman" w:eastAsia="宋体" w:cs="Times New Roman"/>
          <w:color w:val="auto"/>
          <w:sz w:val="24"/>
          <w:szCs w:val="24"/>
          <w:lang w:val="en-US" w:eastAsia="zh-CN"/>
        </w:rPr>
        <w:t>环境敏感程度为</w:t>
      </w:r>
      <w:r>
        <w:rPr>
          <w:rFonts w:hint="eastAsia" w:ascii="Times New Roman" w:hAnsi="Times New Roman" w:eastAsia="宋体" w:cs="Times New Roman"/>
          <w:color w:val="auto"/>
          <w:sz w:val="24"/>
          <w:szCs w:val="24"/>
          <w:lang w:val="en-US" w:eastAsia="zh-CN"/>
        </w:rPr>
        <w:t>不</w:t>
      </w:r>
      <w:r>
        <w:rPr>
          <w:rFonts w:hint="default" w:ascii="Times New Roman" w:hAnsi="Times New Roman" w:eastAsia="宋体" w:cs="Times New Roman"/>
          <w:color w:val="auto"/>
          <w:sz w:val="24"/>
          <w:szCs w:val="24"/>
          <w:lang w:val="en-US" w:eastAsia="zh-CN"/>
        </w:rPr>
        <w:t>敏感，确定</w:t>
      </w:r>
      <w:r>
        <w:rPr>
          <w:rFonts w:hint="default" w:ascii="Times New Roman" w:hAnsi="Times New Roman" w:eastAsia="宋体" w:cs="Times New Roman"/>
          <w:color w:val="auto"/>
          <w:sz w:val="24"/>
          <w:szCs w:val="24"/>
        </w:rPr>
        <w:t>本项目地下水环境影响评价等级为三级。</w:t>
      </w:r>
    </w:p>
    <w:p w14:paraId="2F3B19DC">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微软雅黑" w:cs="Times New Roman"/>
          <w:color w:val="auto"/>
          <w:sz w:val="24"/>
          <w:szCs w:val="24"/>
        </w:rPr>
      </w:pPr>
      <w:r>
        <w:rPr>
          <w:rFonts w:hint="default" w:ascii="Times New Roman" w:hAnsi="Times New Roman" w:eastAsia="宋体" w:cs="Times New Roman"/>
          <w:b/>
          <w:bCs/>
          <w:color w:val="auto"/>
          <w:spacing w:val="-1"/>
          <w:sz w:val="28"/>
          <w:szCs w:val="28"/>
        </w:rPr>
        <w:fldChar w:fldCharType="begin"/>
      </w:r>
      <w:r>
        <w:rPr>
          <w:rFonts w:hint="default" w:ascii="Times New Roman" w:hAnsi="Times New Roman" w:eastAsia="宋体" w:cs="Times New Roman"/>
          <w:b/>
          <w:bCs/>
          <w:color w:val="auto"/>
          <w:spacing w:val="-1"/>
          <w:sz w:val="28"/>
          <w:szCs w:val="28"/>
        </w:rPr>
        <w:instrText xml:space="preserve"> HYPERLINK "2.3.1.5" </w:instrText>
      </w:r>
      <w:r>
        <w:rPr>
          <w:rFonts w:hint="default" w:ascii="Times New Roman" w:hAnsi="Times New Roman" w:eastAsia="宋体" w:cs="Times New Roman"/>
          <w:b/>
          <w:bCs/>
          <w:color w:val="auto"/>
          <w:spacing w:val="-1"/>
          <w:sz w:val="28"/>
          <w:szCs w:val="28"/>
        </w:rPr>
        <w:fldChar w:fldCharType="separate"/>
      </w:r>
      <w:r>
        <w:rPr>
          <w:rFonts w:hint="default" w:ascii="Times New Roman" w:hAnsi="Times New Roman" w:eastAsia="宋体" w:cs="Times New Roman"/>
          <w:b/>
          <w:bCs/>
          <w:color w:val="auto"/>
          <w:spacing w:val="-1"/>
          <w:sz w:val="28"/>
          <w:szCs w:val="28"/>
        </w:rPr>
        <w:t>2.</w:t>
      </w:r>
      <w:r>
        <w:rPr>
          <w:rFonts w:hint="default" w:ascii="Times New Roman" w:hAnsi="Times New Roman" w:eastAsia="宋体" w:cs="Times New Roman"/>
          <w:b/>
          <w:bCs/>
          <w:color w:val="auto"/>
          <w:spacing w:val="-1"/>
          <w:sz w:val="28"/>
          <w:szCs w:val="28"/>
          <w:lang w:val="en-US" w:eastAsia="zh-CN"/>
        </w:rPr>
        <w:t>6</w:t>
      </w:r>
      <w:r>
        <w:rPr>
          <w:rFonts w:hint="default" w:ascii="Times New Roman" w:hAnsi="Times New Roman" w:eastAsia="宋体" w:cs="Times New Roman"/>
          <w:b/>
          <w:bCs/>
          <w:color w:val="auto"/>
          <w:spacing w:val="-1"/>
          <w:sz w:val="28"/>
          <w:szCs w:val="28"/>
        </w:rPr>
        <w:t>.1.5</w:t>
      </w:r>
      <w:r>
        <w:rPr>
          <w:rFonts w:hint="default" w:ascii="Times New Roman" w:hAnsi="Times New Roman" w:eastAsia="宋体" w:cs="Times New Roman"/>
          <w:b/>
          <w:bCs/>
          <w:color w:val="auto"/>
          <w:spacing w:val="-1"/>
          <w:sz w:val="28"/>
          <w:szCs w:val="28"/>
        </w:rPr>
        <w:fldChar w:fldCharType="end"/>
      </w:r>
      <w:r>
        <w:rPr>
          <w:rFonts w:hint="default" w:ascii="Times New Roman" w:hAnsi="Times New Roman" w:eastAsia="宋体" w:cs="Times New Roman"/>
          <w:b/>
          <w:bCs/>
          <w:color w:val="auto"/>
          <w:spacing w:val="-1"/>
          <w:sz w:val="28"/>
          <w:szCs w:val="28"/>
        </w:rPr>
        <w:t>土壤环境评价等级</w:t>
      </w:r>
    </w:p>
    <w:p w14:paraId="74A465FE">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（1）项目类别</w:t>
      </w:r>
    </w:p>
    <w:p w14:paraId="48D595A7">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w:t>
      </w:r>
      <w:r>
        <w:rPr>
          <w:rFonts w:hint="default" w:ascii="Times New Roman" w:hAnsi="Times New Roman" w:eastAsia="宋体" w:cs="Times New Roman"/>
          <w:color w:val="auto"/>
          <w:sz w:val="24"/>
          <w:szCs w:val="24"/>
          <w:lang w:eastAsia="zh-CN"/>
        </w:rPr>
        <w:t>《环境影响评价技术导则 土壤环境（试行）》</w:t>
      </w:r>
      <w:r>
        <w:rPr>
          <w:rFonts w:hint="default" w:ascii="Times New Roman" w:hAnsi="Times New Roman" w:eastAsia="宋体" w:cs="Times New Roman"/>
          <w:color w:val="auto"/>
          <w:sz w:val="24"/>
          <w:szCs w:val="24"/>
        </w:rPr>
        <w:t>（HJ964-2018）附录A土壤环境影响评价项目类别，本项目属于</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设备制造、金属制品、汽车制造及其他用品制造”行业类别中的“Ⅰ类—有电镀工艺的；金属制品表面处理及热处理加工的；使用有机涂层的</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喷粉、喷塑和电泳除外</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；有钝化工艺的热镀锌</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。土壤环境影响评价项目类别情况见表2.</w:t>
      </w:r>
      <w:r>
        <w:rPr>
          <w:rFonts w:hint="eastAsia"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w:t>
      </w:r>
    </w:p>
    <w:p w14:paraId="4D0B4083">
      <w:pPr>
        <w:pStyle w:val="44"/>
        <w:bidi w:val="0"/>
        <w:rPr>
          <w:color w:val="auto"/>
          <w:highlight w:val="none"/>
        </w:rPr>
      </w:pPr>
      <w:r>
        <w:rPr>
          <w:color w:val="auto"/>
          <w:highlight w:val="none"/>
        </w:rPr>
        <w:t>表2.</w:t>
      </w:r>
      <w:r>
        <w:rPr>
          <w:rFonts w:hint="eastAsia"/>
          <w:color w:val="auto"/>
          <w:highlight w:val="none"/>
          <w:lang w:val="en-US" w:eastAsia="zh-CN"/>
        </w:rPr>
        <w:t>6-16</w:t>
      </w:r>
      <w:r>
        <w:rPr>
          <w:color w:val="auto"/>
          <w:highlight w:val="none"/>
        </w:rPr>
        <w:t xml:space="preserve">  土壤环境影响评价项目类别</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2036"/>
        <w:gridCol w:w="3587"/>
        <w:gridCol w:w="1531"/>
        <w:gridCol w:w="1083"/>
        <w:gridCol w:w="1050"/>
      </w:tblGrid>
      <w:tr w14:paraId="2C52D58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397" w:hRule="atLeast"/>
        </w:trPr>
        <w:tc>
          <w:tcPr>
            <w:tcW w:w="1096" w:type="pct"/>
            <w:vMerge w:val="restart"/>
            <w:tcBorders>
              <w:tl2br w:val="nil"/>
              <w:tr2bl w:val="nil"/>
            </w:tcBorders>
            <w:vAlign w:val="center"/>
          </w:tcPr>
          <w:p w14:paraId="5DFF0581">
            <w:pPr>
              <w:pStyle w:val="37"/>
              <w:widowControl w:val="0"/>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行业类别</w:t>
            </w:r>
          </w:p>
        </w:tc>
        <w:tc>
          <w:tcPr>
            <w:tcW w:w="3903" w:type="pct"/>
            <w:gridSpan w:val="4"/>
            <w:tcBorders>
              <w:tl2br w:val="nil"/>
              <w:tr2bl w:val="nil"/>
            </w:tcBorders>
            <w:vAlign w:val="center"/>
          </w:tcPr>
          <w:p w14:paraId="2101E340">
            <w:pPr>
              <w:pStyle w:val="37"/>
              <w:widowControl w:val="0"/>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项目类别</w:t>
            </w:r>
          </w:p>
        </w:tc>
      </w:tr>
      <w:tr w14:paraId="31A4E96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096" w:type="pct"/>
            <w:vMerge w:val="continue"/>
            <w:tcBorders>
              <w:tl2br w:val="nil"/>
              <w:tr2bl w:val="nil"/>
            </w:tcBorders>
            <w:vAlign w:val="center"/>
          </w:tcPr>
          <w:p w14:paraId="17022AF4">
            <w:pPr>
              <w:pStyle w:val="37"/>
              <w:widowControl w:val="0"/>
              <w:bidi w:val="0"/>
              <w:rPr>
                <w:rFonts w:hint="default" w:ascii="Times New Roman" w:hAnsi="Times New Roman" w:cs="Times New Roman"/>
                <w:color w:val="000000" w:themeColor="text1"/>
                <w:highlight w:val="none"/>
                <w14:textFill>
                  <w14:solidFill>
                    <w14:schemeClr w14:val="tx1"/>
                  </w14:solidFill>
                </w14:textFill>
              </w:rPr>
            </w:pPr>
          </w:p>
        </w:tc>
        <w:tc>
          <w:tcPr>
            <w:tcW w:w="1931" w:type="pct"/>
            <w:tcBorders>
              <w:tl2br w:val="nil"/>
              <w:tr2bl w:val="nil"/>
            </w:tcBorders>
            <w:vAlign w:val="center"/>
          </w:tcPr>
          <w:p w14:paraId="30317ED2">
            <w:pPr>
              <w:pStyle w:val="37"/>
              <w:widowControl w:val="0"/>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Ⅰ类</w:t>
            </w:r>
          </w:p>
        </w:tc>
        <w:tc>
          <w:tcPr>
            <w:tcW w:w="824" w:type="pct"/>
            <w:tcBorders>
              <w:tl2br w:val="nil"/>
              <w:tr2bl w:val="nil"/>
            </w:tcBorders>
            <w:vAlign w:val="center"/>
          </w:tcPr>
          <w:p w14:paraId="22FA643C">
            <w:pPr>
              <w:pStyle w:val="37"/>
              <w:widowControl w:val="0"/>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Ⅱ类</w:t>
            </w:r>
          </w:p>
        </w:tc>
        <w:tc>
          <w:tcPr>
            <w:tcW w:w="583" w:type="pct"/>
            <w:tcBorders>
              <w:tl2br w:val="nil"/>
              <w:tr2bl w:val="nil"/>
            </w:tcBorders>
            <w:vAlign w:val="center"/>
          </w:tcPr>
          <w:p w14:paraId="7203FB1D">
            <w:pPr>
              <w:pStyle w:val="37"/>
              <w:widowControl w:val="0"/>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Ⅲ类</w:t>
            </w:r>
          </w:p>
        </w:tc>
        <w:tc>
          <w:tcPr>
            <w:tcW w:w="563" w:type="pct"/>
            <w:tcBorders>
              <w:tl2br w:val="nil"/>
              <w:tr2bl w:val="nil"/>
            </w:tcBorders>
            <w:vAlign w:val="center"/>
          </w:tcPr>
          <w:p w14:paraId="7D63FABA">
            <w:pPr>
              <w:pStyle w:val="37"/>
              <w:widowControl w:val="0"/>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Ⅳ类</w:t>
            </w:r>
          </w:p>
        </w:tc>
      </w:tr>
      <w:tr w14:paraId="2EE3D55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096" w:type="pct"/>
            <w:tcBorders>
              <w:tl2br w:val="nil"/>
              <w:tr2bl w:val="nil"/>
            </w:tcBorders>
            <w:vAlign w:val="center"/>
          </w:tcPr>
          <w:p w14:paraId="04A3B090">
            <w:pPr>
              <w:pStyle w:val="37"/>
              <w:widowControl w:val="0"/>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设备制造、金属制品、汽车制造及其他用品制造</w:t>
            </w:r>
          </w:p>
        </w:tc>
        <w:tc>
          <w:tcPr>
            <w:tcW w:w="1931" w:type="pct"/>
            <w:tcBorders>
              <w:tl2br w:val="nil"/>
              <w:tr2bl w:val="nil"/>
            </w:tcBorders>
            <w:vAlign w:val="center"/>
          </w:tcPr>
          <w:p w14:paraId="434EFE97">
            <w:pPr>
              <w:pStyle w:val="37"/>
              <w:widowControl w:val="0"/>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有电镀工艺的；金属制品表面处理及热处理加工的；使用有机涂层的</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喷粉、喷塑和电泳除外</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；有钝化工艺的热镀锌</w:t>
            </w:r>
          </w:p>
        </w:tc>
        <w:tc>
          <w:tcPr>
            <w:tcW w:w="824" w:type="pct"/>
            <w:tcBorders>
              <w:tl2br w:val="nil"/>
              <w:tr2bl w:val="nil"/>
            </w:tcBorders>
            <w:vAlign w:val="center"/>
          </w:tcPr>
          <w:p w14:paraId="0D461258">
            <w:pPr>
              <w:pStyle w:val="37"/>
              <w:widowControl w:val="0"/>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有化学处理工艺的</w:t>
            </w:r>
          </w:p>
        </w:tc>
        <w:tc>
          <w:tcPr>
            <w:tcW w:w="583" w:type="pct"/>
            <w:tcBorders>
              <w:tl2br w:val="nil"/>
              <w:tr2bl w:val="nil"/>
            </w:tcBorders>
            <w:vAlign w:val="center"/>
          </w:tcPr>
          <w:p w14:paraId="55BD6645">
            <w:pPr>
              <w:pStyle w:val="37"/>
              <w:widowControl w:val="0"/>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其他</w:t>
            </w:r>
          </w:p>
        </w:tc>
        <w:tc>
          <w:tcPr>
            <w:tcW w:w="563" w:type="pct"/>
            <w:tcBorders>
              <w:tl2br w:val="nil"/>
              <w:tr2bl w:val="nil"/>
            </w:tcBorders>
            <w:vAlign w:val="center"/>
          </w:tcPr>
          <w:p w14:paraId="2EB89F79">
            <w:pPr>
              <w:pStyle w:val="37"/>
              <w:widowControl w:val="0"/>
              <w:bidi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r>
    </w:tbl>
    <w:p w14:paraId="7992454C">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（2）占地规模</w:t>
      </w:r>
    </w:p>
    <w:p w14:paraId="192DB10C">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本项目厂区占地面积为3.9999</w:t>
      </w:r>
      <w:r>
        <w:rPr>
          <w:rFonts w:hint="default" w:ascii="Times New Roman" w:hAnsi="Times New Roman" w:eastAsia="宋体" w:cs="Times New Roman"/>
          <w:color w:val="auto"/>
          <w:sz w:val="24"/>
          <w:szCs w:val="24"/>
        </w:rPr>
        <w:t>hm</w:t>
      </w:r>
      <w:r>
        <w:rPr>
          <w:rFonts w:hint="default" w:ascii="Times New Roman" w:hAnsi="Times New Roman" w:eastAsia="宋体" w:cs="Times New Roman"/>
          <w:color w:val="auto"/>
          <w:sz w:val="24"/>
          <w:szCs w:val="24"/>
          <w:vertAlign w:val="superscript"/>
        </w:rPr>
        <w:t>2</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 xml:space="preserve">根据《环境影响评价技术导则 </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土壤环境</w:t>
      </w:r>
      <w:r>
        <w:rPr>
          <w:rFonts w:hint="eastAsia" w:ascii="Times New Roman" w:hAnsi="Times New Roman" w:eastAsia="宋体" w:cs="Times New Roman"/>
          <w:color w:val="auto"/>
          <w:sz w:val="24"/>
          <w:szCs w:val="24"/>
          <w:lang w:eastAsia="zh-CN"/>
        </w:rPr>
        <w:t>（试行）》</w:t>
      </w:r>
      <w:r>
        <w:rPr>
          <w:rFonts w:hint="default" w:ascii="Times New Roman" w:hAnsi="Times New Roman" w:eastAsia="宋体" w:cs="Times New Roman"/>
          <w:color w:val="auto"/>
          <w:sz w:val="24"/>
          <w:szCs w:val="24"/>
        </w:rPr>
        <w:t>（HJ964-2018）6.2.2.1章节，本项目占地规模属于小型（</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5hm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w:t>
      </w:r>
    </w:p>
    <w:p w14:paraId="73A27125">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（3）敏感程度</w:t>
      </w:r>
    </w:p>
    <w:p w14:paraId="2CB640A8">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w:t>
      </w:r>
      <w:r>
        <w:rPr>
          <w:rFonts w:hint="eastAsia" w:ascii="Times New Roman" w:hAnsi="Times New Roman" w:eastAsia="宋体" w:cs="Times New Roman"/>
          <w:color w:val="auto"/>
          <w:sz w:val="24"/>
          <w:szCs w:val="24"/>
          <w:lang w:eastAsia="zh-CN"/>
        </w:rPr>
        <w:t>《环境影响评价技术导则 土壤环境（试行）》</w:t>
      </w:r>
      <w:r>
        <w:rPr>
          <w:rFonts w:hint="default" w:ascii="Times New Roman" w:hAnsi="Times New Roman" w:eastAsia="宋体" w:cs="Times New Roman"/>
          <w:color w:val="auto"/>
          <w:sz w:val="24"/>
          <w:szCs w:val="24"/>
        </w:rPr>
        <w:t>（HJ964-2018）6.2.2.2章节，建设项目所在地周边的土壤环境敏感程度分为敏感、较敏感、不敏感，污染影响型敏感程度分级表见表</w:t>
      </w:r>
      <w:r>
        <w:rPr>
          <w:rFonts w:hint="eastAsia" w:ascii="Times New Roman" w:hAnsi="Times New Roman" w:eastAsia="宋体" w:cs="Times New Roman"/>
          <w:color w:val="auto"/>
          <w:sz w:val="24"/>
          <w:szCs w:val="24"/>
          <w:lang w:val="en-US" w:eastAsia="zh-CN"/>
        </w:rPr>
        <w:t>2.6-17</w:t>
      </w:r>
      <w:r>
        <w:rPr>
          <w:rFonts w:hint="default" w:ascii="Times New Roman" w:hAnsi="Times New Roman" w:eastAsia="宋体" w:cs="Times New Roman"/>
          <w:color w:val="auto"/>
          <w:sz w:val="24"/>
          <w:szCs w:val="24"/>
        </w:rPr>
        <w:t>。本项目</w:t>
      </w:r>
      <w:r>
        <w:rPr>
          <w:rFonts w:hint="eastAsia" w:ascii="Times New Roman" w:hAnsi="Times New Roman" w:eastAsia="宋体" w:cs="Times New Roman"/>
          <w:color w:val="auto"/>
          <w:sz w:val="24"/>
          <w:szCs w:val="24"/>
          <w:lang w:val="en-US" w:eastAsia="zh-CN"/>
        </w:rPr>
        <w:t>周边存在耕地、居民区</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故</w:t>
      </w:r>
      <w:r>
        <w:rPr>
          <w:rFonts w:hint="default" w:ascii="Times New Roman" w:hAnsi="Times New Roman" w:eastAsia="宋体" w:cs="Times New Roman"/>
          <w:color w:val="auto"/>
          <w:sz w:val="24"/>
          <w:szCs w:val="24"/>
        </w:rPr>
        <w:t>本项目土壤环境敏感程度为敏感。</w:t>
      </w:r>
    </w:p>
    <w:p w14:paraId="275055F0">
      <w:pPr>
        <w:bidi w:val="0"/>
        <w:jc w:val="center"/>
        <w:rPr>
          <w:rFonts w:ascii="Times New Roman" w:hAnsi="Times New Roman" w:eastAsia="宋体" w:cs="Times New Roman"/>
          <w:b/>
          <w:snapToGrid/>
          <w:color w:val="auto"/>
          <w:kern w:val="24"/>
          <w:sz w:val="24"/>
          <w:szCs w:val="18"/>
          <w:highlight w:val="none"/>
        </w:rPr>
      </w:pPr>
      <w:r>
        <w:rPr>
          <w:rFonts w:ascii="Times New Roman" w:hAnsi="Times New Roman" w:eastAsia="宋体" w:cs="Times New Roman"/>
          <w:b/>
          <w:snapToGrid/>
          <w:color w:val="auto"/>
          <w:kern w:val="24"/>
          <w:sz w:val="24"/>
          <w:szCs w:val="18"/>
          <w:highlight w:val="none"/>
        </w:rPr>
        <w:t>表</w:t>
      </w:r>
      <w:r>
        <w:rPr>
          <w:rFonts w:hint="eastAsia" w:ascii="Times New Roman" w:hAnsi="Times New Roman" w:eastAsia="宋体" w:cs="Times New Roman"/>
          <w:b/>
          <w:snapToGrid/>
          <w:color w:val="auto"/>
          <w:kern w:val="24"/>
          <w:sz w:val="24"/>
          <w:szCs w:val="18"/>
          <w:highlight w:val="none"/>
          <w:lang w:val="en-US" w:eastAsia="zh-CN"/>
        </w:rPr>
        <w:t>2.6-17</w:t>
      </w:r>
      <w:r>
        <w:rPr>
          <w:rFonts w:ascii="Times New Roman" w:hAnsi="Times New Roman" w:eastAsia="宋体" w:cs="Times New Roman"/>
          <w:b/>
          <w:snapToGrid/>
          <w:color w:val="auto"/>
          <w:kern w:val="24"/>
          <w:sz w:val="24"/>
          <w:szCs w:val="18"/>
          <w:highlight w:val="none"/>
        </w:rPr>
        <w:t xml:space="preserve">  污染影响型敏感程度分级表</w:t>
      </w:r>
    </w:p>
    <w:tbl>
      <w:tblPr>
        <w:tblStyle w:val="22"/>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1237"/>
        <w:gridCol w:w="8050"/>
      </w:tblGrid>
      <w:tr w14:paraId="1722562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666" w:type="pct"/>
            <w:tcBorders>
              <w:tl2br w:val="nil"/>
              <w:tr2bl w:val="nil"/>
            </w:tcBorders>
            <w:vAlign w:val="center"/>
          </w:tcPr>
          <w:p w14:paraId="758308AB">
            <w:pPr>
              <w:pStyle w:val="37"/>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敏感程度</w:t>
            </w:r>
          </w:p>
        </w:tc>
        <w:tc>
          <w:tcPr>
            <w:tcW w:w="4333" w:type="pct"/>
            <w:tcBorders>
              <w:tl2br w:val="nil"/>
              <w:tr2bl w:val="nil"/>
            </w:tcBorders>
            <w:vAlign w:val="center"/>
          </w:tcPr>
          <w:p w14:paraId="1406AB6F">
            <w:pPr>
              <w:pStyle w:val="37"/>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判别依据</w:t>
            </w:r>
          </w:p>
        </w:tc>
      </w:tr>
      <w:tr w14:paraId="29006E8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666" w:type="pct"/>
            <w:tcBorders>
              <w:tl2br w:val="nil"/>
              <w:tr2bl w:val="nil"/>
            </w:tcBorders>
            <w:vAlign w:val="center"/>
          </w:tcPr>
          <w:p w14:paraId="2E359F91">
            <w:pPr>
              <w:pStyle w:val="37"/>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敏感</w:t>
            </w:r>
          </w:p>
        </w:tc>
        <w:tc>
          <w:tcPr>
            <w:tcW w:w="4333" w:type="pct"/>
            <w:tcBorders>
              <w:tl2br w:val="nil"/>
              <w:tr2bl w:val="nil"/>
            </w:tcBorders>
            <w:vAlign w:val="center"/>
          </w:tcPr>
          <w:p w14:paraId="077F3CA5">
            <w:pPr>
              <w:pStyle w:val="37"/>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建设项目周边存在耕地、园地、牧草地、饮用水水源地或居民区、学校、医院、疗养院等土壤环境敏感目标的</w:t>
            </w:r>
          </w:p>
        </w:tc>
      </w:tr>
      <w:tr w14:paraId="3B3E8CD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666" w:type="pct"/>
            <w:tcBorders>
              <w:tl2br w:val="nil"/>
              <w:tr2bl w:val="nil"/>
            </w:tcBorders>
            <w:vAlign w:val="center"/>
          </w:tcPr>
          <w:p w14:paraId="291F02AE">
            <w:pPr>
              <w:pStyle w:val="37"/>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较敏感</w:t>
            </w:r>
          </w:p>
        </w:tc>
        <w:tc>
          <w:tcPr>
            <w:tcW w:w="4333" w:type="pct"/>
            <w:tcBorders>
              <w:tl2br w:val="nil"/>
              <w:tr2bl w:val="nil"/>
            </w:tcBorders>
            <w:vAlign w:val="center"/>
          </w:tcPr>
          <w:p w14:paraId="41096F76">
            <w:pPr>
              <w:pStyle w:val="37"/>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建设项目周边存在其他土壤环境敏感目标</w:t>
            </w:r>
          </w:p>
        </w:tc>
      </w:tr>
      <w:tr w14:paraId="627DAF1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666" w:type="pct"/>
            <w:tcBorders>
              <w:tl2br w:val="nil"/>
              <w:tr2bl w:val="nil"/>
            </w:tcBorders>
            <w:vAlign w:val="center"/>
          </w:tcPr>
          <w:p w14:paraId="4550C6A5">
            <w:pPr>
              <w:pStyle w:val="37"/>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不敏感</w:t>
            </w:r>
          </w:p>
        </w:tc>
        <w:tc>
          <w:tcPr>
            <w:tcW w:w="4333" w:type="pct"/>
            <w:tcBorders>
              <w:tl2br w:val="nil"/>
              <w:tr2bl w:val="nil"/>
            </w:tcBorders>
            <w:vAlign w:val="center"/>
          </w:tcPr>
          <w:p w14:paraId="6D52A44D">
            <w:pPr>
              <w:pStyle w:val="37"/>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其他情况</w:t>
            </w:r>
          </w:p>
        </w:tc>
      </w:tr>
    </w:tbl>
    <w:p w14:paraId="7A448D13">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（4）评价等级判定</w:t>
      </w:r>
    </w:p>
    <w:p w14:paraId="11218442">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污染影响型评价工作等级划分依据见表</w:t>
      </w:r>
      <w:r>
        <w:rPr>
          <w:rFonts w:hint="eastAsia" w:ascii="Times New Roman" w:hAnsi="Times New Roman" w:eastAsia="宋体" w:cs="Times New Roman"/>
          <w:color w:val="auto"/>
          <w:sz w:val="24"/>
          <w:szCs w:val="24"/>
          <w:lang w:val="en-US" w:eastAsia="zh-CN"/>
        </w:rPr>
        <w:t>2.6-18</w:t>
      </w:r>
      <w:r>
        <w:rPr>
          <w:rFonts w:hint="default" w:ascii="Times New Roman" w:hAnsi="Times New Roman" w:eastAsia="宋体" w:cs="Times New Roman"/>
          <w:color w:val="auto"/>
          <w:sz w:val="24"/>
          <w:szCs w:val="24"/>
        </w:rPr>
        <w:t>，根据项目类别、占地规模和敏感程度判断出本项目土壤环境评价等级为</w:t>
      </w:r>
      <w:r>
        <w:rPr>
          <w:rFonts w:hint="eastAsia" w:ascii="Times New Roman" w:hAnsi="Times New Roman" w:eastAsia="宋体" w:cs="Times New Roman"/>
          <w:color w:val="auto"/>
          <w:sz w:val="24"/>
          <w:szCs w:val="24"/>
          <w:lang w:val="en-US" w:eastAsia="zh-CN"/>
        </w:rPr>
        <w:t>一</w:t>
      </w:r>
      <w:r>
        <w:rPr>
          <w:rFonts w:hint="default" w:ascii="Times New Roman" w:hAnsi="Times New Roman" w:eastAsia="宋体" w:cs="Times New Roman"/>
          <w:color w:val="auto"/>
          <w:sz w:val="24"/>
          <w:szCs w:val="24"/>
        </w:rPr>
        <w:t>级。</w:t>
      </w:r>
    </w:p>
    <w:p w14:paraId="35B088FD">
      <w:pPr>
        <w:bidi w:val="0"/>
        <w:jc w:val="center"/>
        <w:rPr>
          <w:rFonts w:ascii="Times New Roman" w:hAnsi="Times New Roman" w:eastAsia="宋体" w:cs="Times New Roman"/>
          <w:b/>
          <w:snapToGrid/>
          <w:color w:val="auto"/>
          <w:kern w:val="24"/>
          <w:sz w:val="24"/>
          <w:szCs w:val="18"/>
          <w:highlight w:val="none"/>
        </w:rPr>
      </w:pPr>
      <w:r>
        <w:rPr>
          <w:rFonts w:ascii="Times New Roman" w:hAnsi="Times New Roman" w:eastAsia="宋体" w:cs="Times New Roman"/>
          <w:b/>
          <w:snapToGrid/>
          <w:color w:val="auto"/>
          <w:kern w:val="24"/>
          <w:sz w:val="24"/>
          <w:szCs w:val="18"/>
          <w:highlight w:val="none"/>
        </w:rPr>
        <w:t>表2.</w:t>
      </w:r>
      <w:r>
        <w:rPr>
          <w:rFonts w:hint="eastAsia" w:ascii="Times New Roman" w:hAnsi="Times New Roman" w:eastAsia="宋体" w:cs="Times New Roman"/>
          <w:b/>
          <w:snapToGrid/>
          <w:color w:val="auto"/>
          <w:kern w:val="24"/>
          <w:sz w:val="24"/>
          <w:szCs w:val="18"/>
          <w:highlight w:val="none"/>
          <w:lang w:val="en-US" w:eastAsia="zh-CN"/>
        </w:rPr>
        <w:t>6-18</w:t>
      </w:r>
      <w:r>
        <w:rPr>
          <w:rFonts w:ascii="Times New Roman" w:hAnsi="Times New Roman" w:eastAsia="宋体" w:cs="Times New Roman"/>
          <w:b/>
          <w:snapToGrid/>
          <w:color w:val="auto"/>
          <w:kern w:val="24"/>
          <w:sz w:val="24"/>
          <w:szCs w:val="18"/>
          <w:highlight w:val="none"/>
        </w:rPr>
        <w:t xml:space="preserve">  污染影响型评价工作等级划分表</w:t>
      </w:r>
    </w:p>
    <w:tbl>
      <w:tblPr>
        <w:tblStyle w:val="23"/>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910"/>
        <w:gridCol w:w="817"/>
        <w:gridCol w:w="817"/>
        <w:gridCol w:w="822"/>
        <w:gridCol w:w="817"/>
        <w:gridCol w:w="817"/>
        <w:gridCol w:w="822"/>
        <w:gridCol w:w="817"/>
        <w:gridCol w:w="817"/>
        <w:gridCol w:w="827"/>
      </w:tblGrid>
      <w:tr w14:paraId="638ED96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737" w:hRule="atLeast"/>
        </w:trPr>
        <w:tc>
          <w:tcPr>
            <w:tcW w:w="1029" w:type="pct"/>
            <w:vMerge w:val="restart"/>
            <w:tcBorders>
              <w:tl2br w:val="nil"/>
              <w:tr2bl w:val="nil"/>
            </w:tcBorders>
            <w:vAlign w:val="center"/>
            <mc:AlternateContent>
              <mc:Choice Requires="wpsCustomData">
                <wpsCustomData:diagonals>
                  <wpsCustomData:diagonal from="30000" to="7100">
                    <wpsCustomData:border w:val="single" w:color="auto" w:sz="12" w:space="0"/>
                  </wpsCustomData:diagonal>
                  <wpsCustomData:diagonal from="15000" to="30000">
                    <wpsCustomData:border w:val="single" w:color="auto" w:sz="12" w:space="0"/>
                  </wpsCustomData:diagonal>
                </wpsCustomData:diagonals>
              </mc:Choice>
            </mc:AlternateContent>
          </w:tcPr>
          <w:p w14:paraId="608ABF43">
            <w:pPr>
              <w:pStyle w:val="37"/>
              <w:widowControl w:val="0"/>
              <w:bidi w:val="0"/>
              <mc:AlternateContent>
                <mc:Choice Requires="wpsCustomData">
                  <wpsCustomData:diagonalParaType/>
                </mc:Choice>
              </mc:AlternateContent>
              <w:rPr>
                <w:color w:val="auto"/>
                <w:highlight w:val="none"/>
              </w:rPr>
            </w:pPr>
            <w:r>
              <w:rPr>
                <w:color w:val="auto"/>
                <w:highlight w:val="none"/>
              </w:rPr>
              <w:t>敏感程度</w:t>
            </w:r>
          </w:p>
          <w:p w14:paraId="27D345AC">
            <w:pPr>
              <w:pStyle w:val="37"/>
              <w:widowControl w:val="0"/>
              <w:bidi w:val="0"/>
              <w:snapToGrid w:val="0"/>
              <mc:AlternateContent>
                <mc:Choice Requires="wpsCustomData">
                  <wpsCustomData:diagonalParaType/>
                </mc:Choice>
              </mc:AlternateContent>
              <w:rPr>
                <w:rFonts w:hint="default" w:eastAsia="宋体"/>
                <w:color w:val="auto"/>
                <w:highlight w:val="none"/>
                <w:lang w:val="en-US" w:eastAsia="zh-CN"/>
              </w:rPr>
            </w:pPr>
            <w:r>
              <w:rPr>
                <w:rFonts w:hint="eastAsia"/>
                <w:color w:val="auto"/>
                <w:highlight w:val="none"/>
                <w:lang w:val="en-US" w:eastAsia="zh-CN"/>
              </w:rPr>
              <w:t>评价工作等级</w:t>
            </w:r>
          </w:p>
          <w:p w14:paraId="68A35AFF">
            <w:pPr>
              <w:pStyle w:val="37"/>
              <w:widowControl w:val="0"/>
              <w:bidi w:val="0"/>
              <w:rPr>
                <w:rFonts w:hint="default" w:eastAsia="宋体"/>
                <w:color w:val="auto"/>
                <w:highlight w:val="none"/>
                <w:lang w:val="en-US" w:eastAsia="zh-CN"/>
              </w:rPr>
            </w:pPr>
            <w:r>
              <w:rPr>
                <w:rFonts w:hint="eastAsia"/>
                <w:color w:val="auto"/>
                <w:highlight w:val="none"/>
                <w:lang w:val="en-US" w:eastAsia="zh-CN"/>
              </w:rPr>
              <w:t>占地规模</w:t>
            </w:r>
          </w:p>
        </w:tc>
        <w:tc>
          <w:tcPr>
            <w:tcW w:w="1323" w:type="pct"/>
            <w:gridSpan w:val="3"/>
            <w:tcBorders>
              <w:tl2br w:val="nil"/>
              <w:tr2bl w:val="nil"/>
            </w:tcBorders>
            <w:vAlign w:val="center"/>
          </w:tcPr>
          <w:p w14:paraId="41DD5457">
            <w:pPr>
              <w:pStyle w:val="37"/>
              <w:widowControl w:val="0"/>
              <w:bidi w:val="0"/>
              <w:rPr>
                <w:color w:val="auto"/>
                <w:highlight w:val="none"/>
              </w:rPr>
            </w:pPr>
            <w:r>
              <w:rPr>
                <w:color w:val="auto"/>
                <w:highlight w:val="none"/>
              </w:rPr>
              <w:t>Ⅰ类</w:t>
            </w:r>
          </w:p>
        </w:tc>
        <w:tc>
          <w:tcPr>
            <w:tcW w:w="1323" w:type="pct"/>
            <w:gridSpan w:val="3"/>
            <w:tcBorders>
              <w:tl2br w:val="nil"/>
              <w:tr2bl w:val="nil"/>
            </w:tcBorders>
            <w:vAlign w:val="center"/>
          </w:tcPr>
          <w:p w14:paraId="7B4B4D1E">
            <w:pPr>
              <w:pStyle w:val="37"/>
              <w:widowControl w:val="0"/>
              <w:bidi w:val="0"/>
              <w:rPr>
                <w:color w:val="auto"/>
                <w:highlight w:val="none"/>
              </w:rPr>
            </w:pPr>
            <w:r>
              <w:rPr>
                <w:color w:val="auto"/>
                <w:highlight w:val="none"/>
              </w:rPr>
              <w:t>Ⅱ类</w:t>
            </w:r>
          </w:p>
        </w:tc>
        <w:tc>
          <w:tcPr>
            <w:tcW w:w="1323" w:type="pct"/>
            <w:gridSpan w:val="3"/>
            <w:tcBorders>
              <w:tl2br w:val="nil"/>
              <w:tr2bl w:val="nil"/>
            </w:tcBorders>
            <w:vAlign w:val="center"/>
          </w:tcPr>
          <w:p w14:paraId="46B8C3A9">
            <w:pPr>
              <w:pStyle w:val="37"/>
              <w:widowControl w:val="0"/>
              <w:bidi w:val="0"/>
              <w:rPr>
                <w:color w:val="auto"/>
                <w:highlight w:val="none"/>
              </w:rPr>
            </w:pPr>
            <w:r>
              <w:rPr>
                <w:color w:val="auto"/>
                <w:highlight w:val="none"/>
              </w:rPr>
              <w:t>Ⅲ类</w:t>
            </w:r>
          </w:p>
        </w:tc>
      </w:tr>
      <w:tr w14:paraId="1A3D94E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029" w:type="pct"/>
            <w:vMerge w:val="continue"/>
            <w:tcBorders>
              <w:tl2br w:val="nil"/>
              <w:tr2bl w:val="nil"/>
            </w:tcBorders>
            <w:vAlign w:val="center"/>
          </w:tcPr>
          <w:p w14:paraId="24F1EB08">
            <w:pPr>
              <w:pStyle w:val="37"/>
              <w:widowControl w:val="0"/>
              <w:bidi w:val="0"/>
              <w:rPr>
                <w:color w:val="000000" w:themeColor="text1"/>
                <w:highlight w:val="none"/>
                <w14:textFill>
                  <w14:solidFill>
                    <w14:schemeClr w14:val="tx1"/>
                  </w14:solidFill>
                </w14:textFill>
              </w:rPr>
            </w:pPr>
          </w:p>
        </w:tc>
        <w:tc>
          <w:tcPr>
            <w:tcW w:w="440" w:type="pct"/>
            <w:tcBorders>
              <w:tl2br w:val="nil"/>
              <w:tr2bl w:val="nil"/>
            </w:tcBorders>
            <w:vAlign w:val="center"/>
          </w:tcPr>
          <w:p w14:paraId="23BB0C99">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w:t>
            </w:r>
          </w:p>
        </w:tc>
        <w:tc>
          <w:tcPr>
            <w:tcW w:w="440" w:type="pct"/>
            <w:tcBorders>
              <w:tl2br w:val="nil"/>
              <w:tr2bl w:val="nil"/>
            </w:tcBorders>
            <w:vAlign w:val="center"/>
          </w:tcPr>
          <w:p w14:paraId="54186B63">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c>
          <w:tcPr>
            <w:tcW w:w="441" w:type="pct"/>
            <w:tcBorders>
              <w:tl2br w:val="nil"/>
              <w:tr2bl w:val="nil"/>
            </w:tcBorders>
            <w:vAlign w:val="center"/>
          </w:tcPr>
          <w:p w14:paraId="6C114364">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小</w:t>
            </w:r>
          </w:p>
        </w:tc>
        <w:tc>
          <w:tcPr>
            <w:tcW w:w="440" w:type="pct"/>
            <w:tcBorders>
              <w:tl2br w:val="nil"/>
              <w:tr2bl w:val="nil"/>
            </w:tcBorders>
            <w:vAlign w:val="center"/>
          </w:tcPr>
          <w:p w14:paraId="78BF1B8B">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w:t>
            </w:r>
          </w:p>
        </w:tc>
        <w:tc>
          <w:tcPr>
            <w:tcW w:w="440" w:type="pct"/>
            <w:tcBorders>
              <w:tl2br w:val="nil"/>
              <w:tr2bl w:val="nil"/>
            </w:tcBorders>
            <w:vAlign w:val="center"/>
          </w:tcPr>
          <w:p w14:paraId="0C3533CD">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c>
          <w:tcPr>
            <w:tcW w:w="441" w:type="pct"/>
            <w:tcBorders>
              <w:tl2br w:val="nil"/>
              <w:tr2bl w:val="nil"/>
            </w:tcBorders>
            <w:vAlign w:val="center"/>
          </w:tcPr>
          <w:p w14:paraId="3EF61D3F">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小</w:t>
            </w:r>
          </w:p>
        </w:tc>
        <w:tc>
          <w:tcPr>
            <w:tcW w:w="440" w:type="pct"/>
            <w:tcBorders>
              <w:tl2br w:val="nil"/>
              <w:tr2bl w:val="nil"/>
            </w:tcBorders>
            <w:vAlign w:val="center"/>
          </w:tcPr>
          <w:p w14:paraId="1821775C">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w:t>
            </w:r>
          </w:p>
        </w:tc>
        <w:tc>
          <w:tcPr>
            <w:tcW w:w="440" w:type="pct"/>
            <w:tcBorders>
              <w:tl2br w:val="nil"/>
              <w:tr2bl w:val="nil"/>
            </w:tcBorders>
            <w:vAlign w:val="center"/>
          </w:tcPr>
          <w:p w14:paraId="73CA011C">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c>
          <w:tcPr>
            <w:tcW w:w="441" w:type="pct"/>
            <w:tcBorders>
              <w:tl2br w:val="nil"/>
              <w:tr2bl w:val="nil"/>
            </w:tcBorders>
            <w:vAlign w:val="center"/>
          </w:tcPr>
          <w:p w14:paraId="527ECC5B">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小</w:t>
            </w:r>
          </w:p>
        </w:tc>
      </w:tr>
      <w:tr w14:paraId="09BA868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029" w:type="pct"/>
            <w:tcBorders>
              <w:tl2br w:val="nil"/>
              <w:tr2bl w:val="nil"/>
            </w:tcBorders>
            <w:vAlign w:val="center"/>
          </w:tcPr>
          <w:p w14:paraId="79543623">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敏感</w:t>
            </w:r>
          </w:p>
        </w:tc>
        <w:tc>
          <w:tcPr>
            <w:tcW w:w="440" w:type="pct"/>
            <w:tcBorders>
              <w:tl2br w:val="nil"/>
              <w:tr2bl w:val="nil"/>
            </w:tcBorders>
            <w:vAlign w:val="center"/>
          </w:tcPr>
          <w:p w14:paraId="29E8B726">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440" w:type="pct"/>
            <w:tcBorders>
              <w:tl2br w:val="nil"/>
              <w:tr2bl w:val="nil"/>
            </w:tcBorders>
            <w:vAlign w:val="center"/>
          </w:tcPr>
          <w:p w14:paraId="5061D0DB">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441" w:type="pct"/>
            <w:tcBorders>
              <w:tl2br w:val="nil"/>
              <w:tr2bl w:val="nil"/>
            </w:tcBorders>
            <w:vAlign w:val="center"/>
          </w:tcPr>
          <w:p w14:paraId="46F87226">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440" w:type="pct"/>
            <w:tcBorders>
              <w:tl2br w:val="nil"/>
              <w:tr2bl w:val="nil"/>
            </w:tcBorders>
            <w:vAlign w:val="center"/>
          </w:tcPr>
          <w:p w14:paraId="18CAF203">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440" w:type="pct"/>
            <w:tcBorders>
              <w:tl2br w:val="nil"/>
              <w:tr2bl w:val="nil"/>
            </w:tcBorders>
            <w:vAlign w:val="center"/>
          </w:tcPr>
          <w:p w14:paraId="2AD355E9">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441" w:type="pct"/>
            <w:tcBorders>
              <w:tl2br w:val="nil"/>
              <w:tr2bl w:val="nil"/>
            </w:tcBorders>
            <w:vAlign w:val="center"/>
          </w:tcPr>
          <w:p w14:paraId="420E9E4A">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440" w:type="pct"/>
            <w:tcBorders>
              <w:tl2br w:val="nil"/>
              <w:tr2bl w:val="nil"/>
            </w:tcBorders>
            <w:vAlign w:val="center"/>
          </w:tcPr>
          <w:p w14:paraId="6450D7A5">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440" w:type="pct"/>
            <w:tcBorders>
              <w:tl2br w:val="nil"/>
              <w:tr2bl w:val="nil"/>
            </w:tcBorders>
            <w:vAlign w:val="center"/>
          </w:tcPr>
          <w:p w14:paraId="4CDD090C">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441" w:type="pct"/>
            <w:tcBorders>
              <w:tl2br w:val="nil"/>
              <w:tr2bl w:val="nil"/>
            </w:tcBorders>
            <w:vAlign w:val="center"/>
          </w:tcPr>
          <w:p w14:paraId="2508A774">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r>
      <w:tr w14:paraId="4915FC7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029" w:type="pct"/>
            <w:tcBorders>
              <w:tl2br w:val="nil"/>
              <w:tr2bl w:val="nil"/>
            </w:tcBorders>
            <w:vAlign w:val="center"/>
          </w:tcPr>
          <w:p w14:paraId="49CE8A94">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较敏感</w:t>
            </w:r>
          </w:p>
        </w:tc>
        <w:tc>
          <w:tcPr>
            <w:tcW w:w="440" w:type="pct"/>
            <w:tcBorders>
              <w:tl2br w:val="nil"/>
              <w:tr2bl w:val="nil"/>
            </w:tcBorders>
            <w:vAlign w:val="center"/>
          </w:tcPr>
          <w:p w14:paraId="39023487">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440" w:type="pct"/>
            <w:tcBorders>
              <w:tl2br w:val="nil"/>
              <w:tr2bl w:val="nil"/>
            </w:tcBorders>
            <w:vAlign w:val="center"/>
          </w:tcPr>
          <w:p w14:paraId="4B9E5E68">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441" w:type="pct"/>
            <w:tcBorders>
              <w:tl2br w:val="nil"/>
              <w:tr2bl w:val="nil"/>
            </w:tcBorders>
            <w:vAlign w:val="center"/>
          </w:tcPr>
          <w:p w14:paraId="32C5DA12">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440" w:type="pct"/>
            <w:tcBorders>
              <w:tl2br w:val="nil"/>
              <w:tr2bl w:val="nil"/>
            </w:tcBorders>
            <w:vAlign w:val="center"/>
          </w:tcPr>
          <w:p w14:paraId="02750A08">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440" w:type="pct"/>
            <w:tcBorders>
              <w:tl2br w:val="nil"/>
              <w:tr2bl w:val="nil"/>
            </w:tcBorders>
            <w:vAlign w:val="center"/>
          </w:tcPr>
          <w:p w14:paraId="1B3FB99B">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441" w:type="pct"/>
            <w:tcBorders>
              <w:tl2br w:val="nil"/>
              <w:tr2bl w:val="nil"/>
            </w:tcBorders>
            <w:vAlign w:val="center"/>
          </w:tcPr>
          <w:p w14:paraId="3384B351">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440" w:type="pct"/>
            <w:tcBorders>
              <w:tl2br w:val="nil"/>
              <w:tr2bl w:val="nil"/>
            </w:tcBorders>
            <w:vAlign w:val="center"/>
          </w:tcPr>
          <w:p w14:paraId="11F65B2C">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440" w:type="pct"/>
            <w:tcBorders>
              <w:tl2br w:val="nil"/>
              <w:tr2bl w:val="nil"/>
            </w:tcBorders>
            <w:vAlign w:val="center"/>
          </w:tcPr>
          <w:p w14:paraId="67B1217C">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441" w:type="pct"/>
            <w:tcBorders>
              <w:tl2br w:val="nil"/>
              <w:tr2bl w:val="nil"/>
            </w:tcBorders>
            <w:vAlign w:val="center"/>
          </w:tcPr>
          <w:p w14:paraId="2B3DB284">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14:paraId="2919940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029" w:type="pct"/>
            <w:tcBorders>
              <w:tl2br w:val="nil"/>
              <w:tr2bl w:val="nil"/>
            </w:tcBorders>
            <w:vAlign w:val="center"/>
          </w:tcPr>
          <w:p w14:paraId="373A2F1A">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不敏感</w:t>
            </w:r>
          </w:p>
        </w:tc>
        <w:tc>
          <w:tcPr>
            <w:tcW w:w="440" w:type="pct"/>
            <w:tcBorders>
              <w:tl2br w:val="nil"/>
              <w:tr2bl w:val="nil"/>
            </w:tcBorders>
            <w:vAlign w:val="center"/>
          </w:tcPr>
          <w:p w14:paraId="16ADABDD">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440" w:type="pct"/>
            <w:tcBorders>
              <w:tl2br w:val="nil"/>
              <w:tr2bl w:val="nil"/>
            </w:tcBorders>
            <w:vAlign w:val="center"/>
          </w:tcPr>
          <w:p w14:paraId="7C21F0E7">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441" w:type="pct"/>
            <w:tcBorders>
              <w:tl2br w:val="nil"/>
              <w:tr2bl w:val="nil"/>
            </w:tcBorders>
            <w:vAlign w:val="center"/>
          </w:tcPr>
          <w:p w14:paraId="28E29100">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440" w:type="pct"/>
            <w:tcBorders>
              <w:tl2br w:val="nil"/>
              <w:tr2bl w:val="nil"/>
            </w:tcBorders>
            <w:vAlign w:val="center"/>
          </w:tcPr>
          <w:p w14:paraId="250C398E">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440" w:type="pct"/>
            <w:tcBorders>
              <w:tl2br w:val="nil"/>
              <w:tr2bl w:val="nil"/>
            </w:tcBorders>
            <w:vAlign w:val="center"/>
          </w:tcPr>
          <w:p w14:paraId="11D5F4C0">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441" w:type="pct"/>
            <w:tcBorders>
              <w:tl2br w:val="nil"/>
              <w:tr2bl w:val="nil"/>
            </w:tcBorders>
            <w:vAlign w:val="center"/>
          </w:tcPr>
          <w:p w14:paraId="0A1F9298">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440" w:type="pct"/>
            <w:tcBorders>
              <w:tl2br w:val="nil"/>
              <w:tr2bl w:val="nil"/>
            </w:tcBorders>
            <w:vAlign w:val="center"/>
          </w:tcPr>
          <w:p w14:paraId="5634E275">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440" w:type="pct"/>
            <w:tcBorders>
              <w:tl2br w:val="nil"/>
              <w:tr2bl w:val="nil"/>
            </w:tcBorders>
            <w:vAlign w:val="center"/>
          </w:tcPr>
          <w:p w14:paraId="5DC5FBAF">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441" w:type="pct"/>
            <w:tcBorders>
              <w:tl2br w:val="nil"/>
              <w:tr2bl w:val="nil"/>
            </w:tcBorders>
            <w:vAlign w:val="center"/>
          </w:tcPr>
          <w:p w14:paraId="689035B5">
            <w:pPr>
              <w:pStyle w:val="37"/>
              <w:widowControl w:val="0"/>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14:paraId="5BEB131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5000" w:type="pct"/>
            <w:gridSpan w:val="10"/>
            <w:tcBorders>
              <w:tl2br w:val="nil"/>
              <w:tr2bl w:val="nil"/>
            </w:tcBorders>
            <w:vAlign w:val="center"/>
          </w:tcPr>
          <w:p w14:paraId="53099821">
            <w:pPr>
              <w:pStyle w:val="37"/>
              <w:widowControl w:val="0"/>
              <w:bidi w:val="0"/>
              <w:jc w:val="both"/>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注：“—”表示可不开展土壤环境影响评价工作</w:t>
            </w:r>
          </w:p>
        </w:tc>
      </w:tr>
    </w:tbl>
    <w:p w14:paraId="5928B686">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微软雅黑" w:cs="Times New Roman"/>
          <w:color w:val="auto"/>
          <w:sz w:val="24"/>
          <w:szCs w:val="24"/>
        </w:rPr>
      </w:pPr>
      <w:r>
        <w:rPr>
          <w:rFonts w:hint="default" w:ascii="Times New Roman" w:hAnsi="Times New Roman" w:eastAsia="宋体" w:cs="Times New Roman"/>
          <w:b/>
          <w:bCs/>
          <w:color w:val="auto"/>
          <w:spacing w:val="-1"/>
          <w:sz w:val="28"/>
          <w:szCs w:val="28"/>
        </w:rPr>
        <w:fldChar w:fldCharType="begin"/>
      </w:r>
      <w:r>
        <w:rPr>
          <w:rFonts w:hint="default" w:ascii="Times New Roman" w:hAnsi="Times New Roman" w:eastAsia="宋体" w:cs="Times New Roman"/>
          <w:b/>
          <w:bCs/>
          <w:color w:val="auto"/>
          <w:spacing w:val="-1"/>
          <w:sz w:val="28"/>
          <w:szCs w:val="28"/>
        </w:rPr>
        <w:instrText xml:space="preserve"> HYPERLINK "2.3.1.6" </w:instrText>
      </w:r>
      <w:r>
        <w:rPr>
          <w:rFonts w:hint="default" w:ascii="Times New Roman" w:hAnsi="Times New Roman" w:eastAsia="宋体" w:cs="Times New Roman"/>
          <w:b/>
          <w:bCs/>
          <w:color w:val="auto"/>
          <w:spacing w:val="-1"/>
          <w:sz w:val="28"/>
          <w:szCs w:val="28"/>
        </w:rPr>
        <w:fldChar w:fldCharType="separate"/>
      </w:r>
      <w:r>
        <w:rPr>
          <w:rFonts w:hint="default" w:ascii="Times New Roman" w:hAnsi="Times New Roman" w:eastAsia="宋体" w:cs="Times New Roman"/>
          <w:b/>
          <w:bCs/>
          <w:color w:val="auto"/>
          <w:spacing w:val="-1"/>
          <w:sz w:val="28"/>
          <w:szCs w:val="28"/>
        </w:rPr>
        <w:t>2.</w:t>
      </w:r>
      <w:r>
        <w:rPr>
          <w:rFonts w:hint="default" w:ascii="Times New Roman" w:hAnsi="Times New Roman" w:eastAsia="宋体" w:cs="Times New Roman"/>
          <w:b/>
          <w:bCs/>
          <w:color w:val="auto"/>
          <w:spacing w:val="-1"/>
          <w:sz w:val="28"/>
          <w:szCs w:val="28"/>
          <w:lang w:val="en-US" w:eastAsia="zh-CN"/>
        </w:rPr>
        <w:t>6</w:t>
      </w:r>
      <w:r>
        <w:rPr>
          <w:rFonts w:hint="default" w:ascii="Times New Roman" w:hAnsi="Times New Roman" w:eastAsia="宋体" w:cs="Times New Roman"/>
          <w:b/>
          <w:bCs/>
          <w:color w:val="auto"/>
          <w:spacing w:val="-1"/>
          <w:sz w:val="28"/>
          <w:szCs w:val="28"/>
        </w:rPr>
        <w:t>.1.6</w:t>
      </w:r>
      <w:r>
        <w:rPr>
          <w:rFonts w:hint="default" w:ascii="Times New Roman" w:hAnsi="Times New Roman" w:eastAsia="宋体" w:cs="Times New Roman"/>
          <w:b/>
          <w:bCs/>
          <w:color w:val="auto"/>
          <w:spacing w:val="-1"/>
          <w:sz w:val="28"/>
          <w:szCs w:val="28"/>
        </w:rPr>
        <w:fldChar w:fldCharType="end"/>
      </w:r>
      <w:r>
        <w:rPr>
          <w:rFonts w:hint="default" w:ascii="Times New Roman" w:hAnsi="Times New Roman" w:eastAsia="宋体" w:cs="Times New Roman"/>
          <w:b/>
          <w:bCs/>
          <w:color w:val="auto"/>
          <w:spacing w:val="-1"/>
          <w:sz w:val="28"/>
          <w:szCs w:val="28"/>
        </w:rPr>
        <w:t>生态环境评价等级</w:t>
      </w:r>
    </w:p>
    <w:p w14:paraId="6E32B8FA">
      <w:pPr>
        <w:keepNext w:val="0"/>
        <w:keepLines w:val="0"/>
        <w:pageBreakBefore w:val="0"/>
        <w:widowControl/>
        <w:kinsoku/>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根据《环境影响评价技术导则</w:t>
      </w:r>
      <w:r>
        <w:rPr>
          <w:rFonts w:hint="default" w:ascii="Times New Roman" w:hAnsi="Times New Roman" w:eastAsia="宋体" w:cs="Times New Roman"/>
          <w:color w:val="auto"/>
          <w:sz w:val="24"/>
          <w:lang w:val="en-US" w:eastAsia="zh-CN"/>
        </w:rPr>
        <w:t xml:space="preserve"> </w:t>
      </w:r>
      <w:r>
        <w:rPr>
          <w:rFonts w:hint="default" w:ascii="Times New Roman" w:hAnsi="Times New Roman" w:cs="Times New Roman"/>
          <w:color w:val="auto"/>
          <w:sz w:val="24"/>
        </w:rPr>
        <w:t>生态影响》（HJ19-20</w:t>
      </w:r>
      <w:r>
        <w:rPr>
          <w:rFonts w:hint="default" w:ascii="Times New Roman" w:hAnsi="Times New Roman" w:cs="Times New Roman"/>
          <w:color w:val="auto"/>
          <w:sz w:val="24"/>
          <w:lang w:val="en-US" w:eastAsia="zh-CN"/>
        </w:rPr>
        <w:t>22</w:t>
      </w:r>
      <w:r>
        <w:rPr>
          <w:rFonts w:hint="default" w:ascii="Times New Roman" w:hAnsi="Times New Roman" w:cs="Times New Roman"/>
          <w:color w:val="auto"/>
          <w:sz w:val="24"/>
        </w:rPr>
        <w:t>），依据建设项目影响区域的生态敏感性和影响程度，评价等级划分为一级、二级和三级，具体见表</w:t>
      </w:r>
      <w:r>
        <w:rPr>
          <w:rFonts w:hint="default" w:ascii="Times New Roman" w:hAnsi="Times New Roman" w:eastAsia="宋体" w:cs="Times New Roman"/>
          <w:color w:val="auto"/>
          <w:sz w:val="24"/>
          <w:lang w:val="en-US" w:eastAsia="zh-CN"/>
        </w:rPr>
        <w:t>2.6</w:t>
      </w:r>
      <w:r>
        <w:rPr>
          <w:rFonts w:hint="default" w:ascii="Times New Roman" w:hAnsi="Times New Roman" w:cs="Times New Roman"/>
          <w:color w:val="auto"/>
          <w:sz w:val="24"/>
        </w:rPr>
        <w:t>-</w:t>
      </w:r>
      <w:r>
        <w:rPr>
          <w:rFonts w:hint="eastAsia" w:ascii="Times New Roman" w:hAnsi="Times New Roman" w:eastAsia="宋体" w:cs="Times New Roman"/>
          <w:color w:val="auto"/>
          <w:sz w:val="24"/>
          <w:lang w:val="en-US" w:eastAsia="zh-CN"/>
        </w:rPr>
        <w:t>19</w:t>
      </w:r>
      <w:r>
        <w:rPr>
          <w:rFonts w:hint="default" w:ascii="Times New Roman" w:hAnsi="Times New Roman" w:cs="Times New Roman"/>
          <w:color w:val="auto"/>
          <w:sz w:val="24"/>
        </w:rPr>
        <w:t>。</w:t>
      </w:r>
    </w:p>
    <w:p w14:paraId="3C356B92">
      <w:pPr>
        <w:keepNext w:val="0"/>
        <w:keepLines w:val="0"/>
        <w:pageBreakBefore w:val="0"/>
        <w:widowControl/>
        <w:kinsoku/>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z w:val="24"/>
          <w:highlight w:val="none"/>
          <w:lang w:eastAsia="zh-CN"/>
        </w:rPr>
      </w:pPr>
      <w:r>
        <w:rPr>
          <w:rFonts w:hint="default" w:ascii="Times New Roman" w:hAnsi="Times New Roman" w:eastAsia="宋体" w:cs="Times New Roman"/>
          <w:b/>
          <w:bCs/>
          <w:color w:val="auto"/>
          <w:sz w:val="24"/>
          <w:highlight w:val="none"/>
          <w:lang w:eastAsia="zh-CN"/>
        </w:rPr>
        <w:t>表</w:t>
      </w:r>
      <w:r>
        <w:rPr>
          <w:rFonts w:hint="default" w:ascii="Times New Roman" w:hAnsi="Times New Roman" w:eastAsia="宋体" w:cs="Times New Roman"/>
          <w:b/>
          <w:bCs/>
          <w:color w:val="auto"/>
          <w:sz w:val="24"/>
          <w:highlight w:val="none"/>
          <w:lang w:val="en-US" w:eastAsia="zh-CN"/>
        </w:rPr>
        <w:t>2.6-</w:t>
      </w:r>
      <w:r>
        <w:rPr>
          <w:rFonts w:hint="eastAsia" w:ascii="Times New Roman" w:hAnsi="Times New Roman" w:eastAsia="宋体" w:cs="Times New Roman"/>
          <w:b/>
          <w:bCs/>
          <w:color w:val="auto"/>
          <w:sz w:val="24"/>
          <w:highlight w:val="none"/>
          <w:lang w:val="en-US" w:eastAsia="zh-CN"/>
        </w:rPr>
        <w:t>19</w:t>
      </w:r>
      <w:r>
        <w:rPr>
          <w:rFonts w:hint="default" w:ascii="Times New Roman" w:hAnsi="Times New Roman" w:eastAsia="宋体" w:cs="Times New Roman"/>
          <w:b/>
          <w:bCs/>
          <w:color w:val="auto"/>
          <w:sz w:val="24"/>
          <w:highlight w:val="none"/>
          <w:lang w:val="en-US" w:eastAsia="zh-CN"/>
        </w:rPr>
        <w:t xml:space="preserve">  生态影响</w:t>
      </w:r>
      <w:r>
        <w:rPr>
          <w:rFonts w:hint="default" w:ascii="Times New Roman" w:hAnsi="Times New Roman" w:cs="Times New Roman"/>
          <w:b/>
          <w:bCs/>
          <w:color w:val="auto"/>
          <w:sz w:val="24"/>
          <w:highlight w:val="none"/>
        </w:rPr>
        <w:t>评价等级</w:t>
      </w:r>
      <w:r>
        <w:rPr>
          <w:rFonts w:hint="default" w:ascii="Times New Roman" w:hAnsi="Times New Roman" w:cs="Times New Roman"/>
          <w:b/>
          <w:bCs/>
          <w:color w:val="auto"/>
          <w:sz w:val="24"/>
          <w:highlight w:val="none"/>
          <w:lang w:val="en-US" w:eastAsia="zh-CN"/>
        </w:rPr>
        <w:t>判定</w:t>
      </w:r>
      <w:r>
        <w:rPr>
          <w:rFonts w:hint="default" w:ascii="Times New Roman" w:hAnsi="Times New Roman" w:eastAsia="宋体" w:cs="Times New Roman"/>
          <w:b/>
          <w:bCs/>
          <w:color w:val="auto"/>
          <w:sz w:val="24"/>
          <w:highlight w:val="none"/>
          <w:lang w:eastAsia="zh-CN"/>
        </w:rPr>
        <w:t>表</w:t>
      </w:r>
    </w:p>
    <w:tbl>
      <w:tblPr>
        <w:tblStyle w:val="41"/>
        <w:tblW w:w="4997"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653"/>
        <w:gridCol w:w="4346"/>
        <w:gridCol w:w="4067"/>
      </w:tblGrid>
      <w:tr w14:paraId="23B802C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60" w:type="pct"/>
            <w:tcBorders>
              <w:tl2br w:val="nil"/>
              <w:tr2bl w:val="nil"/>
            </w:tcBorders>
            <w:vAlign w:val="center"/>
          </w:tcPr>
          <w:p w14:paraId="5F99ECCD">
            <w:pPr>
              <w:pStyle w:val="4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序号</w:t>
            </w:r>
          </w:p>
        </w:tc>
        <w:tc>
          <w:tcPr>
            <w:tcW w:w="2396" w:type="pct"/>
            <w:tcBorders>
              <w:tl2br w:val="nil"/>
              <w:tr2bl w:val="nil"/>
            </w:tcBorders>
            <w:vAlign w:val="center"/>
          </w:tcPr>
          <w:p w14:paraId="13160C4A">
            <w:pPr>
              <w:pStyle w:val="4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评价等级</w:t>
            </w:r>
            <w:r>
              <w:rPr>
                <w:rFonts w:hint="default" w:ascii="Times New Roman" w:hAnsi="Times New Roman" w:cs="Times New Roman"/>
                <w:color w:val="auto"/>
                <w:sz w:val="21"/>
                <w:szCs w:val="21"/>
                <w:lang w:val="en-US" w:eastAsia="zh-CN"/>
              </w:rPr>
              <w:t>判定要求</w:t>
            </w:r>
          </w:p>
        </w:tc>
        <w:tc>
          <w:tcPr>
            <w:tcW w:w="2242" w:type="pct"/>
            <w:tcBorders>
              <w:tl2br w:val="nil"/>
              <w:tr2bl w:val="nil"/>
            </w:tcBorders>
            <w:vAlign w:val="center"/>
          </w:tcPr>
          <w:p w14:paraId="4BEEFED6">
            <w:pPr>
              <w:pStyle w:val="4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本项目情况</w:t>
            </w:r>
          </w:p>
        </w:tc>
      </w:tr>
      <w:tr w14:paraId="259D4D0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60" w:type="pct"/>
            <w:tcBorders>
              <w:tl2br w:val="nil"/>
              <w:tr2bl w:val="nil"/>
            </w:tcBorders>
            <w:vAlign w:val="center"/>
          </w:tcPr>
          <w:p w14:paraId="05E53A5C">
            <w:pPr>
              <w:pStyle w:val="4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a</w:t>
            </w:r>
          </w:p>
        </w:tc>
        <w:tc>
          <w:tcPr>
            <w:tcW w:w="2396" w:type="pct"/>
            <w:tcBorders>
              <w:tl2br w:val="nil"/>
              <w:tr2bl w:val="nil"/>
            </w:tcBorders>
            <w:vAlign w:val="center"/>
          </w:tcPr>
          <w:p w14:paraId="7F05EE78">
            <w:pPr>
              <w:keepNext w:val="0"/>
              <w:keepLines w:val="0"/>
              <w:pageBreakBefore w:val="0"/>
              <w:widowControl/>
              <w:suppressLineNumbers w:val="0"/>
              <w:kinsoku/>
              <w:wordWrap w:val="0"/>
              <w:overflowPunct/>
              <w:topLinePunct w:val="0"/>
              <w:autoSpaceDE w:val="0"/>
              <w:autoSpaceDN w:val="0"/>
              <w:bidi w:val="0"/>
              <w:adjustRightInd w:val="0"/>
              <w:snapToGrid w:val="0"/>
              <w:jc w:val="both"/>
              <w:textAlignment w:val="baseline"/>
              <w:rPr>
                <w:rFonts w:hint="default" w:ascii="Times New Roman" w:hAnsi="Times New Roman" w:eastAsia="Times New Roman" w:cs="Times New Roman"/>
                <w:color w:val="auto"/>
                <w:sz w:val="21"/>
                <w:szCs w:val="21"/>
              </w:rPr>
            </w:pPr>
            <w:r>
              <w:rPr>
                <w:rFonts w:hint="default" w:ascii="Times New Roman" w:hAnsi="Times New Roman" w:eastAsia="宋体" w:cs="Times New Roman"/>
                <w:snapToGrid w:val="0"/>
                <w:color w:val="auto"/>
                <w:kern w:val="0"/>
                <w:sz w:val="21"/>
                <w:szCs w:val="21"/>
                <w:lang w:val="en-US" w:eastAsia="zh-CN" w:bidi="ar"/>
              </w:rPr>
              <w:t>涉及国家公园、自然保护区、世界自然遗产、重要生境时，评价等级为一级；</w:t>
            </w:r>
          </w:p>
        </w:tc>
        <w:tc>
          <w:tcPr>
            <w:tcW w:w="2242" w:type="pct"/>
            <w:tcBorders>
              <w:tl2br w:val="nil"/>
              <w:tr2bl w:val="nil"/>
            </w:tcBorders>
            <w:vAlign w:val="center"/>
          </w:tcPr>
          <w:p w14:paraId="5E875A74">
            <w:pPr>
              <w:keepNext w:val="0"/>
              <w:keepLines w:val="0"/>
              <w:pageBreakBefore w:val="0"/>
              <w:widowControl/>
              <w:kinsoku/>
              <w:wordWrap w:val="0"/>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Times New Roman" w:cs="Times New Roman"/>
                <w:color w:val="auto"/>
                <w:sz w:val="21"/>
                <w:szCs w:val="21"/>
                <w:lang w:val="en-US"/>
              </w:rPr>
            </w:pPr>
            <w:r>
              <w:rPr>
                <w:rFonts w:hint="default" w:ascii="Times New Roman" w:hAnsi="Times New Roman" w:eastAsia="Times New Roman" w:cs="Times New Roman"/>
                <w:color w:val="auto"/>
                <w:sz w:val="21"/>
                <w:szCs w:val="21"/>
                <w:lang w:val="en-US" w:eastAsia="zh-CN"/>
              </w:rPr>
              <w:t>本项目不涉及国家公园、自然保护区、世界自然遗产、重要生境；</w:t>
            </w:r>
          </w:p>
        </w:tc>
      </w:tr>
      <w:tr w14:paraId="6E3E758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60" w:type="pct"/>
            <w:tcBorders>
              <w:tl2br w:val="nil"/>
              <w:tr2bl w:val="nil"/>
            </w:tcBorders>
            <w:vAlign w:val="center"/>
          </w:tcPr>
          <w:p w14:paraId="7059543E">
            <w:pPr>
              <w:pStyle w:val="4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b</w:t>
            </w:r>
          </w:p>
        </w:tc>
        <w:tc>
          <w:tcPr>
            <w:tcW w:w="2396" w:type="pct"/>
            <w:tcBorders>
              <w:tl2br w:val="nil"/>
              <w:tr2bl w:val="nil"/>
            </w:tcBorders>
            <w:vAlign w:val="center"/>
          </w:tcPr>
          <w:p w14:paraId="4B0ABA14">
            <w:pPr>
              <w:keepNext w:val="0"/>
              <w:keepLines w:val="0"/>
              <w:pageBreakBefore w:val="0"/>
              <w:widowControl/>
              <w:suppressLineNumbers w:val="0"/>
              <w:kinsoku/>
              <w:wordWrap w:val="0"/>
              <w:overflowPunct/>
              <w:topLinePunct w:val="0"/>
              <w:autoSpaceDE w:val="0"/>
              <w:autoSpaceDN w:val="0"/>
              <w:bidi w:val="0"/>
              <w:adjustRightInd w:val="0"/>
              <w:snapToGrid w:val="0"/>
              <w:jc w:val="both"/>
              <w:textAlignment w:val="baseline"/>
              <w:rPr>
                <w:rFonts w:hint="default" w:ascii="Times New Roman" w:hAnsi="Times New Roman" w:eastAsia="Times New Roman" w:cs="Times New Roman"/>
                <w:color w:val="auto"/>
                <w:sz w:val="21"/>
                <w:szCs w:val="21"/>
              </w:rPr>
            </w:pPr>
            <w:r>
              <w:rPr>
                <w:rFonts w:hint="default" w:ascii="Times New Roman" w:hAnsi="Times New Roman" w:eastAsia="宋体" w:cs="Times New Roman"/>
                <w:snapToGrid w:val="0"/>
                <w:color w:val="auto"/>
                <w:kern w:val="0"/>
                <w:sz w:val="21"/>
                <w:szCs w:val="21"/>
                <w:lang w:val="en-US" w:eastAsia="zh-CN" w:bidi="ar"/>
              </w:rPr>
              <w:t xml:space="preserve">涉及自然公园时，评价等级为二级； </w:t>
            </w:r>
          </w:p>
        </w:tc>
        <w:tc>
          <w:tcPr>
            <w:tcW w:w="2242" w:type="pct"/>
            <w:tcBorders>
              <w:tl2br w:val="nil"/>
              <w:tr2bl w:val="nil"/>
            </w:tcBorders>
            <w:vAlign w:val="center"/>
          </w:tcPr>
          <w:p w14:paraId="3B8DDC67">
            <w:pPr>
              <w:keepNext w:val="0"/>
              <w:keepLines w:val="0"/>
              <w:pageBreakBefore w:val="0"/>
              <w:widowControl/>
              <w:kinsoku/>
              <w:wordWrap w:val="0"/>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Cs w:val="15"/>
                <w:lang w:val="en-US" w:eastAsia="zh-CN"/>
              </w:rPr>
              <w:t>本项目</w:t>
            </w:r>
            <w:r>
              <w:rPr>
                <w:rFonts w:hint="default" w:ascii="Times New Roman" w:hAnsi="Times New Roman" w:eastAsia="宋体" w:cs="Times New Roman"/>
                <w:color w:val="auto"/>
                <w:kern w:val="0"/>
                <w:szCs w:val="15"/>
                <w:lang w:val="en-US" w:eastAsia="zh-CN"/>
              </w:rPr>
              <w:t>不涉及</w:t>
            </w:r>
            <w:r>
              <w:rPr>
                <w:rFonts w:hint="eastAsia" w:ascii="Times New Roman" w:hAnsi="Times New Roman" w:eastAsia="宋体" w:cs="Times New Roman"/>
                <w:color w:val="auto"/>
                <w:kern w:val="0"/>
                <w:szCs w:val="15"/>
                <w:lang w:val="en-US" w:eastAsia="zh-CN"/>
              </w:rPr>
              <w:t>自然公园</w:t>
            </w:r>
            <w:r>
              <w:rPr>
                <w:rFonts w:hint="default" w:ascii="Times New Roman" w:hAnsi="Times New Roman" w:eastAsia="宋体" w:cs="Times New Roman"/>
                <w:color w:val="auto"/>
                <w:kern w:val="0"/>
                <w:szCs w:val="15"/>
                <w:lang w:val="en-US" w:eastAsia="zh-CN"/>
              </w:rPr>
              <w:t>。</w:t>
            </w:r>
          </w:p>
        </w:tc>
      </w:tr>
      <w:tr w14:paraId="32A2A4E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60" w:type="pct"/>
            <w:tcBorders>
              <w:tl2br w:val="nil"/>
              <w:tr2bl w:val="nil"/>
            </w:tcBorders>
            <w:vAlign w:val="center"/>
          </w:tcPr>
          <w:p w14:paraId="01B9BDA7">
            <w:pPr>
              <w:pStyle w:val="4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c</w:t>
            </w:r>
          </w:p>
        </w:tc>
        <w:tc>
          <w:tcPr>
            <w:tcW w:w="2396" w:type="pct"/>
            <w:tcBorders>
              <w:tl2br w:val="nil"/>
              <w:tr2bl w:val="nil"/>
            </w:tcBorders>
            <w:vAlign w:val="center"/>
          </w:tcPr>
          <w:p w14:paraId="4604A007">
            <w:pPr>
              <w:keepNext w:val="0"/>
              <w:keepLines w:val="0"/>
              <w:pageBreakBefore w:val="0"/>
              <w:widowControl/>
              <w:suppressLineNumbers w:val="0"/>
              <w:kinsoku/>
              <w:wordWrap w:val="0"/>
              <w:overflowPunct/>
              <w:topLinePunct w:val="0"/>
              <w:autoSpaceDE w:val="0"/>
              <w:autoSpaceDN w:val="0"/>
              <w:bidi w:val="0"/>
              <w:adjustRightInd w:val="0"/>
              <w:snapToGrid w:val="0"/>
              <w:jc w:val="both"/>
              <w:textAlignment w:val="baseline"/>
              <w:rPr>
                <w:rFonts w:hint="default" w:ascii="Times New Roman" w:hAnsi="Times New Roman" w:eastAsia="Times New Roman" w:cs="Times New Roman"/>
                <w:color w:val="auto"/>
                <w:sz w:val="21"/>
                <w:szCs w:val="21"/>
              </w:rPr>
            </w:pPr>
            <w:r>
              <w:rPr>
                <w:rFonts w:hint="default" w:ascii="Times New Roman" w:hAnsi="Times New Roman" w:eastAsia="宋体" w:cs="Times New Roman"/>
                <w:snapToGrid w:val="0"/>
                <w:color w:val="auto"/>
                <w:kern w:val="0"/>
                <w:sz w:val="21"/>
                <w:szCs w:val="21"/>
                <w:lang w:val="en-US" w:eastAsia="zh-CN" w:bidi="ar"/>
              </w:rPr>
              <w:t xml:space="preserve">涉及生态保护红线时，评价等级不低于二级； </w:t>
            </w:r>
          </w:p>
        </w:tc>
        <w:tc>
          <w:tcPr>
            <w:tcW w:w="2242" w:type="pct"/>
            <w:tcBorders>
              <w:tl2br w:val="nil"/>
              <w:tr2bl w:val="nil"/>
            </w:tcBorders>
            <w:vAlign w:val="center"/>
          </w:tcPr>
          <w:p w14:paraId="52506060">
            <w:pPr>
              <w:keepNext w:val="0"/>
              <w:keepLines w:val="0"/>
              <w:pageBreakBefore w:val="0"/>
              <w:widowControl/>
              <w:kinsoku/>
              <w:wordWrap w:val="0"/>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Times New Roman" w:cs="Times New Roman"/>
                <w:color w:val="auto"/>
                <w:sz w:val="21"/>
                <w:szCs w:val="21"/>
              </w:rPr>
            </w:pPr>
            <w:r>
              <w:rPr>
                <w:rFonts w:hint="eastAsia" w:ascii="Times New Roman" w:hAnsi="Times New Roman" w:eastAsia="Times New Roman" w:cs="Times New Roman"/>
                <w:color w:val="auto"/>
                <w:sz w:val="21"/>
                <w:szCs w:val="21"/>
                <w:lang w:val="en-US" w:eastAsia="zh-CN"/>
              </w:rPr>
              <w:t>本项目不</w:t>
            </w:r>
            <w:r>
              <w:rPr>
                <w:rFonts w:hint="default" w:ascii="Times New Roman" w:hAnsi="Times New Roman" w:eastAsia="宋体" w:cs="Times New Roman"/>
                <w:color w:val="auto"/>
                <w:kern w:val="0"/>
                <w:szCs w:val="15"/>
              </w:rPr>
              <w:t>涉及</w:t>
            </w:r>
            <w:r>
              <w:rPr>
                <w:rFonts w:hint="default" w:ascii="Times New Roman" w:hAnsi="Times New Roman" w:eastAsia="Times New Roman" w:cs="Times New Roman"/>
                <w:color w:val="auto"/>
                <w:sz w:val="21"/>
                <w:szCs w:val="21"/>
                <w:lang w:val="en-US" w:eastAsia="zh-CN"/>
              </w:rPr>
              <w:t>生态保护红线</w:t>
            </w:r>
            <w:r>
              <w:rPr>
                <w:rFonts w:hint="eastAsia" w:ascii="Times New Roman" w:hAnsi="Times New Roman" w:eastAsia="Times New Roman" w:cs="Times New Roman"/>
                <w:color w:val="auto"/>
                <w:sz w:val="21"/>
                <w:szCs w:val="21"/>
                <w:lang w:val="en-US" w:eastAsia="zh-CN"/>
              </w:rPr>
              <w:t>。</w:t>
            </w:r>
          </w:p>
        </w:tc>
      </w:tr>
      <w:tr w14:paraId="28BE19D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60" w:type="pct"/>
            <w:tcBorders>
              <w:tl2br w:val="nil"/>
              <w:tr2bl w:val="nil"/>
            </w:tcBorders>
            <w:vAlign w:val="center"/>
          </w:tcPr>
          <w:p w14:paraId="7BDDE28B">
            <w:pPr>
              <w:pStyle w:val="4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d</w:t>
            </w:r>
          </w:p>
        </w:tc>
        <w:tc>
          <w:tcPr>
            <w:tcW w:w="2396" w:type="pct"/>
            <w:tcBorders>
              <w:tl2br w:val="nil"/>
              <w:tr2bl w:val="nil"/>
            </w:tcBorders>
            <w:vAlign w:val="center"/>
          </w:tcPr>
          <w:p w14:paraId="429182F2">
            <w:pPr>
              <w:keepNext w:val="0"/>
              <w:keepLines w:val="0"/>
              <w:pageBreakBefore w:val="0"/>
              <w:widowControl/>
              <w:suppressLineNumbers w:val="0"/>
              <w:kinsoku/>
              <w:wordWrap w:val="0"/>
              <w:overflowPunct/>
              <w:topLinePunct w:val="0"/>
              <w:autoSpaceDE w:val="0"/>
              <w:autoSpaceDN w:val="0"/>
              <w:bidi w:val="0"/>
              <w:adjustRightInd w:val="0"/>
              <w:snapToGrid w:val="0"/>
              <w:jc w:val="both"/>
              <w:textAlignment w:val="baseline"/>
              <w:rPr>
                <w:rFonts w:hint="default" w:ascii="Times New Roman" w:hAnsi="Times New Roman" w:eastAsia="Times New Roman" w:cs="Times New Roman"/>
                <w:color w:val="auto"/>
                <w:sz w:val="21"/>
                <w:szCs w:val="21"/>
              </w:rPr>
            </w:pPr>
            <w:r>
              <w:rPr>
                <w:rFonts w:hint="default" w:ascii="Times New Roman" w:hAnsi="Times New Roman" w:eastAsia="宋体" w:cs="Times New Roman"/>
                <w:snapToGrid w:val="0"/>
                <w:color w:val="auto"/>
                <w:kern w:val="0"/>
                <w:sz w:val="21"/>
                <w:szCs w:val="21"/>
                <w:lang w:val="en-US" w:eastAsia="zh-CN" w:bidi="ar"/>
              </w:rPr>
              <w:t xml:space="preserve">根据HJ2.3判断属于水文要素影响型且地表水评价等级不低于二级的建设项目，生态影响评价等级不低于二级； </w:t>
            </w:r>
          </w:p>
        </w:tc>
        <w:tc>
          <w:tcPr>
            <w:tcW w:w="2242" w:type="pct"/>
            <w:tcBorders>
              <w:tl2br w:val="nil"/>
              <w:tr2bl w:val="nil"/>
            </w:tcBorders>
            <w:vAlign w:val="center"/>
          </w:tcPr>
          <w:p w14:paraId="37D6BF45">
            <w:pPr>
              <w:keepNext w:val="0"/>
              <w:keepLines w:val="0"/>
              <w:pageBreakBefore w:val="0"/>
              <w:widowControl/>
              <w:kinsoku/>
              <w:wordWrap w:val="0"/>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Times New Roman" w:cs="Times New Roman"/>
                <w:color w:val="auto"/>
                <w:sz w:val="21"/>
                <w:szCs w:val="21"/>
                <w:lang w:val="en-US"/>
              </w:rPr>
            </w:pPr>
            <w:r>
              <w:rPr>
                <w:rFonts w:hint="default" w:ascii="Times New Roman" w:hAnsi="Times New Roman" w:eastAsia="Times New Roman" w:cs="Times New Roman"/>
                <w:color w:val="auto"/>
                <w:sz w:val="21"/>
                <w:szCs w:val="21"/>
                <w:lang w:val="en-US" w:eastAsia="zh-CN"/>
              </w:rPr>
              <w:t>本项目为水污染影响型建设项目且评价等级为三级B；</w:t>
            </w:r>
          </w:p>
        </w:tc>
      </w:tr>
      <w:tr w14:paraId="61927D1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60" w:type="pct"/>
            <w:tcBorders>
              <w:tl2br w:val="nil"/>
              <w:tr2bl w:val="nil"/>
            </w:tcBorders>
            <w:vAlign w:val="center"/>
          </w:tcPr>
          <w:p w14:paraId="2EBC169B">
            <w:pPr>
              <w:pStyle w:val="4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e</w:t>
            </w:r>
          </w:p>
        </w:tc>
        <w:tc>
          <w:tcPr>
            <w:tcW w:w="2396" w:type="pct"/>
            <w:tcBorders>
              <w:tl2br w:val="nil"/>
              <w:tr2bl w:val="nil"/>
            </w:tcBorders>
            <w:vAlign w:val="center"/>
          </w:tcPr>
          <w:p w14:paraId="02280A43">
            <w:pPr>
              <w:keepNext w:val="0"/>
              <w:keepLines w:val="0"/>
              <w:pageBreakBefore w:val="0"/>
              <w:widowControl/>
              <w:suppressLineNumbers w:val="0"/>
              <w:kinsoku/>
              <w:wordWrap w:val="0"/>
              <w:overflowPunct/>
              <w:topLinePunct w:val="0"/>
              <w:autoSpaceDE w:val="0"/>
              <w:autoSpaceDN w:val="0"/>
              <w:bidi w:val="0"/>
              <w:adjustRightInd w:val="0"/>
              <w:snapToGrid w:val="0"/>
              <w:jc w:val="both"/>
              <w:textAlignment w:val="baseline"/>
              <w:rPr>
                <w:rFonts w:hint="default" w:ascii="Times New Roman" w:hAnsi="Times New Roman" w:eastAsia="Times New Roman" w:cs="Times New Roman"/>
                <w:color w:val="auto"/>
                <w:sz w:val="21"/>
                <w:szCs w:val="21"/>
              </w:rPr>
            </w:pPr>
            <w:r>
              <w:rPr>
                <w:rFonts w:hint="default" w:ascii="Times New Roman" w:hAnsi="Times New Roman" w:eastAsia="宋体" w:cs="Times New Roman"/>
                <w:snapToGrid w:val="0"/>
                <w:color w:val="auto"/>
                <w:kern w:val="0"/>
                <w:sz w:val="21"/>
                <w:szCs w:val="21"/>
                <w:lang w:val="en-US" w:eastAsia="zh-CN" w:bidi="ar"/>
              </w:rPr>
              <w:t xml:space="preserve">根据 HJ 610、HJ 964 判断地下水水位或土壤影响范围内分布有天然林、公益林、湿地等生态保护目标的建设项目，生态影响评价等级不低于二级； </w:t>
            </w:r>
          </w:p>
        </w:tc>
        <w:tc>
          <w:tcPr>
            <w:tcW w:w="2242" w:type="pct"/>
            <w:tcBorders>
              <w:tl2br w:val="nil"/>
              <w:tr2bl w:val="nil"/>
            </w:tcBorders>
            <w:vAlign w:val="center"/>
          </w:tcPr>
          <w:p w14:paraId="76C1F1D1">
            <w:pPr>
              <w:keepNext w:val="0"/>
              <w:keepLines w:val="0"/>
              <w:pageBreakBefore w:val="0"/>
              <w:widowControl/>
              <w:kinsoku/>
              <w:wordWrap w:val="0"/>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lang w:val="en-US" w:eastAsia="zh-CN"/>
              </w:rPr>
              <w:t>本项目地下水水位或土壤影响范围内无天然林、公益林、湿地等生态保护目标的建设项目；</w:t>
            </w:r>
          </w:p>
        </w:tc>
      </w:tr>
      <w:tr w14:paraId="6018B03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60" w:type="pct"/>
            <w:tcBorders>
              <w:tl2br w:val="nil"/>
              <w:tr2bl w:val="nil"/>
            </w:tcBorders>
            <w:vAlign w:val="center"/>
          </w:tcPr>
          <w:p w14:paraId="2FC44A8F">
            <w:pPr>
              <w:pStyle w:val="4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f</w:t>
            </w:r>
          </w:p>
        </w:tc>
        <w:tc>
          <w:tcPr>
            <w:tcW w:w="2396" w:type="pct"/>
            <w:tcBorders>
              <w:tl2br w:val="nil"/>
              <w:tr2bl w:val="nil"/>
            </w:tcBorders>
            <w:vAlign w:val="center"/>
          </w:tcPr>
          <w:p w14:paraId="4A7CD459">
            <w:pPr>
              <w:keepNext w:val="0"/>
              <w:keepLines w:val="0"/>
              <w:pageBreakBefore w:val="0"/>
              <w:widowControl/>
              <w:suppressLineNumbers w:val="0"/>
              <w:kinsoku/>
              <w:wordWrap w:val="0"/>
              <w:overflowPunct/>
              <w:topLinePunct w:val="0"/>
              <w:autoSpaceDE w:val="0"/>
              <w:autoSpaceDN w:val="0"/>
              <w:bidi w:val="0"/>
              <w:adjustRightInd w:val="0"/>
              <w:snapToGrid w:val="0"/>
              <w:jc w:val="both"/>
              <w:textAlignment w:val="baseline"/>
              <w:rPr>
                <w:rFonts w:hint="default" w:ascii="Times New Roman" w:hAnsi="Times New Roman" w:eastAsia="Times New Roman" w:cs="Times New Roman"/>
                <w:color w:val="auto"/>
                <w:sz w:val="21"/>
                <w:szCs w:val="21"/>
              </w:rPr>
            </w:pPr>
            <w:r>
              <w:rPr>
                <w:rFonts w:hint="default" w:ascii="Times New Roman" w:hAnsi="Times New Roman" w:eastAsia="宋体" w:cs="Times New Roman"/>
                <w:snapToGrid w:val="0"/>
                <w:color w:val="auto"/>
                <w:kern w:val="0"/>
                <w:sz w:val="21"/>
                <w:szCs w:val="21"/>
                <w:lang w:val="en-US" w:eastAsia="zh-CN" w:bidi="ar"/>
              </w:rPr>
              <w:t>当工程占地规模大20km</w:t>
            </w:r>
            <w:r>
              <w:rPr>
                <w:rFonts w:hint="default" w:ascii="Times New Roman" w:hAnsi="Times New Roman" w:eastAsia="宋体" w:cs="Times New Roman"/>
                <w:snapToGrid w:val="0"/>
                <w:color w:val="auto"/>
                <w:kern w:val="0"/>
                <w:sz w:val="21"/>
                <w:szCs w:val="21"/>
                <w:vertAlign w:val="superscript"/>
                <w:lang w:val="en-US" w:eastAsia="zh-CN" w:bidi="ar"/>
              </w:rPr>
              <w:t>2</w:t>
            </w:r>
            <w:r>
              <w:rPr>
                <w:rFonts w:hint="default" w:ascii="Times New Roman" w:hAnsi="Times New Roman" w:eastAsia="宋体" w:cs="Times New Roman"/>
                <w:snapToGrid w:val="0"/>
                <w:color w:val="auto"/>
                <w:kern w:val="0"/>
                <w:sz w:val="21"/>
                <w:szCs w:val="21"/>
                <w:lang w:val="en-US" w:eastAsia="zh-CN" w:bidi="ar"/>
              </w:rPr>
              <w:t>时（包括永久和临时占用陆域和水域），评价等级不低于二级；改扩建项目的占地范围以新增占地（包括陆域和水域）确定；</w:t>
            </w:r>
          </w:p>
        </w:tc>
        <w:tc>
          <w:tcPr>
            <w:tcW w:w="2242" w:type="pct"/>
            <w:tcBorders>
              <w:tl2br w:val="nil"/>
              <w:tr2bl w:val="nil"/>
            </w:tcBorders>
            <w:vAlign w:val="center"/>
          </w:tcPr>
          <w:p w14:paraId="7B887977">
            <w:pPr>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lang w:val="en-US" w:eastAsia="zh-CN"/>
              </w:rPr>
              <w:t>本项目厂区占地面积为3.9999</w:t>
            </w:r>
            <w:r>
              <w:rPr>
                <w:rFonts w:hint="default" w:ascii="Times New Roman" w:hAnsi="Times New Roman" w:eastAsia="Times New Roman" w:cs="Times New Roman"/>
                <w:color w:val="auto"/>
                <w:sz w:val="21"/>
                <w:szCs w:val="21"/>
              </w:rPr>
              <w:t>hm</w:t>
            </w:r>
            <w:r>
              <w:rPr>
                <w:rFonts w:hint="default" w:ascii="Times New Roman" w:hAnsi="Times New Roman" w:eastAsia="Times New Roman" w:cs="Times New Roman"/>
                <w:color w:val="auto"/>
                <w:sz w:val="21"/>
                <w:szCs w:val="21"/>
                <w:vertAlign w:val="superscript"/>
              </w:rPr>
              <w:t>2</w:t>
            </w:r>
          </w:p>
        </w:tc>
      </w:tr>
      <w:tr w14:paraId="04099C9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60" w:type="pct"/>
            <w:tcBorders>
              <w:tl2br w:val="nil"/>
              <w:tr2bl w:val="nil"/>
            </w:tcBorders>
            <w:vAlign w:val="center"/>
          </w:tcPr>
          <w:p w14:paraId="5CAB260E">
            <w:pPr>
              <w:pStyle w:val="4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g</w:t>
            </w:r>
          </w:p>
        </w:tc>
        <w:tc>
          <w:tcPr>
            <w:tcW w:w="2396" w:type="pct"/>
            <w:tcBorders>
              <w:tl2br w:val="nil"/>
              <w:tr2bl w:val="nil"/>
            </w:tcBorders>
            <w:vAlign w:val="center"/>
          </w:tcPr>
          <w:p w14:paraId="6A425BB4">
            <w:pPr>
              <w:keepNext w:val="0"/>
              <w:keepLines w:val="0"/>
              <w:pageBreakBefore w:val="0"/>
              <w:widowControl/>
              <w:suppressLineNumbers w:val="0"/>
              <w:kinsoku/>
              <w:wordWrap w:val="0"/>
              <w:overflowPunct/>
              <w:topLinePunct w:val="0"/>
              <w:autoSpaceDE w:val="0"/>
              <w:autoSpaceDN w:val="0"/>
              <w:bidi w:val="0"/>
              <w:adjustRightInd w:val="0"/>
              <w:snapToGrid w:val="0"/>
              <w:jc w:val="both"/>
              <w:textAlignment w:val="baseline"/>
              <w:rPr>
                <w:rFonts w:hint="default" w:ascii="Times New Roman" w:hAnsi="Times New Roman" w:eastAsia="Times New Roman" w:cs="Times New Roman"/>
                <w:color w:val="auto"/>
                <w:sz w:val="21"/>
                <w:szCs w:val="21"/>
              </w:rPr>
            </w:pPr>
            <w:r>
              <w:rPr>
                <w:rFonts w:hint="default" w:ascii="Times New Roman" w:hAnsi="Times New Roman" w:eastAsia="宋体" w:cs="Times New Roman"/>
                <w:snapToGrid w:val="0"/>
                <w:color w:val="auto"/>
                <w:kern w:val="0"/>
                <w:sz w:val="21"/>
                <w:szCs w:val="21"/>
                <w:lang w:val="en-US" w:eastAsia="zh-CN" w:bidi="ar"/>
              </w:rPr>
              <w:t>除本条 a）、b）、c）、d）、e）、f）以外的情况，评价等级为三级；</w:t>
            </w:r>
          </w:p>
        </w:tc>
        <w:tc>
          <w:tcPr>
            <w:tcW w:w="2242" w:type="pct"/>
            <w:tcBorders>
              <w:tl2br w:val="nil"/>
              <w:tr2bl w:val="nil"/>
            </w:tcBorders>
            <w:vAlign w:val="center"/>
          </w:tcPr>
          <w:p w14:paraId="7E798587">
            <w:pPr>
              <w:keepNext w:val="0"/>
              <w:keepLines w:val="0"/>
              <w:pageBreakBefore w:val="0"/>
              <w:widowControl/>
              <w:kinsoku/>
              <w:wordWrap w:val="0"/>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eastAsia="zh-CN"/>
              </w:rPr>
            </w:pPr>
            <w:r>
              <w:rPr>
                <w:rFonts w:hAnsi="Times New Roman"/>
                <w:color w:val="000000"/>
              </w:rPr>
              <w:t>本项目属于除上述情况以外的情况，因此评价等级为三级。</w:t>
            </w:r>
          </w:p>
        </w:tc>
      </w:tr>
      <w:tr w14:paraId="720E002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60" w:type="pct"/>
            <w:tcBorders>
              <w:tl2br w:val="nil"/>
              <w:tr2bl w:val="nil"/>
            </w:tcBorders>
            <w:vAlign w:val="center"/>
          </w:tcPr>
          <w:p w14:paraId="4B55A2FA">
            <w:pPr>
              <w:pStyle w:val="42"/>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h</w:t>
            </w:r>
          </w:p>
        </w:tc>
        <w:tc>
          <w:tcPr>
            <w:tcW w:w="2396" w:type="pct"/>
            <w:tcBorders>
              <w:tl2br w:val="nil"/>
              <w:tr2bl w:val="nil"/>
            </w:tcBorders>
            <w:vAlign w:val="center"/>
          </w:tcPr>
          <w:p w14:paraId="29C86A34">
            <w:pPr>
              <w:keepNext w:val="0"/>
              <w:keepLines w:val="0"/>
              <w:pageBreakBefore w:val="0"/>
              <w:widowControl/>
              <w:suppressLineNumbers w:val="0"/>
              <w:kinsoku/>
              <w:wordWrap w:val="0"/>
              <w:overflowPunct/>
              <w:topLinePunct w:val="0"/>
              <w:autoSpaceDE w:val="0"/>
              <w:autoSpaceDN w:val="0"/>
              <w:bidi w:val="0"/>
              <w:adjustRightInd w:val="0"/>
              <w:snapToGrid w:val="0"/>
              <w:jc w:val="both"/>
              <w:textAlignment w:val="baseline"/>
              <w:rPr>
                <w:rFonts w:hint="default" w:ascii="Times New Roman" w:hAnsi="Times New Roman" w:eastAsia="Times New Roman" w:cs="Times New Roman"/>
                <w:color w:val="auto"/>
                <w:sz w:val="21"/>
                <w:szCs w:val="21"/>
              </w:rPr>
            </w:pPr>
            <w:r>
              <w:rPr>
                <w:rFonts w:hint="default" w:ascii="Times New Roman" w:hAnsi="Times New Roman" w:eastAsia="宋体" w:cs="Times New Roman"/>
                <w:snapToGrid w:val="0"/>
                <w:color w:val="auto"/>
                <w:kern w:val="0"/>
                <w:sz w:val="21"/>
                <w:szCs w:val="21"/>
                <w:lang w:val="en-US" w:eastAsia="zh-CN" w:bidi="ar"/>
              </w:rPr>
              <w:t>当评价等级判定同时符合上述多种情况时，应采用其中最高的评价等级。</w:t>
            </w:r>
          </w:p>
        </w:tc>
        <w:tc>
          <w:tcPr>
            <w:tcW w:w="2242" w:type="pct"/>
            <w:tcBorders>
              <w:tl2br w:val="nil"/>
              <w:tr2bl w:val="nil"/>
            </w:tcBorders>
            <w:vAlign w:val="center"/>
          </w:tcPr>
          <w:p w14:paraId="2AD0B93D">
            <w:pPr>
              <w:keepNext w:val="0"/>
              <w:keepLines w:val="0"/>
              <w:pageBreakBefore w:val="0"/>
              <w:widowControl/>
              <w:kinsoku/>
              <w:wordWrap w:val="0"/>
              <w:overflowPunct/>
              <w:topLinePunct w:val="0"/>
              <w:autoSpaceDE w:val="0"/>
              <w:autoSpaceDN w:val="0"/>
              <w:bidi w:val="0"/>
              <w:adjustRightInd w:val="0"/>
              <w:snapToGrid w:val="0"/>
              <w:spacing w:line="240" w:lineRule="auto"/>
              <w:ind w:right="0"/>
              <w:jc w:val="center"/>
              <w:textAlignment w:val="baseline"/>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w:t>
            </w:r>
          </w:p>
        </w:tc>
      </w:tr>
    </w:tbl>
    <w:p w14:paraId="5B44FD03">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由上表可知，本项目生态影响评价等级为三级。</w:t>
      </w:r>
    </w:p>
    <w:p w14:paraId="660178F0">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微软雅黑" w:cs="Times New Roman"/>
          <w:color w:val="FF0000"/>
          <w:sz w:val="24"/>
          <w:szCs w:val="24"/>
        </w:rPr>
      </w:pPr>
      <w:r>
        <w:rPr>
          <w:rFonts w:hint="default" w:ascii="Times New Roman" w:hAnsi="Times New Roman" w:eastAsia="宋体" w:cs="Times New Roman"/>
          <w:b/>
          <w:bCs/>
          <w:color w:val="auto"/>
          <w:spacing w:val="-1"/>
          <w:sz w:val="28"/>
          <w:szCs w:val="28"/>
        </w:rPr>
        <w:fldChar w:fldCharType="begin"/>
      </w:r>
      <w:r>
        <w:rPr>
          <w:rFonts w:hint="default" w:ascii="Times New Roman" w:hAnsi="Times New Roman" w:eastAsia="宋体" w:cs="Times New Roman"/>
          <w:b/>
          <w:bCs/>
          <w:color w:val="auto"/>
          <w:spacing w:val="-1"/>
          <w:sz w:val="28"/>
          <w:szCs w:val="28"/>
        </w:rPr>
        <w:instrText xml:space="preserve"> HYPERLINK "2.3.1.7" </w:instrText>
      </w:r>
      <w:r>
        <w:rPr>
          <w:rFonts w:hint="default" w:ascii="Times New Roman" w:hAnsi="Times New Roman" w:eastAsia="宋体" w:cs="Times New Roman"/>
          <w:b/>
          <w:bCs/>
          <w:color w:val="auto"/>
          <w:spacing w:val="-1"/>
          <w:sz w:val="28"/>
          <w:szCs w:val="28"/>
        </w:rPr>
        <w:fldChar w:fldCharType="separate"/>
      </w:r>
      <w:r>
        <w:rPr>
          <w:rFonts w:hint="default" w:ascii="Times New Roman" w:hAnsi="Times New Roman" w:eastAsia="宋体" w:cs="Times New Roman"/>
          <w:b/>
          <w:bCs/>
          <w:color w:val="auto"/>
          <w:spacing w:val="-1"/>
          <w:sz w:val="28"/>
          <w:szCs w:val="28"/>
        </w:rPr>
        <w:t>2.</w:t>
      </w:r>
      <w:r>
        <w:rPr>
          <w:rFonts w:hint="default" w:ascii="Times New Roman" w:hAnsi="Times New Roman" w:eastAsia="宋体" w:cs="Times New Roman"/>
          <w:b/>
          <w:bCs/>
          <w:color w:val="auto"/>
          <w:spacing w:val="-1"/>
          <w:sz w:val="28"/>
          <w:szCs w:val="28"/>
          <w:lang w:val="en-US" w:eastAsia="zh-CN"/>
        </w:rPr>
        <w:t>6</w:t>
      </w:r>
      <w:r>
        <w:rPr>
          <w:rFonts w:hint="default" w:ascii="Times New Roman" w:hAnsi="Times New Roman" w:eastAsia="宋体" w:cs="Times New Roman"/>
          <w:b/>
          <w:bCs/>
          <w:color w:val="auto"/>
          <w:spacing w:val="-1"/>
          <w:sz w:val="28"/>
          <w:szCs w:val="28"/>
        </w:rPr>
        <w:t>.1.7</w:t>
      </w:r>
      <w:r>
        <w:rPr>
          <w:rFonts w:hint="default" w:ascii="Times New Roman" w:hAnsi="Times New Roman" w:eastAsia="宋体" w:cs="Times New Roman"/>
          <w:b/>
          <w:bCs/>
          <w:color w:val="auto"/>
          <w:spacing w:val="-1"/>
          <w:sz w:val="28"/>
          <w:szCs w:val="28"/>
        </w:rPr>
        <w:fldChar w:fldCharType="end"/>
      </w:r>
      <w:r>
        <w:rPr>
          <w:rFonts w:hint="default" w:ascii="Times New Roman" w:hAnsi="Times New Roman" w:eastAsia="宋体" w:cs="Times New Roman"/>
          <w:b/>
          <w:bCs/>
          <w:color w:val="auto"/>
          <w:spacing w:val="-1"/>
          <w:sz w:val="28"/>
          <w:szCs w:val="28"/>
          <w:lang w:eastAsia="zh-CN"/>
        </w:rPr>
        <w:t>环境</w:t>
      </w:r>
      <w:r>
        <w:rPr>
          <w:rFonts w:hint="default" w:ascii="Times New Roman" w:hAnsi="Times New Roman" w:eastAsia="宋体" w:cs="Times New Roman"/>
          <w:b/>
          <w:bCs/>
          <w:color w:val="auto"/>
          <w:spacing w:val="-1"/>
          <w:sz w:val="28"/>
          <w:szCs w:val="28"/>
        </w:rPr>
        <w:t>风险评价等级</w:t>
      </w:r>
    </w:p>
    <w:p w14:paraId="6748155D">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根据《建设项目风险评价技术导则》</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HJ169-2018</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中关于环境风险潜势初判方式，首先按如下公式计算</w:t>
      </w:r>
      <w:r>
        <w:rPr>
          <w:rFonts w:hint="default" w:ascii="Times New Roman" w:hAnsi="Times New Roman" w:eastAsia="宋体" w:cs="Times New Roman"/>
          <w:color w:val="auto"/>
          <w:sz w:val="24"/>
          <w:szCs w:val="24"/>
          <w:lang w:val="en-US" w:eastAsia="zh-CN"/>
        </w:rPr>
        <w:t>危险物质在厂界内的最大存在总量</w:t>
      </w:r>
      <w:r>
        <w:rPr>
          <w:rFonts w:hint="default" w:ascii="Times New Roman" w:hAnsi="Times New Roman" w:eastAsia="宋体" w:cs="Times New Roman"/>
          <w:color w:val="auto"/>
          <w:sz w:val="24"/>
          <w:szCs w:val="24"/>
        </w:rPr>
        <w:t xml:space="preserve">与临界量比值 </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Q</w:t>
      </w:r>
      <w:r>
        <w:rPr>
          <w:rFonts w:hint="default" w:ascii="Times New Roman" w:hAnsi="Times New Roman" w:eastAsia="宋体" w:cs="Times New Roman"/>
          <w:color w:val="auto"/>
          <w:sz w:val="24"/>
          <w:szCs w:val="24"/>
          <w:lang w:eastAsia="zh-CN"/>
        </w:rPr>
        <w:t>）：</w:t>
      </w:r>
    </w:p>
    <w:p w14:paraId="12460529">
      <w:pPr>
        <w:pStyle w:val="13"/>
        <w:keepNext w:val="0"/>
        <w:keepLines w:val="0"/>
        <w:pageBreakBefore w:val="0"/>
        <w:widowControl/>
        <w:wordWrap/>
        <w:overflowPunct/>
        <w:topLinePunct w:val="0"/>
        <w:bidi w:val="0"/>
        <w:spacing w:line="360" w:lineRule="auto"/>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rPr>
        <w:drawing>
          <wp:inline distT="0" distB="0" distL="114300" distR="114300">
            <wp:extent cx="1588135" cy="472440"/>
            <wp:effectExtent l="0" t="0" r="12065"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8"/>
                    <a:stretch>
                      <a:fillRect/>
                    </a:stretch>
                  </pic:blipFill>
                  <pic:spPr>
                    <a:xfrm>
                      <a:off x="0" y="0"/>
                      <a:ext cx="1588135" cy="472440"/>
                    </a:xfrm>
                    <a:prstGeom prst="rect">
                      <a:avLst/>
                    </a:prstGeom>
                    <a:noFill/>
                    <a:ln>
                      <a:noFill/>
                    </a:ln>
                  </pic:spPr>
                </pic:pic>
              </a:graphicData>
            </a:graphic>
          </wp:inline>
        </w:drawing>
      </w:r>
    </w:p>
    <w:p w14:paraId="0FDFC2E2">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式中：</w:t>
      </w:r>
      <w:r>
        <w:rPr>
          <w:rFonts w:hint="default" w:ascii="Times New Roman" w:hAnsi="Times New Roman" w:eastAsia="宋体" w:cs="Times New Roman"/>
          <w:i/>
          <w:iCs/>
          <w:color w:val="auto"/>
          <w:sz w:val="24"/>
          <w:szCs w:val="24"/>
          <w:lang w:val="en-US" w:eastAsia="zh-CN"/>
        </w:rPr>
        <w:t>q</w:t>
      </w:r>
      <w:r>
        <w:rPr>
          <w:rFonts w:hint="default" w:ascii="Times New Roman" w:hAnsi="Times New Roman" w:eastAsia="宋体" w:cs="Times New Roman"/>
          <w:i/>
          <w:iCs/>
          <w:color w:val="auto"/>
          <w:sz w:val="24"/>
          <w:szCs w:val="24"/>
          <w:vertAlign w:val="subscript"/>
          <w:lang w:val="en-US" w:eastAsia="zh-CN"/>
        </w:rPr>
        <w:t>l</w:t>
      </w:r>
      <w:r>
        <w:rPr>
          <w:rFonts w:hint="default" w:ascii="Times New Roman" w:hAnsi="Times New Roman" w:eastAsia="宋体" w:cs="Times New Roman"/>
          <w:i/>
          <w:iCs/>
          <w:color w:val="auto"/>
          <w:sz w:val="24"/>
          <w:szCs w:val="24"/>
          <w:lang w:val="en-US" w:eastAsia="zh-CN"/>
        </w:rPr>
        <w:t>，q</w:t>
      </w:r>
      <w:r>
        <w:rPr>
          <w:rFonts w:hint="default" w:ascii="Times New Roman" w:hAnsi="Times New Roman" w:eastAsia="宋体" w:cs="Times New Roman"/>
          <w:i/>
          <w:iCs/>
          <w:color w:val="auto"/>
          <w:sz w:val="24"/>
          <w:szCs w:val="24"/>
          <w:vertAlign w:val="subscript"/>
          <w:lang w:val="en-US" w:eastAsia="zh-CN"/>
        </w:rPr>
        <w:t>2</w:t>
      </w:r>
      <w:r>
        <w:rPr>
          <w:rFonts w:hint="default" w:ascii="Times New Roman" w:hAnsi="Times New Roman" w:eastAsia="宋体" w:cs="Times New Roman"/>
          <w:i/>
          <w:iCs/>
          <w:color w:val="auto"/>
          <w:sz w:val="24"/>
          <w:szCs w:val="24"/>
          <w:lang w:val="en-US" w:eastAsia="zh-CN"/>
        </w:rPr>
        <w:t>，...，q</w:t>
      </w:r>
      <w:r>
        <w:rPr>
          <w:rFonts w:hint="default" w:ascii="Times New Roman" w:hAnsi="Times New Roman" w:eastAsia="宋体" w:cs="Times New Roman"/>
          <w:i/>
          <w:iCs/>
          <w:color w:val="auto"/>
          <w:sz w:val="24"/>
          <w:szCs w:val="24"/>
          <w:vertAlign w:val="subscript"/>
          <w:lang w:val="en-US" w:eastAsia="zh-CN"/>
        </w:rPr>
        <w:t>n</w:t>
      </w:r>
      <w:r>
        <w:rPr>
          <w:rFonts w:hint="default" w:ascii="Times New Roman" w:hAnsi="Times New Roman" w:eastAsia="宋体" w:cs="Times New Roman"/>
          <w:color w:val="auto"/>
          <w:sz w:val="24"/>
          <w:szCs w:val="24"/>
          <w:lang w:val="en-US" w:eastAsia="zh-CN"/>
        </w:rPr>
        <w:t>—每种危险物质的最大存在总量，t；</w:t>
      </w:r>
    </w:p>
    <w:p w14:paraId="04ED2060">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i/>
          <w:iCs/>
          <w:color w:val="auto"/>
          <w:sz w:val="24"/>
          <w:szCs w:val="24"/>
          <w:lang w:val="en-US" w:eastAsia="zh-CN"/>
        </w:rPr>
        <w:t>Q</w:t>
      </w:r>
      <w:r>
        <w:rPr>
          <w:rFonts w:hint="default" w:ascii="Times New Roman" w:hAnsi="Times New Roman" w:eastAsia="宋体" w:cs="Times New Roman"/>
          <w:i/>
          <w:iCs/>
          <w:color w:val="auto"/>
          <w:sz w:val="24"/>
          <w:szCs w:val="24"/>
          <w:vertAlign w:val="subscript"/>
          <w:lang w:val="en-US" w:eastAsia="zh-CN"/>
        </w:rPr>
        <w:t>1</w:t>
      </w:r>
      <w:r>
        <w:rPr>
          <w:rFonts w:hint="default" w:ascii="Times New Roman" w:hAnsi="Times New Roman" w:eastAsia="宋体" w:cs="Times New Roman"/>
          <w:i/>
          <w:iCs/>
          <w:color w:val="auto"/>
          <w:sz w:val="24"/>
          <w:szCs w:val="24"/>
          <w:lang w:val="en-US" w:eastAsia="zh-CN"/>
        </w:rPr>
        <w:t>，Q</w:t>
      </w:r>
      <w:r>
        <w:rPr>
          <w:rFonts w:hint="default" w:ascii="Times New Roman" w:hAnsi="Times New Roman" w:eastAsia="宋体" w:cs="Times New Roman"/>
          <w:i/>
          <w:iCs/>
          <w:color w:val="auto"/>
          <w:sz w:val="24"/>
          <w:szCs w:val="24"/>
          <w:vertAlign w:val="subscript"/>
          <w:lang w:val="en-US" w:eastAsia="zh-CN"/>
        </w:rPr>
        <w:t>2</w:t>
      </w:r>
      <w:r>
        <w:rPr>
          <w:rFonts w:hint="default" w:ascii="Times New Roman" w:hAnsi="Times New Roman" w:eastAsia="宋体" w:cs="Times New Roman"/>
          <w:i/>
          <w:iCs/>
          <w:color w:val="auto"/>
          <w:sz w:val="24"/>
          <w:szCs w:val="24"/>
          <w:lang w:val="en-US" w:eastAsia="zh-CN"/>
        </w:rPr>
        <w:t>，...，Q</w:t>
      </w:r>
      <w:r>
        <w:rPr>
          <w:rFonts w:hint="default" w:ascii="Times New Roman" w:hAnsi="Times New Roman" w:eastAsia="宋体" w:cs="Times New Roman"/>
          <w:i/>
          <w:iCs/>
          <w:color w:val="auto"/>
          <w:sz w:val="24"/>
          <w:szCs w:val="24"/>
          <w:vertAlign w:val="subscript"/>
          <w:lang w:val="en-US" w:eastAsia="zh-CN"/>
        </w:rPr>
        <w:t>n</w:t>
      </w:r>
      <w:r>
        <w:rPr>
          <w:rFonts w:hint="default" w:ascii="Times New Roman" w:hAnsi="Times New Roman" w:eastAsia="宋体" w:cs="Times New Roman"/>
          <w:color w:val="auto"/>
          <w:sz w:val="24"/>
          <w:szCs w:val="24"/>
          <w:lang w:val="en-US" w:eastAsia="zh-CN"/>
        </w:rPr>
        <w:t>—每种危险物质的临界量，t。</w:t>
      </w:r>
    </w:p>
    <w:p w14:paraId="0062EE58">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当</w:t>
      </w:r>
      <w:r>
        <w:rPr>
          <w:rFonts w:hint="default" w:ascii="Times New Roman" w:hAnsi="Times New Roman" w:eastAsia="宋体" w:cs="Times New Roman"/>
          <w:i/>
          <w:iCs/>
          <w:color w:val="auto"/>
          <w:sz w:val="24"/>
          <w:szCs w:val="24"/>
          <w:lang w:val="en-US" w:eastAsia="zh-CN"/>
        </w:rPr>
        <w:t>Q</w:t>
      </w:r>
      <w:r>
        <w:rPr>
          <w:rFonts w:hint="default" w:ascii="Times New Roman" w:hAnsi="Times New Roman" w:eastAsia="宋体" w:cs="Times New Roman"/>
          <w:color w:val="auto"/>
          <w:sz w:val="24"/>
          <w:szCs w:val="24"/>
          <w:lang w:val="en-US" w:eastAsia="zh-CN"/>
        </w:rPr>
        <w:t>&lt;1时，该项目环境风险潜势为I。</w:t>
      </w:r>
    </w:p>
    <w:p w14:paraId="3FE4CC57">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当</w:t>
      </w:r>
      <w:r>
        <w:rPr>
          <w:rFonts w:hint="default" w:ascii="Times New Roman" w:hAnsi="Times New Roman" w:eastAsia="宋体" w:cs="Times New Roman"/>
          <w:i/>
          <w:iCs/>
          <w:color w:val="auto"/>
          <w:sz w:val="24"/>
          <w:szCs w:val="24"/>
          <w:lang w:val="en-US" w:eastAsia="zh-CN"/>
        </w:rPr>
        <w:t>Q</w:t>
      </w:r>
      <w:r>
        <w:rPr>
          <w:rFonts w:hint="default" w:ascii="Times New Roman" w:hAnsi="Times New Roman" w:eastAsia="宋体" w:cs="Times New Roman"/>
          <w:color w:val="auto"/>
          <w:sz w:val="24"/>
          <w:szCs w:val="24"/>
          <w:lang w:val="en-US" w:eastAsia="zh-CN"/>
        </w:rPr>
        <w:t>≥1时，将</w:t>
      </w:r>
      <w:r>
        <w:rPr>
          <w:rFonts w:hint="default" w:ascii="Times New Roman" w:hAnsi="Times New Roman" w:eastAsia="宋体" w:cs="Times New Roman"/>
          <w:i/>
          <w:iCs/>
          <w:color w:val="auto"/>
          <w:sz w:val="24"/>
          <w:szCs w:val="24"/>
          <w:lang w:val="en-US" w:eastAsia="zh-CN"/>
        </w:rPr>
        <w:t>Q</w:t>
      </w:r>
      <w:r>
        <w:rPr>
          <w:rFonts w:hint="default" w:ascii="Times New Roman" w:hAnsi="Times New Roman" w:eastAsia="宋体" w:cs="Times New Roman"/>
          <w:color w:val="auto"/>
          <w:sz w:val="24"/>
          <w:szCs w:val="24"/>
          <w:lang w:val="en-US" w:eastAsia="zh-CN"/>
        </w:rPr>
        <w:t>值划分为：(1)1≤</w:t>
      </w:r>
      <w:r>
        <w:rPr>
          <w:rFonts w:hint="default" w:ascii="Times New Roman" w:hAnsi="Times New Roman" w:eastAsia="宋体" w:cs="Times New Roman"/>
          <w:i/>
          <w:iCs/>
          <w:color w:val="auto"/>
          <w:sz w:val="24"/>
          <w:szCs w:val="24"/>
          <w:lang w:val="en-US" w:eastAsia="zh-CN"/>
        </w:rPr>
        <w:t>Q</w:t>
      </w:r>
      <w:r>
        <w:rPr>
          <w:rFonts w:hint="default" w:ascii="Times New Roman" w:hAnsi="Times New Roman" w:eastAsia="宋体" w:cs="Times New Roman"/>
          <w:color w:val="auto"/>
          <w:sz w:val="24"/>
          <w:szCs w:val="24"/>
          <w:lang w:val="en-US" w:eastAsia="zh-CN"/>
        </w:rPr>
        <w:t>&lt;10；(2)10≤</w:t>
      </w:r>
      <w:r>
        <w:rPr>
          <w:rFonts w:hint="default" w:ascii="Times New Roman" w:hAnsi="Times New Roman" w:eastAsia="宋体" w:cs="Times New Roman"/>
          <w:i/>
          <w:iCs/>
          <w:color w:val="auto"/>
          <w:sz w:val="24"/>
          <w:szCs w:val="24"/>
          <w:lang w:val="en-US" w:eastAsia="zh-CN"/>
        </w:rPr>
        <w:t>Q</w:t>
      </w:r>
      <w:r>
        <w:rPr>
          <w:rFonts w:hint="default" w:ascii="Times New Roman" w:hAnsi="Times New Roman" w:eastAsia="宋体" w:cs="Times New Roman"/>
          <w:color w:val="auto"/>
          <w:sz w:val="24"/>
          <w:szCs w:val="24"/>
          <w:lang w:val="en-US" w:eastAsia="zh-CN"/>
        </w:rPr>
        <w:t>&lt;100；(3)</w:t>
      </w:r>
      <w:r>
        <w:rPr>
          <w:rFonts w:hint="default" w:ascii="Times New Roman" w:hAnsi="Times New Roman" w:eastAsia="宋体" w:cs="Times New Roman"/>
          <w:i/>
          <w:iCs/>
          <w:color w:val="auto"/>
          <w:sz w:val="24"/>
          <w:szCs w:val="24"/>
          <w:lang w:val="en-US" w:eastAsia="zh-CN"/>
        </w:rPr>
        <w:t>Q</w:t>
      </w:r>
      <w:r>
        <w:rPr>
          <w:rFonts w:hint="default" w:ascii="Times New Roman" w:hAnsi="Times New Roman" w:eastAsia="宋体" w:cs="Times New Roman"/>
          <w:color w:val="auto"/>
          <w:sz w:val="24"/>
          <w:szCs w:val="24"/>
          <w:lang w:val="en-US" w:eastAsia="zh-CN"/>
        </w:rPr>
        <w:t>≥100。</w:t>
      </w:r>
    </w:p>
    <w:p w14:paraId="258CC347">
      <w:pPr>
        <w:keepNext w:val="0"/>
        <w:keepLines w:val="0"/>
        <w:pageBreakBefore w:val="0"/>
        <w:widowControl/>
        <w:wordWrap/>
        <w:overflowPunct/>
        <w:topLinePunct w:val="0"/>
        <w:bidi w:val="0"/>
        <w:spacing w:line="360" w:lineRule="auto"/>
        <w:ind w:firstLine="480"/>
        <w:rPr>
          <w:rFonts w:ascii="Times New Roman" w:hAnsi="Times New Roman"/>
          <w:color w:val="auto"/>
          <w:sz w:val="24"/>
          <w:szCs w:val="24"/>
        </w:rPr>
      </w:pPr>
      <w:r>
        <w:rPr>
          <w:rFonts w:ascii="Times New Roman" w:hAnsi="Times New Roman"/>
          <w:color w:val="auto"/>
          <w:sz w:val="24"/>
          <w:szCs w:val="24"/>
        </w:rPr>
        <w:t>本项目涉及的危险物质数量和分布情况及其临界量如下表所示。</w:t>
      </w:r>
    </w:p>
    <w:p w14:paraId="2AA65F68">
      <w:pPr>
        <w:pStyle w:val="76"/>
        <w:bidi w:val="0"/>
        <w:rPr>
          <w:rFonts w:hint="eastAsia" w:ascii="Times New Roman" w:hAnsi="Times New Roman" w:eastAsia="宋体" w:cs="Times New Roman"/>
          <w:b/>
          <w:bCs/>
          <w:snapToGrid w:val="0"/>
          <w:color w:val="auto"/>
          <w:kern w:val="0"/>
          <w:sz w:val="24"/>
          <w:szCs w:val="21"/>
          <w:highlight w:val="none"/>
          <w:lang w:val="en-US" w:eastAsia="zh-CN" w:bidi="ar-SA"/>
        </w:rPr>
      </w:pPr>
      <w:r>
        <w:rPr>
          <w:rFonts w:hint="eastAsia" w:ascii="Times New Roman" w:hAnsi="Times New Roman" w:eastAsia="宋体" w:cs="Times New Roman"/>
          <w:b/>
          <w:bCs/>
          <w:snapToGrid w:val="0"/>
          <w:color w:val="auto"/>
          <w:kern w:val="0"/>
          <w:sz w:val="24"/>
          <w:szCs w:val="21"/>
          <w:highlight w:val="none"/>
          <w:lang w:val="en-US" w:eastAsia="zh-CN" w:bidi="ar-SA"/>
        </w:rPr>
        <w:t>表2.6-20  项目涉及危险物质存储及临界量对照调查表</w:t>
      </w:r>
    </w:p>
    <w:tbl>
      <w:tblPr>
        <w:tblStyle w:val="2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4"/>
        <w:gridCol w:w="1817"/>
        <w:gridCol w:w="1303"/>
        <w:gridCol w:w="1442"/>
        <w:gridCol w:w="1442"/>
        <w:gridCol w:w="1027"/>
        <w:gridCol w:w="1506"/>
      </w:tblGrid>
      <w:tr w14:paraId="379E71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1" w:type="pct"/>
            <w:noWrap w:val="0"/>
            <w:vAlign w:val="center"/>
          </w:tcPr>
          <w:p w14:paraId="47FB70F3">
            <w:pPr>
              <w:pStyle w:val="78"/>
              <w:bidi w:val="0"/>
              <w:rPr>
                <w:rFonts w:hint="default"/>
                <w:color w:val="auto"/>
                <w:highlight w:val="none"/>
              </w:rPr>
            </w:pPr>
            <w:r>
              <w:rPr>
                <w:rFonts w:hint="default"/>
                <w:color w:val="auto"/>
                <w:highlight w:val="none"/>
              </w:rPr>
              <w:t>序号</w:t>
            </w:r>
          </w:p>
        </w:tc>
        <w:tc>
          <w:tcPr>
            <w:tcW w:w="1681" w:type="pct"/>
            <w:gridSpan w:val="2"/>
            <w:noWrap w:val="0"/>
            <w:vAlign w:val="center"/>
          </w:tcPr>
          <w:p w14:paraId="1B4C72A9">
            <w:pPr>
              <w:pStyle w:val="78"/>
              <w:bidi w:val="0"/>
              <w:rPr>
                <w:rFonts w:hint="default"/>
                <w:color w:val="auto"/>
                <w:highlight w:val="none"/>
              </w:rPr>
            </w:pPr>
            <w:r>
              <w:rPr>
                <w:rFonts w:hint="default"/>
                <w:color w:val="auto"/>
                <w:highlight w:val="none"/>
              </w:rPr>
              <w:t>危险物质名称</w:t>
            </w:r>
          </w:p>
        </w:tc>
        <w:tc>
          <w:tcPr>
            <w:tcW w:w="777" w:type="pct"/>
            <w:noWrap w:val="0"/>
            <w:vAlign w:val="center"/>
          </w:tcPr>
          <w:p w14:paraId="1B40E451">
            <w:pPr>
              <w:pStyle w:val="78"/>
              <w:bidi w:val="0"/>
              <w:rPr>
                <w:rFonts w:hint="default" w:eastAsia="宋体"/>
                <w:color w:val="auto"/>
                <w:highlight w:val="none"/>
                <w:lang w:val="en-US" w:eastAsia="zh-CN"/>
              </w:rPr>
            </w:pPr>
            <w:r>
              <w:rPr>
                <w:rFonts w:hint="eastAsia"/>
                <w:color w:val="auto"/>
                <w:highlight w:val="none"/>
                <w:lang w:val="en-US" w:eastAsia="zh-CN"/>
              </w:rPr>
              <w:t>CAS号</w:t>
            </w:r>
          </w:p>
        </w:tc>
        <w:tc>
          <w:tcPr>
            <w:tcW w:w="777" w:type="pct"/>
            <w:noWrap w:val="0"/>
            <w:vAlign w:val="center"/>
          </w:tcPr>
          <w:p w14:paraId="295496B3">
            <w:pPr>
              <w:pStyle w:val="78"/>
              <w:bidi w:val="0"/>
              <w:rPr>
                <w:rFonts w:hint="default"/>
                <w:color w:val="auto"/>
                <w:highlight w:val="none"/>
                <w:lang w:eastAsia="zh-CN"/>
              </w:rPr>
            </w:pPr>
            <w:r>
              <w:rPr>
                <w:rFonts w:hint="default"/>
                <w:color w:val="auto"/>
                <w:highlight w:val="none"/>
              </w:rPr>
              <w:t>最大存在总量</w:t>
            </w:r>
            <w:r>
              <w:rPr>
                <w:rFonts w:hint="default"/>
                <w:color w:val="auto"/>
                <w:highlight w:val="none"/>
                <w:lang w:eastAsia="zh-CN"/>
              </w:rPr>
              <w:t>（</w:t>
            </w:r>
            <w:r>
              <w:rPr>
                <w:rFonts w:hint="default"/>
                <w:color w:val="auto"/>
                <w:highlight w:val="none"/>
              </w:rPr>
              <w:t>t</w:t>
            </w:r>
            <w:r>
              <w:rPr>
                <w:rFonts w:hint="default"/>
                <w:color w:val="auto"/>
                <w:highlight w:val="none"/>
                <w:lang w:eastAsia="zh-CN"/>
              </w:rPr>
              <w:t>）</w:t>
            </w:r>
          </w:p>
        </w:tc>
        <w:tc>
          <w:tcPr>
            <w:tcW w:w="549" w:type="pct"/>
            <w:noWrap w:val="0"/>
            <w:vAlign w:val="center"/>
          </w:tcPr>
          <w:p w14:paraId="10A65DF9">
            <w:pPr>
              <w:pStyle w:val="78"/>
              <w:bidi w:val="0"/>
              <w:rPr>
                <w:rFonts w:hint="default"/>
                <w:color w:val="auto"/>
                <w:highlight w:val="none"/>
              </w:rPr>
            </w:pPr>
            <w:r>
              <w:rPr>
                <w:rFonts w:hint="default"/>
                <w:color w:val="auto"/>
                <w:highlight w:val="none"/>
              </w:rPr>
              <w:t>临界量</w:t>
            </w:r>
            <w:r>
              <w:rPr>
                <w:rFonts w:hint="default"/>
                <w:color w:val="auto"/>
                <w:highlight w:val="none"/>
                <w:lang w:eastAsia="zh-CN"/>
              </w:rPr>
              <w:t>（</w:t>
            </w:r>
            <w:r>
              <w:rPr>
                <w:rFonts w:hint="default"/>
                <w:color w:val="auto"/>
                <w:highlight w:val="none"/>
              </w:rPr>
              <w:t>t</w:t>
            </w:r>
            <w:r>
              <w:rPr>
                <w:rFonts w:hint="default"/>
                <w:color w:val="auto"/>
                <w:highlight w:val="none"/>
                <w:lang w:eastAsia="zh-CN"/>
              </w:rPr>
              <w:t>）</w:t>
            </w:r>
          </w:p>
        </w:tc>
        <w:tc>
          <w:tcPr>
            <w:tcW w:w="811" w:type="pct"/>
            <w:noWrap w:val="0"/>
            <w:vAlign w:val="center"/>
          </w:tcPr>
          <w:p w14:paraId="4A2CEF90">
            <w:pPr>
              <w:pStyle w:val="78"/>
              <w:bidi w:val="0"/>
              <w:rPr>
                <w:rFonts w:hint="default"/>
                <w:color w:val="auto"/>
                <w:highlight w:val="none"/>
              </w:rPr>
            </w:pPr>
            <w:r>
              <w:rPr>
                <w:rFonts w:hint="default"/>
                <w:color w:val="auto"/>
                <w:highlight w:val="none"/>
              </w:rPr>
              <w:t>该种危险物质Q值</w:t>
            </w:r>
          </w:p>
        </w:tc>
      </w:tr>
      <w:tr w14:paraId="51283A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1" w:type="pct"/>
            <w:noWrap w:val="0"/>
            <w:vAlign w:val="center"/>
          </w:tcPr>
          <w:p w14:paraId="43BD96A5">
            <w:pPr>
              <w:pStyle w:val="78"/>
              <w:bidi w:val="0"/>
              <w:rPr>
                <w:rFonts w:hint="default"/>
                <w:color w:val="auto"/>
                <w:highlight w:val="none"/>
                <w:lang w:val="en-US" w:eastAsia="zh-CN"/>
              </w:rPr>
            </w:pPr>
            <w:r>
              <w:rPr>
                <w:rFonts w:hint="default"/>
                <w:color w:val="auto"/>
                <w:highlight w:val="none"/>
                <w:lang w:val="en-US" w:eastAsia="zh-CN"/>
              </w:rPr>
              <w:t>1</w:t>
            </w:r>
          </w:p>
        </w:tc>
        <w:tc>
          <w:tcPr>
            <w:tcW w:w="979" w:type="pct"/>
            <w:noWrap w:val="0"/>
            <w:vAlign w:val="center"/>
          </w:tcPr>
          <w:p w14:paraId="31F6A29C">
            <w:pPr>
              <w:pStyle w:val="78"/>
              <w:bidi w:val="0"/>
              <w:rPr>
                <w:rFonts w:hint="default"/>
                <w:color w:val="auto"/>
                <w:highlight w:val="none"/>
                <w:lang w:val="en-US" w:eastAsia="zh-CN"/>
              </w:rPr>
            </w:pPr>
            <w:r>
              <w:rPr>
                <w:rFonts w:hint="eastAsia"/>
                <w:color w:val="auto"/>
                <w:highlight w:val="none"/>
                <w:lang w:val="en-US" w:eastAsia="zh-CN"/>
              </w:rPr>
              <w:t>油漆、稀释剂、固化剂</w:t>
            </w:r>
          </w:p>
        </w:tc>
        <w:tc>
          <w:tcPr>
            <w:tcW w:w="701" w:type="pct"/>
            <w:noWrap w:val="0"/>
            <w:vAlign w:val="center"/>
          </w:tcPr>
          <w:p w14:paraId="509EF989">
            <w:pPr>
              <w:pStyle w:val="78"/>
              <w:bidi w:val="0"/>
              <w:rPr>
                <w:rFonts w:hint="default"/>
                <w:color w:val="auto"/>
                <w:highlight w:val="none"/>
                <w:lang w:val="en-US" w:eastAsia="zh-CN"/>
              </w:rPr>
            </w:pPr>
            <w:r>
              <w:rPr>
                <w:rFonts w:hint="eastAsia"/>
                <w:color w:val="auto"/>
                <w:highlight w:val="none"/>
                <w:lang w:val="en-US" w:eastAsia="zh-CN"/>
              </w:rPr>
              <w:t>乙酸乙酯</w:t>
            </w:r>
          </w:p>
        </w:tc>
        <w:tc>
          <w:tcPr>
            <w:tcW w:w="777" w:type="pct"/>
            <w:noWrap w:val="0"/>
            <w:vAlign w:val="center"/>
          </w:tcPr>
          <w:p w14:paraId="700286C7">
            <w:pPr>
              <w:pStyle w:val="78"/>
              <w:bidi w:val="0"/>
              <w:ind w:firstLine="0" w:firstLineChars="0"/>
              <w:rPr>
                <w:rFonts w:hint="default"/>
                <w:color w:val="auto"/>
                <w:highlight w:val="none"/>
                <w:lang w:val="en-US" w:eastAsia="zh-CN"/>
              </w:rPr>
            </w:pPr>
            <w:r>
              <w:rPr>
                <w:rFonts w:hint="eastAsia"/>
                <w:color w:val="auto"/>
                <w:highlight w:val="none"/>
                <w:lang w:val="en-US" w:eastAsia="zh-CN"/>
              </w:rPr>
              <w:t>141-78-6</w:t>
            </w:r>
          </w:p>
        </w:tc>
        <w:tc>
          <w:tcPr>
            <w:tcW w:w="777" w:type="pct"/>
            <w:noWrap w:val="0"/>
            <w:vAlign w:val="center"/>
          </w:tcPr>
          <w:p w14:paraId="006D58BF">
            <w:pPr>
              <w:pStyle w:val="78"/>
              <w:bidi w:val="0"/>
              <w:ind w:firstLine="0" w:firstLineChars="0"/>
              <w:rPr>
                <w:rFonts w:hint="default"/>
                <w:color w:val="auto"/>
                <w:highlight w:val="none"/>
                <w:lang w:val="en-US" w:eastAsia="zh-CN"/>
              </w:rPr>
            </w:pPr>
            <w:r>
              <w:rPr>
                <w:rFonts w:hint="eastAsia"/>
                <w:color w:val="auto"/>
                <w:highlight w:val="none"/>
                <w:lang w:val="en-US" w:eastAsia="zh-CN"/>
              </w:rPr>
              <w:t>6.3</w:t>
            </w:r>
          </w:p>
        </w:tc>
        <w:tc>
          <w:tcPr>
            <w:tcW w:w="549" w:type="pct"/>
            <w:noWrap w:val="0"/>
            <w:vAlign w:val="center"/>
          </w:tcPr>
          <w:p w14:paraId="03316FC0">
            <w:pPr>
              <w:pStyle w:val="78"/>
              <w:bidi w:val="0"/>
              <w:rPr>
                <w:rFonts w:hint="default"/>
                <w:color w:val="auto"/>
                <w:highlight w:val="none"/>
                <w:lang w:val="en-US" w:eastAsia="zh-CN"/>
              </w:rPr>
            </w:pPr>
            <w:r>
              <w:rPr>
                <w:rFonts w:hint="eastAsia"/>
                <w:color w:val="auto"/>
                <w:highlight w:val="none"/>
                <w:lang w:val="en-US" w:eastAsia="zh-CN"/>
              </w:rPr>
              <w:t>10</w:t>
            </w:r>
          </w:p>
        </w:tc>
        <w:tc>
          <w:tcPr>
            <w:tcW w:w="811" w:type="pct"/>
            <w:noWrap w:val="0"/>
            <w:vAlign w:val="center"/>
          </w:tcPr>
          <w:p w14:paraId="1FA371CB">
            <w:pPr>
              <w:pStyle w:val="78"/>
              <w:bidi w:val="0"/>
              <w:rPr>
                <w:rFonts w:hint="default"/>
                <w:color w:val="auto"/>
                <w:lang w:val="en-US" w:eastAsia="zh-CN"/>
              </w:rPr>
            </w:pPr>
            <w:r>
              <w:rPr>
                <w:rFonts w:hint="eastAsia"/>
                <w:color w:val="auto"/>
                <w:lang w:val="en-US" w:eastAsia="zh-CN"/>
              </w:rPr>
              <w:t>0.63</w:t>
            </w:r>
          </w:p>
        </w:tc>
      </w:tr>
      <w:tr w14:paraId="59A8DA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1" w:type="pct"/>
            <w:noWrap w:val="0"/>
            <w:vAlign w:val="center"/>
          </w:tcPr>
          <w:p w14:paraId="601841B5">
            <w:pPr>
              <w:pStyle w:val="78"/>
              <w:bidi w:val="0"/>
              <w:rPr>
                <w:rFonts w:hint="default"/>
                <w:color w:val="auto"/>
                <w:highlight w:val="none"/>
                <w:lang w:val="en-US" w:eastAsia="zh-CN"/>
              </w:rPr>
            </w:pPr>
            <w:r>
              <w:rPr>
                <w:rFonts w:hint="eastAsia"/>
                <w:color w:val="auto"/>
                <w:highlight w:val="none"/>
                <w:lang w:val="en-US" w:eastAsia="zh-CN"/>
              </w:rPr>
              <w:t>2</w:t>
            </w:r>
          </w:p>
        </w:tc>
        <w:tc>
          <w:tcPr>
            <w:tcW w:w="979" w:type="pct"/>
            <w:noWrap w:val="0"/>
            <w:vAlign w:val="center"/>
          </w:tcPr>
          <w:p w14:paraId="6833AB87">
            <w:pPr>
              <w:pStyle w:val="78"/>
              <w:bidi w:val="0"/>
              <w:rPr>
                <w:rFonts w:hint="default"/>
                <w:color w:val="auto"/>
                <w:highlight w:val="none"/>
                <w:lang w:val="en-US" w:eastAsia="zh-CN"/>
              </w:rPr>
            </w:pPr>
            <w:r>
              <w:rPr>
                <w:rFonts w:hint="eastAsia"/>
                <w:color w:val="auto"/>
                <w:highlight w:val="none"/>
                <w:lang w:val="en-US" w:eastAsia="zh-CN"/>
              </w:rPr>
              <w:t>废矿物油</w:t>
            </w:r>
          </w:p>
        </w:tc>
        <w:tc>
          <w:tcPr>
            <w:tcW w:w="701" w:type="pct"/>
            <w:noWrap w:val="0"/>
            <w:vAlign w:val="center"/>
          </w:tcPr>
          <w:p w14:paraId="165930D9">
            <w:pPr>
              <w:pStyle w:val="78"/>
              <w:bidi w:val="0"/>
              <w:rPr>
                <w:rFonts w:hint="default"/>
                <w:color w:val="auto"/>
                <w:highlight w:val="none"/>
                <w:lang w:val="en-US" w:eastAsia="zh-CN"/>
              </w:rPr>
            </w:pPr>
            <w:r>
              <w:rPr>
                <w:rFonts w:hint="eastAsia"/>
                <w:color w:val="auto"/>
                <w:highlight w:val="none"/>
                <w:lang w:val="en-US" w:eastAsia="zh-CN"/>
              </w:rPr>
              <w:t>油类物质</w:t>
            </w:r>
          </w:p>
        </w:tc>
        <w:tc>
          <w:tcPr>
            <w:tcW w:w="777" w:type="pct"/>
            <w:noWrap w:val="0"/>
            <w:vAlign w:val="center"/>
          </w:tcPr>
          <w:p w14:paraId="00221751">
            <w:pPr>
              <w:pStyle w:val="78"/>
              <w:bidi w:val="0"/>
              <w:rPr>
                <w:rFonts w:hint="default"/>
                <w:color w:val="auto"/>
                <w:highlight w:val="none"/>
                <w:lang w:val="en-US" w:eastAsia="zh-CN"/>
              </w:rPr>
            </w:pPr>
            <w:r>
              <w:rPr>
                <w:rFonts w:hint="eastAsia"/>
                <w:color w:val="auto"/>
                <w:highlight w:val="none"/>
                <w:lang w:val="en-US" w:eastAsia="zh-CN"/>
              </w:rPr>
              <w:t>/</w:t>
            </w:r>
          </w:p>
        </w:tc>
        <w:tc>
          <w:tcPr>
            <w:tcW w:w="777" w:type="pct"/>
            <w:noWrap w:val="0"/>
            <w:vAlign w:val="center"/>
          </w:tcPr>
          <w:p w14:paraId="1412AC5C">
            <w:pPr>
              <w:pStyle w:val="78"/>
              <w:bidi w:val="0"/>
              <w:rPr>
                <w:rFonts w:hint="default"/>
                <w:color w:val="auto"/>
                <w:highlight w:val="none"/>
                <w:lang w:val="en-US" w:eastAsia="zh-CN"/>
              </w:rPr>
            </w:pPr>
            <w:r>
              <w:rPr>
                <w:rFonts w:hint="eastAsia"/>
                <w:color w:val="auto"/>
                <w:highlight w:val="none"/>
                <w:lang w:val="en-US" w:eastAsia="zh-CN"/>
              </w:rPr>
              <w:t>0.3</w:t>
            </w:r>
          </w:p>
        </w:tc>
        <w:tc>
          <w:tcPr>
            <w:tcW w:w="549" w:type="pct"/>
            <w:noWrap w:val="0"/>
            <w:vAlign w:val="center"/>
          </w:tcPr>
          <w:p w14:paraId="79B4BE79">
            <w:pPr>
              <w:pStyle w:val="78"/>
              <w:bidi w:val="0"/>
              <w:rPr>
                <w:rFonts w:hint="default" w:eastAsia="宋体"/>
                <w:color w:val="auto"/>
                <w:highlight w:val="none"/>
                <w:lang w:val="en-US" w:eastAsia="zh-CN"/>
              </w:rPr>
            </w:pPr>
            <w:r>
              <w:rPr>
                <w:rFonts w:hint="eastAsia"/>
                <w:color w:val="auto"/>
                <w:highlight w:val="none"/>
                <w:lang w:val="en-US" w:eastAsia="zh-CN"/>
              </w:rPr>
              <w:t>2500</w:t>
            </w:r>
          </w:p>
        </w:tc>
        <w:tc>
          <w:tcPr>
            <w:tcW w:w="811" w:type="pct"/>
            <w:noWrap w:val="0"/>
            <w:vAlign w:val="center"/>
          </w:tcPr>
          <w:p w14:paraId="2897E5A1">
            <w:pPr>
              <w:pStyle w:val="78"/>
              <w:bidi w:val="0"/>
              <w:rPr>
                <w:rFonts w:hint="default"/>
                <w:color w:val="auto"/>
                <w:lang w:val="en-US" w:eastAsia="zh-CN"/>
              </w:rPr>
            </w:pPr>
            <w:r>
              <w:rPr>
                <w:rFonts w:hint="eastAsia"/>
                <w:color w:val="auto"/>
                <w:lang w:val="en-US" w:eastAsia="zh-CN"/>
              </w:rPr>
              <w:t>0.00012</w:t>
            </w:r>
          </w:p>
        </w:tc>
      </w:tr>
      <w:tr w14:paraId="5C8582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1" w:type="pct"/>
            <w:noWrap w:val="0"/>
            <w:vAlign w:val="center"/>
          </w:tcPr>
          <w:p w14:paraId="3A79795B">
            <w:pPr>
              <w:pStyle w:val="78"/>
              <w:bidi w:val="0"/>
              <w:rPr>
                <w:rFonts w:hint="default"/>
                <w:color w:val="auto"/>
                <w:highlight w:val="none"/>
                <w:lang w:val="en-US" w:eastAsia="zh-CN"/>
              </w:rPr>
            </w:pPr>
            <w:r>
              <w:rPr>
                <w:rFonts w:hint="eastAsia"/>
                <w:color w:val="auto"/>
                <w:highlight w:val="none"/>
                <w:lang w:val="en-US" w:eastAsia="zh-CN"/>
              </w:rPr>
              <w:t>3</w:t>
            </w:r>
          </w:p>
        </w:tc>
        <w:tc>
          <w:tcPr>
            <w:tcW w:w="979" w:type="pct"/>
            <w:noWrap w:val="0"/>
            <w:vAlign w:val="center"/>
          </w:tcPr>
          <w:p w14:paraId="3625FFAC">
            <w:pPr>
              <w:pStyle w:val="78"/>
              <w:bidi w:val="0"/>
              <w:rPr>
                <w:rFonts w:hint="default"/>
                <w:color w:val="auto"/>
                <w:highlight w:val="none"/>
                <w:lang w:val="en-US" w:eastAsia="zh-CN"/>
              </w:rPr>
            </w:pPr>
            <w:r>
              <w:rPr>
                <w:rFonts w:hint="eastAsia"/>
                <w:color w:val="auto"/>
                <w:highlight w:val="none"/>
                <w:lang w:val="en-US" w:eastAsia="zh-CN"/>
              </w:rPr>
              <w:t>天然气</w:t>
            </w:r>
          </w:p>
        </w:tc>
        <w:tc>
          <w:tcPr>
            <w:tcW w:w="701" w:type="pct"/>
            <w:noWrap w:val="0"/>
            <w:vAlign w:val="center"/>
          </w:tcPr>
          <w:p w14:paraId="1E6E638A">
            <w:pPr>
              <w:pStyle w:val="78"/>
              <w:bidi w:val="0"/>
              <w:rPr>
                <w:rFonts w:hint="default"/>
                <w:color w:val="auto"/>
                <w:highlight w:val="none"/>
                <w:lang w:val="en-US" w:eastAsia="zh-CN"/>
              </w:rPr>
            </w:pPr>
            <w:r>
              <w:rPr>
                <w:rFonts w:hint="eastAsia"/>
                <w:color w:val="auto"/>
                <w:highlight w:val="none"/>
                <w:lang w:val="en-US" w:eastAsia="zh-CN"/>
              </w:rPr>
              <w:t>甲烷</w:t>
            </w:r>
          </w:p>
        </w:tc>
        <w:tc>
          <w:tcPr>
            <w:tcW w:w="777" w:type="pct"/>
            <w:noWrap w:val="0"/>
            <w:vAlign w:val="center"/>
          </w:tcPr>
          <w:p w14:paraId="0C40253F">
            <w:pPr>
              <w:pStyle w:val="78"/>
              <w:bidi w:val="0"/>
              <w:rPr>
                <w:rFonts w:hint="eastAsia"/>
                <w:color w:val="auto"/>
                <w:highlight w:val="none"/>
                <w:lang w:val="en-US" w:eastAsia="zh-CN"/>
              </w:rPr>
            </w:pPr>
            <w:r>
              <w:rPr>
                <w:rFonts w:hint="default" w:ascii="Times New Roman" w:hAnsi="Times New Roman" w:cs="Times New Roman" w:eastAsiaTheme="minorEastAsia"/>
                <w:color w:val="auto"/>
                <w:lang w:eastAsia="en-US"/>
              </w:rPr>
              <w:t>74-82-8</w:t>
            </w:r>
          </w:p>
        </w:tc>
        <w:tc>
          <w:tcPr>
            <w:tcW w:w="777" w:type="pct"/>
            <w:noWrap w:val="0"/>
            <w:vAlign w:val="center"/>
          </w:tcPr>
          <w:p w14:paraId="1E09114B">
            <w:pPr>
              <w:pStyle w:val="78"/>
              <w:bidi w:val="0"/>
              <w:rPr>
                <w:rFonts w:hint="default"/>
                <w:color w:val="auto"/>
                <w:highlight w:val="none"/>
                <w:lang w:val="en-US" w:eastAsia="zh-CN"/>
              </w:rPr>
            </w:pPr>
            <w:r>
              <w:rPr>
                <w:rFonts w:hint="eastAsia"/>
                <w:color w:val="auto"/>
                <w:highlight w:val="none"/>
                <w:lang w:val="en-US" w:eastAsia="zh-CN"/>
              </w:rPr>
              <w:t>0.044</w:t>
            </w:r>
          </w:p>
        </w:tc>
        <w:tc>
          <w:tcPr>
            <w:tcW w:w="549" w:type="pct"/>
            <w:noWrap w:val="0"/>
            <w:vAlign w:val="center"/>
          </w:tcPr>
          <w:p w14:paraId="021BA4F8">
            <w:pPr>
              <w:pStyle w:val="78"/>
              <w:bidi w:val="0"/>
              <w:rPr>
                <w:rFonts w:hint="default" w:eastAsia="宋体"/>
                <w:color w:val="auto"/>
                <w:highlight w:val="none"/>
                <w:lang w:val="en-US" w:eastAsia="zh-CN"/>
              </w:rPr>
            </w:pPr>
            <w:r>
              <w:rPr>
                <w:rFonts w:hint="eastAsia"/>
                <w:color w:val="auto"/>
                <w:highlight w:val="none"/>
                <w:lang w:val="en-US" w:eastAsia="zh-CN"/>
              </w:rPr>
              <w:t>10</w:t>
            </w:r>
          </w:p>
        </w:tc>
        <w:tc>
          <w:tcPr>
            <w:tcW w:w="811" w:type="pct"/>
            <w:noWrap w:val="0"/>
            <w:vAlign w:val="center"/>
          </w:tcPr>
          <w:p w14:paraId="0A0D2238">
            <w:pPr>
              <w:pStyle w:val="78"/>
              <w:bidi w:val="0"/>
              <w:rPr>
                <w:rFonts w:hint="default"/>
                <w:color w:val="auto"/>
                <w:lang w:val="en-US" w:eastAsia="zh-CN"/>
              </w:rPr>
            </w:pPr>
            <w:r>
              <w:rPr>
                <w:rFonts w:hint="eastAsia"/>
                <w:color w:val="auto"/>
                <w:lang w:val="en-US" w:eastAsia="zh-CN"/>
              </w:rPr>
              <w:t>0.0044</w:t>
            </w:r>
          </w:p>
        </w:tc>
      </w:tr>
      <w:tr w14:paraId="1DEB98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1" w:type="pct"/>
            <w:noWrap w:val="0"/>
            <w:vAlign w:val="center"/>
          </w:tcPr>
          <w:p w14:paraId="47F202FC">
            <w:pPr>
              <w:pStyle w:val="78"/>
              <w:bidi w:val="0"/>
              <w:rPr>
                <w:rFonts w:hint="default"/>
                <w:color w:val="auto"/>
                <w:highlight w:val="none"/>
                <w:lang w:val="en-US" w:eastAsia="zh-CN"/>
              </w:rPr>
            </w:pPr>
            <w:r>
              <w:rPr>
                <w:rFonts w:hint="eastAsia"/>
                <w:color w:val="auto"/>
                <w:highlight w:val="none"/>
                <w:lang w:val="en-US" w:eastAsia="zh-CN"/>
              </w:rPr>
              <w:t>4</w:t>
            </w:r>
          </w:p>
        </w:tc>
        <w:tc>
          <w:tcPr>
            <w:tcW w:w="979" w:type="pct"/>
            <w:vMerge w:val="restart"/>
            <w:noWrap w:val="0"/>
            <w:vAlign w:val="center"/>
          </w:tcPr>
          <w:p w14:paraId="52B2BD45">
            <w:pPr>
              <w:pStyle w:val="78"/>
              <w:bidi w:val="0"/>
              <w:rPr>
                <w:rFonts w:hint="default"/>
                <w:color w:val="auto"/>
                <w:highlight w:val="none"/>
                <w:lang w:val="en-US" w:eastAsia="zh-CN"/>
              </w:rPr>
            </w:pPr>
            <w:r>
              <w:rPr>
                <w:rFonts w:hint="eastAsia"/>
                <w:color w:val="auto"/>
                <w:highlight w:val="none"/>
                <w:lang w:val="en-US" w:eastAsia="zh-CN"/>
              </w:rPr>
              <w:t>废气</w:t>
            </w:r>
          </w:p>
        </w:tc>
        <w:tc>
          <w:tcPr>
            <w:tcW w:w="701" w:type="pct"/>
            <w:noWrap w:val="0"/>
            <w:vAlign w:val="center"/>
          </w:tcPr>
          <w:p w14:paraId="30882325">
            <w:pPr>
              <w:pStyle w:val="78"/>
              <w:bidi w:val="0"/>
              <w:rPr>
                <w:rFonts w:hint="eastAsia"/>
                <w:color w:val="auto"/>
                <w:highlight w:val="none"/>
                <w:lang w:val="en-US" w:eastAsia="zh-CN"/>
              </w:rPr>
            </w:pPr>
            <w:r>
              <w:rPr>
                <w:rFonts w:hint="eastAsia"/>
                <w:color w:val="auto"/>
                <w:highlight w:val="none"/>
                <w:lang w:val="en-US" w:eastAsia="zh-CN"/>
              </w:rPr>
              <w:t>甲苯</w:t>
            </w:r>
          </w:p>
        </w:tc>
        <w:tc>
          <w:tcPr>
            <w:tcW w:w="777" w:type="pct"/>
            <w:noWrap w:val="0"/>
            <w:vAlign w:val="center"/>
          </w:tcPr>
          <w:p w14:paraId="208167C1">
            <w:pPr>
              <w:pStyle w:val="78"/>
              <w:bidi w:val="0"/>
              <w:rPr>
                <w:rFonts w:hint="default" w:ascii="Times New Roman" w:hAnsi="Times New Roman" w:cs="Times New Roman" w:eastAsiaTheme="minorEastAsia"/>
                <w:color w:val="auto"/>
                <w:lang w:val="en-US" w:eastAsia="zh-CN"/>
              </w:rPr>
            </w:pPr>
            <w:r>
              <w:rPr>
                <w:rFonts w:hint="eastAsia" w:ascii="Times New Roman" w:hAnsi="Times New Roman" w:cs="Times New Roman" w:eastAsiaTheme="minorEastAsia"/>
                <w:color w:val="auto"/>
                <w:lang w:val="en-US" w:eastAsia="zh-CN"/>
              </w:rPr>
              <w:t>108-88-3</w:t>
            </w:r>
          </w:p>
        </w:tc>
        <w:tc>
          <w:tcPr>
            <w:tcW w:w="777" w:type="pct"/>
            <w:noWrap w:val="0"/>
            <w:vAlign w:val="center"/>
          </w:tcPr>
          <w:p w14:paraId="09E2FF50">
            <w:pPr>
              <w:pStyle w:val="78"/>
              <w:bidi w:val="0"/>
              <w:rPr>
                <w:rFonts w:hint="default"/>
                <w:color w:val="auto"/>
                <w:highlight w:val="none"/>
                <w:lang w:val="en-US" w:eastAsia="zh-CN"/>
              </w:rPr>
            </w:pPr>
            <w:r>
              <w:rPr>
                <w:rFonts w:hint="eastAsia"/>
                <w:color w:val="auto"/>
                <w:highlight w:val="none"/>
                <w:lang w:val="en-US" w:eastAsia="zh-CN"/>
              </w:rPr>
              <w:t>0.000008</w:t>
            </w:r>
          </w:p>
        </w:tc>
        <w:tc>
          <w:tcPr>
            <w:tcW w:w="549" w:type="pct"/>
            <w:noWrap w:val="0"/>
            <w:vAlign w:val="center"/>
          </w:tcPr>
          <w:p w14:paraId="409F9505">
            <w:pPr>
              <w:pStyle w:val="78"/>
              <w:bidi w:val="0"/>
              <w:rPr>
                <w:rFonts w:hint="default" w:eastAsia="宋体"/>
                <w:color w:val="auto"/>
                <w:highlight w:val="none"/>
                <w:lang w:val="en-US" w:eastAsia="zh-CN"/>
              </w:rPr>
            </w:pPr>
            <w:r>
              <w:rPr>
                <w:rFonts w:hint="eastAsia"/>
                <w:color w:val="auto"/>
                <w:highlight w:val="none"/>
                <w:lang w:val="en-US" w:eastAsia="zh-CN"/>
              </w:rPr>
              <w:t>10</w:t>
            </w:r>
          </w:p>
        </w:tc>
        <w:tc>
          <w:tcPr>
            <w:tcW w:w="811" w:type="pct"/>
            <w:noWrap w:val="0"/>
            <w:vAlign w:val="center"/>
          </w:tcPr>
          <w:p w14:paraId="5963A8F2">
            <w:pPr>
              <w:pStyle w:val="78"/>
              <w:bidi w:val="0"/>
              <w:rPr>
                <w:rFonts w:hint="eastAsia"/>
                <w:color w:val="auto"/>
                <w:lang w:val="en-US" w:eastAsia="zh-CN"/>
              </w:rPr>
            </w:pPr>
            <w:r>
              <w:rPr>
                <w:rFonts w:hint="eastAsia"/>
                <w:color w:val="auto"/>
                <w:highlight w:val="none"/>
                <w:lang w:val="en-US" w:eastAsia="zh-CN"/>
              </w:rPr>
              <w:t>0.0000008</w:t>
            </w:r>
          </w:p>
        </w:tc>
      </w:tr>
      <w:tr w14:paraId="541700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1" w:type="pct"/>
            <w:noWrap w:val="0"/>
            <w:vAlign w:val="center"/>
          </w:tcPr>
          <w:p w14:paraId="5B526B3A">
            <w:pPr>
              <w:pStyle w:val="78"/>
              <w:bidi w:val="0"/>
              <w:rPr>
                <w:rFonts w:hint="default"/>
                <w:color w:val="auto"/>
                <w:highlight w:val="none"/>
                <w:lang w:val="en-US" w:eastAsia="zh-CN"/>
              </w:rPr>
            </w:pPr>
            <w:r>
              <w:rPr>
                <w:rFonts w:hint="eastAsia"/>
                <w:color w:val="auto"/>
                <w:highlight w:val="none"/>
                <w:lang w:val="en-US" w:eastAsia="zh-CN"/>
              </w:rPr>
              <w:t>5</w:t>
            </w:r>
          </w:p>
        </w:tc>
        <w:tc>
          <w:tcPr>
            <w:tcW w:w="979" w:type="pct"/>
            <w:vMerge w:val="continue"/>
            <w:noWrap w:val="0"/>
            <w:vAlign w:val="center"/>
          </w:tcPr>
          <w:p w14:paraId="202FDACB">
            <w:pPr>
              <w:pStyle w:val="78"/>
              <w:bidi w:val="0"/>
              <w:rPr>
                <w:rFonts w:hint="eastAsia"/>
                <w:color w:val="auto"/>
                <w:highlight w:val="none"/>
                <w:lang w:val="en-US" w:eastAsia="zh-CN"/>
              </w:rPr>
            </w:pPr>
          </w:p>
        </w:tc>
        <w:tc>
          <w:tcPr>
            <w:tcW w:w="701" w:type="pct"/>
            <w:noWrap w:val="0"/>
            <w:vAlign w:val="center"/>
          </w:tcPr>
          <w:p w14:paraId="48C07192">
            <w:pPr>
              <w:pStyle w:val="78"/>
              <w:bidi w:val="0"/>
              <w:rPr>
                <w:rFonts w:hint="default"/>
                <w:color w:val="auto"/>
                <w:highlight w:val="none"/>
                <w:lang w:val="en-US" w:eastAsia="zh-CN"/>
              </w:rPr>
            </w:pPr>
            <w:r>
              <w:rPr>
                <w:rFonts w:hint="eastAsia"/>
                <w:color w:val="auto"/>
                <w:highlight w:val="none"/>
                <w:lang w:val="en-US" w:eastAsia="zh-CN"/>
              </w:rPr>
              <w:t>乙苯</w:t>
            </w:r>
          </w:p>
        </w:tc>
        <w:tc>
          <w:tcPr>
            <w:tcW w:w="777" w:type="pct"/>
            <w:noWrap w:val="0"/>
            <w:vAlign w:val="center"/>
          </w:tcPr>
          <w:p w14:paraId="7B730F1A">
            <w:pPr>
              <w:pStyle w:val="78"/>
              <w:bidi w:val="0"/>
              <w:rPr>
                <w:rFonts w:hint="default" w:ascii="Times New Roman" w:hAnsi="Times New Roman" w:cs="Times New Roman" w:eastAsiaTheme="minorEastAsia"/>
                <w:color w:val="auto"/>
                <w:lang w:val="en-US" w:eastAsia="zh-CN"/>
              </w:rPr>
            </w:pPr>
            <w:r>
              <w:rPr>
                <w:rFonts w:hint="eastAsia" w:ascii="Times New Roman" w:hAnsi="Times New Roman" w:cs="Times New Roman" w:eastAsiaTheme="minorEastAsia"/>
                <w:color w:val="auto"/>
                <w:lang w:val="en-US" w:eastAsia="zh-CN"/>
              </w:rPr>
              <w:t>100-41-4</w:t>
            </w:r>
          </w:p>
        </w:tc>
        <w:tc>
          <w:tcPr>
            <w:tcW w:w="777" w:type="pct"/>
            <w:noWrap w:val="0"/>
            <w:vAlign w:val="center"/>
          </w:tcPr>
          <w:p w14:paraId="2CD76375">
            <w:pPr>
              <w:pStyle w:val="78"/>
              <w:bidi w:val="0"/>
              <w:rPr>
                <w:rFonts w:hint="default"/>
                <w:color w:val="auto"/>
                <w:highlight w:val="none"/>
                <w:lang w:val="en-US" w:eastAsia="zh-CN"/>
              </w:rPr>
            </w:pPr>
            <w:r>
              <w:rPr>
                <w:rFonts w:hint="eastAsia"/>
                <w:color w:val="auto"/>
                <w:highlight w:val="none"/>
                <w:lang w:val="en-US" w:eastAsia="zh-CN"/>
              </w:rPr>
              <w:t>0.000004</w:t>
            </w:r>
          </w:p>
        </w:tc>
        <w:tc>
          <w:tcPr>
            <w:tcW w:w="549" w:type="pct"/>
            <w:noWrap w:val="0"/>
            <w:vAlign w:val="center"/>
          </w:tcPr>
          <w:p w14:paraId="3D488A53">
            <w:pPr>
              <w:pStyle w:val="78"/>
              <w:bidi w:val="0"/>
              <w:rPr>
                <w:rFonts w:hint="default" w:eastAsia="宋体"/>
                <w:color w:val="auto"/>
                <w:highlight w:val="none"/>
                <w:lang w:val="en-US" w:eastAsia="zh-CN"/>
              </w:rPr>
            </w:pPr>
            <w:r>
              <w:rPr>
                <w:rFonts w:hint="eastAsia"/>
                <w:color w:val="auto"/>
                <w:highlight w:val="none"/>
                <w:lang w:val="en-US" w:eastAsia="zh-CN"/>
              </w:rPr>
              <w:t>10</w:t>
            </w:r>
          </w:p>
        </w:tc>
        <w:tc>
          <w:tcPr>
            <w:tcW w:w="811" w:type="pct"/>
            <w:noWrap w:val="0"/>
            <w:vAlign w:val="center"/>
          </w:tcPr>
          <w:p w14:paraId="66C49D32">
            <w:pPr>
              <w:pStyle w:val="78"/>
              <w:bidi w:val="0"/>
              <w:rPr>
                <w:rFonts w:hint="eastAsia"/>
                <w:color w:val="auto"/>
                <w:lang w:val="en-US" w:eastAsia="zh-CN"/>
              </w:rPr>
            </w:pPr>
            <w:r>
              <w:rPr>
                <w:rFonts w:hint="eastAsia"/>
                <w:color w:val="auto"/>
                <w:highlight w:val="none"/>
                <w:lang w:val="en-US" w:eastAsia="zh-CN"/>
              </w:rPr>
              <w:t>0.0000004</w:t>
            </w:r>
          </w:p>
        </w:tc>
      </w:tr>
      <w:tr w14:paraId="1EF222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88" w:type="pct"/>
            <w:gridSpan w:val="6"/>
            <w:noWrap w:val="0"/>
            <w:vAlign w:val="center"/>
          </w:tcPr>
          <w:p w14:paraId="0EAE41F7">
            <w:pPr>
              <w:pStyle w:val="78"/>
              <w:bidi w:val="0"/>
              <w:rPr>
                <w:rFonts w:hint="default"/>
                <w:color w:val="auto"/>
                <w:highlight w:val="none"/>
              </w:rPr>
            </w:pPr>
            <w:r>
              <w:rPr>
                <w:rFonts w:hint="default"/>
                <w:color w:val="auto"/>
                <w:highlight w:val="none"/>
              </w:rPr>
              <w:t>项目Q值</w:t>
            </w:r>
          </w:p>
        </w:tc>
        <w:tc>
          <w:tcPr>
            <w:tcW w:w="811" w:type="pct"/>
            <w:noWrap w:val="0"/>
            <w:vAlign w:val="center"/>
          </w:tcPr>
          <w:p w14:paraId="7F9061CF">
            <w:pPr>
              <w:pStyle w:val="78"/>
              <w:bidi w:val="0"/>
              <w:rPr>
                <w:rFonts w:hint="default"/>
                <w:color w:val="auto"/>
                <w:highlight w:val="none"/>
                <w:lang w:val="en-US" w:eastAsia="zh-CN"/>
              </w:rPr>
            </w:pPr>
            <w:r>
              <w:rPr>
                <w:rFonts w:hint="eastAsia"/>
                <w:color w:val="auto"/>
                <w:highlight w:val="none"/>
                <w:lang w:val="en-US" w:eastAsia="zh-CN"/>
              </w:rPr>
              <w:t>0.6345212</w:t>
            </w:r>
          </w:p>
        </w:tc>
      </w:tr>
    </w:tbl>
    <w:p w14:paraId="6B073613">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根据危险物质Q值确定</w:t>
      </w: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eastAsia="zh-CN"/>
        </w:rPr>
        <w:t>本项目</w:t>
      </w:r>
      <w:r>
        <w:rPr>
          <w:rFonts w:hint="default" w:ascii="Times New Roman" w:hAnsi="Times New Roman" w:eastAsia="宋体" w:cs="Times New Roman"/>
          <w:color w:val="auto"/>
          <w:sz w:val="24"/>
          <w:szCs w:val="24"/>
        </w:rPr>
        <w:t>环境风险Q&lt;1</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因此</w:t>
      </w:r>
      <w:r>
        <w:rPr>
          <w:rFonts w:hint="eastAsia" w:ascii="Times New Roman" w:hAnsi="Times New Roman" w:eastAsia="宋体" w:cs="Times New Roman"/>
          <w:color w:val="auto"/>
          <w:sz w:val="24"/>
          <w:szCs w:val="24"/>
          <w:lang w:eastAsia="zh-CN"/>
        </w:rPr>
        <w:t>本项目</w:t>
      </w:r>
      <w:r>
        <w:rPr>
          <w:rFonts w:hint="default" w:ascii="Times New Roman" w:hAnsi="Times New Roman" w:eastAsia="宋体" w:cs="Times New Roman"/>
          <w:color w:val="auto"/>
          <w:sz w:val="24"/>
          <w:szCs w:val="24"/>
        </w:rPr>
        <w:t>环境风险潜势为I。对照《建设项目环境风险评价技术导则》（HJ169-2018）中关于环境风险评价工作等级划分表</w:t>
      </w:r>
      <w:r>
        <w:rPr>
          <w:rFonts w:hint="default" w:ascii="Times New Roman" w:hAnsi="Times New Roman" w:eastAsia="宋体" w:cs="Times New Roman"/>
          <w:color w:val="auto"/>
          <w:sz w:val="24"/>
          <w:szCs w:val="24"/>
          <w:lang w:eastAsia="zh-CN"/>
        </w:rPr>
        <w:t>，项目环境风险评价等级为简单分析。</w:t>
      </w:r>
    </w:p>
    <w:p w14:paraId="31187B49">
      <w:pPr>
        <w:pStyle w:val="13"/>
        <w:keepNext w:val="0"/>
        <w:keepLines w:val="0"/>
        <w:pageBreakBefore w:val="0"/>
        <w:widowControl/>
        <w:numPr>
          <w:ilvl w:val="0"/>
          <w:numId w:val="0"/>
        </w:numPr>
        <w:kinsoku/>
        <w:wordWrap/>
        <w:overflowPunct/>
        <w:topLinePunct w:val="0"/>
        <w:autoSpaceDE/>
        <w:autoSpaceDN/>
        <w:bidi w:val="0"/>
        <w:adjustRightInd/>
        <w:snapToGrid w:val="0"/>
        <w:spacing w:beforeLines="0" w:afterLines="0" w:line="240" w:lineRule="auto"/>
        <w:ind w:right="0" w:right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表2.6-</w:t>
      </w:r>
      <w:r>
        <w:rPr>
          <w:rFonts w:hint="eastAsia" w:ascii="Times New Roman" w:hAnsi="Times New Roman" w:eastAsia="宋体" w:cs="Times New Roman"/>
          <w:b/>
          <w:bCs/>
          <w:color w:val="auto"/>
          <w:sz w:val="24"/>
          <w:szCs w:val="24"/>
          <w:highlight w:val="none"/>
          <w:lang w:val="en-US" w:eastAsia="zh-CN"/>
        </w:rPr>
        <w:t>21</w:t>
      </w:r>
      <w:r>
        <w:rPr>
          <w:rFonts w:hint="default" w:ascii="Times New Roman" w:hAnsi="Times New Roman" w:eastAsia="宋体" w:cs="Times New Roman"/>
          <w:b/>
          <w:bCs/>
          <w:color w:val="auto"/>
          <w:sz w:val="24"/>
          <w:szCs w:val="24"/>
          <w:highlight w:val="none"/>
          <w:lang w:val="en-US" w:eastAsia="zh-CN"/>
        </w:rPr>
        <w:t xml:space="preserve">  评价工作等级划分</w:t>
      </w:r>
    </w:p>
    <w:tbl>
      <w:tblPr>
        <w:tblStyle w:val="41"/>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812"/>
        <w:gridCol w:w="1812"/>
        <w:gridCol w:w="1812"/>
        <w:gridCol w:w="1812"/>
        <w:gridCol w:w="1819"/>
      </w:tblGrid>
      <w:tr w14:paraId="3AD2F7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000" w:type="pct"/>
            <w:tcBorders>
              <w:top w:val="single" w:color="000000" w:sz="12" w:space="0"/>
              <w:left w:val="nil"/>
            </w:tcBorders>
            <w:vAlign w:val="center"/>
          </w:tcPr>
          <w:p w14:paraId="4E794AB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环境风险潜势</w:t>
            </w:r>
          </w:p>
        </w:tc>
        <w:tc>
          <w:tcPr>
            <w:tcW w:w="999" w:type="pct"/>
            <w:tcBorders>
              <w:top w:val="single" w:color="000000" w:sz="12" w:space="0"/>
            </w:tcBorders>
            <w:vAlign w:val="center"/>
          </w:tcPr>
          <w:p w14:paraId="460EA5EC">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Ⅳ</w:t>
            </w:r>
            <w:r>
              <w:rPr>
                <w:rFonts w:hint="default" w:ascii="Times New Roman" w:hAnsi="Times New Roman" w:cs="Times New Roman"/>
                <w:color w:val="auto"/>
                <w:spacing w:val="-29"/>
                <w:sz w:val="21"/>
                <w:szCs w:val="21"/>
              </w:rPr>
              <w:t xml:space="preserve"> </w:t>
            </w:r>
            <w:r>
              <w:rPr>
                <w:rFonts w:hint="default" w:ascii="Times New Roman" w:hAnsi="Times New Roman" w:cs="Times New Roman"/>
                <w:color w:val="auto"/>
                <w:spacing w:val="2"/>
                <w:sz w:val="21"/>
                <w:szCs w:val="21"/>
              </w:rPr>
              <w:t>Ⅳ</w:t>
            </w:r>
            <w:r>
              <w:rPr>
                <w:rFonts w:hint="default" w:ascii="Times New Roman" w:hAnsi="Times New Roman" w:cs="Times New Roman"/>
                <w:color w:val="auto"/>
                <w:spacing w:val="2"/>
                <w:sz w:val="21"/>
                <w:szCs w:val="21"/>
                <w:vertAlign w:val="superscript"/>
              </w:rPr>
              <w:t>+</w:t>
            </w:r>
          </w:p>
        </w:tc>
        <w:tc>
          <w:tcPr>
            <w:tcW w:w="999" w:type="pct"/>
            <w:tcBorders>
              <w:top w:val="single" w:color="000000" w:sz="12" w:space="0"/>
            </w:tcBorders>
            <w:vAlign w:val="center"/>
          </w:tcPr>
          <w:p w14:paraId="04B1BFA4">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Ⅲ</w:t>
            </w:r>
          </w:p>
        </w:tc>
        <w:tc>
          <w:tcPr>
            <w:tcW w:w="999" w:type="pct"/>
            <w:tcBorders>
              <w:top w:val="single" w:color="000000" w:sz="12" w:space="0"/>
            </w:tcBorders>
            <w:vAlign w:val="center"/>
          </w:tcPr>
          <w:p w14:paraId="2D27CD09">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Ⅱ</w:t>
            </w:r>
          </w:p>
        </w:tc>
        <w:tc>
          <w:tcPr>
            <w:tcW w:w="1001" w:type="pct"/>
            <w:tcBorders>
              <w:top w:val="single" w:color="000000" w:sz="12" w:space="0"/>
              <w:right w:val="nil"/>
            </w:tcBorders>
            <w:vAlign w:val="center"/>
          </w:tcPr>
          <w:p w14:paraId="298EAD9A">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Ⅰ</w:t>
            </w:r>
          </w:p>
        </w:tc>
      </w:tr>
      <w:tr w14:paraId="1599EF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000" w:type="pct"/>
            <w:tcBorders>
              <w:left w:val="nil"/>
            </w:tcBorders>
            <w:vAlign w:val="center"/>
          </w:tcPr>
          <w:p w14:paraId="51CA883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评价工作等级</w:t>
            </w:r>
          </w:p>
        </w:tc>
        <w:tc>
          <w:tcPr>
            <w:tcW w:w="999" w:type="pct"/>
            <w:vAlign w:val="center"/>
          </w:tcPr>
          <w:p w14:paraId="467CB21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position w:val="-4"/>
                <w:sz w:val="21"/>
                <w:szCs w:val="21"/>
              </w:rPr>
              <w:t>一</w:t>
            </w:r>
          </w:p>
        </w:tc>
        <w:tc>
          <w:tcPr>
            <w:tcW w:w="999" w:type="pct"/>
            <w:vAlign w:val="center"/>
          </w:tcPr>
          <w:p w14:paraId="12F2C9E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w:t>
            </w:r>
          </w:p>
        </w:tc>
        <w:tc>
          <w:tcPr>
            <w:tcW w:w="999" w:type="pct"/>
            <w:shd w:val="clear" w:color="auto" w:fill="FFFFFF" w:themeFill="background1"/>
            <w:vAlign w:val="center"/>
          </w:tcPr>
          <w:p w14:paraId="0714D67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w:t>
            </w:r>
          </w:p>
        </w:tc>
        <w:tc>
          <w:tcPr>
            <w:tcW w:w="1001" w:type="pct"/>
            <w:tcBorders>
              <w:right w:val="nil"/>
            </w:tcBorders>
            <w:shd w:val="clear" w:color="auto" w:fill="FFFFFF" w:themeFill="background1"/>
            <w:vAlign w:val="center"/>
          </w:tcPr>
          <w:p w14:paraId="3E349F9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shd w:val="clear" w:color="FFFFFF" w:fill="D9D9D9"/>
              </w:rPr>
              <w:t xml:space="preserve">简单分析 </w:t>
            </w:r>
            <w:r>
              <w:rPr>
                <w:rFonts w:hint="default" w:ascii="Times New Roman" w:hAnsi="Times New Roman" w:eastAsia="宋体" w:cs="Times New Roman"/>
                <w:color w:val="auto"/>
                <w:sz w:val="21"/>
                <w:szCs w:val="21"/>
                <w:shd w:val="clear" w:color="FFFFFF" w:fill="D9D9D9"/>
                <w:lang w:val="en-US" w:eastAsia="zh-CN"/>
              </w:rPr>
              <w:t>a</w:t>
            </w:r>
          </w:p>
        </w:tc>
      </w:tr>
      <w:tr w14:paraId="64B332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00" w:type="pct"/>
            <w:gridSpan w:val="5"/>
            <w:tcBorders>
              <w:left w:val="nil"/>
              <w:bottom w:val="single" w:color="000000" w:sz="12" w:space="0"/>
              <w:right w:val="nil"/>
            </w:tcBorders>
            <w:vAlign w:val="center"/>
          </w:tcPr>
          <w:p w14:paraId="53D4CCDA">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color w:val="auto"/>
                <w:sz w:val="21"/>
                <w:szCs w:val="21"/>
              </w:rPr>
            </w:pPr>
            <w:r>
              <w:rPr>
                <w:rFonts w:hint="default" w:ascii="Times New Roman" w:hAnsi="Times New Roman" w:cs="Times New Roman"/>
                <w:color w:val="auto"/>
                <w:spacing w:val="7"/>
                <w:sz w:val="21"/>
                <w:szCs w:val="21"/>
                <w:vertAlign w:val="superscript"/>
              </w:rPr>
              <w:t xml:space="preserve">a </w:t>
            </w:r>
            <w:r>
              <w:rPr>
                <w:rFonts w:hint="default" w:ascii="Times New Roman" w:hAnsi="Times New Roman" w:eastAsia="宋体" w:cs="Times New Roman"/>
                <w:color w:val="auto"/>
                <w:spacing w:val="7"/>
                <w:sz w:val="21"/>
                <w:szCs w:val="21"/>
              </w:rPr>
              <w:t>是相对于详细评价工作内容而言，在描述危险物质、环境影响途径、环境危害后果、风险防范措施</w:t>
            </w:r>
            <w:r>
              <w:rPr>
                <w:rFonts w:hint="default" w:ascii="Times New Roman" w:hAnsi="Times New Roman" w:eastAsia="宋体" w:cs="Times New Roman"/>
                <w:color w:val="auto"/>
                <w:spacing w:val="5"/>
                <w:sz w:val="21"/>
                <w:szCs w:val="21"/>
              </w:rPr>
              <w:t xml:space="preserve"> </w:t>
            </w:r>
            <w:r>
              <w:rPr>
                <w:rFonts w:hint="default" w:ascii="Times New Roman" w:hAnsi="Times New Roman" w:eastAsia="宋体" w:cs="Times New Roman"/>
                <w:color w:val="auto"/>
                <w:spacing w:val="8"/>
                <w:sz w:val="21"/>
                <w:szCs w:val="21"/>
              </w:rPr>
              <w:t>等方面给出定性的说明。见附录</w:t>
            </w:r>
            <w:r>
              <w:rPr>
                <w:rFonts w:hint="default" w:ascii="Times New Roman" w:hAnsi="Times New Roman" w:eastAsia="宋体" w:cs="Times New Roman"/>
                <w:color w:val="auto"/>
                <w:spacing w:val="-42"/>
                <w:sz w:val="21"/>
                <w:szCs w:val="21"/>
              </w:rPr>
              <w:t xml:space="preserve"> </w:t>
            </w:r>
            <w:r>
              <w:rPr>
                <w:rFonts w:hint="default" w:ascii="Times New Roman" w:hAnsi="Times New Roman" w:cs="Times New Roman"/>
                <w:color w:val="auto"/>
                <w:spacing w:val="8"/>
                <w:sz w:val="21"/>
                <w:szCs w:val="21"/>
              </w:rPr>
              <w:t>A</w:t>
            </w:r>
            <w:r>
              <w:rPr>
                <w:rFonts w:hint="default" w:ascii="Times New Roman" w:hAnsi="Times New Roman" w:eastAsia="宋体" w:cs="Times New Roman"/>
                <w:color w:val="auto"/>
                <w:spacing w:val="8"/>
                <w:sz w:val="21"/>
                <w:szCs w:val="21"/>
              </w:rPr>
              <w:t>。</w:t>
            </w:r>
          </w:p>
        </w:tc>
      </w:tr>
    </w:tbl>
    <w:p w14:paraId="18529B2D">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default" w:ascii="Times New Roman" w:hAnsi="Times New Roman" w:eastAsia="宋体" w:cs="Times New Roman"/>
          <w:b/>
          <w:bCs/>
          <w:color w:val="auto"/>
          <w:spacing w:val="0"/>
          <w:position w:val="0"/>
          <w:sz w:val="30"/>
          <w:szCs w:val="30"/>
          <w:lang w:val="en-US" w:eastAsia="zh-CN"/>
        </w:rPr>
        <w:t>2.6.2评价范围</w:t>
      </w:r>
    </w:p>
    <w:p w14:paraId="4735CFE5">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本项目评价范围见表2.6-22。</w:t>
      </w:r>
    </w:p>
    <w:p w14:paraId="49159431">
      <w:pPr>
        <w:bidi w:val="0"/>
        <w:jc w:val="center"/>
        <w:rPr>
          <w:rFonts w:hint="default" w:ascii="Times New Roman" w:hAnsi="Times New Roman" w:eastAsia="宋体" w:cs="Times New Roman"/>
          <w:b/>
          <w:snapToGrid/>
          <w:color w:val="auto"/>
          <w:kern w:val="24"/>
          <w:sz w:val="24"/>
          <w:szCs w:val="18"/>
          <w:highlight w:val="none"/>
          <w:lang w:val="en-US" w:eastAsia="zh-CN"/>
        </w:rPr>
      </w:pPr>
      <w:r>
        <w:rPr>
          <w:rFonts w:ascii="Times New Roman" w:hAnsi="Times New Roman" w:eastAsia="宋体" w:cs="Times New Roman"/>
          <w:b/>
          <w:snapToGrid/>
          <w:color w:val="auto"/>
          <w:kern w:val="24"/>
          <w:sz w:val="24"/>
          <w:szCs w:val="18"/>
          <w:highlight w:val="none"/>
        </w:rPr>
        <w:t>表</w:t>
      </w:r>
      <w:r>
        <w:rPr>
          <w:rFonts w:hint="eastAsia" w:ascii="Times New Roman" w:hAnsi="Times New Roman" w:eastAsia="宋体" w:cs="Times New Roman"/>
          <w:b/>
          <w:snapToGrid/>
          <w:color w:val="auto"/>
          <w:kern w:val="24"/>
          <w:sz w:val="24"/>
          <w:szCs w:val="18"/>
          <w:highlight w:val="none"/>
          <w:lang w:val="en-US" w:eastAsia="zh-CN"/>
        </w:rPr>
        <w:t xml:space="preserve">2.6-22 </w:t>
      </w:r>
      <w:r>
        <w:rPr>
          <w:rFonts w:ascii="Times New Roman" w:hAnsi="Times New Roman" w:eastAsia="宋体" w:cs="Times New Roman"/>
          <w:b/>
          <w:snapToGrid/>
          <w:color w:val="auto"/>
          <w:kern w:val="24"/>
          <w:sz w:val="24"/>
          <w:szCs w:val="18"/>
          <w:highlight w:val="none"/>
        </w:rPr>
        <w:t xml:space="preserve">  </w:t>
      </w:r>
      <w:r>
        <w:rPr>
          <w:rFonts w:hint="eastAsia" w:ascii="Times New Roman" w:hAnsi="Times New Roman" w:eastAsia="宋体" w:cs="Times New Roman"/>
          <w:b/>
          <w:snapToGrid/>
          <w:color w:val="auto"/>
          <w:kern w:val="24"/>
          <w:sz w:val="24"/>
          <w:szCs w:val="18"/>
          <w:highlight w:val="none"/>
          <w:lang w:val="en-US" w:eastAsia="zh-CN"/>
        </w:rPr>
        <w:t>本项目评价范围一览表</w:t>
      </w:r>
    </w:p>
    <w:tbl>
      <w:tblPr>
        <w:tblStyle w:val="22"/>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1869"/>
        <w:gridCol w:w="7418"/>
      </w:tblGrid>
      <w:tr w14:paraId="73C97EB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1006" w:type="pct"/>
            <w:tcBorders>
              <w:tl2br w:val="nil"/>
              <w:tr2bl w:val="nil"/>
            </w:tcBorders>
            <w:vAlign w:val="center"/>
          </w:tcPr>
          <w:p w14:paraId="5C9A0FDD">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评价内容</w:t>
            </w:r>
          </w:p>
        </w:tc>
        <w:tc>
          <w:tcPr>
            <w:tcW w:w="3993" w:type="pct"/>
            <w:tcBorders>
              <w:tl2br w:val="nil"/>
              <w:tr2bl w:val="nil"/>
            </w:tcBorders>
            <w:vAlign w:val="center"/>
          </w:tcPr>
          <w:p w14:paraId="5A75F2AA">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评价范围</w:t>
            </w:r>
          </w:p>
        </w:tc>
      </w:tr>
      <w:tr w14:paraId="549F961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1006" w:type="pct"/>
            <w:tcBorders>
              <w:tl2br w:val="nil"/>
              <w:tr2bl w:val="nil"/>
            </w:tcBorders>
            <w:vAlign w:val="center"/>
          </w:tcPr>
          <w:p w14:paraId="78DBDC43">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大气</w:t>
            </w:r>
          </w:p>
        </w:tc>
        <w:tc>
          <w:tcPr>
            <w:tcW w:w="3993" w:type="pct"/>
            <w:tcBorders>
              <w:tl2br w:val="nil"/>
              <w:tr2bl w:val="nil"/>
            </w:tcBorders>
            <w:vAlign w:val="center"/>
          </w:tcPr>
          <w:p w14:paraId="332A7B6A">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以厂址为中心，2.5km的矩形区域</w:t>
            </w:r>
          </w:p>
        </w:tc>
      </w:tr>
      <w:tr w14:paraId="3DE493A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1006" w:type="pct"/>
            <w:tcBorders>
              <w:tl2br w:val="nil"/>
              <w:tr2bl w:val="nil"/>
            </w:tcBorders>
            <w:vAlign w:val="center"/>
          </w:tcPr>
          <w:p w14:paraId="74AF72DE">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地表水</w:t>
            </w:r>
          </w:p>
        </w:tc>
        <w:tc>
          <w:tcPr>
            <w:tcW w:w="3993" w:type="pct"/>
            <w:tcBorders>
              <w:tl2br w:val="nil"/>
              <w:tr2bl w:val="nil"/>
            </w:tcBorders>
            <w:vAlign w:val="center"/>
          </w:tcPr>
          <w:p w14:paraId="32217AC8">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拉林河</w:t>
            </w:r>
          </w:p>
        </w:tc>
      </w:tr>
      <w:tr w14:paraId="0F31AD4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1006" w:type="pct"/>
            <w:tcBorders>
              <w:tl2br w:val="nil"/>
              <w:tr2bl w:val="nil"/>
            </w:tcBorders>
            <w:vAlign w:val="center"/>
          </w:tcPr>
          <w:p w14:paraId="69F5156B">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w:t>
            </w:r>
          </w:p>
        </w:tc>
        <w:tc>
          <w:tcPr>
            <w:tcW w:w="3993" w:type="pct"/>
            <w:tcBorders>
              <w:tl2br w:val="nil"/>
              <w:tr2bl w:val="nil"/>
            </w:tcBorders>
            <w:vAlign w:val="center"/>
          </w:tcPr>
          <w:p w14:paraId="68DB4568">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项目厂界200m范围内</w:t>
            </w:r>
          </w:p>
        </w:tc>
      </w:tr>
      <w:tr w14:paraId="39C3E21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1006" w:type="pct"/>
            <w:tcBorders>
              <w:tl2br w:val="nil"/>
              <w:tr2bl w:val="nil"/>
            </w:tcBorders>
            <w:vAlign w:val="center"/>
          </w:tcPr>
          <w:p w14:paraId="54BAEB34">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地下水</w:t>
            </w:r>
          </w:p>
        </w:tc>
        <w:tc>
          <w:tcPr>
            <w:tcW w:w="3993" w:type="pct"/>
            <w:tcBorders>
              <w:tl2br w:val="nil"/>
              <w:tr2bl w:val="nil"/>
            </w:tcBorders>
            <w:vAlign w:val="center"/>
          </w:tcPr>
          <w:p w14:paraId="7538738F">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沿地下水流向，上游1</w:t>
            </w: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km，两侧1km，下游</w:t>
            </w:r>
            <w:r>
              <w:rPr>
                <w:rFonts w:hint="default" w:ascii="Times New Roman" w:hAnsi="Times New Roman"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km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rPr>
              <w:t>划定</w:t>
            </w:r>
            <w:r>
              <w:rPr>
                <w:rFonts w:hint="default" w:ascii="Times New Roman" w:hAnsi="Times New Roman" w:cs="Times New Roman"/>
                <w:color w:val="auto"/>
                <w:sz w:val="21"/>
                <w:szCs w:val="21"/>
                <w:highlight w:val="none"/>
                <w:lang w:eastAsia="zh-CN"/>
              </w:rPr>
              <w:t>6</w:t>
            </w:r>
            <w:r>
              <w:rPr>
                <w:rFonts w:hint="default" w:ascii="Times New Roman" w:hAnsi="Times New Roman" w:cs="Times New Roman"/>
                <w:color w:val="auto"/>
                <w:sz w:val="21"/>
                <w:szCs w:val="21"/>
                <w:highlight w:val="none"/>
              </w:rPr>
              <w:t>km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范围内</w:t>
            </w:r>
          </w:p>
        </w:tc>
      </w:tr>
      <w:tr w14:paraId="1306DBF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1006" w:type="pct"/>
            <w:tcBorders>
              <w:tl2br w:val="nil"/>
              <w:tr2bl w:val="nil"/>
            </w:tcBorders>
            <w:vAlign w:val="center"/>
          </w:tcPr>
          <w:p w14:paraId="38533FED">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土壤</w:t>
            </w:r>
          </w:p>
        </w:tc>
        <w:tc>
          <w:tcPr>
            <w:tcW w:w="3993" w:type="pct"/>
            <w:tcBorders>
              <w:tl2br w:val="nil"/>
              <w:tr2bl w:val="nil"/>
            </w:tcBorders>
            <w:vAlign w:val="center"/>
          </w:tcPr>
          <w:p w14:paraId="68D00251">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厂区占地范围及厂区边界外</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km范围内</w:t>
            </w:r>
          </w:p>
        </w:tc>
      </w:tr>
      <w:tr w14:paraId="1342246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1006" w:type="pct"/>
            <w:tcBorders>
              <w:tl2br w:val="nil"/>
              <w:tr2bl w:val="nil"/>
            </w:tcBorders>
            <w:vAlign w:val="center"/>
          </w:tcPr>
          <w:p w14:paraId="314E648C">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生态</w:t>
            </w:r>
          </w:p>
        </w:tc>
        <w:tc>
          <w:tcPr>
            <w:tcW w:w="3993" w:type="pct"/>
            <w:tcBorders>
              <w:tl2br w:val="nil"/>
              <w:tr2bl w:val="nil"/>
            </w:tcBorders>
            <w:vAlign w:val="center"/>
          </w:tcPr>
          <w:p w14:paraId="32E829C3">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项目厂界200m范围内</w:t>
            </w:r>
          </w:p>
        </w:tc>
      </w:tr>
      <w:tr w14:paraId="14C418F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1006" w:type="pct"/>
            <w:tcBorders>
              <w:tl2br w:val="nil"/>
              <w:tr2bl w:val="nil"/>
            </w:tcBorders>
            <w:vAlign w:val="center"/>
          </w:tcPr>
          <w:p w14:paraId="4A07F708">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风险</w:t>
            </w:r>
          </w:p>
        </w:tc>
        <w:tc>
          <w:tcPr>
            <w:tcW w:w="3993" w:type="pct"/>
            <w:tcBorders>
              <w:tl2br w:val="nil"/>
              <w:tr2bl w:val="nil"/>
            </w:tcBorders>
            <w:vAlign w:val="center"/>
          </w:tcPr>
          <w:p w14:paraId="4E90AFD3">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简单分析无需设置评价范围</w:t>
            </w:r>
          </w:p>
        </w:tc>
      </w:tr>
    </w:tbl>
    <w:p w14:paraId="07306135">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0"/>
          <w:position w:val="0"/>
          <w:sz w:val="32"/>
          <w:szCs w:val="32"/>
          <w:lang w:eastAsia="zh-CN"/>
        </w:rPr>
      </w:pPr>
      <w:bookmarkStart w:id="18" w:name="_Toc7486"/>
      <w:r>
        <w:rPr>
          <w:rFonts w:hint="default" w:ascii="Times New Roman" w:hAnsi="Times New Roman" w:eastAsia="微软雅黑" w:cs="Times New Roman"/>
          <w:color w:val="auto"/>
          <w:spacing w:val="0"/>
          <w:position w:val="0"/>
          <w:sz w:val="32"/>
          <w:szCs w:val="32"/>
          <w:lang w:eastAsia="zh-CN"/>
        </w:rPr>
        <w:t>2.</w:t>
      </w:r>
      <w:r>
        <w:rPr>
          <w:rFonts w:hint="default" w:ascii="Times New Roman" w:hAnsi="Times New Roman" w:eastAsia="微软雅黑" w:cs="Times New Roman"/>
          <w:color w:val="auto"/>
          <w:spacing w:val="0"/>
          <w:position w:val="0"/>
          <w:sz w:val="32"/>
          <w:szCs w:val="32"/>
          <w:lang w:val="en-US" w:eastAsia="zh-CN"/>
        </w:rPr>
        <w:t>7 主要</w:t>
      </w:r>
      <w:r>
        <w:rPr>
          <w:rFonts w:hint="default" w:ascii="Times New Roman" w:hAnsi="Times New Roman" w:eastAsia="微软雅黑" w:cs="Times New Roman"/>
          <w:color w:val="auto"/>
          <w:spacing w:val="0"/>
          <w:position w:val="0"/>
          <w:sz w:val="32"/>
          <w:szCs w:val="32"/>
          <w:lang w:eastAsia="zh-CN"/>
        </w:rPr>
        <w:t>环境保护目标</w:t>
      </w:r>
      <w:bookmarkEnd w:id="18"/>
    </w:p>
    <w:p w14:paraId="586A2321">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0" w:firstLineChars="0"/>
        <w:textAlignment w:val="baseline"/>
        <w:outlineLvl w:val="2"/>
        <w:rPr>
          <w:rFonts w:hint="default" w:ascii="Times New Roman" w:hAnsi="Times New Roman" w:eastAsia="宋体" w:cs="Times New Roman"/>
          <w:b/>
          <w:bCs/>
          <w:color w:val="auto"/>
          <w:spacing w:val="0"/>
          <w:position w:val="0"/>
          <w:sz w:val="30"/>
          <w:szCs w:val="30"/>
          <w:lang w:val="en-US" w:eastAsia="zh-CN"/>
        </w:rPr>
      </w:pPr>
      <w:r>
        <w:rPr>
          <w:rFonts w:hint="default" w:ascii="Times New Roman" w:hAnsi="Times New Roman" w:eastAsia="宋体" w:cs="Times New Roman"/>
          <w:b/>
          <w:bCs/>
          <w:color w:val="auto"/>
          <w:spacing w:val="0"/>
          <w:position w:val="0"/>
          <w:sz w:val="30"/>
          <w:szCs w:val="30"/>
          <w:lang w:val="en-US" w:eastAsia="zh-CN"/>
        </w:rPr>
        <w:t>2.7.1环境保护目标</w:t>
      </w:r>
    </w:p>
    <w:p w14:paraId="1B288203">
      <w:pPr>
        <w:keepNext w:val="0"/>
        <w:keepLines w:val="0"/>
        <w:pageBreakBefore w:val="0"/>
        <w:widowControl/>
        <w:numPr>
          <w:ilvl w:val="0"/>
          <w:numId w:val="0"/>
        </w:numPr>
        <w:tabs>
          <w:tab w:val="left" w:pos="377"/>
        </w:tabs>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经现场踏查，本项目评价范围内无国家公园、自然保护区、风景名胜区、世界文化和自然遗产地、饮用水水源保护区及生态保护红线等保护目标，环境保护目标主要是评价区范围内受工程排污影响的环境空气、声环境、地表水环境、地下水环境、土壤环境。</w:t>
      </w:r>
    </w:p>
    <w:p w14:paraId="1D7F83AD">
      <w:pPr>
        <w:keepNext w:val="0"/>
        <w:keepLines w:val="0"/>
        <w:pageBreakBefore w:val="0"/>
        <w:widowControl/>
        <w:numPr>
          <w:ilvl w:val="0"/>
          <w:numId w:val="0"/>
        </w:numPr>
        <w:tabs>
          <w:tab w:val="left" w:pos="377"/>
        </w:tabs>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lang w:val="en-US" w:eastAsia="zh-CN"/>
        </w:rPr>
        <w:sectPr>
          <w:footerReference r:id="rId13" w:type="default"/>
          <w:pgSz w:w="11905" w:h="16838"/>
          <w:pgMar w:top="1134" w:right="1417" w:bottom="1134" w:left="1417" w:header="897" w:footer="1088" w:gutter="0"/>
          <w:pgBorders>
            <w:top w:val="none" w:sz="0" w:space="0"/>
            <w:left w:val="none" w:sz="0" w:space="0"/>
            <w:bottom w:val="none" w:sz="0" w:space="0"/>
            <w:right w:val="none" w:sz="0" w:space="0"/>
          </w:pgBorders>
          <w:pgNumType w:fmt="decimal"/>
          <w:cols w:space="0" w:num="1"/>
          <w:rtlGutter w:val="0"/>
          <w:docGrid w:linePitch="0" w:charSpace="0"/>
        </w:sectPr>
      </w:pPr>
      <w:r>
        <w:rPr>
          <w:rFonts w:hint="default" w:ascii="Times New Roman" w:hAnsi="Times New Roman" w:eastAsia="宋体" w:cs="Times New Roman"/>
          <w:color w:val="auto"/>
          <w:sz w:val="24"/>
          <w:szCs w:val="24"/>
          <w:lang w:val="en-US" w:eastAsia="zh-CN"/>
        </w:rPr>
        <w:t>本项目环境保护目标情况见表2.</w:t>
      </w:r>
      <w:r>
        <w:rPr>
          <w:rFonts w:hint="eastAsia"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、表2.7-2</w:t>
      </w:r>
      <w:r>
        <w:rPr>
          <w:rFonts w:hint="default" w:ascii="Times New Roman" w:hAnsi="Times New Roman" w:eastAsia="宋体" w:cs="Times New Roman"/>
          <w:color w:val="auto"/>
          <w:sz w:val="24"/>
          <w:szCs w:val="24"/>
          <w:lang w:val="en-US" w:eastAsia="zh-CN"/>
        </w:rPr>
        <w:t>及</w:t>
      </w:r>
      <w:r>
        <w:rPr>
          <w:rFonts w:hint="eastAsia" w:ascii="Times New Roman" w:hAnsi="Times New Roman" w:eastAsia="宋体" w:cs="Times New Roman"/>
          <w:color w:val="auto"/>
          <w:sz w:val="24"/>
          <w:szCs w:val="24"/>
          <w:lang w:val="en-US" w:eastAsia="zh-CN"/>
        </w:rPr>
        <w:t>附图3</w:t>
      </w:r>
      <w:r>
        <w:rPr>
          <w:rFonts w:hint="default" w:ascii="Times New Roman" w:hAnsi="Times New Roman" w:eastAsia="宋体" w:cs="Times New Roman"/>
          <w:color w:val="auto"/>
          <w:sz w:val="24"/>
          <w:szCs w:val="24"/>
          <w:lang w:val="en-US" w:eastAsia="zh-CN"/>
        </w:rPr>
        <w:t>。</w:t>
      </w:r>
    </w:p>
    <w:p w14:paraId="5CBE82F9">
      <w:pPr>
        <w:pStyle w:val="13"/>
        <w:keepNext w:val="0"/>
        <w:keepLines w:val="0"/>
        <w:pageBreakBefore w:val="0"/>
        <w:widowControl/>
        <w:numPr>
          <w:ilvl w:val="0"/>
          <w:numId w:val="0"/>
        </w:numPr>
        <w:kinsoku/>
        <w:wordWrap/>
        <w:overflowPunct/>
        <w:topLinePunct w:val="0"/>
        <w:autoSpaceDE/>
        <w:autoSpaceDN/>
        <w:bidi w:val="0"/>
        <w:adjustRightInd/>
        <w:snapToGrid w:val="0"/>
        <w:spacing w:beforeLines="0" w:afterLines="0" w:line="500" w:lineRule="exact"/>
        <w:ind w:right="0" w:right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 xml:space="preserve">表2.7-1  </w:t>
      </w:r>
      <w:r>
        <w:rPr>
          <w:rFonts w:hint="eastAsia" w:ascii="Times New Roman" w:hAnsi="Times New Roman" w:eastAsia="宋体" w:cs="Times New Roman"/>
          <w:b/>
          <w:bCs/>
          <w:color w:val="auto"/>
          <w:sz w:val="24"/>
          <w:szCs w:val="24"/>
          <w:highlight w:val="none"/>
          <w:lang w:val="en-US" w:eastAsia="zh-CN"/>
        </w:rPr>
        <w:t>本项目</w:t>
      </w:r>
      <w:r>
        <w:rPr>
          <w:rFonts w:hint="default" w:ascii="Times New Roman" w:hAnsi="Times New Roman" w:eastAsia="宋体" w:cs="Times New Roman"/>
          <w:b/>
          <w:bCs/>
          <w:color w:val="auto"/>
          <w:sz w:val="24"/>
          <w:szCs w:val="24"/>
          <w:highlight w:val="none"/>
          <w:lang w:val="en-US" w:eastAsia="zh-CN"/>
        </w:rPr>
        <w:t>环境保护目标一览表</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5"/>
        <w:gridCol w:w="539"/>
        <w:gridCol w:w="1665"/>
        <w:gridCol w:w="1287"/>
        <w:gridCol w:w="1227"/>
        <w:gridCol w:w="909"/>
        <w:gridCol w:w="1212"/>
        <w:gridCol w:w="4816"/>
        <w:gridCol w:w="997"/>
        <w:gridCol w:w="1290"/>
      </w:tblGrid>
      <w:tr w14:paraId="0D0F86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285" w:type="pct"/>
            <w:vMerge w:val="restart"/>
            <w:tcBorders>
              <w:tl2br w:val="nil"/>
              <w:tr2bl w:val="nil"/>
            </w:tcBorders>
            <w:vAlign w:val="center"/>
          </w:tcPr>
          <w:p w14:paraId="68FC9ECD">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w:t>
            </w:r>
          </w:p>
          <w:p w14:paraId="03B57B42">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要素</w:t>
            </w:r>
          </w:p>
        </w:tc>
        <w:tc>
          <w:tcPr>
            <w:tcW w:w="182" w:type="pct"/>
            <w:vMerge w:val="restart"/>
            <w:tcBorders>
              <w:tl2br w:val="nil"/>
              <w:tr2bl w:val="nil"/>
            </w:tcBorders>
            <w:vAlign w:val="center"/>
          </w:tcPr>
          <w:p w14:paraId="744C2F53">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562" w:type="pct"/>
            <w:vMerge w:val="restart"/>
            <w:tcBorders>
              <w:tl2br w:val="nil"/>
              <w:tr2bl w:val="nil"/>
            </w:tcBorders>
            <w:vAlign w:val="center"/>
          </w:tcPr>
          <w:p w14:paraId="4808A565">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p>
        </w:tc>
        <w:tc>
          <w:tcPr>
            <w:tcW w:w="850" w:type="pct"/>
            <w:gridSpan w:val="2"/>
            <w:tcBorders>
              <w:tl2br w:val="nil"/>
              <w:tr2bl w:val="nil"/>
            </w:tcBorders>
            <w:vAlign w:val="center"/>
          </w:tcPr>
          <w:p w14:paraId="6F7DEA8A">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坐标</w:t>
            </w:r>
          </w:p>
        </w:tc>
        <w:tc>
          <w:tcPr>
            <w:tcW w:w="307" w:type="pct"/>
            <w:vMerge w:val="restart"/>
            <w:tcBorders>
              <w:tl2br w:val="nil"/>
              <w:tr2bl w:val="nil"/>
            </w:tcBorders>
            <w:vAlign w:val="center"/>
          </w:tcPr>
          <w:p w14:paraId="581DEC52">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保护</w:t>
            </w:r>
          </w:p>
          <w:p w14:paraId="0D3B6B77">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对象</w:t>
            </w:r>
          </w:p>
        </w:tc>
        <w:tc>
          <w:tcPr>
            <w:tcW w:w="409" w:type="pct"/>
            <w:vMerge w:val="restart"/>
            <w:tcBorders>
              <w:tl2br w:val="nil"/>
              <w:tr2bl w:val="nil"/>
            </w:tcBorders>
            <w:vAlign w:val="center"/>
          </w:tcPr>
          <w:p w14:paraId="53A7F759">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保护内容</w:t>
            </w:r>
          </w:p>
        </w:tc>
        <w:tc>
          <w:tcPr>
            <w:tcW w:w="1628" w:type="pct"/>
            <w:vMerge w:val="restart"/>
            <w:tcBorders>
              <w:tl2br w:val="nil"/>
              <w:tr2bl w:val="nil"/>
            </w:tcBorders>
            <w:vAlign w:val="center"/>
          </w:tcPr>
          <w:p w14:paraId="0F237904">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环境功能区</w:t>
            </w:r>
          </w:p>
        </w:tc>
        <w:tc>
          <w:tcPr>
            <w:tcW w:w="337" w:type="pct"/>
            <w:vMerge w:val="restart"/>
            <w:tcBorders>
              <w:tl2br w:val="nil"/>
              <w:tr2bl w:val="nil"/>
            </w:tcBorders>
            <w:vAlign w:val="center"/>
          </w:tcPr>
          <w:p w14:paraId="2AC8F19F">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相对厂址方位</w:t>
            </w:r>
          </w:p>
        </w:tc>
        <w:tc>
          <w:tcPr>
            <w:tcW w:w="436" w:type="pct"/>
            <w:vMerge w:val="restart"/>
            <w:tcBorders>
              <w:tl2br w:val="nil"/>
              <w:tr2bl w:val="nil"/>
            </w:tcBorders>
            <w:vAlign w:val="center"/>
          </w:tcPr>
          <w:p w14:paraId="66FC7CA3">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相对厂界距离约/m</w:t>
            </w:r>
          </w:p>
        </w:tc>
      </w:tr>
      <w:tr w14:paraId="0386D6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Merge w:val="continue"/>
            <w:tcBorders>
              <w:tl2br w:val="nil"/>
              <w:tr2bl w:val="nil"/>
            </w:tcBorders>
            <w:vAlign w:val="center"/>
          </w:tcPr>
          <w:p w14:paraId="295685A1">
            <w:pPr>
              <w:pStyle w:val="37"/>
              <w:widowControl w:val="0"/>
              <w:bidi w:val="0"/>
              <w:rPr>
                <w:rFonts w:hint="default" w:ascii="Times New Roman" w:hAnsi="Times New Roman" w:cs="Times New Roman"/>
                <w:color w:val="auto"/>
                <w:sz w:val="21"/>
                <w:szCs w:val="21"/>
                <w:highlight w:val="none"/>
              </w:rPr>
            </w:pPr>
          </w:p>
        </w:tc>
        <w:tc>
          <w:tcPr>
            <w:tcW w:w="182" w:type="pct"/>
            <w:vMerge w:val="continue"/>
            <w:tcBorders>
              <w:tl2br w:val="nil"/>
              <w:tr2bl w:val="nil"/>
            </w:tcBorders>
            <w:vAlign w:val="center"/>
          </w:tcPr>
          <w:p w14:paraId="186E6359">
            <w:pPr>
              <w:pStyle w:val="37"/>
              <w:widowControl w:val="0"/>
              <w:bidi w:val="0"/>
              <w:rPr>
                <w:rFonts w:hint="default" w:ascii="Times New Roman" w:hAnsi="Times New Roman" w:cs="Times New Roman"/>
                <w:color w:val="auto"/>
                <w:sz w:val="21"/>
                <w:szCs w:val="21"/>
                <w:highlight w:val="none"/>
              </w:rPr>
            </w:pPr>
          </w:p>
        </w:tc>
        <w:tc>
          <w:tcPr>
            <w:tcW w:w="562" w:type="pct"/>
            <w:vMerge w:val="continue"/>
            <w:tcBorders>
              <w:tl2br w:val="nil"/>
              <w:tr2bl w:val="nil"/>
            </w:tcBorders>
            <w:vAlign w:val="center"/>
          </w:tcPr>
          <w:p w14:paraId="5140A5FE">
            <w:pPr>
              <w:pStyle w:val="37"/>
              <w:widowControl w:val="0"/>
              <w:bidi w:val="0"/>
              <w:rPr>
                <w:rFonts w:hint="default" w:ascii="Times New Roman" w:hAnsi="Times New Roman" w:cs="Times New Roman"/>
                <w:color w:val="auto"/>
                <w:sz w:val="21"/>
                <w:szCs w:val="21"/>
                <w:highlight w:val="none"/>
              </w:rPr>
            </w:pPr>
          </w:p>
        </w:tc>
        <w:tc>
          <w:tcPr>
            <w:tcW w:w="435" w:type="pct"/>
            <w:tcBorders>
              <w:tl2br w:val="nil"/>
              <w:tr2bl w:val="nil"/>
            </w:tcBorders>
            <w:vAlign w:val="center"/>
          </w:tcPr>
          <w:p w14:paraId="0213B243">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经度</w:t>
            </w:r>
          </w:p>
        </w:tc>
        <w:tc>
          <w:tcPr>
            <w:tcW w:w="414" w:type="pct"/>
            <w:tcBorders>
              <w:tl2br w:val="nil"/>
              <w:tr2bl w:val="nil"/>
            </w:tcBorders>
            <w:vAlign w:val="center"/>
          </w:tcPr>
          <w:p w14:paraId="722D61A7">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纬度</w:t>
            </w:r>
          </w:p>
        </w:tc>
        <w:tc>
          <w:tcPr>
            <w:tcW w:w="307" w:type="pct"/>
            <w:vMerge w:val="continue"/>
            <w:tcBorders>
              <w:tl2br w:val="nil"/>
              <w:tr2bl w:val="nil"/>
            </w:tcBorders>
            <w:vAlign w:val="center"/>
          </w:tcPr>
          <w:p w14:paraId="6B958E2A">
            <w:pPr>
              <w:pStyle w:val="37"/>
              <w:widowControl w:val="0"/>
              <w:bidi w:val="0"/>
              <w:rPr>
                <w:rFonts w:hint="default" w:ascii="Times New Roman" w:hAnsi="Times New Roman" w:cs="Times New Roman"/>
                <w:color w:val="auto"/>
                <w:sz w:val="21"/>
                <w:szCs w:val="21"/>
                <w:highlight w:val="none"/>
              </w:rPr>
            </w:pPr>
          </w:p>
        </w:tc>
        <w:tc>
          <w:tcPr>
            <w:tcW w:w="409" w:type="pct"/>
            <w:vMerge w:val="continue"/>
            <w:tcBorders>
              <w:tl2br w:val="nil"/>
              <w:tr2bl w:val="nil"/>
            </w:tcBorders>
            <w:vAlign w:val="center"/>
          </w:tcPr>
          <w:p w14:paraId="3ECBD518">
            <w:pPr>
              <w:pStyle w:val="37"/>
              <w:widowControl w:val="0"/>
              <w:bidi w:val="0"/>
              <w:rPr>
                <w:rFonts w:hint="default" w:ascii="Times New Roman" w:hAnsi="Times New Roman" w:cs="Times New Roman"/>
                <w:color w:val="auto"/>
                <w:sz w:val="21"/>
                <w:szCs w:val="21"/>
                <w:highlight w:val="none"/>
              </w:rPr>
            </w:pPr>
          </w:p>
        </w:tc>
        <w:tc>
          <w:tcPr>
            <w:tcW w:w="1628" w:type="pct"/>
            <w:vMerge w:val="continue"/>
            <w:tcBorders>
              <w:tl2br w:val="nil"/>
              <w:tr2bl w:val="nil"/>
            </w:tcBorders>
            <w:vAlign w:val="center"/>
          </w:tcPr>
          <w:p w14:paraId="75ADCC86">
            <w:pPr>
              <w:pStyle w:val="37"/>
              <w:widowControl w:val="0"/>
              <w:bidi w:val="0"/>
              <w:rPr>
                <w:rFonts w:hint="default" w:ascii="Times New Roman" w:hAnsi="Times New Roman" w:cs="Times New Roman"/>
                <w:color w:val="auto"/>
                <w:sz w:val="21"/>
                <w:szCs w:val="21"/>
                <w:highlight w:val="none"/>
              </w:rPr>
            </w:pPr>
          </w:p>
        </w:tc>
        <w:tc>
          <w:tcPr>
            <w:tcW w:w="337" w:type="pct"/>
            <w:vMerge w:val="continue"/>
            <w:tcBorders>
              <w:tl2br w:val="nil"/>
              <w:tr2bl w:val="nil"/>
            </w:tcBorders>
            <w:vAlign w:val="center"/>
          </w:tcPr>
          <w:p w14:paraId="314CAA11">
            <w:pPr>
              <w:pStyle w:val="37"/>
              <w:widowControl w:val="0"/>
              <w:bidi w:val="0"/>
              <w:rPr>
                <w:rFonts w:hint="default" w:ascii="Times New Roman" w:hAnsi="Times New Roman" w:cs="Times New Roman"/>
                <w:color w:val="auto"/>
                <w:sz w:val="21"/>
                <w:szCs w:val="21"/>
                <w:highlight w:val="none"/>
              </w:rPr>
            </w:pPr>
          </w:p>
        </w:tc>
        <w:tc>
          <w:tcPr>
            <w:tcW w:w="436" w:type="pct"/>
            <w:vMerge w:val="continue"/>
            <w:tcBorders>
              <w:tl2br w:val="nil"/>
              <w:tr2bl w:val="nil"/>
            </w:tcBorders>
            <w:vAlign w:val="center"/>
          </w:tcPr>
          <w:p w14:paraId="4C80FFDE">
            <w:pPr>
              <w:pStyle w:val="37"/>
              <w:widowControl w:val="0"/>
              <w:bidi w:val="0"/>
              <w:rPr>
                <w:rFonts w:hint="default" w:ascii="Times New Roman" w:hAnsi="Times New Roman" w:cs="Times New Roman"/>
                <w:color w:val="auto"/>
                <w:sz w:val="21"/>
                <w:szCs w:val="21"/>
                <w:highlight w:val="none"/>
              </w:rPr>
            </w:pPr>
          </w:p>
        </w:tc>
      </w:tr>
      <w:tr w14:paraId="079370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Merge w:val="restart"/>
            <w:tcBorders>
              <w:tl2br w:val="nil"/>
              <w:tr2bl w:val="nil"/>
            </w:tcBorders>
            <w:vAlign w:val="center"/>
          </w:tcPr>
          <w:p w14:paraId="2DAA657A">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w:t>
            </w:r>
          </w:p>
          <w:p w14:paraId="3A04A4FD">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空气</w:t>
            </w:r>
          </w:p>
        </w:tc>
        <w:tc>
          <w:tcPr>
            <w:tcW w:w="182" w:type="pct"/>
            <w:tcBorders>
              <w:tl2br w:val="nil"/>
              <w:tr2bl w:val="nil"/>
            </w:tcBorders>
            <w:vAlign w:val="center"/>
          </w:tcPr>
          <w:p w14:paraId="55BAD3D5">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w:t>
            </w:r>
          </w:p>
        </w:tc>
        <w:tc>
          <w:tcPr>
            <w:tcW w:w="562" w:type="pct"/>
            <w:tcBorders>
              <w:tl2br w:val="nil"/>
              <w:tr2bl w:val="nil"/>
            </w:tcBorders>
            <w:vAlign w:val="center"/>
          </w:tcPr>
          <w:p w14:paraId="4FC47203">
            <w:pPr>
              <w:pStyle w:val="37"/>
              <w:widowControl w:val="0"/>
              <w:bidi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王货屯</w:t>
            </w:r>
          </w:p>
        </w:tc>
        <w:tc>
          <w:tcPr>
            <w:tcW w:w="435" w:type="pct"/>
            <w:tcBorders>
              <w:tl2br w:val="nil"/>
              <w:tr2bl w:val="nil"/>
            </w:tcBorders>
            <w:vAlign w:val="center"/>
          </w:tcPr>
          <w:p w14:paraId="39DAECED">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126°45′50.278″</w:t>
            </w:r>
          </w:p>
        </w:tc>
        <w:tc>
          <w:tcPr>
            <w:tcW w:w="414" w:type="pct"/>
            <w:tcBorders>
              <w:tl2br w:val="nil"/>
              <w:tr2bl w:val="nil"/>
            </w:tcBorders>
            <w:vAlign w:val="center"/>
          </w:tcPr>
          <w:p w14:paraId="14B639F9">
            <w:pPr>
              <w:pStyle w:val="37"/>
              <w:widowControl w:val="0"/>
              <w:bidi w:val="0"/>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45°25′52.685″</w:t>
            </w:r>
          </w:p>
        </w:tc>
        <w:tc>
          <w:tcPr>
            <w:tcW w:w="307" w:type="pct"/>
            <w:tcBorders>
              <w:tl2br w:val="nil"/>
              <w:tr2bl w:val="nil"/>
            </w:tcBorders>
            <w:shd w:val="clear" w:color="auto" w:fill="auto"/>
            <w:vAlign w:val="center"/>
          </w:tcPr>
          <w:p w14:paraId="669B6D3E">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居住区</w:t>
            </w:r>
          </w:p>
        </w:tc>
        <w:tc>
          <w:tcPr>
            <w:tcW w:w="409" w:type="pct"/>
            <w:tcBorders>
              <w:tl2br w:val="nil"/>
              <w:tr2bl w:val="nil"/>
            </w:tcBorders>
            <w:shd w:val="clear" w:color="auto" w:fill="auto"/>
            <w:vAlign w:val="center"/>
          </w:tcPr>
          <w:p w14:paraId="1820766E">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居民</w:t>
            </w:r>
          </w:p>
        </w:tc>
        <w:tc>
          <w:tcPr>
            <w:tcW w:w="1628" w:type="pct"/>
            <w:vMerge w:val="restart"/>
            <w:tcBorders>
              <w:tl2br w:val="nil"/>
              <w:tr2bl w:val="nil"/>
            </w:tcBorders>
            <w:vAlign w:val="center"/>
          </w:tcPr>
          <w:p w14:paraId="715F6517">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《环境空气质量标准》</w:t>
            </w:r>
          </w:p>
          <w:p w14:paraId="602BD215">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（GB3095-2012）</w:t>
            </w:r>
          </w:p>
          <w:p w14:paraId="2F593FF2">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二类功能区</w:t>
            </w:r>
          </w:p>
        </w:tc>
        <w:tc>
          <w:tcPr>
            <w:tcW w:w="337" w:type="pct"/>
            <w:tcBorders>
              <w:tl2br w:val="nil"/>
              <w:tr2bl w:val="nil"/>
            </w:tcBorders>
            <w:shd w:val="clear" w:color="auto" w:fill="auto"/>
            <w:vAlign w:val="center"/>
          </w:tcPr>
          <w:p w14:paraId="6BA4770F">
            <w:pPr>
              <w:pStyle w:val="37"/>
              <w:widowControl w:val="0"/>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E</w:t>
            </w:r>
          </w:p>
        </w:tc>
        <w:tc>
          <w:tcPr>
            <w:tcW w:w="436" w:type="pct"/>
            <w:tcBorders>
              <w:tl2br w:val="nil"/>
              <w:tr2bl w:val="nil"/>
            </w:tcBorders>
            <w:shd w:val="clear" w:color="auto" w:fill="auto"/>
            <w:vAlign w:val="center"/>
          </w:tcPr>
          <w:p w14:paraId="4FC36044">
            <w:pPr>
              <w:pStyle w:val="37"/>
              <w:widowControl w:val="0"/>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1970</w:t>
            </w:r>
          </w:p>
        </w:tc>
      </w:tr>
      <w:tr w14:paraId="7E51CA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Merge w:val="continue"/>
            <w:tcBorders>
              <w:tl2br w:val="nil"/>
              <w:tr2bl w:val="nil"/>
            </w:tcBorders>
            <w:vAlign w:val="center"/>
          </w:tcPr>
          <w:p w14:paraId="63DF14E0">
            <w:pPr>
              <w:pStyle w:val="37"/>
              <w:widowControl w:val="0"/>
              <w:bidi w:val="0"/>
              <w:rPr>
                <w:rFonts w:hint="default" w:ascii="Times New Roman" w:hAnsi="Times New Roman" w:cs="Times New Roman"/>
                <w:color w:val="auto"/>
                <w:sz w:val="21"/>
                <w:szCs w:val="21"/>
                <w:highlight w:val="none"/>
              </w:rPr>
            </w:pPr>
          </w:p>
        </w:tc>
        <w:tc>
          <w:tcPr>
            <w:tcW w:w="182" w:type="pct"/>
            <w:tcBorders>
              <w:tl2br w:val="nil"/>
              <w:tr2bl w:val="nil"/>
            </w:tcBorders>
            <w:vAlign w:val="center"/>
          </w:tcPr>
          <w:p w14:paraId="07706CE8">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w:t>
            </w:r>
          </w:p>
        </w:tc>
        <w:tc>
          <w:tcPr>
            <w:tcW w:w="562" w:type="pct"/>
            <w:tcBorders>
              <w:tl2br w:val="nil"/>
              <w:tr2bl w:val="nil"/>
            </w:tcBorders>
            <w:vAlign w:val="center"/>
          </w:tcPr>
          <w:p w14:paraId="0197C111">
            <w:pPr>
              <w:pStyle w:val="37"/>
              <w:widowControl w:val="0"/>
              <w:bidi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张达屯</w:t>
            </w:r>
          </w:p>
        </w:tc>
        <w:tc>
          <w:tcPr>
            <w:tcW w:w="435" w:type="pct"/>
            <w:tcBorders>
              <w:tl2br w:val="nil"/>
              <w:tr2bl w:val="nil"/>
            </w:tcBorders>
            <w:vAlign w:val="center"/>
          </w:tcPr>
          <w:p w14:paraId="4EA66C2B">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126°43′51.626″</w:t>
            </w:r>
          </w:p>
        </w:tc>
        <w:tc>
          <w:tcPr>
            <w:tcW w:w="414" w:type="pct"/>
            <w:tcBorders>
              <w:tl2br w:val="nil"/>
              <w:tr2bl w:val="nil"/>
            </w:tcBorders>
            <w:vAlign w:val="center"/>
          </w:tcPr>
          <w:p w14:paraId="5D2E1DC8">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45°25′29.157″</w:t>
            </w:r>
          </w:p>
        </w:tc>
        <w:tc>
          <w:tcPr>
            <w:tcW w:w="307" w:type="pct"/>
            <w:tcBorders>
              <w:tl2br w:val="nil"/>
              <w:tr2bl w:val="nil"/>
            </w:tcBorders>
            <w:shd w:val="clear" w:color="auto" w:fill="auto"/>
            <w:vAlign w:val="center"/>
          </w:tcPr>
          <w:p w14:paraId="05D905C9">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居住区</w:t>
            </w:r>
          </w:p>
        </w:tc>
        <w:tc>
          <w:tcPr>
            <w:tcW w:w="409" w:type="pct"/>
            <w:tcBorders>
              <w:tl2br w:val="nil"/>
              <w:tr2bl w:val="nil"/>
            </w:tcBorders>
            <w:shd w:val="clear" w:color="auto" w:fill="auto"/>
            <w:vAlign w:val="center"/>
          </w:tcPr>
          <w:p w14:paraId="746C46BC">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居民</w:t>
            </w:r>
          </w:p>
        </w:tc>
        <w:tc>
          <w:tcPr>
            <w:tcW w:w="1628" w:type="pct"/>
            <w:vMerge w:val="continue"/>
            <w:tcBorders>
              <w:tl2br w:val="nil"/>
              <w:tr2bl w:val="nil"/>
            </w:tcBorders>
            <w:vAlign w:val="center"/>
          </w:tcPr>
          <w:p w14:paraId="39B33A86">
            <w:pPr>
              <w:pStyle w:val="37"/>
              <w:widowControl w:val="0"/>
              <w:bidi w:val="0"/>
              <w:rPr>
                <w:rFonts w:hint="default" w:ascii="Times New Roman" w:hAnsi="Times New Roman" w:cs="Times New Roman"/>
                <w:color w:val="auto"/>
                <w:sz w:val="21"/>
                <w:szCs w:val="21"/>
                <w:highlight w:val="none"/>
              </w:rPr>
            </w:pPr>
          </w:p>
        </w:tc>
        <w:tc>
          <w:tcPr>
            <w:tcW w:w="337" w:type="pct"/>
            <w:tcBorders>
              <w:tl2br w:val="nil"/>
              <w:tr2bl w:val="nil"/>
            </w:tcBorders>
            <w:shd w:val="clear" w:color="auto" w:fill="auto"/>
            <w:vAlign w:val="center"/>
          </w:tcPr>
          <w:p w14:paraId="0F8E1C21">
            <w:pPr>
              <w:pStyle w:val="37"/>
              <w:widowControl w:val="0"/>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ES</w:t>
            </w:r>
          </w:p>
        </w:tc>
        <w:tc>
          <w:tcPr>
            <w:tcW w:w="436" w:type="pct"/>
            <w:tcBorders>
              <w:tl2br w:val="nil"/>
              <w:tr2bl w:val="nil"/>
            </w:tcBorders>
            <w:shd w:val="clear" w:color="auto" w:fill="auto"/>
            <w:vAlign w:val="center"/>
          </w:tcPr>
          <w:p w14:paraId="2BBD1715">
            <w:pPr>
              <w:pStyle w:val="37"/>
              <w:widowControl w:val="0"/>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190</w:t>
            </w:r>
          </w:p>
        </w:tc>
      </w:tr>
      <w:tr w14:paraId="38EF00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Merge w:val="continue"/>
            <w:tcBorders>
              <w:tl2br w:val="nil"/>
              <w:tr2bl w:val="nil"/>
            </w:tcBorders>
            <w:vAlign w:val="center"/>
          </w:tcPr>
          <w:p w14:paraId="2AA4BF84">
            <w:pPr>
              <w:pStyle w:val="37"/>
              <w:widowControl w:val="0"/>
              <w:bidi w:val="0"/>
              <w:rPr>
                <w:rFonts w:hint="default" w:ascii="Times New Roman" w:hAnsi="Times New Roman" w:cs="Times New Roman"/>
                <w:color w:val="auto"/>
                <w:sz w:val="21"/>
                <w:szCs w:val="21"/>
                <w:highlight w:val="none"/>
              </w:rPr>
            </w:pPr>
          </w:p>
        </w:tc>
        <w:tc>
          <w:tcPr>
            <w:tcW w:w="182" w:type="pct"/>
            <w:tcBorders>
              <w:tl2br w:val="nil"/>
              <w:tr2bl w:val="nil"/>
            </w:tcBorders>
            <w:vAlign w:val="center"/>
          </w:tcPr>
          <w:p w14:paraId="07DB9621">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w:t>
            </w:r>
          </w:p>
        </w:tc>
        <w:tc>
          <w:tcPr>
            <w:tcW w:w="562" w:type="pct"/>
            <w:tcBorders>
              <w:tl2br w:val="nil"/>
              <w:tr2bl w:val="nil"/>
            </w:tcBorders>
            <w:vAlign w:val="center"/>
          </w:tcPr>
          <w:p w14:paraId="394ABDB4">
            <w:pPr>
              <w:pStyle w:val="37"/>
              <w:widowControl w:val="0"/>
              <w:bidi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倪家窝棚</w:t>
            </w:r>
          </w:p>
        </w:tc>
        <w:tc>
          <w:tcPr>
            <w:tcW w:w="435" w:type="pct"/>
            <w:tcBorders>
              <w:tl2br w:val="nil"/>
              <w:tr2bl w:val="nil"/>
            </w:tcBorders>
            <w:vAlign w:val="center"/>
          </w:tcPr>
          <w:p w14:paraId="3606C516">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126°44′27.971″</w:t>
            </w:r>
          </w:p>
        </w:tc>
        <w:tc>
          <w:tcPr>
            <w:tcW w:w="414" w:type="pct"/>
            <w:tcBorders>
              <w:tl2br w:val="nil"/>
              <w:tr2bl w:val="nil"/>
            </w:tcBorders>
            <w:vAlign w:val="center"/>
          </w:tcPr>
          <w:p w14:paraId="42607357">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45°25′7.253″</w:t>
            </w:r>
          </w:p>
        </w:tc>
        <w:tc>
          <w:tcPr>
            <w:tcW w:w="307" w:type="pct"/>
            <w:tcBorders>
              <w:tl2br w:val="nil"/>
              <w:tr2bl w:val="nil"/>
            </w:tcBorders>
            <w:shd w:val="clear" w:color="auto" w:fill="auto"/>
            <w:vAlign w:val="center"/>
          </w:tcPr>
          <w:p w14:paraId="6FB8C69B">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居住区</w:t>
            </w:r>
          </w:p>
        </w:tc>
        <w:tc>
          <w:tcPr>
            <w:tcW w:w="409" w:type="pct"/>
            <w:tcBorders>
              <w:tl2br w:val="nil"/>
              <w:tr2bl w:val="nil"/>
            </w:tcBorders>
            <w:shd w:val="clear" w:color="auto" w:fill="auto"/>
            <w:vAlign w:val="center"/>
          </w:tcPr>
          <w:p w14:paraId="1DC99DAE">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居民</w:t>
            </w:r>
          </w:p>
        </w:tc>
        <w:tc>
          <w:tcPr>
            <w:tcW w:w="1628" w:type="pct"/>
            <w:vMerge w:val="continue"/>
            <w:tcBorders>
              <w:tl2br w:val="nil"/>
              <w:tr2bl w:val="nil"/>
            </w:tcBorders>
            <w:vAlign w:val="center"/>
          </w:tcPr>
          <w:p w14:paraId="1F0942F7">
            <w:pPr>
              <w:pStyle w:val="37"/>
              <w:widowControl w:val="0"/>
              <w:bidi w:val="0"/>
              <w:rPr>
                <w:rFonts w:hint="default" w:ascii="Times New Roman" w:hAnsi="Times New Roman" w:cs="Times New Roman"/>
                <w:color w:val="auto"/>
                <w:sz w:val="21"/>
                <w:szCs w:val="21"/>
                <w:highlight w:val="none"/>
              </w:rPr>
            </w:pPr>
          </w:p>
        </w:tc>
        <w:tc>
          <w:tcPr>
            <w:tcW w:w="337" w:type="pct"/>
            <w:tcBorders>
              <w:tl2br w:val="nil"/>
              <w:tr2bl w:val="nil"/>
            </w:tcBorders>
            <w:shd w:val="clear" w:color="auto" w:fill="auto"/>
            <w:vAlign w:val="center"/>
          </w:tcPr>
          <w:p w14:paraId="3269CD18">
            <w:pPr>
              <w:widowControl w:val="0"/>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ES</w:t>
            </w:r>
          </w:p>
        </w:tc>
        <w:tc>
          <w:tcPr>
            <w:tcW w:w="436" w:type="pct"/>
            <w:tcBorders>
              <w:tl2br w:val="nil"/>
              <w:tr2bl w:val="nil"/>
            </w:tcBorders>
            <w:shd w:val="clear" w:color="auto" w:fill="auto"/>
            <w:vAlign w:val="center"/>
          </w:tcPr>
          <w:p w14:paraId="2603BD57">
            <w:pPr>
              <w:pStyle w:val="37"/>
              <w:widowControl w:val="0"/>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1440</w:t>
            </w:r>
          </w:p>
        </w:tc>
      </w:tr>
      <w:tr w14:paraId="7B00A9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Merge w:val="continue"/>
            <w:tcBorders>
              <w:tl2br w:val="nil"/>
              <w:tr2bl w:val="nil"/>
            </w:tcBorders>
            <w:vAlign w:val="center"/>
          </w:tcPr>
          <w:p w14:paraId="49B906C8">
            <w:pPr>
              <w:pStyle w:val="37"/>
              <w:widowControl w:val="0"/>
              <w:bidi w:val="0"/>
              <w:rPr>
                <w:rFonts w:hint="default" w:ascii="Times New Roman" w:hAnsi="Times New Roman" w:cs="Times New Roman"/>
                <w:color w:val="auto"/>
                <w:sz w:val="21"/>
                <w:szCs w:val="21"/>
                <w:highlight w:val="none"/>
              </w:rPr>
            </w:pPr>
          </w:p>
        </w:tc>
        <w:tc>
          <w:tcPr>
            <w:tcW w:w="182" w:type="pct"/>
            <w:tcBorders>
              <w:tl2br w:val="nil"/>
              <w:tr2bl w:val="nil"/>
            </w:tcBorders>
            <w:vAlign w:val="center"/>
          </w:tcPr>
          <w:p w14:paraId="024A3F22">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4</w:t>
            </w:r>
          </w:p>
        </w:tc>
        <w:tc>
          <w:tcPr>
            <w:tcW w:w="562" w:type="pct"/>
            <w:tcBorders>
              <w:tl2br w:val="nil"/>
              <w:tr2bl w:val="nil"/>
            </w:tcBorders>
            <w:vAlign w:val="center"/>
          </w:tcPr>
          <w:p w14:paraId="698E0DC3">
            <w:pPr>
              <w:pStyle w:val="37"/>
              <w:widowControl w:val="0"/>
              <w:bidi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魏家窝棚屯</w:t>
            </w:r>
          </w:p>
        </w:tc>
        <w:tc>
          <w:tcPr>
            <w:tcW w:w="435" w:type="pct"/>
            <w:tcBorders>
              <w:tl2br w:val="nil"/>
              <w:tr2bl w:val="nil"/>
            </w:tcBorders>
            <w:vAlign w:val="center"/>
          </w:tcPr>
          <w:p w14:paraId="7A66A1A8">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126°45′11.152″</w:t>
            </w:r>
          </w:p>
        </w:tc>
        <w:tc>
          <w:tcPr>
            <w:tcW w:w="414" w:type="pct"/>
            <w:tcBorders>
              <w:tl2br w:val="nil"/>
              <w:tr2bl w:val="nil"/>
            </w:tcBorders>
            <w:vAlign w:val="center"/>
          </w:tcPr>
          <w:p w14:paraId="55906CE2">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45°25′0.556″</w:t>
            </w:r>
          </w:p>
        </w:tc>
        <w:tc>
          <w:tcPr>
            <w:tcW w:w="307" w:type="pct"/>
            <w:tcBorders>
              <w:tl2br w:val="nil"/>
              <w:tr2bl w:val="nil"/>
            </w:tcBorders>
            <w:shd w:val="clear" w:color="auto" w:fill="auto"/>
            <w:vAlign w:val="center"/>
          </w:tcPr>
          <w:p w14:paraId="5B526DAC">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居住区</w:t>
            </w:r>
          </w:p>
        </w:tc>
        <w:tc>
          <w:tcPr>
            <w:tcW w:w="409" w:type="pct"/>
            <w:tcBorders>
              <w:tl2br w:val="nil"/>
              <w:tr2bl w:val="nil"/>
            </w:tcBorders>
            <w:shd w:val="clear" w:color="auto" w:fill="auto"/>
            <w:vAlign w:val="center"/>
          </w:tcPr>
          <w:p w14:paraId="471C7198">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居民</w:t>
            </w:r>
          </w:p>
        </w:tc>
        <w:tc>
          <w:tcPr>
            <w:tcW w:w="1628" w:type="pct"/>
            <w:vMerge w:val="continue"/>
            <w:tcBorders>
              <w:tl2br w:val="nil"/>
              <w:tr2bl w:val="nil"/>
            </w:tcBorders>
            <w:vAlign w:val="center"/>
          </w:tcPr>
          <w:p w14:paraId="5EEE7170">
            <w:pPr>
              <w:pStyle w:val="37"/>
              <w:widowControl w:val="0"/>
              <w:bidi w:val="0"/>
              <w:rPr>
                <w:rFonts w:hint="default" w:ascii="Times New Roman" w:hAnsi="Times New Roman" w:cs="Times New Roman"/>
                <w:color w:val="auto"/>
                <w:sz w:val="21"/>
                <w:szCs w:val="21"/>
                <w:highlight w:val="none"/>
              </w:rPr>
            </w:pPr>
          </w:p>
        </w:tc>
        <w:tc>
          <w:tcPr>
            <w:tcW w:w="337" w:type="pct"/>
            <w:tcBorders>
              <w:tl2br w:val="nil"/>
              <w:tr2bl w:val="nil"/>
            </w:tcBorders>
            <w:shd w:val="clear" w:color="auto" w:fill="auto"/>
            <w:vAlign w:val="center"/>
          </w:tcPr>
          <w:p w14:paraId="41FE0B47">
            <w:pPr>
              <w:widowControl w:val="0"/>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ES</w:t>
            </w:r>
          </w:p>
        </w:tc>
        <w:tc>
          <w:tcPr>
            <w:tcW w:w="436" w:type="pct"/>
            <w:tcBorders>
              <w:tl2br w:val="nil"/>
              <w:tr2bl w:val="nil"/>
            </w:tcBorders>
            <w:shd w:val="clear" w:color="auto" w:fill="auto"/>
            <w:vAlign w:val="center"/>
          </w:tcPr>
          <w:p w14:paraId="25948BCD">
            <w:pPr>
              <w:pStyle w:val="37"/>
              <w:widowControl w:val="0"/>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2350</w:t>
            </w:r>
          </w:p>
        </w:tc>
      </w:tr>
      <w:tr w14:paraId="78F808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Merge w:val="continue"/>
            <w:tcBorders>
              <w:tl2br w:val="nil"/>
              <w:tr2bl w:val="nil"/>
            </w:tcBorders>
            <w:vAlign w:val="center"/>
          </w:tcPr>
          <w:p w14:paraId="086746A8">
            <w:pPr>
              <w:pStyle w:val="37"/>
              <w:widowControl w:val="0"/>
              <w:bidi w:val="0"/>
              <w:rPr>
                <w:rFonts w:hint="default" w:ascii="Times New Roman" w:hAnsi="Times New Roman" w:cs="Times New Roman"/>
                <w:color w:val="auto"/>
                <w:sz w:val="21"/>
                <w:szCs w:val="21"/>
                <w:highlight w:val="none"/>
              </w:rPr>
            </w:pPr>
          </w:p>
        </w:tc>
        <w:tc>
          <w:tcPr>
            <w:tcW w:w="182" w:type="pct"/>
            <w:tcBorders>
              <w:tl2br w:val="nil"/>
              <w:tr2bl w:val="nil"/>
            </w:tcBorders>
            <w:vAlign w:val="center"/>
          </w:tcPr>
          <w:p w14:paraId="31FC8BC1">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5</w:t>
            </w:r>
          </w:p>
        </w:tc>
        <w:tc>
          <w:tcPr>
            <w:tcW w:w="562" w:type="pct"/>
            <w:tcBorders>
              <w:tl2br w:val="nil"/>
              <w:tr2bl w:val="nil"/>
            </w:tcBorders>
            <w:vAlign w:val="center"/>
          </w:tcPr>
          <w:p w14:paraId="5D90E671">
            <w:pPr>
              <w:pStyle w:val="37"/>
              <w:widowControl w:val="0"/>
              <w:bidi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山根子</w:t>
            </w:r>
          </w:p>
        </w:tc>
        <w:tc>
          <w:tcPr>
            <w:tcW w:w="435" w:type="pct"/>
            <w:tcBorders>
              <w:tl2br w:val="nil"/>
              <w:tr2bl w:val="nil"/>
            </w:tcBorders>
            <w:vAlign w:val="center"/>
          </w:tcPr>
          <w:p w14:paraId="45CAD0B5">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126°43′28.683″</w:t>
            </w:r>
          </w:p>
        </w:tc>
        <w:tc>
          <w:tcPr>
            <w:tcW w:w="414" w:type="pct"/>
            <w:tcBorders>
              <w:tl2br w:val="nil"/>
              <w:tr2bl w:val="nil"/>
            </w:tcBorders>
            <w:vAlign w:val="center"/>
          </w:tcPr>
          <w:p w14:paraId="4D5F441F">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45°24′15.220″</w:t>
            </w:r>
          </w:p>
        </w:tc>
        <w:tc>
          <w:tcPr>
            <w:tcW w:w="307" w:type="pct"/>
            <w:tcBorders>
              <w:tl2br w:val="nil"/>
              <w:tr2bl w:val="nil"/>
            </w:tcBorders>
            <w:shd w:val="clear" w:color="auto" w:fill="auto"/>
            <w:vAlign w:val="center"/>
          </w:tcPr>
          <w:p w14:paraId="2C89E1D6">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居住区</w:t>
            </w:r>
          </w:p>
        </w:tc>
        <w:tc>
          <w:tcPr>
            <w:tcW w:w="409" w:type="pct"/>
            <w:tcBorders>
              <w:tl2br w:val="nil"/>
              <w:tr2bl w:val="nil"/>
            </w:tcBorders>
            <w:shd w:val="clear" w:color="auto" w:fill="auto"/>
            <w:vAlign w:val="center"/>
          </w:tcPr>
          <w:p w14:paraId="421F6EC8">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居民</w:t>
            </w:r>
          </w:p>
        </w:tc>
        <w:tc>
          <w:tcPr>
            <w:tcW w:w="1628" w:type="pct"/>
            <w:vMerge w:val="continue"/>
            <w:tcBorders>
              <w:tl2br w:val="nil"/>
              <w:tr2bl w:val="nil"/>
            </w:tcBorders>
            <w:vAlign w:val="center"/>
          </w:tcPr>
          <w:p w14:paraId="16EE98C5">
            <w:pPr>
              <w:pStyle w:val="37"/>
              <w:widowControl w:val="0"/>
              <w:bidi w:val="0"/>
              <w:rPr>
                <w:rFonts w:hint="default" w:ascii="Times New Roman" w:hAnsi="Times New Roman" w:cs="Times New Roman"/>
                <w:color w:val="auto"/>
                <w:sz w:val="21"/>
                <w:szCs w:val="21"/>
                <w:highlight w:val="none"/>
              </w:rPr>
            </w:pPr>
          </w:p>
        </w:tc>
        <w:tc>
          <w:tcPr>
            <w:tcW w:w="337" w:type="pct"/>
            <w:tcBorders>
              <w:tl2br w:val="nil"/>
              <w:tr2bl w:val="nil"/>
            </w:tcBorders>
            <w:shd w:val="clear" w:color="auto" w:fill="auto"/>
            <w:vAlign w:val="center"/>
          </w:tcPr>
          <w:p w14:paraId="0F73F529">
            <w:pPr>
              <w:pStyle w:val="37"/>
              <w:widowControl w:val="0"/>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S</w:t>
            </w:r>
          </w:p>
        </w:tc>
        <w:tc>
          <w:tcPr>
            <w:tcW w:w="436" w:type="pct"/>
            <w:tcBorders>
              <w:tl2br w:val="nil"/>
              <w:tr2bl w:val="nil"/>
            </w:tcBorders>
            <w:shd w:val="clear" w:color="auto" w:fill="auto"/>
            <w:vAlign w:val="center"/>
          </w:tcPr>
          <w:p w14:paraId="35F43C04">
            <w:pPr>
              <w:pStyle w:val="37"/>
              <w:widowControl w:val="0"/>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2490</w:t>
            </w:r>
          </w:p>
        </w:tc>
      </w:tr>
      <w:tr w14:paraId="398567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Merge w:val="continue"/>
            <w:tcBorders>
              <w:tl2br w:val="nil"/>
              <w:tr2bl w:val="nil"/>
            </w:tcBorders>
            <w:vAlign w:val="center"/>
          </w:tcPr>
          <w:p w14:paraId="4F217A9F">
            <w:pPr>
              <w:pStyle w:val="37"/>
              <w:widowControl w:val="0"/>
              <w:bidi w:val="0"/>
              <w:rPr>
                <w:rFonts w:hint="default" w:ascii="Times New Roman" w:hAnsi="Times New Roman" w:cs="Times New Roman"/>
                <w:color w:val="auto"/>
                <w:sz w:val="21"/>
                <w:szCs w:val="21"/>
                <w:highlight w:val="none"/>
              </w:rPr>
            </w:pPr>
          </w:p>
        </w:tc>
        <w:tc>
          <w:tcPr>
            <w:tcW w:w="182" w:type="pct"/>
            <w:tcBorders>
              <w:tl2br w:val="nil"/>
              <w:tr2bl w:val="nil"/>
            </w:tcBorders>
            <w:vAlign w:val="center"/>
          </w:tcPr>
          <w:p w14:paraId="23B5A3FF">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6</w:t>
            </w:r>
          </w:p>
        </w:tc>
        <w:tc>
          <w:tcPr>
            <w:tcW w:w="562" w:type="pct"/>
            <w:tcBorders>
              <w:tl2br w:val="nil"/>
              <w:tr2bl w:val="nil"/>
            </w:tcBorders>
            <w:vAlign w:val="center"/>
          </w:tcPr>
          <w:p w14:paraId="086F6ECB">
            <w:pPr>
              <w:pStyle w:val="37"/>
              <w:widowControl w:val="0"/>
              <w:bidi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荀家窝堡</w:t>
            </w:r>
          </w:p>
        </w:tc>
        <w:tc>
          <w:tcPr>
            <w:tcW w:w="435" w:type="pct"/>
            <w:tcBorders>
              <w:tl2br w:val="nil"/>
              <w:tr2bl w:val="nil"/>
            </w:tcBorders>
            <w:vAlign w:val="center"/>
          </w:tcPr>
          <w:p w14:paraId="353C6288">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126°42′39.090″</w:t>
            </w:r>
          </w:p>
        </w:tc>
        <w:tc>
          <w:tcPr>
            <w:tcW w:w="414" w:type="pct"/>
            <w:tcBorders>
              <w:tl2br w:val="nil"/>
              <w:tr2bl w:val="nil"/>
            </w:tcBorders>
            <w:vAlign w:val="center"/>
          </w:tcPr>
          <w:p w14:paraId="4595F76D">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45°25′10.723″</w:t>
            </w:r>
          </w:p>
        </w:tc>
        <w:tc>
          <w:tcPr>
            <w:tcW w:w="307" w:type="pct"/>
            <w:tcBorders>
              <w:tl2br w:val="nil"/>
              <w:tr2bl w:val="nil"/>
            </w:tcBorders>
            <w:shd w:val="clear" w:color="auto" w:fill="auto"/>
            <w:vAlign w:val="center"/>
          </w:tcPr>
          <w:p w14:paraId="6B5440E8">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居住区</w:t>
            </w:r>
          </w:p>
        </w:tc>
        <w:tc>
          <w:tcPr>
            <w:tcW w:w="409" w:type="pct"/>
            <w:tcBorders>
              <w:tl2br w:val="nil"/>
              <w:tr2bl w:val="nil"/>
            </w:tcBorders>
            <w:shd w:val="clear" w:color="auto" w:fill="auto"/>
            <w:vAlign w:val="center"/>
          </w:tcPr>
          <w:p w14:paraId="7A03DE01">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居民</w:t>
            </w:r>
          </w:p>
        </w:tc>
        <w:tc>
          <w:tcPr>
            <w:tcW w:w="1628" w:type="pct"/>
            <w:vMerge w:val="continue"/>
            <w:tcBorders>
              <w:tl2br w:val="nil"/>
              <w:tr2bl w:val="nil"/>
            </w:tcBorders>
            <w:vAlign w:val="center"/>
          </w:tcPr>
          <w:p w14:paraId="2ADBF115">
            <w:pPr>
              <w:pStyle w:val="37"/>
              <w:widowControl w:val="0"/>
              <w:bidi w:val="0"/>
              <w:rPr>
                <w:rFonts w:hint="default" w:ascii="Times New Roman" w:hAnsi="Times New Roman" w:cs="Times New Roman"/>
                <w:color w:val="auto"/>
                <w:sz w:val="21"/>
                <w:szCs w:val="21"/>
                <w:highlight w:val="none"/>
              </w:rPr>
            </w:pPr>
          </w:p>
        </w:tc>
        <w:tc>
          <w:tcPr>
            <w:tcW w:w="337" w:type="pct"/>
            <w:tcBorders>
              <w:tl2br w:val="nil"/>
              <w:tr2bl w:val="nil"/>
            </w:tcBorders>
            <w:shd w:val="clear" w:color="auto" w:fill="auto"/>
            <w:vAlign w:val="center"/>
          </w:tcPr>
          <w:p w14:paraId="42A37D0A">
            <w:pPr>
              <w:pStyle w:val="37"/>
              <w:widowControl w:val="0"/>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WS</w:t>
            </w:r>
          </w:p>
        </w:tc>
        <w:tc>
          <w:tcPr>
            <w:tcW w:w="436" w:type="pct"/>
            <w:tcBorders>
              <w:tl2br w:val="nil"/>
              <w:tr2bl w:val="nil"/>
            </w:tcBorders>
            <w:shd w:val="clear" w:color="auto" w:fill="auto"/>
            <w:vAlign w:val="center"/>
          </w:tcPr>
          <w:p w14:paraId="5BFE7DCD">
            <w:pPr>
              <w:pStyle w:val="37"/>
              <w:widowControl w:val="0"/>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1090</w:t>
            </w:r>
          </w:p>
        </w:tc>
      </w:tr>
      <w:tr w14:paraId="7ACAED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Merge w:val="continue"/>
            <w:tcBorders>
              <w:tl2br w:val="nil"/>
              <w:tr2bl w:val="nil"/>
            </w:tcBorders>
            <w:vAlign w:val="center"/>
          </w:tcPr>
          <w:p w14:paraId="622B4D2E">
            <w:pPr>
              <w:pStyle w:val="37"/>
              <w:widowControl w:val="0"/>
              <w:bidi w:val="0"/>
              <w:rPr>
                <w:rFonts w:hint="default" w:ascii="Times New Roman" w:hAnsi="Times New Roman" w:cs="Times New Roman"/>
                <w:color w:val="auto"/>
                <w:sz w:val="21"/>
                <w:szCs w:val="21"/>
                <w:highlight w:val="none"/>
              </w:rPr>
            </w:pPr>
          </w:p>
        </w:tc>
        <w:tc>
          <w:tcPr>
            <w:tcW w:w="182" w:type="pct"/>
            <w:tcBorders>
              <w:tl2br w:val="nil"/>
              <w:tr2bl w:val="nil"/>
            </w:tcBorders>
            <w:vAlign w:val="center"/>
          </w:tcPr>
          <w:p w14:paraId="2B5074D4">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7</w:t>
            </w:r>
          </w:p>
        </w:tc>
        <w:tc>
          <w:tcPr>
            <w:tcW w:w="562" w:type="pct"/>
            <w:tcBorders>
              <w:tl2br w:val="nil"/>
              <w:tr2bl w:val="nil"/>
            </w:tcBorders>
            <w:vAlign w:val="center"/>
          </w:tcPr>
          <w:p w14:paraId="791A24F2">
            <w:pPr>
              <w:pStyle w:val="37"/>
              <w:widowControl w:val="0"/>
              <w:bidi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赵家窝堡</w:t>
            </w:r>
          </w:p>
        </w:tc>
        <w:tc>
          <w:tcPr>
            <w:tcW w:w="435" w:type="pct"/>
            <w:tcBorders>
              <w:tl2br w:val="nil"/>
              <w:tr2bl w:val="nil"/>
            </w:tcBorders>
            <w:vAlign w:val="center"/>
          </w:tcPr>
          <w:p w14:paraId="1F26EF27">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126°41′15.585″</w:t>
            </w:r>
          </w:p>
        </w:tc>
        <w:tc>
          <w:tcPr>
            <w:tcW w:w="414" w:type="pct"/>
            <w:tcBorders>
              <w:tl2br w:val="nil"/>
              <w:tr2bl w:val="nil"/>
            </w:tcBorders>
            <w:vAlign w:val="center"/>
          </w:tcPr>
          <w:p w14:paraId="25DE2B82">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45°25′46.126″</w:t>
            </w:r>
          </w:p>
        </w:tc>
        <w:tc>
          <w:tcPr>
            <w:tcW w:w="307" w:type="pct"/>
            <w:tcBorders>
              <w:tl2br w:val="nil"/>
              <w:tr2bl w:val="nil"/>
            </w:tcBorders>
            <w:shd w:val="clear" w:color="auto" w:fill="auto"/>
            <w:vAlign w:val="center"/>
          </w:tcPr>
          <w:p w14:paraId="1C4FD702">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居住区</w:t>
            </w:r>
          </w:p>
        </w:tc>
        <w:tc>
          <w:tcPr>
            <w:tcW w:w="409" w:type="pct"/>
            <w:tcBorders>
              <w:tl2br w:val="nil"/>
              <w:tr2bl w:val="nil"/>
            </w:tcBorders>
            <w:shd w:val="clear" w:color="auto" w:fill="auto"/>
            <w:vAlign w:val="center"/>
          </w:tcPr>
          <w:p w14:paraId="497A532C">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居民</w:t>
            </w:r>
          </w:p>
        </w:tc>
        <w:tc>
          <w:tcPr>
            <w:tcW w:w="1628" w:type="pct"/>
            <w:vMerge w:val="continue"/>
            <w:tcBorders>
              <w:tl2br w:val="nil"/>
              <w:tr2bl w:val="nil"/>
            </w:tcBorders>
            <w:vAlign w:val="center"/>
          </w:tcPr>
          <w:p w14:paraId="445D86AE">
            <w:pPr>
              <w:pStyle w:val="37"/>
              <w:widowControl w:val="0"/>
              <w:bidi w:val="0"/>
              <w:rPr>
                <w:rFonts w:hint="default" w:ascii="Times New Roman" w:hAnsi="Times New Roman" w:cs="Times New Roman"/>
                <w:color w:val="auto"/>
                <w:sz w:val="21"/>
                <w:szCs w:val="21"/>
                <w:highlight w:val="none"/>
              </w:rPr>
            </w:pPr>
          </w:p>
        </w:tc>
        <w:tc>
          <w:tcPr>
            <w:tcW w:w="337" w:type="pct"/>
            <w:tcBorders>
              <w:tl2br w:val="nil"/>
              <w:tr2bl w:val="nil"/>
            </w:tcBorders>
            <w:shd w:val="clear" w:color="auto" w:fill="auto"/>
            <w:vAlign w:val="center"/>
          </w:tcPr>
          <w:p w14:paraId="60BD88C7">
            <w:pPr>
              <w:pStyle w:val="37"/>
              <w:widowControl w:val="0"/>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w:t>
            </w:r>
          </w:p>
        </w:tc>
        <w:tc>
          <w:tcPr>
            <w:tcW w:w="436" w:type="pct"/>
            <w:tcBorders>
              <w:tl2br w:val="nil"/>
              <w:tr2bl w:val="nil"/>
            </w:tcBorders>
            <w:shd w:val="clear" w:color="auto" w:fill="auto"/>
            <w:vAlign w:val="center"/>
          </w:tcPr>
          <w:p w14:paraId="54F9162F">
            <w:pPr>
              <w:pStyle w:val="37"/>
              <w:widowControl w:val="0"/>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2270</w:t>
            </w:r>
          </w:p>
        </w:tc>
      </w:tr>
      <w:tr w14:paraId="3CFB60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Merge w:val="continue"/>
            <w:tcBorders>
              <w:tl2br w:val="nil"/>
              <w:tr2bl w:val="nil"/>
            </w:tcBorders>
            <w:vAlign w:val="center"/>
          </w:tcPr>
          <w:p w14:paraId="77A52463">
            <w:pPr>
              <w:pStyle w:val="37"/>
              <w:widowControl w:val="0"/>
              <w:bidi w:val="0"/>
              <w:rPr>
                <w:rFonts w:hint="default" w:ascii="Times New Roman" w:hAnsi="Times New Roman" w:cs="Times New Roman"/>
                <w:color w:val="auto"/>
                <w:sz w:val="21"/>
                <w:szCs w:val="21"/>
                <w:highlight w:val="none"/>
              </w:rPr>
            </w:pPr>
          </w:p>
        </w:tc>
        <w:tc>
          <w:tcPr>
            <w:tcW w:w="182" w:type="pct"/>
            <w:tcBorders>
              <w:tl2br w:val="nil"/>
              <w:tr2bl w:val="nil"/>
            </w:tcBorders>
            <w:vAlign w:val="center"/>
          </w:tcPr>
          <w:p w14:paraId="1FD31166">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8</w:t>
            </w:r>
          </w:p>
        </w:tc>
        <w:tc>
          <w:tcPr>
            <w:tcW w:w="562" w:type="pct"/>
            <w:tcBorders>
              <w:tl2br w:val="nil"/>
              <w:tr2bl w:val="nil"/>
            </w:tcBorders>
            <w:vAlign w:val="center"/>
          </w:tcPr>
          <w:p w14:paraId="63B4384E">
            <w:pPr>
              <w:pStyle w:val="37"/>
              <w:widowControl w:val="0"/>
              <w:bidi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马家窝堡</w:t>
            </w:r>
          </w:p>
        </w:tc>
        <w:tc>
          <w:tcPr>
            <w:tcW w:w="435" w:type="pct"/>
            <w:tcBorders>
              <w:tl2br w:val="nil"/>
              <w:tr2bl w:val="nil"/>
            </w:tcBorders>
            <w:vAlign w:val="center"/>
          </w:tcPr>
          <w:p w14:paraId="747E4F0F">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126°41′58.767″</w:t>
            </w:r>
          </w:p>
        </w:tc>
        <w:tc>
          <w:tcPr>
            <w:tcW w:w="414" w:type="pct"/>
            <w:tcBorders>
              <w:tl2br w:val="nil"/>
              <w:tr2bl w:val="nil"/>
            </w:tcBorders>
            <w:vAlign w:val="center"/>
          </w:tcPr>
          <w:p w14:paraId="4F265137">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45°26′21.686″</w:t>
            </w:r>
          </w:p>
        </w:tc>
        <w:tc>
          <w:tcPr>
            <w:tcW w:w="307" w:type="pct"/>
            <w:tcBorders>
              <w:tl2br w:val="nil"/>
              <w:tr2bl w:val="nil"/>
            </w:tcBorders>
            <w:shd w:val="clear" w:color="auto" w:fill="auto"/>
            <w:vAlign w:val="center"/>
          </w:tcPr>
          <w:p w14:paraId="4E507DBA">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居住区</w:t>
            </w:r>
          </w:p>
        </w:tc>
        <w:tc>
          <w:tcPr>
            <w:tcW w:w="409" w:type="pct"/>
            <w:tcBorders>
              <w:tl2br w:val="nil"/>
              <w:tr2bl w:val="nil"/>
            </w:tcBorders>
            <w:shd w:val="clear" w:color="auto" w:fill="auto"/>
            <w:vAlign w:val="center"/>
          </w:tcPr>
          <w:p w14:paraId="7BF8D6BF">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居民</w:t>
            </w:r>
          </w:p>
        </w:tc>
        <w:tc>
          <w:tcPr>
            <w:tcW w:w="1628" w:type="pct"/>
            <w:vMerge w:val="continue"/>
            <w:tcBorders>
              <w:tl2br w:val="nil"/>
              <w:tr2bl w:val="nil"/>
            </w:tcBorders>
            <w:vAlign w:val="center"/>
          </w:tcPr>
          <w:p w14:paraId="5FCC0DEA">
            <w:pPr>
              <w:pStyle w:val="37"/>
              <w:widowControl w:val="0"/>
              <w:bidi w:val="0"/>
              <w:rPr>
                <w:rFonts w:hint="default" w:ascii="Times New Roman" w:hAnsi="Times New Roman" w:cs="Times New Roman"/>
                <w:color w:val="auto"/>
                <w:sz w:val="21"/>
                <w:szCs w:val="21"/>
                <w:highlight w:val="none"/>
              </w:rPr>
            </w:pPr>
          </w:p>
        </w:tc>
        <w:tc>
          <w:tcPr>
            <w:tcW w:w="337" w:type="pct"/>
            <w:tcBorders>
              <w:tl2br w:val="nil"/>
              <w:tr2bl w:val="nil"/>
            </w:tcBorders>
            <w:shd w:val="clear" w:color="auto" w:fill="auto"/>
            <w:vAlign w:val="center"/>
          </w:tcPr>
          <w:p w14:paraId="5FC7069F">
            <w:pPr>
              <w:pStyle w:val="37"/>
              <w:widowControl w:val="0"/>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WN</w:t>
            </w:r>
          </w:p>
        </w:tc>
        <w:tc>
          <w:tcPr>
            <w:tcW w:w="436" w:type="pct"/>
            <w:tcBorders>
              <w:tl2br w:val="nil"/>
              <w:tr2bl w:val="nil"/>
            </w:tcBorders>
            <w:shd w:val="clear" w:color="auto" w:fill="auto"/>
            <w:vAlign w:val="center"/>
          </w:tcPr>
          <w:p w14:paraId="2853E854">
            <w:pPr>
              <w:pStyle w:val="37"/>
              <w:widowControl w:val="0"/>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1780</w:t>
            </w:r>
          </w:p>
        </w:tc>
      </w:tr>
      <w:tr w14:paraId="63AF82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Merge w:val="continue"/>
            <w:tcBorders>
              <w:tl2br w:val="nil"/>
              <w:tr2bl w:val="nil"/>
            </w:tcBorders>
            <w:vAlign w:val="center"/>
          </w:tcPr>
          <w:p w14:paraId="6C0826EC">
            <w:pPr>
              <w:pStyle w:val="37"/>
              <w:widowControl w:val="0"/>
              <w:bidi w:val="0"/>
              <w:rPr>
                <w:rFonts w:hint="default" w:ascii="Times New Roman" w:hAnsi="Times New Roman" w:cs="Times New Roman"/>
                <w:color w:val="auto"/>
                <w:sz w:val="21"/>
                <w:szCs w:val="21"/>
                <w:highlight w:val="none"/>
              </w:rPr>
            </w:pPr>
          </w:p>
        </w:tc>
        <w:tc>
          <w:tcPr>
            <w:tcW w:w="182" w:type="pct"/>
            <w:tcBorders>
              <w:tl2br w:val="nil"/>
              <w:tr2bl w:val="nil"/>
            </w:tcBorders>
            <w:vAlign w:val="center"/>
          </w:tcPr>
          <w:p w14:paraId="3EEDBC7B">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9</w:t>
            </w:r>
          </w:p>
        </w:tc>
        <w:tc>
          <w:tcPr>
            <w:tcW w:w="562" w:type="pct"/>
            <w:tcBorders>
              <w:tl2br w:val="nil"/>
              <w:tr2bl w:val="nil"/>
            </w:tcBorders>
            <w:vAlign w:val="center"/>
          </w:tcPr>
          <w:p w14:paraId="0E1340EE">
            <w:pPr>
              <w:pStyle w:val="37"/>
              <w:widowControl w:val="0"/>
              <w:bidi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苏家屯</w:t>
            </w:r>
          </w:p>
        </w:tc>
        <w:tc>
          <w:tcPr>
            <w:tcW w:w="435" w:type="pct"/>
            <w:tcBorders>
              <w:tl2br w:val="nil"/>
              <w:tr2bl w:val="nil"/>
            </w:tcBorders>
            <w:vAlign w:val="center"/>
          </w:tcPr>
          <w:p w14:paraId="5D3EB5D0">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126°43′2.728″</w:t>
            </w:r>
          </w:p>
        </w:tc>
        <w:tc>
          <w:tcPr>
            <w:tcW w:w="414" w:type="pct"/>
            <w:tcBorders>
              <w:tl2br w:val="nil"/>
              <w:tr2bl w:val="nil"/>
            </w:tcBorders>
            <w:vAlign w:val="center"/>
          </w:tcPr>
          <w:p w14:paraId="2D3D3F4D">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45°26′42.281″</w:t>
            </w:r>
          </w:p>
        </w:tc>
        <w:tc>
          <w:tcPr>
            <w:tcW w:w="307" w:type="pct"/>
            <w:tcBorders>
              <w:tl2br w:val="nil"/>
              <w:tr2bl w:val="nil"/>
            </w:tcBorders>
            <w:shd w:val="clear" w:color="auto" w:fill="auto"/>
            <w:vAlign w:val="center"/>
          </w:tcPr>
          <w:p w14:paraId="7AC058EF">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居住区</w:t>
            </w:r>
          </w:p>
        </w:tc>
        <w:tc>
          <w:tcPr>
            <w:tcW w:w="409" w:type="pct"/>
            <w:tcBorders>
              <w:tl2br w:val="nil"/>
              <w:tr2bl w:val="nil"/>
            </w:tcBorders>
            <w:shd w:val="clear" w:color="auto" w:fill="auto"/>
            <w:vAlign w:val="center"/>
          </w:tcPr>
          <w:p w14:paraId="107E968E">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居民</w:t>
            </w:r>
          </w:p>
        </w:tc>
        <w:tc>
          <w:tcPr>
            <w:tcW w:w="1628" w:type="pct"/>
            <w:vMerge w:val="continue"/>
            <w:tcBorders>
              <w:tl2br w:val="nil"/>
              <w:tr2bl w:val="nil"/>
            </w:tcBorders>
            <w:vAlign w:val="center"/>
          </w:tcPr>
          <w:p w14:paraId="600292E8">
            <w:pPr>
              <w:pStyle w:val="37"/>
              <w:widowControl w:val="0"/>
              <w:bidi w:val="0"/>
              <w:rPr>
                <w:rFonts w:hint="default" w:ascii="Times New Roman" w:hAnsi="Times New Roman" w:cs="Times New Roman"/>
                <w:color w:val="auto"/>
                <w:sz w:val="21"/>
                <w:szCs w:val="21"/>
                <w:highlight w:val="none"/>
              </w:rPr>
            </w:pPr>
          </w:p>
        </w:tc>
        <w:tc>
          <w:tcPr>
            <w:tcW w:w="337" w:type="pct"/>
            <w:tcBorders>
              <w:tl2br w:val="nil"/>
              <w:tr2bl w:val="nil"/>
            </w:tcBorders>
            <w:shd w:val="clear" w:color="auto" w:fill="auto"/>
            <w:vAlign w:val="center"/>
          </w:tcPr>
          <w:p w14:paraId="7B4A52B2">
            <w:pPr>
              <w:pStyle w:val="37"/>
              <w:widowControl w:val="0"/>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WN</w:t>
            </w:r>
          </w:p>
        </w:tc>
        <w:tc>
          <w:tcPr>
            <w:tcW w:w="436" w:type="pct"/>
            <w:tcBorders>
              <w:tl2br w:val="nil"/>
              <w:tr2bl w:val="nil"/>
            </w:tcBorders>
            <w:shd w:val="clear" w:color="auto" w:fill="auto"/>
            <w:vAlign w:val="center"/>
          </w:tcPr>
          <w:p w14:paraId="09B23B52">
            <w:pPr>
              <w:pStyle w:val="37"/>
              <w:widowControl w:val="0"/>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1320</w:t>
            </w:r>
          </w:p>
        </w:tc>
      </w:tr>
      <w:tr w14:paraId="3ACE4D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tcBorders>
              <w:tl2br w:val="nil"/>
              <w:tr2bl w:val="nil"/>
            </w:tcBorders>
            <w:vAlign w:val="center"/>
          </w:tcPr>
          <w:p w14:paraId="572A565D">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地表水环境</w:t>
            </w:r>
          </w:p>
        </w:tc>
        <w:tc>
          <w:tcPr>
            <w:tcW w:w="182" w:type="pct"/>
            <w:tcBorders>
              <w:tl2br w:val="nil"/>
              <w:tr2bl w:val="nil"/>
            </w:tcBorders>
            <w:vAlign w:val="center"/>
          </w:tcPr>
          <w:p w14:paraId="2DCE1736">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562" w:type="pct"/>
            <w:tcBorders>
              <w:tl2br w:val="nil"/>
              <w:tr2bl w:val="nil"/>
            </w:tcBorders>
            <w:vAlign w:val="center"/>
          </w:tcPr>
          <w:p w14:paraId="130F7307">
            <w:pPr>
              <w:pStyle w:val="37"/>
              <w:widowControl w:val="0"/>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拉林河</w:t>
            </w:r>
          </w:p>
        </w:tc>
        <w:tc>
          <w:tcPr>
            <w:tcW w:w="435" w:type="pct"/>
            <w:tcBorders>
              <w:tl2br w:val="nil"/>
              <w:tr2bl w:val="nil"/>
            </w:tcBorders>
            <w:vAlign w:val="center"/>
          </w:tcPr>
          <w:p w14:paraId="078FCCAF">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414" w:type="pct"/>
            <w:tcBorders>
              <w:tl2br w:val="nil"/>
              <w:tr2bl w:val="nil"/>
            </w:tcBorders>
            <w:vAlign w:val="center"/>
          </w:tcPr>
          <w:p w14:paraId="6185FD68">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717" w:type="pct"/>
            <w:gridSpan w:val="2"/>
            <w:tcBorders>
              <w:tl2br w:val="nil"/>
              <w:tr2bl w:val="nil"/>
            </w:tcBorders>
            <w:vAlign w:val="center"/>
          </w:tcPr>
          <w:p w14:paraId="713A1AD5">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地表水环境质量</w:t>
            </w:r>
          </w:p>
        </w:tc>
        <w:tc>
          <w:tcPr>
            <w:tcW w:w="1628" w:type="pct"/>
            <w:tcBorders>
              <w:tl2br w:val="nil"/>
              <w:tr2bl w:val="nil"/>
            </w:tcBorders>
            <w:vAlign w:val="center"/>
          </w:tcPr>
          <w:p w14:paraId="50A23E95">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《地表水环境质量标准》</w:t>
            </w:r>
          </w:p>
          <w:p w14:paraId="2CFAE90D">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（GB3838-2002）</w:t>
            </w:r>
            <w:r>
              <w:rPr>
                <w:rFonts w:hint="default" w:ascii="Times New Roman" w:hAnsi="Times New Roman" w:cs="Times New Roman"/>
                <w:color w:val="auto"/>
                <w:sz w:val="21"/>
                <w:szCs w:val="21"/>
                <w:highlight w:val="none"/>
                <w:lang w:val="en-US" w:eastAsia="zh-CN"/>
              </w:rPr>
              <w:t>Ⅲ</w:t>
            </w:r>
            <w:r>
              <w:rPr>
                <w:rFonts w:hint="default" w:ascii="Times New Roman" w:hAnsi="Times New Roman" w:cs="Times New Roman"/>
                <w:color w:val="auto"/>
                <w:sz w:val="21"/>
                <w:szCs w:val="21"/>
                <w:highlight w:val="none"/>
              </w:rPr>
              <w:t>类</w:t>
            </w:r>
          </w:p>
        </w:tc>
        <w:tc>
          <w:tcPr>
            <w:tcW w:w="337" w:type="pct"/>
            <w:tcBorders>
              <w:tl2br w:val="nil"/>
              <w:tr2bl w:val="nil"/>
            </w:tcBorders>
            <w:vAlign w:val="center"/>
          </w:tcPr>
          <w:p w14:paraId="6DD002A0">
            <w:pPr>
              <w:pStyle w:val="37"/>
              <w:widowControl w:val="0"/>
              <w:bidi w:val="0"/>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W</w:t>
            </w:r>
          </w:p>
        </w:tc>
        <w:tc>
          <w:tcPr>
            <w:tcW w:w="436" w:type="pct"/>
            <w:tcBorders>
              <w:tl2br w:val="nil"/>
              <w:tr2bl w:val="nil"/>
            </w:tcBorders>
            <w:vAlign w:val="center"/>
          </w:tcPr>
          <w:p w14:paraId="47B0D1F8">
            <w:pPr>
              <w:pStyle w:val="37"/>
              <w:widowControl w:val="0"/>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26800</w:t>
            </w:r>
          </w:p>
        </w:tc>
      </w:tr>
      <w:tr w14:paraId="1E5BC5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285" w:type="pct"/>
            <w:tcBorders>
              <w:tl2br w:val="nil"/>
              <w:tr2bl w:val="nil"/>
            </w:tcBorders>
            <w:vAlign w:val="center"/>
          </w:tcPr>
          <w:p w14:paraId="645B8E3B">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土壤</w:t>
            </w:r>
          </w:p>
          <w:p w14:paraId="270C61C9">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w:t>
            </w:r>
          </w:p>
        </w:tc>
        <w:tc>
          <w:tcPr>
            <w:tcW w:w="182" w:type="pct"/>
            <w:tcBorders>
              <w:tl2br w:val="nil"/>
              <w:tr2bl w:val="nil"/>
            </w:tcBorders>
            <w:vAlign w:val="center"/>
          </w:tcPr>
          <w:p w14:paraId="7DC9ADB1">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2130" w:type="pct"/>
            <w:gridSpan w:val="5"/>
            <w:tcBorders>
              <w:tl2br w:val="nil"/>
              <w:tr2bl w:val="nil"/>
            </w:tcBorders>
            <w:shd w:val="clear" w:color="auto" w:fill="auto"/>
            <w:vAlign w:val="center"/>
          </w:tcPr>
          <w:p w14:paraId="1A47F1B6">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评价范围内</w:t>
            </w:r>
            <w:r>
              <w:rPr>
                <w:rFonts w:hint="default" w:ascii="Times New Roman" w:hAnsi="Times New Roman" w:cs="Times New Roman"/>
                <w:color w:val="auto"/>
                <w:sz w:val="21"/>
                <w:szCs w:val="21"/>
                <w:highlight w:val="none"/>
                <w:lang w:val="en-US" w:eastAsia="zh-CN"/>
              </w:rPr>
              <w:t>土壤</w:t>
            </w:r>
          </w:p>
        </w:tc>
        <w:tc>
          <w:tcPr>
            <w:tcW w:w="2401" w:type="pct"/>
            <w:gridSpan w:val="3"/>
            <w:tcBorders>
              <w:tl2br w:val="nil"/>
              <w:tr2bl w:val="nil"/>
            </w:tcBorders>
            <w:vAlign w:val="center"/>
          </w:tcPr>
          <w:p w14:paraId="29BF491C">
            <w:pPr>
              <w:pStyle w:val="37"/>
              <w:widowControl w:val="0"/>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土壤环境质量 建设用地土壤污染风险管控标准（试行）》（GB36600-2018）第一类用地</w:t>
            </w:r>
            <w:r>
              <w:rPr>
                <w:rFonts w:hint="eastAsia" w:ascii="Times New Roman" w:hAnsi="Times New Roman" w:cs="Times New Roman"/>
                <w:color w:val="auto"/>
                <w:sz w:val="21"/>
                <w:szCs w:val="21"/>
                <w:highlight w:val="none"/>
                <w:lang w:val="en-US" w:eastAsia="zh-CN"/>
              </w:rPr>
              <w:t>、《土壤环境质量 农用地土壤污染风险管控标准（试行）》（GB15618-2018）</w:t>
            </w:r>
          </w:p>
        </w:tc>
      </w:tr>
    </w:tbl>
    <w:p w14:paraId="64C9300A">
      <w:pPr>
        <w:pStyle w:val="10"/>
        <w:rPr>
          <w:rFonts w:hint="default" w:ascii="Times New Roman" w:hAnsi="Times New Roman" w:cs="Times New Roman"/>
          <w:color w:val="FF0000"/>
        </w:rPr>
      </w:pPr>
    </w:p>
    <w:p w14:paraId="657D4701">
      <w:pPr>
        <w:pStyle w:val="77"/>
        <w:jc w:val="center"/>
        <w:rPr>
          <w:rFonts w:hint="default" w:ascii="Times New Roman" w:hAnsi="Times New Roman" w:eastAsia="宋体" w:cs="Times New Roman"/>
          <w:b/>
          <w:bCs/>
          <w:snapToGrid w:val="0"/>
          <w:color w:val="auto"/>
          <w:kern w:val="0"/>
          <w:sz w:val="24"/>
          <w:szCs w:val="24"/>
          <w:highlight w:val="none"/>
          <w:lang w:val="en-US" w:eastAsia="zh-CN" w:bidi="ar-SA"/>
        </w:rPr>
      </w:pPr>
    </w:p>
    <w:p w14:paraId="13FB6B5B">
      <w:pPr>
        <w:pStyle w:val="77"/>
        <w:jc w:val="center"/>
        <w:rPr>
          <w:rFonts w:hint="default" w:ascii="Times New Roman" w:hAnsi="Times New Roman" w:eastAsia="宋体" w:cs="Times New Roman"/>
          <w:b/>
          <w:bCs/>
          <w:snapToGrid w:val="0"/>
          <w:color w:val="auto"/>
          <w:kern w:val="0"/>
          <w:sz w:val="24"/>
          <w:szCs w:val="24"/>
          <w:highlight w:val="none"/>
          <w:lang w:val="en-US" w:eastAsia="zh-CN" w:bidi="ar-SA"/>
        </w:rPr>
      </w:pPr>
    </w:p>
    <w:p w14:paraId="7888BF8D">
      <w:pPr>
        <w:pStyle w:val="77"/>
        <w:jc w:val="center"/>
        <w:rPr>
          <w:rFonts w:hint="default" w:ascii="Times New Roman" w:hAnsi="Times New Roman" w:eastAsia="宋体" w:cs="Times New Roman"/>
          <w:b/>
          <w:bCs/>
          <w:snapToGrid w:val="0"/>
          <w:color w:val="auto"/>
          <w:kern w:val="0"/>
          <w:sz w:val="24"/>
          <w:szCs w:val="24"/>
          <w:highlight w:val="none"/>
          <w:lang w:val="en-US" w:eastAsia="zh-CN" w:bidi="ar-SA"/>
        </w:rPr>
      </w:pPr>
    </w:p>
    <w:p w14:paraId="031AACB5">
      <w:pPr>
        <w:pStyle w:val="77"/>
        <w:jc w:val="center"/>
        <w:rPr>
          <w:rFonts w:hint="default" w:ascii="Times New Roman" w:hAnsi="Times New Roman" w:eastAsia="宋体" w:cs="Times New Roman"/>
          <w:b/>
          <w:bCs/>
          <w:snapToGrid w:val="0"/>
          <w:color w:val="auto"/>
          <w:kern w:val="0"/>
          <w:sz w:val="24"/>
          <w:szCs w:val="24"/>
          <w:highlight w:val="none"/>
          <w:lang w:val="en-US" w:eastAsia="zh-CN" w:bidi="ar-SA"/>
        </w:rPr>
      </w:pPr>
    </w:p>
    <w:p w14:paraId="35EFD259">
      <w:pPr>
        <w:pStyle w:val="77"/>
        <w:jc w:val="center"/>
        <w:rPr>
          <w:rFonts w:hint="default" w:ascii="Times New Roman" w:hAnsi="Times New Roman" w:eastAsia="宋体" w:cs="Times New Roman"/>
          <w:b/>
          <w:bCs/>
          <w:snapToGrid w:val="0"/>
          <w:color w:val="auto"/>
          <w:kern w:val="0"/>
          <w:sz w:val="24"/>
          <w:szCs w:val="24"/>
          <w:highlight w:val="none"/>
          <w:lang w:val="en-US" w:eastAsia="zh-CN" w:bidi="ar-SA"/>
        </w:rPr>
      </w:pPr>
    </w:p>
    <w:p w14:paraId="3B5D99E0">
      <w:pPr>
        <w:pStyle w:val="77"/>
        <w:jc w:val="center"/>
        <w:rPr>
          <w:rFonts w:hint="default" w:ascii="Times New Roman" w:hAnsi="Times New Roman" w:eastAsia="宋体" w:cs="Times New Roman"/>
          <w:b/>
          <w:bCs/>
          <w:snapToGrid w:val="0"/>
          <w:color w:val="auto"/>
          <w:kern w:val="0"/>
          <w:sz w:val="24"/>
          <w:szCs w:val="24"/>
          <w:highlight w:val="none"/>
          <w:lang w:val="en-US" w:eastAsia="zh-CN" w:bidi="ar-SA"/>
        </w:rPr>
      </w:pPr>
    </w:p>
    <w:p w14:paraId="1BD93251">
      <w:pPr>
        <w:pStyle w:val="77"/>
        <w:jc w:val="center"/>
        <w:rPr>
          <w:rFonts w:hint="eastAsia" w:ascii="Times New Roman" w:hAnsi="Times New Roman" w:eastAsia="宋体" w:cs="Times New Roman"/>
          <w:b/>
          <w:bCs/>
          <w:snapToGrid w:val="0"/>
          <w:color w:val="auto"/>
          <w:kern w:val="0"/>
          <w:sz w:val="24"/>
          <w:szCs w:val="24"/>
          <w:highlight w:val="none"/>
          <w:lang w:val="en-US" w:eastAsia="zh-CN" w:bidi="ar-SA"/>
        </w:rPr>
      </w:pPr>
      <w:r>
        <w:rPr>
          <w:rFonts w:hint="default" w:ascii="Times New Roman" w:hAnsi="Times New Roman" w:eastAsia="宋体" w:cs="Times New Roman"/>
          <w:b/>
          <w:bCs/>
          <w:snapToGrid w:val="0"/>
          <w:color w:val="auto"/>
          <w:kern w:val="0"/>
          <w:sz w:val="24"/>
          <w:szCs w:val="24"/>
          <w:highlight w:val="none"/>
          <w:lang w:val="en-US" w:eastAsia="zh-CN" w:bidi="ar-SA"/>
        </w:rPr>
        <w:t>表</w:t>
      </w:r>
      <w:r>
        <w:rPr>
          <w:rFonts w:hint="eastAsia" w:ascii="Times New Roman" w:hAnsi="Times New Roman" w:eastAsia="宋体" w:cs="Times New Roman"/>
          <w:b/>
          <w:bCs/>
          <w:snapToGrid w:val="0"/>
          <w:color w:val="auto"/>
          <w:kern w:val="0"/>
          <w:sz w:val="24"/>
          <w:szCs w:val="24"/>
          <w:highlight w:val="none"/>
          <w:lang w:val="en-US" w:eastAsia="zh-CN" w:bidi="ar-SA"/>
        </w:rPr>
        <w:t>2.7-2</w:t>
      </w:r>
      <w:r>
        <w:rPr>
          <w:rFonts w:hint="default" w:ascii="Times New Roman" w:hAnsi="Times New Roman" w:eastAsia="宋体" w:cs="Times New Roman"/>
          <w:b/>
          <w:bCs/>
          <w:snapToGrid w:val="0"/>
          <w:color w:val="auto"/>
          <w:kern w:val="0"/>
          <w:sz w:val="24"/>
          <w:szCs w:val="24"/>
          <w:highlight w:val="none"/>
          <w:lang w:val="en-US" w:eastAsia="zh-CN" w:bidi="ar-SA"/>
        </w:rPr>
        <w:t xml:space="preserve"> </w:t>
      </w:r>
      <w:r>
        <w:rPr>
          <w:rFonts w:hint="eastAsia" w:ascii="Times New Roman" w:hAnsi="Times New Roman" w:eastAsia="宋体" w:cs="Times New Roman"/>
          <w:b/>
          <w:bCs/>
          <w:snapToGrid w:val="0"/>
          <w:color w:val="auto"/>
          <w:kern w:val="0"/>
          <w:sz w:val="24"/>
          <w:szCs w:val="24"/>
          <w:highlight w:val="none"/>
          <w:lang w:val="en-US" w:eastAsia="zh-CN" w:bidi="ar-SA"/>
        </w:rPr>
        <w:t xml:space="preserve"> 声</w:t>
      </w:r>
      <w:r>
        <w:rPr>
          <w:rFonts w:hint="default" w:ascii="Times New Roman" w:hAnsi="Times New Roman" w:eastAsia="宋体" w:cs="Times New Roman"/>
          <w:b/>
          <w:bCs/>
          <w:snapToGrid w:val="0"/>
          <w:color w:val="auto"/>
          <w:kern w:val="0"/>
          <w:sz w:val="24"/>
          <w:szCs w:val="24"/>
          <w:highlight w:val="none"/>
          <w:lang w:val="en-US" w:eastAsia="zh-CN" w:bidi="ar-SA"/>
        </w:rPr>
        <w:t>环境保护目标一览表</w:t>
      </w:r>
    </w:p>
    <w:tbl>
      <w:tblPr>
        <w:tblStyle w:val="2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2921"/>
        <w:gridCol w:w="988"/>
        <w:gridCol w:w="946"/>
        <w:gridCol w:w="985"/>
        <w:gridCol w:w="1183"/>
        <w:gridCol w:w="1233"/>
        <w:gridCol w:w="2729"/>
        <w:gridCol w:w="2942"/>
      </w:tblGrid>
      <w:tr w14:paraId="296541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tblHeader/>
          <w:jc w:val="center"/>
        </w:trPr>
        <w:tc>
          <w:tcPr>
            <w:tcW w:w="288" w:type="pct"/>
            <w:vMerge w:val="restart"/>
            <w:noWrap w:val="0"/>
            <w:vAlign w:val="center"/>
          </w:tcPr>
          <w:p w14:paraId="471886D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序号</w:t>
            </w:r>
          </w:p>
        </w:tc>
        <w:tc>
          <w:tcPr>
            <w:tcW w:w="988" w:type="pct"/>
            <w:vMerge w:val="restart"/>
            <w:noWrap w:val="0"/>
            <w:vAlign w:val="center"/>
          </w:tcPr>
          <w:p w14:paraId="35B97E95">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声环境保护目标名称</w:t>
            </w:r>
          </w:p>
        </w:tc>
        <w:tc>
          <w:tcPr>
            <w:tcW w:w="987" w:type="pct"/>
            <w:gridSpan w:val="3"/>
            <w:noWrap w:val="0"/>
            <w:vAlign w:val="center"/>
          </w:tcPr>
          <w:p w14:paraId="2B6862E2">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空间相对位置/m</w:t>
            </w:r>
          </w:p>
        </w:tc>
        <w:tc>
          <w:tcPr>
            <w:tcW w:w="400" w:type="pct"/>
            <w:vMerge w:val="restart"/>
            <w:noWrap w:val="0"/>
            <w:vAlign w:val="center"/>
          </w:tcPr>
          <w:p w14:paraId="2CE35F6C">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相对厂址方位</w:t>
            </w:r>
          </w:p>
        </w:tc>
        <w:tc>
          <w:tcPr>
            <w:tcW w:w="417" w:type="pct"/>
            <w:vMerge w:val="restart"/>
            <w:noWrap w:val="0"/>
            <w:vAlign w:val="center"/>
          </w:tcPr>
          <w:p w14:paraId="101925DD">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相对厂界距离/m</w:t>
            </w:r>
          </w:p>
        </w:tc>
        <w:tc>
          <w:tcPr>
            <w:tcW w:w="923" w:type="pct"/>
            <w:vMerge w:val="restart"/>
            <w:noWrap w:val="0"/>
            <w:vAlign w:val="center"/>
          </w:tcPr>
          <w:p w14:paraId="6CAC633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执行标准/功能区类别</w:t>
            </w:r>
          </w:p>
        </w:tc>
        <w:tc>
          <w:tcPr>
            <w:tcW w:w="995" w:type="pct"/>
            <w:vMerge w:val="restart"/>
            <w:noWrap w:val="0"/>
            <w:vAlign w:val="center"/>
          </w:tcPr>
          <w:p w14:paraId="39A21D46">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声环境保护目标情况说明（介绍声环境保护目标建筑结构、朝向、楼层、周围环境情况）</w:t>
            </w:r>
          </w:p>
        </w:tc>
      </w:tr>
      <w:tr w14:paraId="4B25E6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88" w:type="pct"/>
            <w:vMerge w:val="continue"/>
            <w:noWrap w:val="0"/>
            <w:vAlign w:val="center"/>
          </w:tcPr>
          <w:p w14:paraId="1AE13C82">
            <w:pPr>
              <w:spacing w:line="240" w:lineRule="auto"/>
              <w:ind w:firstLine="0" w:firstLineChars="0"/>
              <w:jc w:val="center"/>
              <w:rPr>
                <w:color w:val="auto"/>
                <w:highlight w:val="none"/>
              </w:rPr>
            </w:pPr>
          </w:p>
        </w:tc>
        <w:tc>
          <w:tcPr>
            <w:tcW w:w="988" w:type="pct"/>
            <w:vMerge w:val="continue"/>
            <w:noWrap w:val="0"/>
            <w:vAlign w:val="center"/>
          </w:tcPr>
          <w:p w14:paraId="1DC4059C">
            <w:pPr>
              <w:spacing w:line="240" w:lineRule="auto"/>
              <w:ind w:firstLine="0" w:firstLineChars="0"/>
              <w:jc w:val="center"/>
              <w:rPr>
                <w:color w:val="auto"/>
                <w:highlight w:val="none"/>
              </w:rPr>
            </w:pPr>
          </w:p>
        </w:tc>
        <w:tc>
          <w:tcPr>
            <w:tcW w:w="334" w:type="pct"/>
            <w:noWrap w:val="0"/>
            <w:vAlign w:val="center"/>
          </w:tcPr>
          <w:p w14:paraId="79163630">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X</w:t>
            </w:r>
          </w:p>
        </w:tc>
        <w:tc>
          <w:tcPr>
            <w:tcW w:w="320" w:type="pct"/>
            <w:noWrap w:val="0"/>
            <w:vAlign w:val="center"/>
          </w:tcPr>
          <w:p w14:paraId="42996C0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Y</w:t>
            </w:r>
          </w:p>
        </w:tc>
        <w:tc>
          <w:tcPr>
            <w:tcW w:w="333" w:type="pct"/>
            <w:noWrap w:val="0"/>
            <w:vAlign w:val="center"/>
          </w:tcPr>
          <w:p w14:paraId="58F69AFD">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Z</w:t>
            </w:r>
          </w:p>
        </w:tc>
        <w:tc>
          <w:tcPr>
            <w:tcW w:w="400" w:type="pct"/>
            <w:vMerge w:val="continue"/>
            <w:noWrap w:val="0"/>
            <w:vAlign w:val="center"/>
          </w:tcPr>
          <w:p w14:paraId="31C7D2DB">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417" w:type="pct"/>
            <w:vMerge w:val="continue"/>
            <w:noWrap w:val="0"/>
            <w:vAlign w:val="center"/>
          </w:tcPr>
          <w:p w14:paraId="23EB77E3">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923" w:type="pct"/>
            <w:vMerge w:val="continue"/>
            <w:noWrap w:val="0"/>
            <w:vAlign w:val="center"/>
          </w:tcPr>
          <w:p w14:paraId="009D165E">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995" w:type="pct"/>
            <w:vMerge w:val="continue"/>
            <w:noWrap w:val="0"/>
            <w:vAlign w:val="center"/>
          </w:tcPr>
          <w:p w14:paraId="335F7BFC">
            <w:pPr>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r>
      <w:tr w14:paraId="6F3645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8" w:type="pct"/>
            <w:noWrap w:val="0"/>
            <w:vAlign w:val="center"/>
          </w:tcPr>
          <w:p w14:paraId="033B24DC">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988" w:type="pct"/>
            <w:noWrap w:val="0"/>
            <w:vAlign w:val="center"/>
          </w:tcPr>
          <w:p w14:paraId="4B9155F5">
            <w:pPr>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张达屯</w:t>
            </w:r>
          </w:p>
        </w:tc>
        <w:tc>
          <w:tcPr>
            <w:tcW w:w="334" w:type="pct"/>
            <w:noWrap w:val="0"/>
            <w:vAlign w:val="center"/>
          </w:tcPr>
          <w:p w14:paraId="4519D9E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280</w:t>
            </w:r>
          </w:p>
        </w:tc>
        <w:tc>
          <w:tcPr>
            <w:tcW w:w="320" w:type="pct"/>
            <w:noWrap w:val="0"/>
            <w:vAlign w:val="center"/>
          </w:tcPr>
          <w:p w14:paraId="36CB95C2">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333" w:type="pct"/>
            <w:noWrap w:val="0"/>
            <w:vAlign w:val="center"/>
          </w:tcPr>
          <w:p w14:paraId="346A0764">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400" w:type="pct"/>
            <w:noWrap w:val="0"/>
            <w:vAlign w:val="center"/>
          </w:tcPr>
          <w:p w14:paraId="31CACEB4">
            <w:pPr>
              <w:pStyle w:val="37"/>
              <w:widowControl w:val="0"/>
              <w:bidi w:val="0"/>
              <w:ind w:firstLine="0" w:firstLineChars="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ES</w:t>
            </w:r>
          </w:p>
        </w:tc>
        <w:tc>
          <w:tcPr>
            <w:tcW w:w="417" w:type="pct"/>
            <w:noWrap w:val="0"/>
            <w:vAlign w:val="center"/>
          </w:tcPr>
          <w:p w14:paraId="6FC7C40A">
            <w:pPr>
              <w:pStyle w:val="37"/>
              <w:widowControl w:val="0"/>
              <w:bidi w:val="0"/>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190</w:t>
            </w:r>
          </w:p>
        </w:tc>
        <w:tc>
          <w:tcPr>
            <w:tcW w:w="923" w:type="pct"/>
            <w:noWrap w:val="0"/>
            <w:vAlign w:val="center"/>
          </w:tcPr>
          <w:p w14:paraId="16635B7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《声环境质量标准》（GB3096-2008）中的2类标准</w:t>
            </w:r>
          </w:p>
        </w:tc>
        <w:tc>
          <w:tcPr>
            <w:tcW w:w="995" w:type="pct"/>
            <w:noWrap w:val="0"/>
            <w:vAlign w:val="center"/>
          </w:tcPr>
          <w:p w14:paraId="2E7D3A15">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砖混</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南北</w:t>
            </w:r>
            <w:r>
              <w:rPr>
                <w:rFonts w:hint="default" w:ascii="Times New Roman" w:hAnsi="Times New Roman" w:eastAsia="宋体" w:cs="Times New Roman"/>
                <w:color w:val="auto"/>
                <w:sz w:val="21"/>
                <w:szCs w:val="21"/>
                <w:highlight w:val="none"/>
                <w:lang w:val="en-US" w:eastAsia="zh-CN"/>
              </w:rPr>
              <w:t>朝向</w:t>
            </w:r>
            <w:r>
              <w:rPr>
                <w:rFonts w:hint="eastAsia" w:ascii="Times New Roman" w:hAnsi="Times New Roman" w:eastAsia="宋体" w:cs="Times New Roman"/>
                <w:color w:val="auto"/>
                <w:sz w:val="21"/>
                <w:szCs w:val="21"/>
                <w:highlight w:val="none"/>
                <w:lang w:val="en-US" w:eastAsia="zh-CN"/>
              </w:rPr>
              <w:t>、平房</w:t>
            </w:r>
          </w:p>
        </w:tc>
      </w:tr>
    </w:tbl>
    <w:p w14:paraId="650BBE80">
      <w:pPr>
        <w:pStyle w:val="21"/>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eastAsia="黑体"/>
          <w:color w:val="auto"/>
          <w:sz w:val="21"/>
          <w:szCs w:val="21"/>
          <w:highlight w:val="none"/>
          <w:lang w:eastAsia="zh-CN"/>
        </w:rPr>
      </w:pPr>
      <w:r>
        <w:rPr>
          <w:rFonts w:hint="eastAsia"/>
          <w:color w:val="auto"/>
          <w:sz w:val="21"/>
          <w:szCs w:val="21"/>
          <w:highlight w:val="none"/>
        </w:rPr>
        <w:t>注：</w:t>
      </w:r>
      <w:r>
        <w:rPr>
          <w:rFonts w:hint="eastAsia"/>
          <w:color w:val="auto"/>
          <w:sz w:val="21"/>
          <w:szCs w:val="21"/>
          <w:highlight w:val="none"/>
          <w:lang w:eastAsia="zh-CN"/>
        </w:rPr>
        <w:t>坐标以厂区中心为原点</w:t>
      </w:r>
    </w:p>
    <w:p w14:paraId="10C96DBF">
      <w:pPr>
        <w:pStyle w:val="30"/>
        <w:ind w:left="0" w:leftChars="0" w:firstLine="0" w:firstLineChars="0"/>
        <w:rPr>
          <w:rFonts w:hint="default"/>
          <w:color w:val="FF0000"/>
        </w:rPr>
      </w:pPr>
    </w:p>
    <w:p w14:paraId="131F7DB6">
      <w:pPr>
        <w:rPr>
          <w:rFonts w:hint="default"/>
        </w:rPr>
      </w:pPr>
    </w:p>
    <w:p w14:paraId="20F3D7E0">
      <w:pPr>
        <w:rPr>
          <w:rFonts w:hint="default"/>
        </w:rPr>
        <w:sectPr>
          <w:footerReference r:id="rId14" w:type="default"/>
          <w:pgSz w:w="16839" w:h="11906"/>
          <w:pgMar w:top="1417" w:right="1134" w:bottom="1417" w:left="1134" w:header="897" w:footer="1090" w:gutter="0"/>
          <w:pgBorders>
            <w:top w:val="none" w:sz="0" w:space="0"/>
            <w:left w:val="none" w:sz="0" w:space="0"/>
            <w:bottom w:val="none" w:sz="0" w:space="0"/>
            <w:right w:val="none" w:sz="0" w:space="0"/>
          </w:pgBorders>
          <w:pgNumType w:fmt="decimal"/>
          <w:cols w:space="720" w:num="1"/>
        </w:sectPr>
      </w:pPr>
    </w:p>
    <w:p w14:paraId="31CAA63B">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0"/>
        <w:rPr>
          <w:rFonts w:hint="default" w:ascii="Times New Roman" w:hAnsi="Times New Roman" w:eastAsia="微软雅黑" w:cs="Times New Roman"/>
          <w:b w:val="0"/>
          <w:bCs w:val="0"/>
          <w:color w:val="auto"/>
          <w:spacing w:val="0"/>
          <w:position w:val="0"/>
          <w:sz w:val="36"/>
          <w:szCs w:val="36"/>
          <w:lang w:val="en-US" w:eastAsia="zh-CN"/>
        </w:rPr>
      </w:pPr>
      <w:bookmarkStart w:id="19" w:name="_Toc25115"/>
      <w:r>
        <w:rPr>
          <w:rFonts w:hint="default" w:ascii="Times New Roman" w:hAnsi="Times New Roman" w:eastAsia="微软雅黑" w:cs="Times New Roman"/>
          <w:b w:val="0"/>
          <w:bCs w:val="0"/>
          <w:color w:val="auto"/>
          <w:spacing w:val="0"/>
          <w:position w:val="0"/>
          <w:sz w:val="36"/>
          <w:szCs w:val="36"/>
        </w:rPr>
        <w:t>3</w:t>
      </w:r>
      <w:r>
        <w:rPr>
          <w:rFonts w:hint="default" w:ascii="Times New Roman" w:hAnsi="Times New Roman" w:eastAsia="微软雅黑" w:cs="Times New Roman"/>
          <w:b w:val="0"/>
          <w:bCs w:val="0"/>
          <w:color w:val="auto"/>
          <w:spacing w:val="0"/>
          <w:position w:val="0"/>
          <w:sz w:val="36"/>
          <w:szCs w:val="36"/>
          <w:lang w:val="en-US" w:eastAsia="zh-CN"/>
        </w:rPr>
        <w:t xml:space="preserve"> </w:t>
      </w:r>
      <w:r>
        <w:rPr>
          <w:rFonts w:hint="eastAsia" w:ascii="Times New Roman" w:hAnsi="Times New Roman" w:eastAsia="微软雅黑" w:cs="Times New Roman"/>
          <w:b w:val="0"/>
          <w:bCs w:val="0"/>
          <w:color w:val="auto"/>
          <w:spacing w:val="0"/>
          <w:position w:val="0"/>
          <w:sz w:val="36"/>
          <w:szCs w:val="36"/>
          <w:lang w:val="en-US" w:eastAsia="zh-CN"/>
        </w:rPr>
        <w:t>建设项目工程分析</w:t>
      </w:r>
      <w:bookmarkEnd w:id="19"/>
    </w:p>
    <w:p w14:paraId="103EC5C0">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z w:val="32"/>
          <w:szCs w:val="32"/>
          <w:lang w:val="en-US"/>
        </w:rPr>
      </w:pPr>
      <w:bookmarkStart w:id="20" w:name="_Toc18261"/>
      <w:r>
        <w:rPr>
          <w:rFonts w:hint="default" w:ascii="Times New Roman" w:hAnsi="Times New Roman" w:eastAsia="Times New Roman" w:cs="Times New Roman"/>
          <w:color w:val="auto"/>
          <w:spacing w:val="6"/>
          <w:sz w:val="32"/>
          <w:szCs w:val="32"/>
        </w:rPr>
        <w:t>3.</w:t>
      </w:r>
      <w:r>
        <w:rPr>
          <w:rFonts w:hint="eastAsia" w:ascii="Times New Roman" w:hAnsi="Times New Roman" w:eastAsia="宋体" w:cs="Times New Roman"/>
          <w:color w:val="auto"/>
          <w:spacing w:val="6"/>
          <w:sz w:val="32"/>
          <w:szCs w:val="32"/>
          <w:lang w:val="en-US" w:eastAsia="zh-CN"/>
        </w:rPr>
        <w:t>1</w:t>
      </w:r>
      <w:r>
        <w:rPr>
          <w:rFonts w:hint="default" w:ascii="Times New Roman" w:hAnsi="Times New Roman" w:eastAsia="宋体" w:cs="Times New Roman"/>
          <w:color w:val="auto"/>
          <w:spacing w:val="6"/>
          <w:sz w:val="32"/>
          <w:szCs w:val="32"/>
          <w:lang w:val="en-US" w:eastAsia="zh-CN"/>
        </w:rPr>
        <w:t xml:space="preserve"> </w:t>
      </w:r>
      <w:r>
        <w:rPr>
          <w:rFonts w:hint="eastAsia" w:ascii="Times New Roman" w:hAnsi="Times New Roman" w:eastAsia="微软雅黑" w:cs="Times New Roman"/>
          <w:color w:val="auto"/>
          <w:spacing w:val="6"/>
          <w:sz w:val="32"/>
          <w:szCs w:val="32"/>
          <w:lang w:val="en-US" w:eastAsia="zh-CN"/>
        </w:rPr>
        <w:t>建设项目概况</w:t>
      </w:r>
      <w:bookmarkEnd w:id="20"/>
    </w:p>
    <w:p w14:paraId="5059B3A0">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default" w:ascii="Times New Roman" w:hAnsi="Times New Roman" w:eastAsia="宋体" w:cs="Times New Roman"/>
          <w:b/>
          <w:bCs/>
          <w:snapToGrid w:val="0"/>
          <w:color w:val="auto"/>
          <w:spacing w:val="0"/>
          <w:kern w:val="0"/>
          <w:position w:val="0"/>
          <w:sz w:val="30"/>
          <w:szCs w:val="30"/>
          <w:lang w:val="en-US" w:eastAsia="zh-CN" w:bidi="ar-SA"/>
        </w:rPr>
        <w:t>3.</w:t>
      </w:r>
      <w:r>
        <w:rPr>
          <w:rFonts w:hint="eastAsia" w:ascii="Times New Roman" w:hAnsi="Times New Roman" w:eastAsia="宋体" w:cs="Times New Roman"/>
          <w:b/>
          <w:bCs/>
          <w:snapToGrid w:val="0"/>
          <w:color w:val="auto"/>
          <w:spacing w:val="0"/>
          <w:kern w:val="0"/>
          <w:position w:val="0"/>
          <w:sz w:val="30"/>
          <w:szCs w:val="30"/>
          <w:lang w:val="en-US" w:eastAsia="zh-CN" w:bidi="ar-SA"/>
        </w:rPr>
        <w:t>1</w:t>
      </w:r>
      <w:r>
        <w:rPr>
          <w:rFonts w:hint="default" w:ascii="Times New Roman" w:hAnsi="Times New Roman" w:eastAsia="宋体" w:cs="Times New Roman"/>
          <w:b/>
          <w:bCs/>
          <w:snapToGrid w:val="0"/>
          <w:color w:val="auto"/>
          <w:spacing w:val="0"/>
          <w:kern w:val="0"/>
          <w:position w:val="0"/>
          <w:sz w:val="30"/>
          <w:szCs w:val="30"/>
          <w:lang w:val="en-US" w:eastAsia="zh-CN" w:bidi="ar-SA"/>
        </w:rPr>
        <w:t>.1项目</w:t>
      </w:r>
      <w:r>
        <w:rPr>
          <w:rFonts w:hint="eastAsia" w:ascii="Times New Roman" w:hAnsi="Times New Roman" w:eastAsia="宋体" w:cs="Times New Roman"/>
          <w:b/>
          <w:bCs/>
          <w:snapToGrid w:val="0"/>
          <w:color w:val="auto"/>
          <w:spacing w:val="0"/>
          <w:kern w:val="0"/>
          <w:position w:val="0"/>
          <w:sz w:val="30"/>
          <w:szCs w:val="30"/>
          <w:lang w:val="en-US" w:eastAsia="zh-CN" w:bidi="ar-SA"/>
        </w:rPr>
        <w:t>组成</w:t>
      </w:r>
    </w:p>
    <w:p w14:paraId="58E169D8">
      <w:pPr>
        <w:keepNext w:val="0"/>
        <w:keepLines w:val="0"/>
        <w:pageBreakBefore w:val="0"/>
        <w:widowControl/>
        <w:numPr>
          <w:ilvl w:val="0"/>
          <w:numId w:val="17"/>
        </w:numPr>
        <w:kinsoku w:val="0"/>
        <w:wordWrap/>
        <w:overflowPunct/>
        <w:topLinePunct w:val="0"/>
        <w:autoSpaceDE w:val="0"/>
        <w:autoSpaceDN w:val="0"/>
        <w:bidi w:val="0"/>
        <w:adjustRightInd w:val="0"/>
        <w:snapToGrid w:val="0"/>
        <w:spacing w:line="360" w:lineRule="auto"/>
        <w:ind w:left="0" w:right="0" w:firstLine="472" w:firstLineChars="200"/>
        <w:jc w:val="both"/>
        <w:textAlignment w:val="baseline"/>
        <w:outlineLvl w:val="9"/>
        <w:rPr>
          <w:rFonts w:hint="eastAsia" w:ascii="Times New Roman" w:hAnsi="Times New Roman" w:eastAsia="宋体" w:cs="Times New Roman"/>
          <w:color w:val="auto"/>
          <w:spacing w:val="-2"/>
          <w:sz w:val="24"/>
          <w:szCs w:val="24"/>
          <w:lang w:val="en-US" w:eastAsia="zh-CN"/>
        </w:rPr>
      </w:pPr>
      <w:r>
        <w:rPr>
          <w:rFonts w:hint="default" w:ascii="Times New Roman" w:hAnsi="Times New Roman" w:eastAsia="宋体" w:cs="Times New Roman"/>
          <w:color w:val="auto"/>
          <w:spacing w:val="-2"/>
          <w:sz w:val="24"/>
          <w:szCs w:val="24"/>
        </w:rPr>
        <w:t>项目名称：</w:t>
      </w:r>
      <w:r>
        <w:rPr>
          <w:rFonts w:hint="eastAsia" w:ascii="Times New Roman" w:hAnsi="Times New Roman" w:eastAsia="宋体" w:cs="Times New Roman"/>
          <w:color w:val="auto"/>
          <w:spacing w:val="-2"/>
          <w:sz w:val="24"/>
          <w:szCs w:val="24"/>
          <w:lang w:val="en-US" w:eastAsia="zh-CN"/>
        </w:rPr>
        <w:t>黑龙江天时利精密科技有限公司新建项目</w:t>
      </w:r>
    </w:p>
    <w:p w14:paraId="66101A1B">
      <w:pPr>
        <w:keepNext w:val="0"/>
        <w:keepLines w:val="0"/>
        <w:pageBreakBefore w:val="0"/>
        <w:widowControl/>
        <w:numPr>
          <w:ilvl w:val="0"/>
          <w:numId w:val="17"/>
        </w:numPr>
        <w:kinsoku w:val="0"/>
        <w:wordWrap/>
        <w:overflowPunct/>
        <w:topLinePunct w:val="0"/>
        <w:autoSpaceDE w:val="0"/>
        <w:autoSpaceDN w:val="0"/>
        <w:bidi w:val="0"/>
        <w:adjustRightInd w:val="0"/>
        <w:snapToGrid w:val="0"/>
        <w:spacing w:line="360" w:lineRule="auto"/>
        <w:ind w:left="0" w:right="0" w:firstLine="472" w:firstLineChars="200"/>
        <w:jc w:val="both"/>
        <w:textAlignment w:val="baseline"/>
        <w:outlineLvl w:val="9"/>
        <w:rPr>
          <w:rFonts w:hint="default"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建设单位：黑龙江天时利精密科技有限公司</w:t>
      </w:r>
    </w:p>
    <w:p w14:paraId="390A2977">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color w:val="auto"/>
          <w:spacing w:val="-3"/>
          <w:sz w:val="24"/>
          <w:szCs w:val="24"/>
          <w:lang w:val="en-US" w:eastAsia="zh-CN"/>
        </w:rPr>
      </w:pPr>
      <w:r>
        <w:rPr>
          <w:rFonts w:hint="default" w:ascii="Times New Roman" w:hAnsi="Times New Roman" w:eastAsia="宋体" w:cs="Times New Roman"/>
          <w:color w:val="auto"/>
          <w:spacing w:val="-3"/>
          <w:sz w:val="24"/>
          <w:szCs w:val="24"/>
          <w:lang w:val="en-US" w:eastAsia="zh-CN"/>
        </w:rPr>
        <w:t>（</w:t>
      </w:r>
      <w:r>
        <w:rPr>
          <w:rFonts w:hint="eastAsia" w:ascii="Times New Roman" w:hAnsi="Times New Roman" w:eastAsia="宋体" w:cs="Times New Roman"/>
          <w:color w:val="auto"/>
          <w:spacing w:val="-3"/>
          <w:sz w:val="24"/>
          <w:szCs w:val="24"/>
          <w:lang w:val="en-US" w:eastAsia="zh-CN"/>
        </w:rPr>
        <w:t>3</w:t>
      </w:r>
      <w:r>
        <w:rPr>
          <w:rFonts w:hint="default" w:ascii="Times New Roman" w:hAnsi="Times New Roman" w:eastAsia="宋体" w:cs="Times New Roman"/>
          <w:color w:val="auto"/>
          <w:spacing w:val="-3"/>
          <w:sz w:val="24"/>
          <w:szCs w:val="24"/>
          <w:lang w:val="en-US" w:eastAsia="zh-CN"/>
        </w:rPr>
        <w:t>）建设地点：</w:t>
      </w:r>
      <w:r>
        <w:rPr>
          <w:rFonts w:hint="default" w:ascii="Times New Roman" w:hAnsi="Times New Roman" w:eastAsia="宋体" w:cs="Times New Roman"/>
          <w:color w:val="auto"/>
          <w:spacing w:val="0"/>
          <w:position w:val="0"/>
          <w:sz w:val="24"/>
          <w:lang w:val="en-US" w:eastAsia="zh-CN"/>
        </w:rPr>
        <w:t>黑龙江</w:t>
      </w:r>
      <w:r>
        <w:rPr>
          <w:rFonts w:hint="eastAsia" w:ascii="Times New Roman" w:hAnsi="Times New Roman" w:eastAsia="宋体" w:cs="Times New Roman"/>
          <w:color w:val="auto"/>
          <w:spacing w:val="0"/>
          <w:position w:val="0"/>
          <w:sz w:val="24"/>
          <w:lang w:val="en-US" w:eastAsia="zh-CN"/>
        </w:rPr>
        <w:t>省哈尔滨市</w:t>
      </w:r>
      <w:r>
        <w:rPr>
          <w:rFonts w:hint="default" w:ascii="Times New Roman" w:hAnsi="Times New Roman" w:eastAsia="宋体" w:cs="Times New Roman"/>
          <w:color w:val="auto"/>
          <w:spacing w:val="0"/>
          <w:position w:val="0"/>
          <w:sz w:val="24"/>
          <w:lang w:val="en-US" w:eastAsia="zh-CN"/>
        </w:rPr>
        <w:t>五常市牛家工业园区宁波路13号</w:t>
      </w:r>
      <w:r>
        <w:rPr>
          <w:rFonts w:hint="eastAsia" w:ascii="Times New Roman" w:hAnsi="Times New Roman" w:eastAsia="宋体" w:cs="Times New Roman"/>
          <w:color w:val="auto"/>
          <w:spacing w:val="0"/>
          <w:position w:val="0"/>
          <w:sz w:val="24"/>
          <w:lang w:val="en-US" w:eastAsia="zh-CN"/>
        </w:rPr>
        <w:t>，</w:t>
      </w:r>
      <w:r>
        <w:rPr>
          <w:rFonts w:hint="default" w:ascii="Times New Roman" w:hAnsi="Times New Roman" w:eastAsia="宋体" w:cs="Times New Roman"/>
          <w:color w:val="auto"/>
          <w:spacing w:val="-3"/>
          <w:sz w:val="24"/>
          <w:szCs w:val="24"/>
          <w:lang w:val="en-US" w:eastAsia="zh-CN"/>
        </w:rPr>
        <w:t>地理位置图见附图1。</w:t>
      </w:r>
    </w:p>
    <w:p w14:paraId="4630D276">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color w:val="auto"/>
          <w:spacing w:val="-3"/>
          <w:sz w:val="24"/>
          <w:szCs w:val="24"/>
          <w:lang w:val="en-US" w:eastAsia="zh-CN"/>
        </w:rPr>
      </w:pPr>
      <w:r>
        <w:rPr>
          <w:rFonts w:hint="default" w:ascii="Times New Roman" w:hAnsi="Times New Roman" w:eastAsia="宋体" w:cs="Times New Roman"/>
          <w:color w:val="auto"/>
          <w:spacing w:val="-3"/>
          <w:sz w:val="24"/>
          <w:szCs w:val="24"/>
          <w:lang w:val="en-US" w:eastAsia="zh-CN"/>
        </w:rPr>
        <w:t>（</w:t>
      </w:r>
      <w:r>
        <w:rPr>
          <w:rFonts w:hint="eastAsia" w:ascii="Times New Roman" w:hAnsi="Times New Roman" w:eastAsia="宋体" w:cs="Times New Roman"/>
          <w:color w:val="auto"/>
          <w:spacing w:val="-3"/>
          <w:sz w:val="24"/>
          <w:szCs w:val="24"/>
          <w:lang w:val="en-US" w:eastAsia="zh-CN"/>
        </w:rPr>
        <w:t>4</w:t>
      </w:r>
      <w:r>
        <w:rPr>
          <w:rFonts w:hint="default" w:ascii="Times New Roman" w:hAnsi="Times New Roman" w:eastAsia="宋体" w:cs="Times New Roman"/>
          <w:color w:val="auto"/>
          <w:spacing w:val="-3"/>
          <w:sz w:val="24"/>
          <w:szCs w:val="24"/>
          <w:lang w:val="en-US" w:eastAsia="zh-CN"/>
        </w:rPr>
        <w:t>）建设性质：</w:t>
      </w:r>
      <w:r>
        <w:rPr>
          <w:rFonts w:hint="eastAsia" w:ascii="Times New Roman" w:hAnsi="Times New Roman" w:eastAsia="宋体" w:cs="Times New Roman"/>
          <w:color w:val="auto"/>
          <w:spacing w:val="-3"/>
          <w:sz w:val="24"/>
          <w:szCs w:val="24"/>
          <w:lang w:val="en-US" w:eastAsia="zh-CN"/>
        </w:rPr>
        <w:t>新建</w:t>
      </w:r>
    </w:p>
    <w:p w14:paraId="10A1FDD9">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color w:val="auto"/>
          <w:spacing w:val="-3"/>
          <w:sz w:val="24"/>
          <w:szCs w:val="24"/>
          <w:lang w:val="en-US" w:eastAsia="zh-CN"/>
        </w:rPr>
      </w:pPr>
      <w:r>
        <w:rPr>
          <w:rFonts w:hint="default" w:ascii="Times New Roman" w:hAnsi="Times New Roman" w:eastAsia="宋体" w:cs="Times New Roman"/>
          <w:color w:val="auto"/>
          <w:spacing w:val="-3"/>
          <w:sz w:val="24"/>
          <w:szCs w:val="24"/>
          <w:lang w:val="en-US" w:eastAsia="zh-CN"/>
        </w:rPr>
        <w:t>（</w:t>
      </w:r>
      <w:r>
        <w:rPr>
          <w:rFonts w:hint="eastAsia" w:ascii="Times New Roman" w:hAnsi="Times New Roman" w:eastAsia="宋体" w:cs="Times New Roman"/>
          <w:color w:val="auto"/>
          <w:spacing w:val="-3"/>
          <w:sz w:val="24"/>
          <w:szCs w:val="24"/>
          <w:lang w:val="en-US" w:eastAsia="zh-CN"/>
        </w:rPr>
        <w:t>5</w:t>
      </w:r>
      <w:r>
        <w:rPr>
          <w:rFonts w:hint="default" w:ascii="Times New Roman" w:hAnsi="Times New Roman" w:eastAsia="宋体" w:cs="Times New Roman"/>
          <w:color w:val="auto"/>
          <w:spacing w:val="-3"/>
          <w:sz w:val="24"/>
          <w:szCs w:val="24"/>
          <w:lang w:val="en-US" w:eastAsia="zh-CN"/>
        </w:rPr>
        <w:t>）</w:t>
      </w:r>
      <w:r>
        <w:rPr>
          <w:rFonts w:hint="eastAsia" w:ascii="Times New Roman" w:hAnsi="Times New Roman" w:eastAsia="宋体" w:cs="Times New Roman"/>
          <w:color w:val="auto"/>
          <w:spacing w:val="-3"/>
          <w:sz w:val="24"/>
          <w:szCs w:val="24"/>
          <w:lang w:val="en-US" w:eastAsia="zh-CN"/>
        </w:rPr>
        <w:t>建设规模</w:t>
      </w:r>
      <w:r>
        <w:rPr>
          <w:rFonts w:hint="default" w:ascii="Times New Roman" w:hAnsi="Times New Roman" w:eastAsia="宋体" w:cs="Times New Roman"/>
          <w:color w:val="auto"/>
          <w:spacing w:val="-3"/>
          <w:sz w:val="24"/>
          <w:szCs w:val="24"/>
          <w:lang w:val="en-US" w:eastAsia="zh-CN"/>
        </w:rPr>
        <w:t>：年产量为2000万件汽车装饰零部件</w:t>
      </w:r>
    </w:p>
    <w:p w14:paraId="54562717">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eastAsia" w:ascii="Times New Roman" w:hAnsi="Times New Roman" w:eastAsia="宋体" w:cs="Times New Roman"/>
          <w:color w:val="auto"/>
          <w:spacing w:val="-3"/>
          <w:sz w:val="24"/>
          <w:szCs w:val="24"/>
          <w:lang w:val="en-US" w:eastAsia="zh-CN"/>
        </w:rPr>
      </w:pPr>
      <w:r>
        <w:rPr>
          <w:rFonts w:hint="default" w:ascii="Times New Roman" w:hAnsi="Times New Roman" w:eastAsia="宋体" w:cs="Times New Roman"/>
          <w:color w:val="auto"/>
          <w:spacing w:val="-3"/>
          <w:sz w:val="24"/>
          <w:szCs w:val="24"/>
          <w:lang w:val="en-US" w:eastAsia="zh-CN"/>
        </w:rPr>
        <w:t>（</w:t>
      </w:r>
      <w:r>
        <w:rPr>
          <w:rFonts w:hint="eastAsia" w:ascii="Times New Roman" w:hAnsi="Times New Roman" w:eastAsia="宋体" w:cs="Times New Roman"/>
          <w:color w:val="auto"/>
          <w:spacing w:val="-3"/>
          <w:sz w:val="24"/>
          <w:szCs w:val="24"/>
          <w:lang w:val="en-US" w:eastAsia="zh-CN"/>
        </w:rPr>
        <w:t>6</w:t>
      </w:r>
      <w:r>
        <w:rPr>
          <w:rFonts w:hint="default" w:ascii="Times New Roman" w:hAnsi="Times New Roman" w:eastAsia="宋体" w:cs="Times New Roman"/>
          <w:color w:val="auto"/>
          <w:spacing w:val="-3"/>
          <w:sz w:val="24"/>
          <w:szCs w:val="24"/>
          <w:lang w:val="en-US" w:eastAsia="zh-CN"/>
        </w:rPr>
        <w:t>）</w:t>
      </w:r>
      <w:r>
        <w:rPr>
          <w:rFonts w:hint="eastAsia" w:ascii="Times New Roman" w:hAnsi="Times New Roman" w:eastAsia="宋体" w:cs="Times New Roman"/>
          <w:color w:val="auto"/>
          <w:spacing w:val="-3"/>
          <w:sz w:val="24"/>
          <w:szCs w:val="24"/>
          <w:lang w:val="en-US" w:eastAsia="zh-CN"/>
        </w:rPr>
        <w:t>项目投资：总投资20000万元</w:t>
      </w:r>
    </w:p>
    <w:p w14:paraId="324C21A5">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default" w:ascii="Times New Roman" w:hAnsi="Times New Roman" w:eastAsia="宋体" w:cs="Times New Roman"/>
          <w:b/>
          <w:bCs/>
          <w:snapToGrid w:val="0"/>
          <w:color w:val="auto"/>
          <w:spacing w:val="0"/>
          <w:kern w:val="0"/>
          <w:position w:val="0"/>
          <w:sz w:val="30"/>
          <w:szCs w:val="30"/>
          <w:lang w:val="en-US" w:eastAsia="zh-CN" w:bidi="ar-SA"/>
        </w:rPr>
        <w:t>3.</w:t>
      </w:r>
      <w:r>
        <w:rPr>
          <w:rFonts w:hint="eastAsia" w:ascii="Times New Roman" w:hAnsi="Times New Roman" w:eastAsia="宋体" w:cs="Times New Roman"/>
          <w:b/>
          <w:bCs/>
          <w:snapToGrid w:val="0"/>
          <w:color w:val="auto"/>
          <w:spacing w:val="0"/>
          <w:kern w:val="0"/>
          <w:position w:val="0"/>
          <w:sz w:val="30"/>
          <w:szCs w:val="30"/>
          <w:lang w:val="en-US" w:eastAsia="zh-CN" w:bidi="ar-SA"/>
        </w:rPr>
        <w:t>1</w:t>
      </w:r>
      <w:r>
        <w:rPr>
          <w:rFonts w:hint="default" w:ascii="Times New Roman" w:hAnsi="Times New Roman" w:eastAsia="宋体" w:cs="Times New Roman"/>
          <w:b/>
          <w:bCs/>
          <w:snapToGrid w:val="0"/>
          <w:color w:val="auto"/>
          <w:spacing w:val="0"/>
          <w:kern w:val="0"/>
          <w:position w:val="0"/>
          <w:sz w:val="30"/>
          <w:szCs w:val="30"/>
          <w:lang w:val="en-US" w:eastAsia="zh-CN" w:bidi="ar-SA"/>
        </w:rPr>
        <w:t>.2建设内容及规模</w:t>
      </w:r>
    </w:p>
    <w:p w14:paraId="5C1376F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outlineLvl w:val="9"/>
        <w:rPr>
          <w:rFonts w:hint="default" w:ascii="Times New Roman" w:hAnsi="Times New Roman" w:eastAsia="宋体" w:cs="Times New Roman"/>
          <w:color w:val="auto"/>
          <w:spacing w:val="0"/>
          <w:position w:val="0"/>
          <w:sz w:val="24"/>
          <w:lang w:val="en-US" w:eastAsia="zh-CN"/>
        </w:rPr>
      </w:pPr>
      <w:r>
        <w:rPr>
          <w:rFonts w:hint="eastAsia" w:ascii="Times New Roman" w:hAnsi="Times New Roman" w:eastAsia="宋体" w:cs="Times New Roman"/>
          <w:color w:val="auto"/>
          <w:spacing w:val="-3"/>
          <w:sz w:val="24"/>
          <w:szCs w:val="24"/>
          <w:lang w:val="en-US" w:eastAsia="zh-CN"/>
        </w:rPr>
        <w:t>本项目</w:t>
      </w:r>
      <w:r>
        <w:rPr>
          <w:rFonts w:hint="default" w:ascii="Times New Roman" w:hAnsi="Times New Roman" w:eastAsia="宋体" w:cs="Times New Roman"/>
          <w:color w:val="auto"/>
          <w:spacing w:val="-3"/>
          <w:sz w:val="24"/>
          <w:szCs w:val="24"/>
          <w:lang w:val="en-US" w:eastAsia="zh-CN"/>
        </w:rPr>
        <w:t>占地面积为39999平方米，</w:t>
      </w:r>
      <w:r>
        <w:rPr>
          <w:rFonts w:hint="eastAsia" w:ascii="Times New Roman" w:hAnsi="Times New Roman" w:eastAsia="宋体" w:cs="Times New Roman"/>
          <w:color w:val="auto"/>
          <w:spacing w:val="-3"/>
          <w:sz w:val="24"/>
          <w:szCs w:val="24"/>
          <w:lang w:val="en-US" w:eastAsia="zh-CN"/>
        </w:rPr>
        <w:t>利用现有土地及厂房、办公楼、宿舍楼等进行建设，</w:t>
      </w:r>
      <w:r>
        <w:rPr>
          <w:rFonts w:hint="default" w:ascii="Times New Roman" w:hAnsi="Times New Roman" w:eastAsia="宋体" w:cs="Times New Roman"/>
          <w:color w:val="auto"/>
          <w:spacing w:val="-3"/>
          <w:sz w:val="24"/>
          <w:szCs w:val="24"/>
          <w:lang w:val="en-US" w:eastAsia="zh-CN"/>
        </w:rPr>
        <w:t>建设汽车内外饰装饰零部件产品生产基地，</w:t>
      </w:r>
      <w:r>
        <w:rPr>
          <w:rFonts w:hint="eastAsia" w:ascii="Times New Roman" w:hAnsi="Times New Roman" w:eastAsia="宋体" w:cs="Times New Roman"/>
          <w:color w:val="auto"/>
          <w:spacing w:val="0"/>
          <w:position w:val="0"/>
          <w:sz w:val="24"/>
          <w:lang w:val="en-US" w:eastAsia="zh-CN"/>
        </w:rPr>
        <w:t>本项目</w:t>
      </w:r>
      <w:r>
        <w:rPr>
          <w:rFonts w:hint="default" w:ascii="Times New Roman" w:hAnsi="Times New Roman" w:eastAsia="宋体" w:cs="Times New Roman"/>
          <w:color w:val="auto"/>
          <w:spacing w:val="0"/>
          <w:position w:val="0"/>
          <w:sz w:val="24"/>
          <w:lang w:val="en-US" w:eastAsia="zh-CN"/>
        </w:rPr>
        <w:t>组成一览表详见表3.</w:t>
      </w:r>
      <w:r>
        <w:rPr>
          <w:rFonts w:hint="eastAsia" w:ascii="Times New Roman" w:hAnsi="Times New Roman" w:eastAsia="宋体" w:cs="Times New Roman"/>
          <w:color w:val="auto"/>
          <w:spacing w:val="0"/>
          <w:position w:val="0"/>
          <w:sz w:val="24"/>
          <w:lang w:val="en-US" w:eastAsia="zh-CN"/>
        </w:rPr>
        <w:t>1</w:t>
      </w:r>
      <w:r>
        <w:rPr>
          <w:rFonts w:hint="default" w:ascii="Times New Roman" w:hAnsi="Times New Roman" w:eastAsia="宋体" w:cs="Times New Roman"/>
          <w:color w:val="auto"/>
          <w:spacing w:val="0"/>
          <w:position w:val="0"/>
          <w:sz w:val="24"/>
          <w:lang w:val="en-US" w:eastAsia="zh-CN"/>
        </w:rPr>
        <w:t>-1。</w:t>
      </w:r>
    </w:p>
    <w:p w14:paraId="63B98B0F">
      <w:pPr>
        <w:keepNext w:val="0"/>
        <w:keepLines w:val="0"/>
        <w:widowControl/>
        <w:suppressLineNumbers w:val="0"/>
        <w:jc w:val="center"/>
        <w:rPr>
          <w:rFonts w:hint="default" w:ascii="Times New Roman" w:hAnsi="Times New Roman" w:eastAsia="宋体" w:cs="Times New Roman"/>
          <w:b/>
          <w:bCs/>
          <w:snapToGrid w:val="0"/>
          <w:color w:val="auto"/>
          <w:kern w:val="0"/>
          <w:sz w:val="24"/>
          <w:szCs w:val="24"/>
          <w:lang w:val="en-US" w:eastAsia="zh-CN" w:bidi="ar"/>
        </w:rPr>
      </w:pPr>
      <w:r>
        <w:rPr>
          <w:rFonts w:hint="default" w:ascii="Times New Roman" w:hAnsi="Times New Roman" w:eastAsia="宋体" w:cs="Times New Roman"/>
          <w:b/>
          <w:bCs/>
          <w:snapToGrid w:val="0"/>
          <w:color w:val="auto"/>
          <w:kern w:val="0"/>
          <w:sz w:val="24"/>
          <w:szCs w:val="24"/>
          <w:lang w:val="en-US" w:eastAsia="zh-CN" w:bidi="ar"/>
        </w:rPr>
        <w:t>表3.</w:t>
      </w:r>
      <w:r>
        <w:rPr>
          <w:rFonts w:hint="eastAsia" w:ascii="Times New Roman" w:hAnsi="Times New Roman" w:eastAsia="宋体" w:cs="Times New Roman"/>
          <w:b/>
          <w:bCs/>
          <w:snapToGrid w:val="0"/>
          <w:color w:val="auto"/>
          <w:kern w:val="0"/>
          <w:sz w:val="24"/>
          <w:szCs w:val="24"/>
          <w:lang w:val="en-US" w:eastAsia="zh-CN" w:bidi="ar"/>
        </w:rPr>
        <w:t>1</w:t>
      </w:r>
      <w:r>
        <w:rPr>
          <w:rFonts w:hint="default" w:ascii="Times New Roman" w:hAnsi="Times New Roman" w:eastAsia="宋体" w:cs="Times New Roman"/>
          <w:b/>
          <w:bCs/>
          <w:snapToGrid w:val="0"/>
          <w:color w:val="auto"/>
          <w:kern w:val="0"/>
          <w:sz w:val="24"/>
          <w:szCs w:val="24"/>
          <w:lang w:val="en-US" w:eastAsia="zh-CN" w:bidi="ar"/>
        </w:rPr>
        <w:t xml:space="preserve">-1  </w:t>
      </w:r>
      <w:r>
        <w:rPr>
          <w:rFonts w:hint="eastAsia" w:ascii="Times New Roman" w:hAnsi="Times New Roman" w:eastAsia="宋体" w:cs="Times New Roman"/>
          <w:b/>
          <w:bCs/>
          <w:snapToGrid w:val="0"/>
          <w:color w:val="auto"/>
          <w:kern w:val="0"/>
          <w:sz w:val="24"/>
          <w:szCs w:val="24"/>
          <w:lang w:val="en-US" w:eastAsia="zh-CN" w:bidi="ar"/>
        </w:rPr>
        <w:t>本项目</w:t>
      </w:r>
      <w:r>
        <w:rPr>
          <w:rFonts w:hint="default" w:ascii="Times New Roman" w:hAnsi="Times New Roman" w:eastAsia="宋体" w:cs="Times New Roman"/>
          <w:b/>
          <w:bCs/>
          <w:snapToGrid w:val="0"/>
          <w:color w:val="auto"/>
          <w:kern w:val="0"/>
          <w:sz w:val="24"/>
          <w:szCs w:val="24"/>
          <w:lang w:val="en-US" w:eastAsia="zh-CN" w:bidi="ar"/>
        </w:rPr>
        <w:t>组成一览表</w:t>
      </w:r>
    </w:p>
    <w:tbl>
      <w:tblPr>
        <w:tblStyle w:val="41"/>
        <w:tblW w:w="4995"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12"/>
        <w:gridCol w:w="1021"/>
        <w:gridCol w:w="6231"/>
        <w:gridCol w:w="899"/>
      </w:tblGrid>
      <w:tr w14:paraId="4784B3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tcBorders>
              <w:tl2br w:val="nil"/>
              <w:tr2bl w:val="nil"/>
            </w:tcBorders>
            <w:noWrap w:val="0"/>
            <w:vAlign w:val="center"/>
          </w:tcPr>
          <w:p w14:paraId="2BDC61D0">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分类</w:t>
            </w:r>
          </w:p>
        </w:tc>
        <w:tc>
          <w:tcPr>
            <w:tcW w:w="563" w:type="pct"/>
            <w:tcBorders>
              <w:tl2br w:val="nil"/>
              <w:tr2bl w:val="nil"/>
            </w:tcBorders>
            <w:noWrap w:val="0"/>
            <w:vAlign w:val="center"/>
          </w:tcPr>
          <w:p w14:paraId="4C97B0E6">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名称</w:t>
            </w:r>
          </w:p>
        </w:tc>
        <w:tc>
          <w:tcPr>
            <w:tcW w:w="3437" w:type="pct"/>
            <w:tcBorders>
              <w:tl2br w:val="nil"/>
              <w:tr2bl w:val="nil"/>
            </w:tcBorders>
            <w:noWrap w:val="0"/>
            <w:vAlign w:val="center"/>
          </w:tcPr>
          <w:p w14:paraId="6419C5DD">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eastAsia" w:eastAsia="宋体" w:cs="Times New Roman"/>
                <w:color w:val="auto"/>
                <w:spacing w:val="8"/>
                <w:sz w:val="21"/>
                <w:szCs w:val="21"/>
                <w:lang w:eastAsia="zh-CN"/>
              </w:rPr>
              <w:t>本项目</w:t>
            </w:r>
            <w:r>
              <w:rPr>
                <w:rFonts w:hint="default" w:ascii="Times New Roman" w:hAnsi="Times New Roman" w:eastAsia="宋体" w:cs="Times New Roman"/>
                <w:color w:val="auto"/>
                <w:spacing w:val="8"/>
                <w:sz w:val="21"/>
                <w:szCs w:val="21"/>
              </w:rPr>
              <w:t>建设内容</w:t>
            </w:r>
          </w:p>
        </w:tc>
        <w:tc>
          <w:tcPr>
            <w:tcW w:w="496" w:type="pct"/>
            <w:tcBorders>
              <w:tl2br w:val="nil"/>
              <w:tr2bl w:val="nil"/>
            </w:tcBorders>
            <w:noWrap w:val="0"/>
            <w:vAlign w:val="center"/>
          </w:tcPr>
          <w:p w14:paraId="4D16CEA9">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备注</w:t>
            </w:r>
          </w:p>
        </w:tc>
      </w:tr>
      <w:tr w14:paraId="50D209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restart"/>
            <w:tcBorders>
              <w:tl2br w:val="nil"/>
              <w:tr2bl w:val="nil"/>
            </w:tcBorders>
            <w:noWrap w:val="0"/>
            <w:vAlign w:val="center"/>
          </w:tcPr>
          <w:p w14:paraId="6C5924C8">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主体工程</w:t>
            </w:r>
          </w:p>
        </w:tc>
        <w:tc>
          <w:tcPr>
            <w:tcW w:w="563" w:type="pct"/>
            <w:tcBorders>
              <w:tl2br w:val="nil"/>
              <w:tr2bl w:val="nil"/>
            </w:tcBorders>
            <w:noWrap w:val="0"/>
            <w:vAlign w:val="center"/>
          </w:tcPr>
          <w:p w14:paraId="2884A177">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厂房一</w:t>
            </w:r>
          </w:p>
        </w:tc>
        <w:tc>
          <w:tcPr>
            <w:tcW w:w="3437" w:type="pct"/>
            <w:tcBorders>
              <w:tl2br w:val="nil"/>
              <w:tr2bl w:val="nil"/>
            </w:tcBorders>
            <w:noWrap w:val="0"/>
            <w:vAlign w:val="center"/>
          </w:tcPr>
          <w:p w14:paraId="3E4BE25E">
            <w:pPr>
              <w:pStyle w:val="42"/>
              <w:keepNext w:val="0"/>
              <w:keepLines w:val="0"/>
              <w:pageBreakBefore w:val="0"/>
              <w:widowControl/>
              <w:kinsoku/>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局部二层建筑，厂房高度为11.25m，建筑面积12123.5m</w:t>
            </w:r>
            <w:r>
              <w:rPr>
                <w:rFonts w:hint="eastAsia" w:eastAsia="宋体" w:cs="Times New Roman"/>
                <w:color w:val="auto"/>
                <w:sz w:val="21"/>
                <w:szCs w:val="21"/>
                <w:vertAlign w:val="superscript"/>
                <w:lang w:val="en-US" w:eastAsia="zh-CN"/>
              </w:rPr>
              <w:t>2</w:t>
            </w:r>
            <w:r>
              <w:rPr>
                <w:rFonts w:hint="eastAsia" w:eastAsia="宋体" w:cs="Times New Roman"/>
                <w:color w:val="auto"/>
                <w:sz w:val="21"/>
                <w:szCs w:val="21"/>
                <w:lang w:val="en-US" w:eastAsia="zh-CN"/>
              </w:rPr>
              <w:t>，包括仓储区、原材料仓、混料房、碎料房、修模区、半成品周转区、发泡车间、胶水调配区、组装区。</w:t>
            </w:r>
          </w:p>
        </w:tc>
        <w:tc>
          <w:tcPr>
            <w:tcW w:w="496" w:type="pct"/>
            <w:vMerge w:val="restart"/>
            <w:tcBorders>
              <w:tl2br w:val="nil"/>
              <w:tr2bl w:val="nil"/>
            </w:tcBorders>
            <w:noWrap w:val="0"/>
            <w:vAlign w:val="center"/>
          </w:tcPr>
          <w:p w14:paraId="68F1469B">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利用现有闲置建筑物新建</w:t>
            </w:r>
          </w:p>
        </w:tc>
      </w:tr>
      <w:tr w14:paraId="455FCE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continue"/>
            <w:tcBorders>
              <w:tl2br w:val="nil"/>
              <w:tr2bl w:val="nil"/>
            </w:tcBorders>
            <w:noWrap w:val="0"/>
            <w:vAlign w:val="center"/>
          </w:tcPr>
          <w:p w14:paraId="5B2D810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563" w:type="pct"/>
            <w:tcBorders>
              <w:tl2br w:val="nil"/>
              <w:tr2bl w:val="nil"/>
            </w:tcBorders>
            <w:noWrap w:val="0"/>
            <w:vAlign w:val="center"/>
          </w:tcPr>
          <w:p w14:paraId="1180D4E6">
            <w:pPr>
              <w:keepNext w:val="0"/>
              <w:keepLines w:val="0"/>
              <w:pageBreakBefore w:val="0"/>
              <w:widowControl/>
              <w:suppressLineNumbers w:val="0"/>
              <w:kinsoku w:val="0"/>
              <w:wordWrap/>
              <w:overflowPunct/>
              <w:topLinePunct w:val="0"/>
              <w:autoSpaceDE w:val="0"/>
              <w:autoSpaceDN w:val="0"/>
              <w:bidi w:val="0"/>
              <w:adjustRightInd w:val="0"/>
              <w:snapToGrid w:val="0"/>
              <w:jc w:val="center"/>
              <w:textAlignment w:val="baseline"/>
              <w:rPr>
                <w:rFonts w:hint="default" w:ascii="Times New Roman" w:hAnsi="Times New Roman" w:eastAsia="宋体" w:cs="Times New Roman"/>
                <w:snapToGrid w:val="0"/>
                <w:color w:val="auto"/>
                <w:spacing w:val="6"/>
                <w:kern w:val="0"/>
                <w:sz w:val="21"/>
                <w:szCs w:val="21"/>
                <w:lang w:val="en-US" w:eastAsia="zh-CN" w:bidi="ar-SA"/>
              </w:rPr>
            </w:pPr>
            <w:r>
              <w:rPr>
                <w:rFonts w:hint="eastAsia" w:ascii="Times New Roman" w:hAnsi="Times New Roman" w:eastAsia="宋体" w:cs="Times New Roman"/>
                <w:snapToGrid w:val="0"/>
                <w:color w:val="auto"/>
                <w:spacing w:val="6"/>
                <w:kern w:val="0"/>
                <w:sz w:val="21"/>
                <w:szCs w:val="21"/>
                <w:lang w:val="en-US" w:eastAsia="zh-CN" w:bidi="ar-SA"/>
              </w:rPr>
              <w:t>厂房二</w:t>
            </w:r>
          </w:p>
        </w:tc>
        <w:tc>
          <w:tcPr>
            <w:tcW w:w="3437" w:type="pct"/>
            <w:tcBorders>
              <w:tl2br w:val="nil"/>
              <w:tr2bl w:val="nil"/>
            </w:tcBorders>
            <w:noWrap w:val="0"/>
            <w:vAlign w:val="center"/>
          </w:tcPr>
          <w:p w14:paraId="00564167">
            <w:pPr>
              <w:pStyle w:val="42"/>
              <w:keepNext w:val="0"/>
              <w:keepLines w:val="0"/>
              <w:pageBreakBefore w:val="0"/>
              <w:widowControl/>
              <w:kinsoku/>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snapToGrid w:val="0"/>
                <w:color w:val="auto"/>
                <w:kern w:val="0"/>
                <w:sz w:val="21"/>
                <w:szCs w:val="21"/>
                <w:vertAlign w:val="baseline"/>
                <w:lang w:val="en-US" w:eastAsia="zh-CN" w:bidi="ar"/>
              </w:rPr>
            </w:pPr>
            <w:r>
              <w:rPr>
                <w:rFonts w:hint="eastAsia" w:eastAsia="宋体" w:cs="Times New Roman"/>
                <w:snapToGrid w:val="0"/>
                <w:color w:val="auto"/>
                <w:kern w:val="0"/>
                <w:sz w:val="21"/>
                <w:szCs w:val="21"/>
                <w:vertAlign w:val="baseline"/>
                <w:lang w:val="en-US" w:eastAsia="zh-CN" w:bidi="ar"/>
              </w:rPr>
              <w:t>单层建筑，厂房高度为14.15m，建筑面积6840m</w:t>
            </w:r>
            <w:r>
              <w:rPr>
                <w:rFonts w:hint="eastAsia" w:eastAsia="宋体" w:cs="Times New Roman"/>
                <w:snapToGrid w:val="0"/>
                <w:color w:val="auto"/>
                <w:kern w:val="0"/>
                <w:sz w:val="21"/>
                <w:szCs w:val="21"/>
                <w:vertAlign w:val="superscript"/>
                <w:lang w:val="en-US" w:eastAsia="zh-CN" w:bidi="ar"/>
              </w:rPr>
              <w:t>2</w:t>
            </w:r>
            <w:r>
              <w:rPr>
                <w:rFonts w:hint="eastAsia" w:eastAsia="宋体" w:cs="Times New Roman"/>
                <w:snapToGrid w:val="0"/>
                <w:color w:val="auto"/>
                <w:kern w:val="0"/>
                <w:sz w:val="21"/>
                <w:szCs w:val="21"/>
                <w:vertAlign w:val="baseline"/>
                <w:lang w:val="en-US" w:eastAsia="zh-CN" w:bidi="ar"/>
              </w:rPr>
              <w:t>，包括打磨房、抛光房、丝印房、镭雕房、镀膜区、储油房、调漆室、喷漆、固化、烘干。</w:t>
            </w:r>
          </w:p>
        </w:tc>
        <w:tc>
          <w:tcPr>
            <w:tcW w:w="496" w:type="pct"/>
            <w:vMerge w:val="continue"/>
            <w:tcBorders>
              <w:tl2br w:val="nil"/>
              <w:tr2bl w:val="nil"/>
            </w:tcBorders>
            <w:noWrap w:val="0"/>
            <w:vAlign w:val="center"/>
          </w:tcPr>
          <w:p w14:paraId="6B66A164">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eastAsia="zh-CN"/>
              </w:rPr>
            </w:pPr>
          </w:p>
        </w:tc>
      </w:tr>
      <w:tr w14:paraId="046CC4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restart"/>
            <w:tcBorders>
              <w:tl2br w:val="nil"/>
              <w:tr2bl w:val="nil"/>
            </w:tcBorders>
            <w:noWrap w:val="0"/>
            <w:vAlign w:val="center"/>
          </w:tcPr>
          <w:p w14:paraId="162FB594">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辅助工程</w:t>
            </w:r>
          </w:p>
        </w:tc>
        <w:tc>
          <w:tcPr>
            <w:tcW w:w="563" w:type="pct"/>
            <w:tcBorders>
              <w:bottom w:val="single" w:color="auto" w:sz="4" w:space="0"/>
              <w:tl2br w:val="nil"/>
              <w:tr2bl w:val="nil"/>
            </w:tcBorders>
            <w:noWrap w:val="0"/>
            <w:vAlign w:val="center"/>
          </w:tcPr>
          <w:p w14:paraId="28640816">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办公楼</w:t>
            </w:r>
          </w:p>
        </w:tc>
        <w:tc>
          <w:tcPr>
            <w:tcW w:w="3437" w:type="pct"/>
            <w:tcBorders>
              <w:bottom w:val="single" w:color="000000" w:sz="4" w:space="0"/>
              <w:tl2br w:val="nil"/>
              <w:tr2bl w:val="nil"/>
            </w:tcBorders>
            <w:noWrap w:val="0"/>
            <w:vAlign w:val="center"/>
          </w:tcPr>
          <w:p w14:paraId="51859ABC">
            <w:pPr>
              <w:pStyle w:val="42"/>
              <w:keepNext w:val="0"/>
              <w:keepLines w:val="0"/>
              <w:pageBreakBefore w:val="0"/>
              <w:widowControl/>
              <w:kinsoku/>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4层建筑，高度为17m，建筑面积3915.24m</w:t>
            </w:r>
            <w:r>
              <w:rPr>
                <w:rFonts w:hint="eastAsia" w:eastAsia="宋体" w:cs="Times New Roman"/>
                <w:color w:val="auto"/>
                <w:sz w:val="21"/>
                <w:szCs w:val="21"/>
                <w:vertAlign w:val="superscript"/>
                <w:lang w:val="en-US" w:eastAsia="zh-CN"/>
              </w:rPr>
              <w:t>2</w:t>
            </w:r>
            <w:r>
              <w:rPr>
                <w:rFonts w:hint="eastAsia" w:eastAsia="宋体" w:cs="Times New Roman"/>
                <w:color w:val="auto"/>
                <w:sz w:val="21"/>
                <w:szCs w:val="21"/>
                <w:lang w:val="en-US" w:eastAsia="zh-CN"/>
              </w:rPr>
              <w:t>，用于员工办公。</w:t>
            </w:r>
          </w:p>
        </w:tc>
        <w:tc>
          <w:tcPr>
            <w:tcW w:w="496" w:type="pct"/>
            <w:vMerge w:val="continue"/>
            <w:tcBorders>
              <w:tl2br w:val="nil"/>
              <w:tr2bl w:val="nil"/>
            </w:tcBorders>
            <w:noWrap w:val="0"/>
            <w:vAlign w:val="center"/>
          </w:tcPr>
          <w:p w14:paraId="46DE8816">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lang w:eastAsia="zh-CN"/>
              </w:rPr>
            </w:pPr>
          </w:p>
        </w:tc>
      </w:tr>
      <w:tr w14:paraId="64E484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continue"/>
            <w:tcBorders>
              <w:tl2br w:val="nil"/>
              <w:tr2bl w:val="nil"/>
            </w:tcBorders>
            <w:noWrap w:val="0"/>
            <w:vAlign w:val="center"/>
          </w:tcPr>
          <w:p w14:paraId="457AFD1C">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563" w:type="pct"/>
            <w:tcBorders>
              <w:top w:val="single" w:color="auto" w:sz="4" w:space="0"/>
              <w:bottom w:val="single" w:color="auto" w:sz="4" w:space="0"/>
              <w:tl2br w:val="nil"/>
              <w:tr2bl w:val="nil"/>
            </w:tcBorders>
            <w:noWrap w:val="0"/>
            <w:vAlign w:val="center"/>
          </w:tcPr>
          <w:p w14:paraId="742917A4">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宿舍楼</w:t>
            </w:r>
          </w:p>
        </w:tc>
        <w:tc>
          <w:tcPr>
            <w:tcW w:w="3437" w:type="pct"/>
            <w:tcBorders>
              <w:top w:val="single" w:color="000000" w:sz="4" w:space="0"/>
              <w:bottom w:val="single" w:color="000000" w:sz="4" w:space="0"/>
              <w:tl2br w:val="nil"/>
              <w:tr2bl w:val="nil"/>
            </w:tcBorders>
            <w:noWrap w:val="0"/>
            <w:vAlign w:val="center"/>
          </w:tcPr>
          <w:p w14:paraId="62C19C88">
            <w:pPr>
              <w:pStyle w:val="42"/>
              <w:keepNext w:val="0"/>
              <w:keepLines w:val="0"/>
              <w:pageBreakBefore w:val="0"/>
              <w:widowControl/>
              <w:kinsoku/>
              <w:wordWrap/>
              <w:overflowPunct/>
              <w:topLinePunct w:val="0"/>
              <w:autoSpaceDE w:val="0"/>
              <w:autoSpaceDN w:val="0"/>
              <w:bidi w:val="0"/>
              <w:adjustRightInd w:val="0"/>
              <w:snapToGrid w:val="0"/>
              <w:spacing w:line="240" w:lineRule="auto"/>
              <w:ind w:left="0" w:right="0" w:firstLine="432" w:firstLineChars="200"/>
              <w:jc w:val="both"/>
              <w:textAlignment w:val="baseline"/>
              <w:rPr>
                <w:rFonts w:hint="default" w:ascii="Times New Roman" w:hAnsi="Times New Roman" w:eastAsia="宋体" w:cs="Times New Roman"/>
                <w:color w:val="auto"/>
                <w:spacing w:val="3"/>
                <w:sz w:val="21"/>
                <w:szCs w:val="21"/>
                <w:lang w:val="en-US" w:eastAsia="zh-CN"/>
              </w:rPr>
            </w:pPr>
            <w:r>
              <w:rPr>
                <w:rFonts w:hint="eastAsia" w:eastAsia="宋体" w:cs="Times New Roman"/>
                <w:color w:val="auto"/>
                <w:spacing w:val="3"/>
                <w:sz w:val="21"/>
                <w:szCs w:val="21"/>
                <w:lang w:val="en-US" w:eastAsia="zh-CN"/>
              </w:rPr>
              <w:t>4层建筑，</w:t>
            </w:r>
            <w:r>
              <w:rPr>
                <w:rFonts w:hint="eastAsia" w:eastAsia="宋体" w:cs="Times New Roman"/>
                <w:color w:val="auto"/>
                <w:sz w:val="21"/>
                <w:szCs w:val="21"/>
                <w:lang w:val="en-US" w:eastAsia="zh-CN"/>
              </w:rPr>
              <w:t>高度为17m，</w:t>
            </w:r>
            <w:r>
              <w:rPr>
                <w:rFonts w:hint="eastAsia" w:eastAsia="宋体" w:cs="Times New Roman"/>
                <w:color w:val="auto"/>
                <w:spacing w:val="3"/>
                <w:sz w:val="21"/>
                <w:szCs w:val="21"/>
                <w:lang w:val="en-US" w:eastAsia="zh-CN"/>
              </w:rPr>
              <w:t>建筑面积2383m</w:t>
            </w:r>
            <w:r>
              <w:rPr>
                <w:rFonts w:hint="eastAsia" w:eastAsia="宋体" w:cs="Times New Roman"/>
                <w:color w:val="auto"/>
                <w:spacing w:val="3"/>
                <w:sz w:val="21"/>
                <w:szCs w:val="21"/>
                <w:vertAlign w:val="superscript"/>
                <w:lang w:val="en-US" w:eastAsia="zh-CN"/>
              </w:rPr>
              <w:t>2</w:t>
            </w:r>
            <w:r>
              <w:rPr>
                <w:rFonts w:hint="eastAsia" w:eastAsia="宋体" w:cs="Times New Roman"/>
                <w:color w:val="auto"/>
                <w:spacing w:val="3"/>
                <w:sz w:val="21"/>
                <w:szCs w:val="21"/>
                <w:lang w:val="en-US" w:eastAsia="zh-CN"/>
              </w:rPr>
              <w:t>。</w:t>
            </w:r>
          </w:p>
        </w:tc>
        <w:tc>
          <w:tcPr>
            <w:tcW w:w="496" w:type="pct"/>
            <w:vMerge w:val="continue"/>
            <w:tcBorders>
              <w:tl2br w:val="nil"/>
              <w:tr2bl w:val="nil"/>
            </w:tcBorders>
            <w:noWrap w:val="0"/>
            <w:vAlign w:val="center"/>
          </w:tcPr>
          <w:p w14:paraId="00A8B83E">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r>
      <w:tr w14:paraId="3B732CC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continue"/>
            <w:tcBorders>
              <w:tl2br w:val="nil"/>
              <w:tr2bl w:val="nil"/>
            </w:tcBorders>
            <w:noWrap w:val="0"/>
            <w:vAlign w:val="center"/>
          </w:tcPr>
          <w:p w14:paraId="5E749EAB">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563" w:type="pct"/>
            <w:tcBorders>
              <w:top w:val="single" w:color="auto" w:sz="4" w:space="0"/>
              <w:tl2br w:val="nil"/>
              <w:tr2bl w:val="nil"/>
            </w:tcBorders>
            <w:noWrap w:val="0"/>
            <w:vAlign w:val="center"/>
          </w:tcPr>
          <w:p w14:paraId="769A9640">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门卫室</w:t>
            </w:r>
          </w:p>
        </w:tc>
        <w:tc>
          <w:tcPr>
            <w:tcW w:w="3437" w:type="pct"/>
            <w:tcBorders>
              <w:top w:val="single" w:color="000000" w:sz="4" w:space="0"/>
              <w:tl2br w:val="nil"/>
              <w:tr2bl w:val="nil"/>
            </w:tcBorders>
            <w:noWrap w:val="0"/>
            <w:vAlign w:val="center"/>
          </w:tcPr>
          <w:p w14:paraId="393BC776">
            <w:pPr>
              <w:pStyle w:val="42"/>
              <w:keepNext w:val="0"/>
              <w:keepLines w:val="0"/>
              <w:pageBreakBefore w:val="0"/>
              <w:widowControl/>
              <w:kinsoku/>
              <w:wordWrap/>
              <w:overflowPunct/>
              <w:topLinePunct w:val="0"/>
              <w:autoSpaceDE w:val="0"/>
              <w:autoSpaceDN w:val="0"/>
              <w:bidi w:val="0"/>
              <w:adjustRightInd w:val="0"/>
              <w:snapToGrid w:val="0"/>
              <w:spacing w:line="240" w:lineRule="auto"/>
              <w:ind w:left="0" w:right="0" w:firstLine="432" w:firstLineChars="200"/>
              <w:jc w:val="both"/>
              <w:textAlignment w:val="baseline"/>
              <w:rPr>
                <w:rFonts w:hint="default" w:ascii="Times New Roman" w:hAnsi="Times New Roman" w:eastAsia="宋体" w:cs="Times New Roman"/>
                <w:color w:val="auto"/>
                <w:spacing w:val="3"/>
                <w:sz w:val="21"/>
                <w:szCs w:val="21"/>
                <w:lang w:val="en-US" w:eastAsia="zh-CN"/>
              </w:rPr>
            </w:pPr>
            <w:r>
              <w:rPr>
                <w:rFonts w:hint="eastAsia" w:eastAsia="宋体" w:cs="Times New Roman"/>
                <w:color w:val="auto"/>
                <w:spacing w:val="3"/>
                <w:sz w:val="21"/>
                <w:szCs w:val="21"/>
                <w:lang w:val="en-US" w:eastAsia="zh-CN"/>
              </w:rPr>
              <w:t>单层建筑，</w:t>
            </w:r>
            <w:r>
              <w:rPr>
                <w:rFonts w:hint="eastAsia" w:eastAsia="宋体" w:cs="Times New Roman"/>
                <w:color w:val="auto"/>
                <w:sz w:val="21"/>
                <w:szCs w:val="21"/>
                <w:lang w:val="en-US" w:eastAsia="zh-CN"/>
              </w:rPr>
              <w:t>高度为3m，</w:t>
            </w:r>
            <w:r>
              <w:rPr>
                <w:rFonts w:hint="eastAsia" w:eastAsia="宋体" w:cs="Times New Roman"/>
                <w:color w:val="auto"/>
                <w:spacing w:val="3"/>
                <w:sz w:val="21"/>
                <w:szCs w:val="21"/>
                <w:lang w:val="en-US" w:eastAsia="zh-CN"/>
              </w:rPr>
              <w:t>建筑面积100m</w:t>
            </w:r>
            <w:r>
              <w:rPr>
                <w:rFonts w:hint="eastAsia" w:eastAsia="宋体" w:cs="Times New Roman"/>
                <w:color w:val="auto"/>
                <w:spacing w:val="3"/>
                <w:sz w:val="21"/>
                <w:szCs w:val="21"/>
                <w:vertAlign w:val="superscript"/>
                <w:lang w:val="en-US" w:eastAsia="zh-CN"/>
              </w:rPr>
              <w:t>2</w:t>
            </w:r>
            <w:r>
              <w:rPr>
                <w:rFonts w:hint="eastAsia" w:eastAsia="宋体" w:cs="Times New Roman"/>
                <w:color w:val="auto"/>
                <w:spacing w:val="3"/>
                <w:sz w:val="21"/>
                <w:szCs w:val="21"/>
                <w:vertAlign w:val="baseline"/>
                <w:lang w:val="en-US" w:eastAsia="zh-CN"/>
              </w:rPr>
              <w:t>。</w:t>
            </w:r>
          </w:p>
        </w:tc>
        <w:tc>
          <w:tcPr>
            <w:tcW w:w="496" w:type="pct"/>
            <w:vMerge w:val="continue"/>
            <w:tcBorders>
              <w:tl2br w:val="nil"/>
              <w:tr2bl w:val="nil"/>
            </w:tcBorders>
            <w:noWrap w:val="0"/>
            <w:vAlign w:val="center"/>
          </w:tcPr>
          <w:p w14:paraId="78D9C4E9">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rPr>
            </w:pPr>
          </w:p>
        </w:tc>
      </w:tr>
      <w:tr w14:paraId="0C32CB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tcBorders>
              <w:tl2br w:val="nil"/>
              <w:tr2bl w:val="nil"/>
            </w:tcBorders>
            <w:noWrap w:val="0"/>
            <w:vAlign w:val="center"/>
          </w:tcPr>
          <w:p w14:paraId="3C659830">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1"/>
                <w:sz w:val="21"/>
                <w:szCs w:val="21"/>
                <w:lang w:val="en-US" w:eastAsia="zh-CN"/>
              </w:rPr>
            </w:pPr>
            <w:r>
              <w:rPr>
                <w:rFonts w:hint="eastAsia" w:eastAsia="宋体" w:cs="Times New Roman"/>
                <w:color w:val="auto"/>
                <w:spacing w:val="1"/>
                <w:sz w:val="21"/>
                <w:szCs w:val="21"/>
                <w:lang w:val="en-US" w:eastAsia="zh-CN"/>
              </w:rPr>
              <w:t>储运工程</w:t>
            </w:r>
          </w:p>
        </w:tc>
        <w:tc>
          <w:tcPr>
            <w:tcW w:w="563" w:type="pct"/>
            <w:tcBorders>
              <w:tl2br w:val="nil"/>
              <w:tr2bl w:val="nil"/>
            </w:tcBorders>
            <w:noWrap w:val="0"/>
            <w:vAlign w:val="center"/>
          </w:tcPr>
          <w:p w14:paraId="7C374BE1">
            <w:pPr>
              <w:pStyle w:val="37"/>
              <w:bidi w:val="0"/>
              <w:ind w:firstLine="0" w:firstLineChars="0"/>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危险废物贮存库</w:t>
            </w:r>
          </w:p>
        </w:tc>
        <w:tc>
          <w:tcPr>
            <w:tcW w:w="3437" w:type="pct"/>
            <w:tcBorders>
              <w:tl2br w:val="nil"/>
              <w:tr2bl w:val="nil"/>
            </w:tcBorders>
            <w:noWrap w:val="0"/>
            <w:vAlign w:val="center"/>
          </w:tcPr>
          <w:p w14:paraId="7478E8A8">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32" w:firstLineChars="200"/>
              <w:jc w:val="both"/>
              <w:textAlignment w:val="baseline"/>
              <w:rPr>
                <w:color w:val="auto"/>
                <w:sz w:val="21"/>
                <w:szCs w:val="21"/>
                <w:highlight w:val="none"/>
              </w:rPr>
            </w:pPr>
            <w:r>
              <w:rPr>
                <w:rFonts w:hint="eastAsia" w:eastAsia="宋体" w:cs="Times New Roman"/>
                <w:color w:val="auto"/>
                <w:spacing w:val="3"/>
                <w:sz w:val="21"/>
                <w:szCs w:val="21"/>
                <w:lang w:val="en-US" w:eastAsia="zh-CN"/>
              </w:rPr>
              <w:t>位于厂区东北侧，单层建筑，</w:t>
            </w:r>
            <w:r>
              <w:rPr>
                <w:rFonts w:hint="eastAsia" w:eastAsia="宋体" w:cs="Times New Roman"/>
                <w:color w:val="auto"/>
                <w:sz w:val="21"/>
                <w:szCs w:val="21"/>
                <w:lang w:val="en-US" w:eastAsia="zh-CN"/>
              </w:rPr>
              <w:t>高度为3m，</w:t>
            </w:r>
            <w:r>
              <w:rPr>
                <w:rFonts w:hint="eastAsia" w:eastAsia="宋体" w:cs="Times New Roman"/>
                <w:color w:val="auto"/>
                <w:spacing w:val="3"/>
                <w:sz w:val="21"/>
                <w:szCs w:val="21"/>
                <w:lang w:val="en-US" w:eastAsia="zh-CN"/>
              </w:rPr>
              <w:t>建筑面积200m</w:t>
            </w:r>
            <w:r>
              <w:rPr>
                <w:rFonts w:hint="eastAsia" w:eastAsia="宋体" w:cs="Times New Roman"/>
                <w:color w:val="auto"/>
                <w:spacing w:val="3"/>
                <w:sz w:val="21"/>
                <w:szCs w:val="21"/>
                <w:vertAlign w:val="superscript"/>
                <w:lang w:val="en-US" w:eastAsia="zh-CN"/>
              </w:rPr>
              <w:t>2</w:t>
            </w:r>
            <w:r>
              <w:rPr>
                <w:rFonts w:hint="eastAsia" w:eastAsia="宋体" w:cs="Times New Roman"/>
                <w:color w:val="auto"/>
                <w:spacing w:val="3"/>
                <w:sz w:val="21"/>
                <w:szCs w:val="21"/>
                <w:lang w:val="en-US" w:eastAsia="zh-CN"/>
              </w:rPr>
              <w:t>，储存生产过程中产生的危险废物，日常存储危险废物不超过10吨，危险废物贮存库采取基础防渗，防渗层为至少1m厚粘土层（渗透系≤10</w:t>
            </w:r>
            <w:r>
              <w:rPr>
                <w:rFonts w:hint="eastAsia" w:eastAsia="宋体" w:cs="Times New Roman"/>
                <w:color w:val="auto"/>
                <w:spacing w:val="3"/>
                <w:sz w:val="21"/>
                <w:szCs w:val="21"/>
                <w:vertAlign w:val="superscript"/>
                <w:lang w:val="en-US" w:eastAsia="zh-CN"/>
              </w:rPr>
              <w:t>-7</w:t>
            </w:r>
            <w:r>
              <w:rPr>
                <w:rFonts w:hint="eastAsia" w:eastAsia="宋体" w:cs="Times New Roman"/>
                <w:color w:val="auto"/>
                <w:spacing w:val="3"/>
                <w:sz w:val="21"/>
                <w:szCs w:val="21"/>
                <w:lang w:val="en-US" w:eastAsia="zh-CN"/>
              </w:rPr>
              <w:t>cm/s），或2mm厚高密度聚乙烯，或至少2mm厚的其它人工材料，渗透系数≤10</w:t>
            </w:r>
            <w:r>
              <w:rPr>
                <w:rFonts w:hint="eastAsia" w:eastAsia="宋体" w:cs="Times New Roman"/>
                <w:color w:val="auto"/>
                <w:spacing w:val="3"/>
                <w:sz w:val="21"/>
                <w:szCs w:val="21"/>
                <w:vertAlign w:val="superscript"/>
                <w:lang w:val="en-US" w:eastAsia="zh-CN"/>
              </w:rPr>
              <w:t>-10</w:t>
            </w:r>
            <w:r>
              <w:rPr>
                <w:rFonts w:hint="eastAsia" w:eastAsia="宋体" w:cs="Times New Roman"/>
                <w:color w:val="auto"/>
                <w:spacing w:val="3"/>
                <w:sz w:val="21"/>
                <w:szCs w:val="21"/>
                <w:lang w:val="en-US" w:eastAsia="zh-CN"/>
              </w:rPr>
              <w:t>cm/s，满足《危险废物贮存污染控制标准》（GB18597-2023）要求。</w:t>
            </w:r>
          </w:p>
        </w:tc>
        <w:tc>
          <w:tcPr>
            <w:tcW w:w="496" w:type="pct"/>
            <w:vMerge w:val="continue"/>
            <w:tcBorders>
              <w:tl2br w:val="nil"/>
              <w:tr2bl w:val="nil"/>
            </w:tcBorders>
            <w:noWrap w:val="0"/>
            <w:vAlign w:val="center"/>
          </w:tcPr>
          <w:p w14:paraId="024F5F62">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eastAsia="宋体" w:cs="Times New Roman"/>
                <w:color w:val="FF0000"/>
                <w:spacing w:val="3"/>
                <w:sz w:val="21"/>
                <w:szCs w:val="21"/>
                <w:lang w:val="en-US" w:eastAsia="zh-CN"/>
              </w:rPr>
            </w:pPr>
          </w:p>
        </w:tc>
      </w:tr>
      <w:tr w14:paraId="502739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restart"/>
            <w:tcBorders>
              <w:tl2br w:val="nil"/>
              <w:tr2bl w:val="nil"/>
            </w:tcBorders>
            <w:noWrap w:val="0"/>
            <w:vAlign w:val="center"/>
          </w:tcPr>
          <w:p w14:paraId="678E90AB">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公用</w:t>
            </w:r>
            <w:r>
              <w:rPr>
                <w:rFonts w:hint="default" w:ascii="Times New Roman" w:hAnsi="Times New Roman" w:eastAsia="宋体" w:cs="Times New Roman"/>
                <w:color w:val="auto"/>
                <w:spacing w:val="3"/>
                <w:sz w:val="21"/>
                <w:szCs w:val="21"/>
              </w:rPr>
              <w:t>工程</w:t>
            </w:r>
          </w:p>
        </w:tc>
        <w:tc>
          <w:tcPr>
            <w:tcW w:w="563" w:type="pct"/>
            <w:tcBorders>
              <w:tl2br w:val="nil"/>
              <w:tr2bl w:val="nil"/>
            </w:tcBorders>
            <w:noWrap w:val="0"/>
            <w:vAlign w:val="center"/>
          </w:tcPr>
          <w:p w14:paraId="1754979C">
            <w:pPr>
              <w:pStyle w:val="37"/>
              <w:bidi w:val="0"/>
              <w:ind w:firstLine="0" w:firstLineChars="0"/>
              <w:rPr>
                <w:rFonts w:hint="default" w:ascii="Times New Roman" w:hAnsi="Times New Roman" w:eastAsia="宋体" w:cs="Times New Roman"/>
                <w:color w:val="auto"/>
                <w:sz w:val="21"/>
                <w:szCs w:val="21"/>
              </w:rPr>
            </w:pPr>
            <w:r>
              <w:rPr>
                <w:color w:val="auto"/>
                <w:sz w:val="21"/>
                <w:szCs w:val="21"/>
                <w:highlight w:val="none"/>
              </w:rPr>
              <w:t>供水</w:t>
            </w:r>
          </w:p>
        </w:tc>
        <w:tc>
          <w:tcPr>
            <w:tcW w:w="3437" w:type="pct"/>
            <w:tcBorders>
              <w:tl2br w:val="nil"/>
              <w:tr2bl w:val="nil"/>
            </w:tcBorders>
            <w:noWrap w:val="0"/>
            <w:vAlign w:val="center"/>
          </w:tcPr>
          <w:p w14:paraId="7A297B66">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rPr>
            </w:pPr>
            <w:r>
              <w:rPr>
                <w:rFonts w:hint="eastAsia" w:eastAsia="宋体"/>
                <w:color w:val="auto"/>
                <w:sz w:val="21"/>
                <w:szCs w:val="21"/>
                <w:highlight w:val="none"/>
                <w:lang w:val="en-US" w:eastAsia="zh-CN"/>
              </w:rPr>
              <w:t>由</w:t>
            </w:r>
            <w:r>
              <w:rPr>
                <w:color w:val="auto"/>
                <w:sz w:val="21"/>
                <w:szCs w:val="21"/>
                <w:highlight w:val="none"/>
              </w:rPr>
              <w:t>市政供水管网</w:t>
            </w:r>
            <w:r>
              <w:rPr>
                <w:rFonts w:hint="eastAsia" w:eastAsia="宋体"/>
                <w:color w:val="auto"/>
                <w:sz w:val="21"/>
                <w:szCs w:val="21"/>
                <w:highlight w:val="none"/>
                <w:lang w:val="en-US" w:eastAsia="zh-CN"/>
              </w:rPr>
              <w:t>提供。</w:t>
            </w:r>
          </w:p>
        </w:tc>
        <w:tc>
          <w:tcPr>
            <w:tcW w:w="496" w:type="pct"/>
            <w:tcBorders>
              <w:tl2br w:val="nil"/>
              <w:tr2bl w:val="nil"/>
            </w:tcBorders>
            <w:noWrap w:val="0"/>
            <w:vAlign w:val="center"/>
          </w:tcPr>
          <w:p w14:paraId="5EDBF812">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lang w:val="en-US" w:eastAsia="zh-CN"/>
              </w:rPr>
            </w:pPr>
            <w:r>
              <w:rPr>
                <w:rFonts w:hint="eastAsia" w:eastAsia="宋体" w:cs="Times New Roman"/>
                <w:color w:val="auto"/>
                <w:spacing w:val="3"/>
                <w:sz w:val="21"/>
                <w:szCs w:val="21"/>
                <w:lang w:val="en-US" w:eastAsia="zh-CN"/>
              </w:rPr>
              <w:t>依托</w:t>
            </w:r>
          </w:p>
        </w:tc>
      </w:tr>
      <w:tr w14:paraId="4465D1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continue"/>
            <w:tcBorders>
              <w:tl2br w:val="nil"/>
              <w:tr2bl w:val="nil"/>
            </w:tcBorders>
            <w:noWrap w:val="0"/>
            <w:vAlign w:val="center"/>
          </w:tcPr>
          <w:p w14:paraId="27CBE9DA">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1"/>
                <w:sz w:val="21"/>
                <w:szCs w:val="21"/>
              </w:rPr>
            </w:pPr>
          </w:p>
        </w:tc>
        <w:tc>
          <w:tcPr>
            <w:tcW w:w="563" w:type="pct"/>
            <w:tcBorders>
              <w:tl2br w:val="nil"/>
              <w:tr2bl w:val="nil"/>
            </w:tcBorders>
            <w:noWrap w:val="0"/>
            <w:vAlign w:val="center"/>
          </w:tcPr>
          <w:p w14:paraId="6E4017C3">
            <w:pPr>
              <w:pStyle w:val="37"/>
              <w:bidi w:val="0"/>
              <w:ind w:firstLine="0" w:firstLineChars="0"/>
              <w:rPr>
                <w:rFonts w:hint="default" w:ascii="Times New Roman" w:hAnsi="Times New Roman" w:eastAsia="宋体" w:cs="Times New Roman"/>
                <w:color w:val="FF0000"/>
                <w:spacing w:val="7"/>
                <w:sz w:val="21"/>
                <w:szCs w:val="21"/>
              </w:rPr>
            </w:pPr>
            <w:r>
              <w:rPr>
                <w:color w:val="000000" w:themeColor="text1"/>
                <w:sz w:val="21"/>
                <w:szCs w:val="21"/>
                <w:highlight w:val="none"/>
                <w14:textFill>
                  <w14:solidFill>
                    <w14:schemeClr w14:val="tx1"/>
                  </w14:solidFill>
                </w14:textFill>
              </w:rPr>
              <w:t>排水</w:t>
            </w:r>
          </w:p>
        </w:tc>
        <w:tc>
          <w:tcPr>
            <w:tcW w:w="3437" w:type="pct"/>
            <w:tcBorders>
              <w:tl2br w:val="nil"/>
              <w:tr2bl w:val="nil"/>
            </w:tcBorders>
            <w:noWrap w:val="0"/>
            <w:vAlign w:val="center"/>
          </w:tcPr>
          <w:p w14:paraId="469A8F43">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FF0000"/>
                <w:sz w:val="21"/>
                <w:szCs w:val="21"/>
                <w:lang w:val="en-US"/>
              </w:rPr>
            </w:pPr>
            <w:r>
              <w:rPr>
                <w:rFonts w:hint="default" w:ascii="Times New Roman" w:hAnsi="Times New Roman" w:eastAsia="宋体" w:cs="Times New Roman"/>
                <w:color w:val="auto"/>
                <w:sz w:val="21"/>
                <w:szCs w:val="21"/>
                <w:lang w:val="en-US" w:eastAsia="zh-CN"/>
              </w:rPr>
              <w:t>生活污水</w:t>
            </w:r>
            <w:r>
              <w:rPr>
                <w:rFonts w:hint="eastAsia" w:eastAsia="宋体" w:cs="Times New Roman"/>
                <w:color w:val="auto"/>
                <w:sz w:val="21"/>
                <w:szCs w:val="21"/>
                <w:lang w:val="en-US" w:eastAsia="zh-CN"/>
              </w:rPr>
              <w:t>与冷却塔循环冷却废水</w:t>
            </w:r>
            <w:r>
              <w:rPr>
                <w:rFonts w:hint="default" w:ascii="Times New Roman" w:hAnsi="Times New Roman" w:eastAsia="宋体" w:cs="Times New Roman"/>
                <w:color w:val="auto"/>
                <w:sz w:val="21"/>
                <w:szCs w:val="21"/>
                <w:lang w:val="en-US" w:eastAsia="zh-CN"/>
              </w:rPr>
              <w:t>排入市政污水管网，由污水管网排入牛家满族镇污水处理厂。</w:t>
            </w:r>
          </w:p>
        </w:tc>
        <w:tc>
          <w:tcPr>
            <w:tcW w:w="496" w:type="pct"/>
            <w:tcBorders>
              <w:tl2br w:val="nil"/>
              <w:tr2bl w:val="nil"/>
            </w:tcBorders>
            <w:noWrap w:val="0"/>
            <w:vAlign w:val="center"/>
          </w:tcPr>
          <w:p w14:paraId="2F5ABB1C">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3"/>
                <w:sz w:val="21"/>
                <w:szCs w:val="21"/>
                <w:lang w:val="en-US" w:eastAsia="zh-CN"/>
              </w:rPr>
            </w:pPr>
            <w:r>
              <w:rPr>
                <w:rFonts w:hint="eastAsia" w:eastAsia="宋体" w:cs="Times New Roman"/>
                <w:color w:val="auto"/>
                <w:spacing w:val="3"/>
                <w:sz w:val="21"/>
                <w:szCs w:val="21"/>
                <w:lang w:val="en-US" w:eastAsia="zh-CN"/>
              </w:rPr>
              <w:t>依托</w:t>
            </w:r>
          </w:p>
        </w:tc>
      </w:tr>
      <w:tr w14:paraId="11EABD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continue"/>
            <w:tcBorders>
              <w:tl2br w:val="nil"/>
              <w:tr2bl w:val="nil"/>
            </w:tcBorders>
            <w:noWrap w:val="0"/>
            <w:vAlign w:val="center"/>
          </w:tcPr>
          <w:p w14:paraId="1EE6F98F">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1"/>
                <w:sz w:val="21"/>
                <w:szCs w:val="21"/>
              </w:rPr>
            </w:pPr>
          </w:p>
        </w:tc>
        <w:tc>
          <w:tcPr>
            <w:tcW w:w="563" w:type="pct"/>
            <w:tcBorders>
              <w:tl2br w:val="nil"/>
              <w:tr2bl w:val="nil"/>
            </w:tcBorders>
            <w:noWrap w:val="0"/>
            <w:vAlign w:val="center"/>
          </w:tcPr>
          <w:p w14:paraId="6BBE81F7">
            <w:pPr>
              <w:pStyle w:val="37"/>
              <w:bidi w:val="0"/>
              <w:ind w:firstLine="0" w:firstLineChars="0"/>
              <w:rPr>
                <w:rFonts w:hint="default" w:ascii="Times New Roman" w:hAnsi="Times New Roman" w:eastAsia="宋体" w:cs="Times New Roman"/>
                <w:color w:val="auto"/>
                <w:spacing w:val="7"/>
                <w:sz w:val="21"/>
                <w:szCs w:val="21"/>
              </w:rPr>
            </w:pPr>
            <w:r>
              <w:rPr>
                <w:color w:val="auto"/>
                <w:sz w:val="21"/>
                <w:szCs w:val="21"/>
                <w:highlight w:val="none"/>
              </w:rPr>
              <w:t>供电</w:t>
            </w:r>
          </w:p>
        </w:tc>
        <w:tc>
          <w:tcPr>
            <w:tcW w:w="3437" w:type="pct"/>
            <w:tcBorders>
              <w:tl2br w:val="nil"/>
              <w:tr2bl w:val="nil"/>
            </w:tcBorders>
            <w:noWrap w:val="0"/>
            <w:vAlign w:val="center"/>
          </w:tcPr>
          <w:p w14:paraId="19B7C4A3">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由市政电网供电。</w:t>
            </w:r>
          </w:p>
        </w:tc>
        <w:tc>
          <w:tcPr>
            <w:tcW w:w="496" w:type="pct"/>
            <w:tcBorders>
              <w:tl2br w:val="nil"/>
              <w:tr2bl w:val="nil"/>
            </w:tcBorders>
            <w:noWrap w:val="0"/>
            <w:vAlign w:val="center"/>
          </w:tcPr>
          <w:p w14:paraId="104BD841">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lang w:val="en-US" w:eastAsia="zh-CN"/>
              </w:rPr>
            </w:pPr>
            <w:r>
              <w:rPr>
                <w:rFonts w:hint="eastAsia" w:eastAsia="宋体" w:cs="Times New Roman"/>
                <w:color w:val="auto"/>
                <w:spacing w:val="3"/>
                <w:sz w:val="21"/>
                <w:szCs w:val="21"/>
                <w:lang w:val="en-US" w:eastAsia="zh-CN"/>
              </w:rPr>
              <w:t>依托</w:t>
            </w:r>
          </w:p>
        </w:tc>
      </w:tr>
      <w:tr w14:paraId="1E48EF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continue"/>
            <w:tcBorders>
              <w:tl2br w:val="nil"/>
              <w:tr2bl w:val="nil"/>
            </w:tcBorders>
            <w:noWrap w:val="0"/>
            <w:vAlign w:val="center"/>
          </w:tcPr>
          <w:p w14:paraId="03F9A16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z w:val="21"/>
                <w:szCs w:val="21"/>
              </w:rPr>
            </w:pPr>
          </w:p>
        </w:tc>
        <w:tc>
          <w:tcPr>
            <w:tcW w:w="563" w:type="pct"/>
            <w:tcBorders>
              <w:tl2br w:val="nil"/>
              <w:tr2bl w:val="nil"/>
            </w:tcBorders>
            <w:noWrap w:val="0"/>
            <w:vAlign w:val="center"/>
          </w:tcPr>
          <w:p w14:paraId="13EB0E36">
            <w:pPr>
              <w:pStyle w:val="37"/>
              <w:bidi w:val="0"/>
              <w:ind w:firstLine="0" w:firstLineChars="0"/>
              <w:rPr>
                <w:rFonts w:hint="default" w:ascii="Times New Roman" w:hAnsi="Times New Roman" w:eastAsia="宋体" w:cs="Times New Roman"/>
                <w:color w:val="auto"/>
                <w:sz w:val="21"/>
                <w:szCs w:val="21"/>
              </w:rPr>
            </w:pPr>
            <w:r>
              <w:rPr>
                <w:color w:val="auto"/>
                <w:sz w:val="21"/>
                <w:szCs w:val="21"/>
                <w:highlight w:val="none"/>
              </w:rPr>
              <w:t>供</w:t>
            </w:r>
            <w:r>
              <w:rPr>
                <w:rFonts w:hint="eastAsia"/>
                <w:color w:val="auto"/>
                <w:sz w:val="21"/>
                <w:szCs w:val="21"/>
                <w:highlight w:val="none"/>
                <w:lang w:val="en-US" w:eastAsia="zh-CN"/>
              </w:rPr>
              <w:t>热</w:t>
            </w:r>
          </w:p>
        </w:tc>
        <w:tc>
          <w:tcPr>
            <w:tcW w:w="3437" w:type="pct"/>
            <w:tcBorders>
              <w:tl2br w:val="nil"/>
              <w:tr2bl w:val="nil"/>
            </w:tcBorders>
            <w:noWrap w:val="0"/>
            <w:vAlign w:val="center"/>
          </w:tcPr>
          <w:p w14:paraId="2273CFB6">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生产</w:t>
            </w:r>
            <w:r>
              <w:rPr>
                <w:rFonts w:hint="default" w:ascii="Times New Roman" w:hAnsi="Times New Roman" w:eastAsia="宋体" w:cs="Times New Roman"/>
                <w:color w:val="auto"/>
                <w:sz w:val="21"/>
                <w:szCs w:val="21"/>
                <w:lang w:val="en-US" w:eastAsia="zh-CN"/>
              </w:rPr>
              <w:t>加热来自电</w:t>
            </w:r>
            <w:r>
              <w:rPr>
                <w:rFonts w:hint="eastAsia" w:eastAsia="宋体" w:cs="Times New Roman"/>
                <w:color w:val="auto"/>
                <w:sz w:val="21"/>
                <w:szCs w:val="21"/>
                <w:lang w:val="en-US" w:eastAsia="zh-CN"/>
              </w:rPr>
              <w:t>及天然气</w:t>
            </w:r>
            <w:r>
              <w:rPr>
                <w:rFonts w:hint="default" w:ascii="Times New Roman" w:hAnsi="Times New Roman" w:eastAsia="宋体" w:cs="Times New Roman"/>
                <w:color w:val="auto"/>
                <w:sz w:val="21"/>
                <w:szCs w:val="21"/>
                <w:lang w:val="en-US" w:eastAsia="zh-CN"/>
              </w:rPr>
              <w:t>加热</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天然气由市政天然气管道供给，</w:t>
            </w:r>
            <w:r>
              <w:rPr>
                <w:rFonts w:hint="default" w:ascii="Times New Roman" w:hAnsi="Times New Roman" w:eastAsia="宋体" w:cs="Times New Roman"/>
                <w:color w:val="auto"/>
                <w:sz w:val="21"/>
                <w:szCs w:val="21"/>
              </w:rPr>
              <w:t>冬季供暖</w:t>
            </w:r>
            <w:r>
              <w:rPr>
                <w:rFonts w:hint="default" w:ascii="Times New Roman" w:hAnsi="Times New Roman" w:eastAsia="宋体" w:cs="Times New Roman"/>
                <w:color w:val="auto"/>
                <w:sz w:val="21"/>
                <w:szCs w:val="21"/>
                <w:lang w:val="en-US" w:eastAsia="zh-CN"/>
              </w:rPr>
              <w:t>采用</w:t>
            </w:r>
            <w:r>
              <w:rPr>
                <w:rFonts w:hint="eastAsia" w:eastAsia="宋体" w:cs="Times New Roman"/>
                <w:color w:val="auto"/>
                <w:sz w:val="21"/>
                <w:szCs w:val="21"/>
                <w:lang w:val="en-US" w:eastAsia="zh-CN"/>
              </w:rPr>
              <w:t>电暖气</w:t>
            </w:r>
            <w:r>
              <w:rPr>
                <w:rFonts w:hint="default" w:ascii="Times New Roman" w:hAnsi="Times New Roman" w:eastAsia="宋体" w:cs="Times New Roman"/>
                <w:color w:val="auto"/>
                <w:sz w:val="21"/>
                <w:szCs w:val="21"/>
                <w:lang w:val="en-US" w:eastAsia="zh-CN"/>
              </w:rPr>
              <w:t>供热</w:t>
            </w:r>
            <w:r>
              <w:rPr>
                <w:rFonts w:hint="eastAsia" w:eastAsia="宋体" w:cs="Times New Roman"/>
                <w:color w:val="auto"/>
                <w:sz w:val="21"/>
                <w:szCs w:val="21"/>
                <w:lang w:val="en-US" w:eastAsia="zh-CN"/>
              </w:rPr>
              <w:t>。</w:t>
            </w:r>
          </w:p>
        </w:tc>
        <w:tc>
          <w:tcPr>
            <w:tcW w:w="496" w:type="pct"/>
            <w:tcBorders>
              <w:tl2br w:val="nil"/>
              <w:tr2bl w:val="nil"/>
            </w:tcBorders>
            <w:noWrap w:val="0"/>
            <w:vAlign w:val="center"/>
          </w:tcPr>
          <w:p w14:paraId="7770A30D">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lang w:val="en-US" w:eastAsia="zh-CN"/>
              </w:rPr>
            </w:pPr>
            <w:r>
              <w:rPr>
                <w:rFonts w:hint="eastAsia" w:eastAsia="宋体" w:cs="Times New Roman"/>
                <w:color w:val="auto"/>
                <w:spacing w:val="3"/>
                <w:sz w:val="21"/>
                <w:szCs w:val="21"/>
                <w:lang w:val="en-US" w:eastAsia="zh-CN"/>
              </w:rPr>
              <w:t>新建</w:t>
            </w:r>
          </w:p>
        </w:tc>
      </w:tr>
      <w:tr w14:paraId="57DC9A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03" w:type="pct"/>
            <w:vMerge w:val="continue"/>
            <w:tcBorders>
              <w:tl2br w:val="nil"/>
              <w:tr2bl w:val="nil"/>
            </w:tcBorders>
            <w:noWrap w:val="0"/>
            <w:vAlign w:val="center"/>
          </w:tcPr>
          <w:p w14:paraId="5DABF6B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z w:val="21"/>
                <w:szCs w:val="21"/>
              </w:rPr>
            </w:pPr>
          </w:p>
        </w:tc>
        <w:tc>
          <w:tcPr>
            <w:tcW w:w="563" w:type="pct"/>
            <w:tcBorders>
              <w:tl2br w:val="nil"/>
              <w:tr2bl w:val="nil"/>
            </w:tcBorders>
            <w:noWrap w:val="0"/>
            <w:vAlign w:val="center"/>
          </w:tcPr>
          <w:p w14:paraId="421DECEC">
            <w:pPr>
              <w:pStyle w:val="37"/>
              <w:bidi w:val="0"/>
              <w:ind w:firstLine="0" w:firstLineChars="0"/>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供气</w:t>
            </w:r>
          </w:p>
        </w:tc>
        <w:tc>
          <w:tcPr>
            <w:tcW w:w="3437" w:type="pct"/>
            <w:tcBorders>
              <w:tl2br w:val="nil"/>
              <w:tr2bl w:val="nil"/>
            </w:tcBorders>
            <w:noWrap w:val="0"/>
            <w:vAlign w:val="center"/>
          </w:tcPr>
          <w:p w14:paraId="17485B59">
            <w:pPr>
              <w:pStyle w:val="42"/>
              <w:keepNext w:val="0"/>
              <w:keepLines w:val="0"/>
              <w:pageBreakBefore w:val="0"/>
              <w:widowControl/>
              <w:kinsoku w:val="0"/>
              <w:wordWrap/>
              <w:overflowPunct/>
              <w:topLinePunct w:val="0"/>
              <w:autoSpaceDE w:val="0"/>
              <w:autoSpaceDN w:val="0"/>
              <w:bidi w:val="0"/>
              <w:adjustRightInd w:val="0"/>
              <w:snapToGrid w:val="0"/>
              <w:spacing w:line="240" w:lineRule="auto"/>
              <w:ind w:right="0"/>
              <w:jc w:val="both"/>
              <w:textAlignment w:val="baseline"/>
              <w:rPr>
                <w:rFonts w:hint="default" w:ascii="Times New Roman" w:hAnsi="Times New Roman" w:eastAsia="宋体" w:cs="Times New Roman"/>
                <w:color w:val="auto"/>
                <w:sz w:val="21"/>
                <w:szCs w:val="21"/>
              </w:rPr>
            </w:pPr>
            <w:r>
              <w:rPr>
                <w:rFonts w:hint="eastAsia"/>
                <w:color w:val="auto"/>
                <w:sz w:val="21"/>
                <w:szCs w:val="21"/>
                <w:highlight w:val="none"/>
                <w:lang w:val="en-US" w:eastAsia="zh-CN"/>
              </w:rPr>
              <w:t>依托市政燃气管道，不新建管道，不在厂区设置燃气储罐。</w:t>
            </w:r>
          </w:p>
        </w:tc>
        <w:tc>
          <w:tcPr>
            <w:tcW w:w="496" w:type="pct"/>
            <w:tcBorders>
              <w:tl2br w:val="nil"/>
              <w:tr2bl w:val="nil"/>
            </w:tcBorders>
            <w:noWrap w:val="0"/>
            <w:vAlign w:val="center"/>
          </w:tcPr>
          <w:p w14:paraId="7A965E91">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eastAsia="宋体" w:cs="Times New Roman"/>
                <w:color w:val="auto"/>
                <w:spacing w:val="3"/>
                <w:sz w:val="21"/>
                <w:szCs w:val="21"/>
                <w:lang w:val="en-US" w:eastAsia="zh-CN"/>
              </w:rPr>
            </w:pPr>
            <w:r>
              <w:rPr>
                <w:rFonts w:hint="eastAsia" w:eastAsia="宋体" w:cs="Times New Roman"/>
                <w:color w:val="auto"/>
                <w:spacing w:val="3"/>
                <w:sz w:val="21"/>
                <w:szCs w:val="21"/>
                <w:lang w:val="en-US" w:eastAsia="zh-CN"/>
              </w:rPr>
              <w:t>依托</w:t>
            </w:r>
          </w:p>
        </w:tc>
      </w:tr>
      <w:tr w14:paraId="08DED4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restart"/>
            <w:tcBorders>
              <w:tl2br w:val="nil"/>
              <w:tr2bl w:val="nil"/>
            </w:tcBorders>
            <w:noWrap w:val="0"/>
            <w:vAlign w:val="center"/>
          </w:tcPr>
          <w:p w14:paraId="28C0A9B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环保</w:t>
            </w:r>
            <w:r>
              <w:rPr>
                <w:rFonts w:hint="default" w:ascii="Times New Roman" w:hAnsi="Times New Roman" w:eastAsia="宋体" w:cs="Times New Roman"/>
                <w:color w:val="auto"/>
                <w:spacing w:val="3"/>
                <w:sz w:val="21"/>
                <w:szCs w:val="21"/>
              </w:rPr>
              <w:t>工程</w:t>
            </w:r>
          </w:p>
        </w:tc>
        <w:tc>
          <w:tcPr>
            <w:tcW w:w="563" w:type="pct"/>
            <w:vMerge w:val="restart"/>
            <w:tcBorders>
              <w:tl2br w:val="nil"/>
              <w:tr2bl w:val="nil"/>
            </w:tcBorders>
            <w:noWrap w:val="0"/>
            <w:vAlign w:val="center"/>
          </w:tcPr>
          <w:p w14:paraId="195D618E">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pacing w:val="7"/>
                <w:sz w:val="21"/>
                <w:szCs w:val="21"/>
                <w:lang w:val="en-US" w:eastAsia="zh-CN"/>
              </w:rPr>
            </w:pPr>
            <w:r>
              <w:rPr>
                <w:rFonts w:hint="eastAsia" w:eastAsia="宋体" w:cs="Times New Roman"/>
                <w:color w:val="auto"/>
                <w:spacing w:val="7"/>
                <w:sz w:val="21"/>
                <w:szCs w:val="21"/>
                <w:lang w:val="en-US" w:eastAsia="zh-CN"/>
              </w:rPr>
              <w:t>废气治理</w:t>
            </w:r>
          </w:p>
        </w:tc>
        <w:tc>
          <w:tcPr>
            <w:tcW w:w="3437" w:type="pct"/>
            <w:tcBorders>
              <w:tl2br w:val="nil"/>
              <w:tr2bl w:val="nil"/>
            </w:tcBorders>
            <w:noWrap w:val="0"/>
            <w:vAlign w:val="center"/>
          </w:tcPr>
          <w:p w14:paraId="21D5842C">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项目在每台注塑机出口设置集气罩对注塑废气进行收集，然后汇入一套“四级活性炭”装置处理后，尾气通过一根15m高排气筒(DA001)排放；</w:t>
            </w:r>
          </w:p>
        </w:tc>
        <w:tc>
          <w:tcPr>
            <w:tcW w:w="496" w:type="pct"/>
            <w:vMerge w:val="restart"/>
            <w:tcBorders>
              <w:tl2br w:val="nil"/>
              <w:tr2bl w:val="nil"/>
            </w:tcBorders>
            <w:noWrap w:val="0"/>
            <w:vAlign w:val="center"/>
          </w:tcPr>
          <w:p w14:paraId="6250884F">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lang w:val="en-US" w:eastAsia="zh-CN"/>
              </w:rPr>
            </w:pPr>
            <w:r>
              <w:rPr>
                <w:rFonts w:hint="eastAsia" w:eastAsia="宋体" w:cs="Times New Roman"/>
                <w:color w:val="auto"/>
                <w:spacing w:val="3"/>
                <w:sz w:val="21"/>
                <w:szCs w:val="21"/>
                <w:lang w:val="en-US" w:eastAsia="zh-CN"/>
              </w:rPr>
              <w:t>新建</w:t>
            </w:r>
          </w:p>
        </w:tc>
      </w:tr>
      <w:tr w14:paraId="3E41ED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03" w:type="pct"/>
            <w:vMerge w:val="continue"/>
            <w:tcBorders>
              <w:tl2br w:val="nil"/>
              <w:tr2bl w:val="nil"/>
            </w:tcBorders>
            <w:noWrap w:val="0"/>
            <w:vAlign w:val="center"/>
          </w:tcPr>
          <w:p w14:paraId="3D0FE86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rPr>
            </w:pPr>
          </w:p>
        </w:tc>
        <w:tc>
          <w:tcPr>
            <w:tcW w:w="563" w:type="pct"/>
            <w:vMerge w:val="continue"/>
            <w:tcBorders>
              <w:tl2br w:val="nil"/>
              <w:tr2bl w:val="nil"/>
            </w:tcBorders>
            <w:noWrap w:val="0"/>
            <w:vAlign w:val="center"/>
          </w:tcPr>
          <w:p w14:paraId="3DC91C81">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eastAsia="宋体" w:cs="Times New Roman"/>
                <w:color w:val="auto"/>
                <w:spacing w:val="7"/>
                <w:sz w:val="21"/>
                <w:szCs w:val="21"/>
                <w:lang w:val="en-US" w:eastAsia="zh-CN"/>
              </w:rPr>
            </w:pPr>
          </w:p>
        </w:tc>
        <w:tc>
          <w:tcPr>
            <w:tcW w:w="3437" w:type="pct"/>
            <w:tcBorders>
              <w:tl2br w:val="nil"/>
              <w:tr2bl w:val="nil"/>
            </w:tcBorders>
            <w:noWrap w:val="0"/>
            <w:vAlign w:val="center"/>
          </w:tcPr>
          <w:p w14:paraId="544E217F">
            <w:pPr>
              <w:pStyle w:val="42"/>
              <w:keepNext w:val="0"/>
              <w:keepLines w:val="0"/>
              <w:pageBreakBefore w:val="0"/>
              <w:widowControl/>
              <w:kinsoku w:val="0"/>
              <w:wordWrap/>
              <w:overflowPunct/>
              <w:topLinePunct w:val="0"/>
              <w:autoSpaceDE w:val="0"/>
              <w:autoSpaceDN w:val="0"/>
              <w:bidi w:val="0"/>
              <w:adjustRightInd w:val="0"/>
              <w:snapToGrid w:val="0"/>
              <w:spacing w:line="240" w:lineRule="auto"/>
              <w:ind w:right="0"/>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喷涂废气（调漆废气、喷漆废气、流平废气、烘干废气）、管路和喷枪清洗废气与丝印废气经水帘式漆雾净化+沸石转轮吸附+RTO焚烧装置处理后经一根22.5m高排气筒（DA002）排放</w:t>
            </w:r>
            <w:r>
              <w:rPr>
                <w:rFonts w:hint="eastAsia" w:eastAsia="宋体" w:cs="Times New Roman"/>
                <w:color w:val="auto"/>
                <w:sz w:val="21"/>
                <w:szCs w:val="21"/>
                <w:lang w:val="en-US" w:eastAsia="zh-CN"/>
              </w:rPr>
              <w:t>；</w:t>
            </w:r>
          </w:p>
        </w:tc>
        <w:tc>
          <w:tcPr>
            <w:tcW w:w="496" w:type="pct"/>
            <w:vMerge w:val="continue"/>
            <w:tcBorders>
              <w:tl2br w:val="nil"/>
              <w:tr2bl w:val="nil"/>
            </w:tcBorders>
            <w:noWrap w:val="0"/>
            <w:vAlign w:val="center"/>
          </w:tcPr>
          <w:p w14:paraId="2D349B78">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lang w:val="en-US" w:eastAsia="zh-CN"/>
              </w:rPr>
            </w:pPr>
          </w:p>
        </w:tc>
      </w:tr>
      <w:tr w14:paraId="612CF5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continue"/>
            <w:tcBorders>
              <w:tl2br w:val="nil"/>
              <w:tr2bl w:val="nil"/>
            </w:tcBorders>
            <w:noWrap w:val="0"/>
            <w:vAlign w:val="center"/>
          </w:tcPr>
          <w:p w14:paraId="2ADC4CF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rPr>
            </w:pPr>
          </w:p>
        </w:tc>
        <w:tc>
          <w:tcPr>
            <w:tcW w:w="563" w:type="pct"/>
            <w:vMerge w:val="continue"/>
            <w:tcBorders>
              <w:tl2br w:val="nil"/>
              <w:tr2bl w:val="nil"/>
            </w:tcBorders>
            <w:noWrap w:val="0"/>
            <w:vAlign w:val="center"/>
          </w:tcPr>
          <w:p w14:paraId="0C387751">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eastAsia="宋体" w:cs="Times New Roman"/>
                <w:color w:val="auto"/>
                <w:spacing w:val="7"/>
                <w:sz w:val="21"/>
                <w:szCs w:val="21"/>
                <w:lang w:val="en-US" w:eastAsia="zh-CN"/>
              </w:rPr>
            </w:pPr>
          </w:p>
        </w:tc>
        <w:tc>
          <w:tcPr>
            <w:tcW w:w="3437" w:type="pct"/>
            <w:tcBorders>
              <w:tl2br w:val="nil"/>
              <w:tr2bl w:val="nil"/>
            </w:tcBorders>
            <w:noWrap w:val="0"/>
            <w:vAlign w:val="center"/>
          </w:tcPr>
          <w:p w14:paraId="6BA600D1">
            <w:pPr>
              <w:pStyle w:val="42"/>
              <w:keepNext w:val="0"/>
              <w:keepLines w:val="0"/>
              <w:pageBreakBefore w:val="0"/>
              <w:widowControl/>
              <w:kinsoku w:val="0"/>
              <w:wordWrap/>
              <w:overflowPunct/>
              <w:topLinePunct w:val="0"/>
              <w:autoSpaceDE w:val="0"/>
              <w:autoSpaceDN w:val="0"/>
              <w:bidi w:val="0"/>
              <w:adjustRightInd w:val="0"/>
              <w:snapToGrid w:val="0"/>
              <w:spacing w:line="240" w:lineRule="auto"/>
              <w:ind w:right="0"/>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天然气燃烧</w:t>
            </w:r>
            <w:r>
              <w:rPr>
                <w:rFonts w:hint="eastAsia" w:eastAsia="宋体" w:cs="Times New Roman"/>
                <w:color w:val="auto"/>
                <w:sz w:val="21"/>
                <w:szCs w:val="21"/>
                <w:lang w:val="en-US" w:eastAsia="zh-CN"/>
              </w:rPr>
              <w:t>机</w:t>
            </w:r>
            <w:r>
              <w:rPr>
                <w:rFonts w:hint="default" w:ascii="Times New Roman" w:hAnsi="Times New Roman" w:eastAsia="宋体" w:cs="Times New Roman"/>
                <w:color w:val="auto"/>
                <w:sz w:val="21"/>
                <w:szCs w:val="21"/>
                <w:lang w:val="en-US" w:eastAsia="zh-CN"/>
              </w:rPr>
              <w:t>废气经低氮燃烧后经20.5m高烟囱（DA003）排放</w:t>
            </w:r>
            <w:r>
              <w:rPr>
                <w:rFonts w:hint="eastAsia" w:eastAsia="宋体" w:cs="Times New Roman"/>
                <w:color w:val="auto"/>
                <w:sz w:val="21"/>
                <w:szCs w:val="21"/>
                <w:lang w:val="en-US" w:eastAsia="zh-CN"/>
              </w:rPr>
              <w:t>；</w:t>
            </w:r>
          </w:p>
        </w:tc>
        <w:tc>
          <w:tcPr>
            <w:tcW w:w="496" w:type="pct"/>
            <w:vMerge w:val="continue"/>
            <w:tcBorders>
              <w:tl2br w:val="nil"/>
              <w:tr2bl w:val="nil"/>
            </w:tcBorders>
            <w:noWrap w:val="0"/>
            <w:vAlign w:val="center"/>
          </w:tcPr>
          <w:p w14:paraId="1AE87D66">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lang w:val="en-US" w:eastAsia="zh-CN"/>
              </w:rPr>
            </w:pPr>
          </w:p>
        </w:tc>
      </w:tr>
      <w:tr w14:paraId="669594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continue"/>
            <w:tcBorders>
              <w:tl2br w:val="nil"/>
              <w:tr2bl w:val="nil"/>
            </w:tcBorders>
            <w:noWrap w:val="0"/>
            <w:vAlign w:val="center"/>
          </w:tcPr>
          <w:p w14:paraId="591AE1B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rPr>
            </w:pPr>
          </w:p>
        </w:tc>
        <w:tc>
          <w:tcPr>
            <w:tcW w:w="563" w:type="pct"/>
            <w:vMerge w:val="continue"/>
            <w:tcBorders>
              <w:tl2br w:val="nil"/>
              <w:tr2bl w:val="nil"/>
            </w:tcBorders>
            <w:noWrap w:val="0"/>
            <w:vAlign w:val="center"/>
          </w:tcPr>
          <w:p w14:paraId="3637B638">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eastAsia="宋体" w:cs="Times New Roman"/>
                <w:color w:val="auto"/>
                <w:spacing w:val="7"/>
                <w:sz w:val="21"/>
                <w:szCs w:val="21"/>
                <w:lang w:val="en-US" w:eastAsia="zh-CN"/>
              </w:rPr>
            </w:pPr>
          </w:p>
        </w:tc>
        <w:tc>
          <w:tcPr>
            <w:tcW w:w="3437" w:type="pct"/>
            <w:tcBorders>
              <w:tl2br w:val="nil"/>
              <w:tr2bl w:val="nil"/>
            </w:tcBorders>
            <w:noWrap w:val="0"/>
            <w:vAlign w:val="center"/>
          </w:tcPr>
          <w:p w14:paraId="5F8BBCF1">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配胶、喷胶及烘干</w:t>
            </w:r>
            <w:r>
              <w:rPr>
                <w:rFonts w:hint="default" w:ascii="Times New Roman" w:hAnsi="Times New Roman" w:eastAsia="宋体" w:cs="Times New Roman"/>
                <w:color w:val="auto"/>
                <w:sz w:val="21"/>
                <w:szCs w:val="21"/>
                <w:lang w:val="en-US" w:eastAsia="zh-CN"/>
              </w:rPr>
              <w:t>废气、发泡废气收集后经四级活性炭吸附装置处理后于1根15m高排气筒（DA004）排放</w:t>
            </w:r>
            <w:r>
              <w:rPr>
                <w:rFonts w:hint="eastAsia" w:eastAsia="宋体" w:cs="Times New Roman"/>
                <w:color w:val="auto"/>
                <w:sz w:val="21"/>
                <w:szCs w:val="21"/>
                <w:lang w:val="en-US" w:eastAsia="zh-CN"/>
              </w:rPr>
              <w:t>；</w:t>
            </w:r>
          </w:p>
        </w:tc>
        <w:tc>
          <w:tcPr>
            <w:tcW w:w="496" w:type="pct"/>
            <w:vMerge w:val="continue"/>
            <w:tcBorders>
              <w:tl2br w:val="nil"/>
              <w:tr2bl w:val="nil"/>
            </w:tcBorders>
            <w:noWrap w:val="0"/>
            <w:vAlign w:val="center"/>
          </w:tcPr>
          <w:p w14:paraId="38239C7A">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3"/>
                <w:sz w:val="21"/>
                <w:szCs w:val="21"/>
                <w:lang w:val="en-US" w:eastAsia="zh-CN"/>
              </w:rPr>
            </w:pPr>
          </w:p>
        </w:tc>
      </w:tr>
      <w:tr w14:paraId="34C579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continue"/>
            <w:tcBorders>
              <w:tl2br w:val="nil"/>
              <w:tr2bl w:val="nil"/>
            </w:tcBorders>
            <w:noWrap w:val="0"/>
            <w:vAlign w:val="center"/>
          </w:tcPr>
          <w:p w14:paraId="15729EC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rPr>
            </w:pPr>
          </w:p>
        </w:tc>
        <w:tc>
          <w:tcPr>
            <w:tcW w:w="563" w:type="pct"/>
            <w:vMerge w:val="continue"/>
            <w:tcBorders>
              <w:tl2br w:val="nil"/>
              <w:tr2bl w:val="nil"/>
            </w:tcBorders>
            <w:noWrap w:val="0"/>
            <w:vAlign w:val="center"/>
          </w:tcPr>
          <w:p w14:paraId="12DC70F8">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eastAsia="宋体" w:cs="Times New Roman"/>
                <w:color w:val="auto"/>
                <w:spacing w:val="7"/>
                <w:sz w:val="21"/>
                <w:szCs w:val="21"/>
                <w:lang w:val="en-US" w:eastAsia="zh-CN"/>
              </w:rPr>
            </w:pPr>
          </w:p>
        </w:tc>
        <w:tc>
          <w:tcPr>
            <w:tcW w:w="3437" w:type="pct"/>
            <w:tcBorders>
              <w:tl2br w:val="nil"/>
              <w:tr2bl w:val="nil"/>
            </w:tcBorders>
            <w:noWrap w:val="0"/>
            <w:vAlign w:val="center"/>
          </w:tcPr>
          <w:p w14:paraId="244FBBF7">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打磨抛光粉尘自带布袋除尘器，经除尘后无组织排放</w:t>
            </w:r>
            <w:r>
              <w:rPr>
                <w:rFonts w:hint="eastAsia" w:eastAsia="宋体" w:cs="Times New Roman"/>
                <w:color w:val="auto"/>
                <w:sz w:val="21"/>
                <w:szCs w:val="21"/>
                <w:lang w:val="en-US" w:eastAsia="zh-CN"/>
              </w:rPr>
              <w:t>；</w:t>
            </w:r>
          </w:p>
        </w:tc>
        <w:tc>
          <w:tcPr>
            <w:tcW w:w="496" w:type="pct"/>
            <w:vMerge w:val="continue"/>
            <w:tcBorders>
              <w:tl2br w:val="nil"/>
              <w:tr2bl w:val="nil"/>
            </w:tcBorders>
            <w:noWrap w:val="0"/>
            <w:vAlign w:val="center"/>
          </w:tcPr>
          <w:p w14:paraId="6DC9ED0A">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3"/>
                <w:sz w:val="21"/>
                <w:szCs w:val="21"/>
                <w:lang w:val="en-US" w:eastAsia="zh-CN"/>
              </w:rPr>
            </w:pPr>
          </w:p>
        </w:tc>
      </w:tr>
      <w:tr w14:paraId="1B721A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continue"/>
            <w:tcBorders>
              <w:tl2br w:val="nil"/>
              <w:tr2bl w:val="nil"/>
            </w:tcBorders>
            <w:noWrap w:val="0"/>
            <w:vAlign w:val="center"/>
          </w:tcPr>
          <w:p w14:paraId="1B2E097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rPr>
            </w:pPr>
          </w:p>
        </w:tc>
        <w:tc>
          <w:tcPr>
            <w:tcW w:w="563" w:type="pct"/>
            <w:vMerge w:val="continue"/>
            <w:tcBorders>
              <w:tl2br w:val="nil"/>
              <w:tr2bl w:val="nil"/>
            </w:tcBorders>
            <w:noWrap w:val="0"/>
            <w:vAlign w:val="center"/>
          </w:tcPr>
          <w:p w14:paraId="5EE70BA0">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eastAsia="宋体" w:cs="Times New Roman"/>
                <w:color w:val="auto"/>
                <w:spacing w:val="7"/>
                <w:sz w:val="21"/>
                <w:szCs w:val="21"/>
                <w:lang w:val="en-US" w:eastAsia="zh-CN"/>
              </w:rPr>
            </w:pPr>
          </w:p>
        </w:tc>
        <w:tc>
          <w:tcPr>
            <w:tcW w:w="3437" w:type="pct"/>
            <w:tcBorders>
              <w:tl2br w:val="nil"/>
              <w:tr2bl w:val="nil"/>
            </w:tcBorders>
            <w:noWrap w:val="0"/>
            <w:vAlign w:val="center"/>
          </w:tcPr>
          <w:p w14:paraId="1E66B7B4">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除尘过程废气产生量少，</w:t>
            </w:r>
            <w:r>
              <w:rPr>
                <w:rFonts w:hint="default" w:ascii="Times New Roman" w:hAnsi="Times New Roman" w:eastAsia="宋体" w:cs="Times New Roman"/>
                <w:color w:val="auto"/>
                <w:sz w:val="21"/>
                <w:szCs w:val="21"/>
                <w:lang w:val="en-US" w:eastAsia="zh-CN"/>
              </w:rPr>
              <w:t>除尘废气在车间内无组织排放</w:t>
            </w:r>
            <w:r>
              <w:rPr>
                <w:rFonts w:hint="eastAsia" w:eastAsia="宋体" w:cs="Times New Roman"/>
                <w:color w:val="auto"/>
                <w:sz w:val="21"/>
                <w:szCs w:val="21"/>
                <w:lang w:val="en-US" w:eastAsia="zh-CN"/>
              </w:rPr>
              <w:t>；</w:t>
            </w:r>
          </w:p>
        </w:tc>
        <w:tc>
          <w:tcPr>
            <w:tcW w:w="496" w:type="pct"/>
            <w:vMerge w:val="continue"/>
            <w:tcBorders>
              <w:tl2br w:val="nil"/>
              <w:tr2bl w:val="nil"/>
            </w:tcBorders>
            <w:noWrap w:val="0"/>
            <w:vAlign w:val="center"/>
          </w:tcPr>
          <w:p w14:paraId="596F2DF7">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3"/>
                <w:sz w:val="21"/>
                <w:szCs w:val="21"/>
                <w:lang w:val="en-US" w:eastAsia="zh-CN"/>
              </w:rPr>
            </w:pPr>
          </w:p>
        </w:tc>
      </w:tr>
      <w:tr w14:paraId="5BD4B3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continue"/>
            <w:tcBorders>
              <w:tl2br w:val="nil"/>
              <w:tr2bl w:val="nil"/>
            </w:tcBorders>
            <w:noWrap w:val="0"/>
            <w:vAlign w:val="center"/>
          </w:tcPr>
          <w:p w14:paraId="583E07C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rPr>
            </w:pPr>
          </w:p>
        </w:tc>
        <w:tc>
          <w:tcPr>
            <w:tcW w:w="563" w:type="pct"/>
            <w:vMerge w:val="continue"/>
            <w:tcBorders>
              <w:tl2br w:val="nil"/>
              <w:tr2bl w:val="nil"/>
            </w:tcBorders>
            <w:noWrap w:val="0"/>
            <w:vAlign w:val="center"/>
          </w:tcPr>
          <w:p w14:paraId="5D2CAF71">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eastAsia="宋体" w:cs="Times New Roman"/>
                <w:color w:val="auto"/>
                <w:spacing w:val="7"/>
                <w:sz w:val="21"/>
                <w:szCs w:val="21"/>
                <w:lang w:val="en-US" w:eastAsia="zh-CN"/>
              </w:rPr>
            </w:pPr>
          </w:p>
        </w:tc>
        <w:tc>
          <w:tcPr>
            <w:tcW w:w="3437" w:type="pct"/>
            <w:tcBorders>
              <w:tl2br w:val="nil"/>
              <w:tr2bl w:val="nil"/>
            </w:tcBorders>
            <w:noWrap w:val="0"/>
            <w:vAlign w:val="center"/>
          </w:tcPr>
          <w:p w14:paraId="0E0113AF">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破碎机破碎时是完全密闭的，且设有专门的密闭破碎间，破碎粉尘产生量较少，在车间内无组织排放</w:t>
            </w:r>
            <w:r>
              <w:rPr>
                <w:rFonts w:hint="eastAsia" w:eastAsia="宋体" w:cs="Times New Roman"/>
                <w:color w:val="auto"/>
                <w:sz w:val="21"/>
                <w:szCs w:val="21"/>
                <w:lang w:val="en-US" w:eastAsia="zh-CN"/>
              </w:rPr>
              <w:t>；</w:t>
            </w:r>
          </w:p>
        </w:tc>
        <w:tc>
          <w:tcPr>
            <w:tcW w:w="496" w:type="pct"/>
            <w:vMerge w:val="continue"/>
            <w:tcBorders>
              <w:tl2br w:val="nil"/>
              <w:tr2bl w:val="nil"/>
            </w:tcBorders>
            <w:noWrap w:val="0"/>
            <w:vAlign w:val="center"/>
          </w:tcPr>
          <w:p w14:paraId="5A2DAD58">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3"/>
                <w:sz w:val="21"/>
                <w:szCs w:val="21"/>
                <w:lang w:val="en-US" w:eastAsia="zh-CN"/>
              </w:rPr>
            </w:pPr>
          </w:p>
        </w:tc>
      </w:tr>
      <w:tr w14:paraId="248697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continue"/>
            <w:tcBorders>
              <w:tl2br w:val="nil"/>
              <w:tr2bl w:val="nil"/>
            </w:tcBorders>
            <w:noWrap w:val="0"/>
            <w:vAlign w:val="center"/>
          </w:tcPr>
          <w:p w14:paraId="2BF0EFC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rPr>
            </w:pPr>
          </w:p>
        </w:tc>
        <w:tc>
          <w:tcPr>
            <w:tcW w:w="563" w:type="pct"/>
            <w:vMerge w:val="continue"/>
            <w:tcBorders>
              <w:tl2br w:val="nil"/>
              <w:tr2bl w:val="nil"/>
            </w:tcBorders>
            <w:noWrap w:val="0"/>
            <w:vAlign w:val="center"/>
          </w:tcPr>
          <w:p w14:paraId="1E7027A5">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eastAsia="宋体" w:cs="Times New Roman"/>
                <w:color w:val="auto"/>
                <w:spacing w:val="7"/>
                <w:sz w:val="21"/>
                <w:szCs w:val="21"/>
                <w:lang w:val="en-US" w:eastAsia="zh-CN"/>
              </w:rPr>
            </w:pPr>
          </w:p>
        </w:tc>
        <w:tc>
          <w:tcPr>
            <w:tcW w:w="3437" w:type="pct"/>
            <w:tcBorders>
              <w:tl2br w:val="nil"/>
              <w:tr2bl w:val="nil"/>
            </w:tcBorders>
            <w:noWrap w:val="0"/>
            <w:vAlign w:val="center"/>
          </w:tcPr>
          <w:p w14:paraId="04668D48">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危险废物贮存库密闭贮存危险废物，及时转运，挥发出极少量的有机废气，在厂区内无组织排放。</w:t>
            </w:r>
          </w:p>
        </w:tc>
        <w:tc>
          <w:tcPr>
            <w:tcW w:w="496" w:type="pct"/>
            <w:vMerge w:val="continue"/>
            <w:tcBorders>
              <w:tl2br w:val="nil"/>
              <w:tr2bl w:val="nil"/>
            </w:tcBorders>
            <w:noWrap w:val="0"/>
            <w:vAlign w:val="center"/>
          </w:tcPr>
          <w:p w14:paraId="6A18DA2E">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3"/>
                <w:sz w:val="21"/>
                <w:szCs w:val="21"/>
                <w:lang w:val="en-US" w:eastAsia="zh-CN"/>
              </w:rPr>
            </w:pPr>
          </w:p>
        </w:tc>
      </w:tr>
      <w:tr w14:paraId="7829D2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continue"/>
            <w:tcBorders>
              <w:tl2br w:val="nil"/>
              <w:tr2bl w:val="nil"/>
            </w:tcBorders>
            <w:noWrap w:val="0"/>
            <w:vAlign w:val="center"/>
          </w:tcPr>
          <w:p w14:paraId="66C1805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rPr>
            </w:pPr>
          </w:p>
        </w:tc>
        <w:tc>
          <w:tcPr>
            <w:tcW w:w="563" w:type="pct"/>
            <w:tcBorders>
              <w:tl2br w:val="nil"/>
              <w:tr2bl w:val="nil"/>
            </w:tcBorders>
            <w:noWrap w:val="0"/>
            <w:vAlign w:val="center"/>
          </w:tcPr>
          <w:p w14:paraId="1C92D071">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7"/>
                <w:sz w:val="21"/>
                <w:szCs w:val="21"/>
                <w:lang w:val="en-US" w:eastAsia="zh-CN"/>
              </w:rPr>
            </w:pPr>
            <w:r>
              <w:rPr>
                <w:rFonts w:hint="eastAsia" w:eastAsia="宋体" w:cs="Times New Roman"/>
                <w:color w:val="auto"/>
                <w:spacing w:val="7"/>
                <w:sz w:val="21"/>
                <w:szCs w:val="21"/>
                <w:lang w:val="en-US" w:eastAsia="zh-CN"/>
              </w:rPr>
              <w:t>废水治理</w:t>
            </w:r>
          </w:p>
        </w:tc>
        <w:tc>
          <w:tcPr>
            <w:tcW w:w="3437" w:type="pct"/>
            <w:tcBorders>
              <w:tl2br w:val="nil"/>
              <w:tr2bl w:val="nil"/>
            </w:tcBorders>
            <w:noWrap w:val="0"/>
            <w:vAlign w:val="center"/>
          </w:tcPr>
          <w:p w14:paraId="3742D26F">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生活污水</w:t>
            </w:r>
            <w:r>
              <w:rPr>
                <w:rFonts w:hint="eastAsia" w:eastAsia="宋体" w:cs="Times New Roman"/>
                <w:color w:val="auto"/>
                <w:sz w:val="21"/>
                <w:szCs w:val="21"/>
                <w:lang w:val="en-US" w:eastAsia="zh-CN"/>
              </w:rPr>
              <w:t>与冷却塔循环冷却废水</w:t>
            </w:r>
            <w:r>
              <w:rPr>
                <w:rFonts w:hint="default" w:ascii="Times New Roman" w:hAnsi="Times New Roman" w:eastAsia="宋体" w:cs="Times New Roman"/>
                <w:color w:val="auto"/>
                <w:sz w:val="21"/>
                <w:szCs w:val="21"/>
                <w:lang w:val="en-US" w:eastAsia="zh-CN"/>
              </w:rPr>
              <w:t>达到《污水综合排放标准》（GB8978-1996）三级标准，</w:t>
            </w:r>
            <w:r>
              <w:rPr>
                <w:rFonts w:hint="default" w:ascii="Times New Roman" w:hAnsi="Times New Roman" w:eastAsia="宋体" w:cs="Times New Roman"/>
                <w:color w:val="auto"/>
                <w:sz w:val="21"/>
                <w:szCs w:val="21"/>
              </w:rPr>
              <w:t>一同排入五常市牛家满族镇污水处理厂，经五常市牛家满族镇污水处理厂处理达标后，排入拉林河</w:t>
            </w:r>
            <w:r>
              <w:rPr>
                <w:rFonts w:hint="eastAsia" w:eastAsia="宋体" w:cs="Times New Roman"/>
                <w:color w:val="auto"/>
                <w:sz w:val="21"/>
                <w:szCs w:val="21"/>
                <w:lang w:eastAsia="zh-CN"/>
              </w:rPr>
              <w:t>。</w:t>
            </w:r>
          </w:p>
        </w:tc>
        <w:tc>
          <w:tcPr>
            <w:tcW w:w="496" w:type="pct"/>
            <w:tcBorders>
              <w:tl2br w:val="nil"/>
              <w:tr2bl w:val="nil"/>
            </w:tcBorders>
            <w:noWrap w:val="0"/>
            <w:vAlign w:val="center"/>
          </w:tcPr>
          <w:p w14:paraId="7E0CF615">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lang w:val="en-US" w:eastAsia="zh-CN"/>
              </w:rPr>
            </w:pPr>
            <w:r>
              <w:rPr>
                <w:rFonts w:hint="eastAsia" w:eastAsia="宋体" w:cs="Times New Roman"/>
                <w:color w:val="auto"/>
                <w:spacing w:val="3"/>
                <w:sz w:val="21"/>
                <w:szCs w:val="21"/>
                <w:lang w:val="en-US" w:eastAsia="zh-CN"/>
              </w:rPr>
              <w:t>依托</w:t>
            </w:r>
          </w:p>
        </w:tc>
      </w:tr>
      <w:tr w14:paraId="5E77EE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continue"/>
            <w:tcBorders>
              <w:tl2br w:val="nil"/>
              <w:tr2bl w:val="nil"/>
            </w:tcBorders>
            <w:noWrap w:val="0"/>
            <w:vAlign w:val="center"/>
          </w:tcPr>
          <w:p w14:paraId="7A00C65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4"/>
                <w:sz w:val="21"/>
                <w:szCs w:val="21"/>
              </w:rPr>
            </w:pPr>
          </w:p>
        </w:tc>
        <w:tc>
          <w:tcPr>
            <w:tcW w:w="563" w:type="pct"/>
            <w:tcBorders>
              <w:tl2br w:val="nil"/>
              <w:tr2bl w:val="nil"/>
            </w:tcBorders>
            <w:noWrap w:val="0"/>
            <w:vAlign w:val="center"/>
          </w:tcPr>
          <w:p w14:paraId="654DC0FB">
            <w:pPr>
              <w:pStyle w:val="37"/>
              <w:bidi w:val="0"/>
              <w:ind w:firstLine="0" w:firstLineChars="0"/>
              <w:rPr>
                <w:rFonts w:hint="eastAsia" w:ascii="Times New Roman" w:hAnsi="Times New Roman" w:eastAsia="宋体" w:cs="Times New Roman"/>
                <w:color w:val="auto"/>
                <w:spacing w:val="7"/>
                <w:sz w:val="21"/>
                <w:szCs w:val="21"/>
                <w:lang w:val="en-US" w:eastAsia="zh-CN"/>
              </w:rPr>
            </w:pPr>
            <w:r>
              <w:rPr>
                <w:color w:val="auto"/>
                <w:sz w:val="21"/>
                <w:szCs w:val="21"/>
                <w:highlight w:val="none"/>
              </w:rPr>
              <w:t>噪声</w:t>
            </w:r>
            <w:r>
              <w:rPr>
                <w:rFonts w:hint="eastAsia" w:eastAsia="宋体"/>
                <w:color w:val="auto"/>
                <w:sz w:val="21"/>
                <w:szCs w:val="21"/>
                <w:highlight w:val="none"/>
                <w:lang w:val="en-US" w:eastAsia="zh-CN"/>
              </w:rPr>
              <w:t>治理</w:t>
            </w:r>
          </w:p>
        </w:tc>
        <w:tc>
          <w:tcPr>
            <w:tcW w:w="3437" w:type="pct"/>
            <w:tcBorders>
              <w:tl2br w:val="nil"/>
              <w:tr2bl w:val="nil"/>
            </w:tcBorders>
            <w:noWrap w:val="0"/>
            <w:vAlign w:val="center"/>
          </w:tcPr>
          <w:p w14:paraId="348759C8">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选用低噪声设备，采取基础减振、建筑隔声、</w:t>
            </w:r>
            <w:r>
              <w:rPr>
                <w:rFonts w:hint="eastAsia" w:eastAsia="宋体" w:cs="Times New Roman"/>
                <w:color w:val="auto"/>
                <w:sz w:val="21"/>
                <w:szCs w:val="21"/>
                <w:lang w:val="en-US" w:eastAsia="zh-CN"/>
              </w:rPr>
              <w:t>风机软连接、</w:t>
            </w:r>
            <w:r>
              <w:rPr>
                <w:rFonts w:hint="eastAsia" w:ascii="Times New Roman" w:hAnsi="Times New Roman" w:eastAsia="宋体" w:cs="Times New Roman"/>
                <w:color w:val="auto"/>
                <w:sz w:val="21"/>
                <w:szCs w:val="21"/>
                <w:lang w:val="en-US" w:eastAsia="zh-CN"/>
              </w:rPr>
              <w:t>距离衰减等措施</w:t>
            </w:r>
            <w:r>
              <w:rPr>
                <w:rFonts w:ascii="Times New Roman" w:hAnsi="Times New Roman"/>
                <w:color w:val="auto"/>
                <w:sz w:val="21"/>
              </w:rPr>
              <w:t>处理后</w:t>
            </w:r>
            <w:r>
              <w:rPr>
                <w:rFonts w:hint="eastAsia" w:ascii="Times New Roman" w:hAnsi="Times New Roman"/>
                <w:color w:val="auto"/>
                <w:sz w:val="21"/>
                <w:lang w:eastAsia="zh-CN"/>
              </w:rPr>
              <w:t>，</w:t>
            </w:r>
            <w:r>
              <w:rPr>
                <w:rFonts w:ascii="Times New Roman" w:hAnsi="Times New Roman"/>
                <w:color w:val="auto"/>
                <w:sz w:val="21"/>
              </w:rPr>
              <w:t>厂界噪声可满足《工业企业厂界环境噪声排放标准》（GB12348-2008）中2类标准。</w:t>
            </w:r>
          </w:p>
        </w:tc>
        <w:tc>
          <w:tcPr>
            <w:tcW w:w="496" w:type="pct"/>
            <w:tcBorders>
              <w:tl2br w:val="nil"/>
              <w:tr2bl w:val="nil"/>
            </w:tcBorders>
            <w:noWrap w:val="0"/>
            <w:vAlign w:val="center"/>
          </w:tcPr>
          <w:p w14:paraId="713FBCEC">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lang w:val="en-US" w:eastAsia="zh-CN"/>
              </w:rPr>
            </w:pPr>
            <w:r>
              <w:rPr>
                <w:rFonts w:hint="eastAsia" w:eastAsia="宋体" w:cs="Times New Roman"/>
                <w:color w:val="auto"/>
                <w:spacing w:val="3"/>
                <w:sz w:val="21"/>
                <w:szCs w:val="21"/>
                <w:lang w:val="en-US" w:eastAsia="zh-CN"/>
              </w:rPr>
              <w:t>新建</w:t>
            </w:r>
          </w:p>
        </w:tc>
      </w:tr>
      <w:tr w14:paraId="10C3E8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continue"/>
            <w:tcBorders>
              <w:tl2br w:val="nil"/>
              <w:tr2bl w:val="nil"/>
            </w:tcBorders>
            <w:noWrap w:val="0"/>
            <w:vAlign w:val="center"/>
          </w:tcPr>
          <w:p w14:paraId="282B62E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z w:val="21"/>
                <w:szCs w:val="21"/>
              </w:rPr>
            </w:pPr>
          </w:p>
        </w:tc>
        <w:tc>
          <w:tcPr>
            <w:tcW w:w="563" w:type="pct"/>
            <w:tcBorders>
              <w:tl2br w:val="nil"/>
              <w:tr2bl w:val="nil"/>
            </w:tcBorders>
            <w:noWrap w:val="0"/>
            <w:vAlign w:val="center"/>
          </w:tcPr>
          <w:p w14:paraId="6BD6EB55">
            <w:pPr>
              <w:pStyle w:val="37"/>
              <w:bidi w:val="0"/>
              <w:ind w:firstLine="0" w:firstLineChars="0"/>
              <w:rPr>
                <w:rFonts w:hint="default" w:ascii="Times New Roman" w:hAnsi="Times New Roman" w:eastAsia="宋体" w:cs="Times New Roman"/>
                <w:color w:val="auto"/>
                <w:spacing w:val="7"/>
                <w:sz w:val="21"/>
                <w:szCs w:val="21"/>
              </w:rPr>
            </w:pPr>
            <w:r>
              <w:rPr>
                <w:color w:val="auto"/>
                <w:sz w:val="21"/>
                <w:szCs w:val="21"/>
                <w:highlight w:val="none"/>
              </w:rPr>
              <w:t>固体废物</w:t>
            </w:r>
          </w:p>
        </w:tc>
        <w:tc>
          <w:tcPr>
            <w:tcW w:w="3437" w:type="pct"/>
            <w:tcBorders>
              <w:tl2br w:val="nil"/>
              <w:tr2bl w:val="nil"/>
            </w:tcBorders>
            <w:noWrap w:val="0"/>
            <w:vAlign w:val="center"/>
          </w:tcPr>
          <w:p w14:paraId="32695FF9">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本项目运营期产生的固体废物包括</w:t>
            </w:r>
            <w:r>
              <w:rPr>
                <w:rFonts w:hint="default" w:ascii="Times New Roman" w:hAnsi="Times New Roman" w:eastAsia="宋体" w:cs="Times New Roman"/>
                <w:color w:val="auto"/>
                <w:sz w:val="21"/>
                <w:szCs w:val="21"/>
                <w:lang w:val="en-US" w:eastAsia="zh-CN"/>
              </w:rPr>
              <w:t>危险废物、一般固废</w:t>
            </w:r>
            <w:r>
              <w:rPr>
                <w:rFonts w:hint="eastAsia" w:eastAsia="宋体" w:cs="Times New Roman"/>
                <w:color w:val="auto"/>
                <w:sz w:val="21"/>
                <w:szCs w:val="21"/>
                <w:lang w:val="en-US" w:eastAsia="zh-CN"/>
              </w:rPr>
              <w:t>、生活垃圾</w:t>
            </w:r>
            <w:r>
              <w:rPr>
                <w:rFonts w:hint="default" w:ascii="Times New Roman" w:hAnsi="Times New Roman" w:eastAsia="宋体" w:cs="Times New Roman"/>
                <w:color w:val="auto"/>
                <w:sz w:val="21"/>
                <w:szCs w:val="21"/>
                <w:lang w:val="en-US" w:eastAsia="zh-CN"/>
              </w:rPr>
              <w:t>。危险废物暂存在危险废物贮存库内，定期交由有资质单位处置；一般固废集中收集，定期处置或综合利用</w:t>
            </w:r>
            <w:r>
              <w:rPr>
                <w:rFonts w:hint="default" w:ascii="Times New Roman" w:hAnsi="Times New Roman" w:eastAsia="宋体" w:cs="Times New Roman"/>
                <w:color w:val="auto"/>
                <w:sz w:val="21"/>
                <w:szCs w:val="21"/>
              </w:rPr>
              <w:t>。生活垃圾由市政环卫部门集中收集</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统一处理</w:t>
            </w:r>
            <w:r>
              <w:rPr>
                <w:rFonts w:hint="default" w:ascii="Times New Roman" w:hAnsi="Times New Roman" w:eastAsia="宋体" w:cs="Times New Roman"/>
                <w:color w:val="auto"/>
                <w:sz w:val="21"/>
                <w:szCs w:val="21"/>
                <w:lang w:eastAsia="zh-CN"/>
              </w:rPr>
              <w:t>。</w:t>
            </w:r>
          </w:p>
        </w:tc>
        <w:tc>
          <w:tcPr>
            <w:tcW w:w="496" w:type="pct"/>
            <w:tcBorders>
              <w:tl2br w:val="nil"/>
              <w:tr2bl w:val="nil"/>
            </w:tcBorders>
            <w:noWrap w:val="0"/>
            <w:vAlign w:val="center"/>
          </w:tcPr>
          <w:p w14:paraId="3DDD611A">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lang w:val="en-US" w:eastAsia="zh-CN"/>
              </w:rPr>
            </w:pPr>
            <w:r>
              <w:rPr>
                <w:rFonts w:hint="eastAsia" w:eastAsia="宋体" w:cs="Times New Roman"/>
                <w:color w:val="auto"/>
                <w:spacing w:val="3"/>
                <w:sz w:val="21"/>
                <w:szCs w:val="21"/>
                <w:lang w:val="en-US" w:eastAsia="zh-CN"/>
              </w:rPr>
              <w:t>新建</w:t>
            </w:r>
          </w:p>
        </w:tc>
      </w:tr>
      <w:tr w14:paraId="7A4F61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continue"/>
            <w:tcBorders>
              <w:tl2br w:val="nil"/>
              <w:tr2bl w:val="nil"/>
            </w:tcBorders>
            <w:noWrap w:val="0"/>
            <w:vAlign w:val="center"/>
          </w:tcPr>
          <w:p w14:paraId="6731681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z w:val="21"/>
                <w:szCs w:val="21"/>
              </w:rPr>
            </w:pPr>
          </w:p>
        </w:tc>
        <w:tc>
          <w:tcPr>
            <w:tcW w:w="563" w:type="pct"/>
            <w:tcBorders>
              <w:tl2br w:val="nil"/>
              <w:tr2bl w:val="nil"/>
            </w:tcBorders>
            <w:noWrap w:val="0"/>
            <w:vAlign w:val="center"/>
          </w:tcPr>
          <w:p w14:paraId="627193E5">
            <w:pPr>
              <w:pStyle w:val="37"/>
              <w:bidi w:val="0"/>
              <w:ind w:firstLine="0" w:firstLineChars="0"/>
              <w:rPr>
                <w:color w:val="auto"/>
                <w:sz w:val="21"/>
                <w:szCs w:val="21"/>
                <w:highlight w:val="none"/>
              </w:rPr>
            </w:pPr>
            <w:r>
              <w:rPr>
                <w:rFonts w:hint="eastAsia"/>
                <w:color w:val="auto"/>
                <w:sz w:val="21"/>
                <w:szCs w:val="21"/>
                <w:highlight w:val="none"/>
                <w:lang w:val="en-US" w:eastAsia="zh-CN"/>
              </w:rPr>
              <w:t>土壤及</w:t>
            </w:r>
            <w:r>
              <w:rPr>
                <w:color w:val="auto"/>
                <w:sz w:val="21"/>
                <w:szCs w:val="21"/>
                <w:highlight w:val="none"/>
              </w:rPr>
              <w:t>地下水</w:t>
            </w:r>
          </w:p>
        </w:tc>
        <w:tc>
          <w:tcPr>
            <w:tcW w:w="3437" w:type="pct"/>
            <w:tcBorders>
              <w:tl2br w:val="nil"/>
              <w:tr2bl w:val="nil"/>
            </w:tcBorders>
            <w:noWrap w:val="0"/>
            <w:vAlign w:val="center"/>
          </w:tcPr>
          <w:p w14:paraId="53A0E3CA">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lang w:eastAsia="zh-CN"/>
              </w:rPr>
            </w:pPr>
            <w:r>
              <w:rPr>
                <w:rFonts w:hint="eastAsia" w:eastAsia="宋体" w:cs="Times New Roman"/>
                <w:color w:val="auto"/>
                <w:sz w:val="21"/>
                <w:szCs w:val="21"/>
                <w:lang w:val="en-US" w:eastAsia="zh-CN"/>
              </w:rPr>
              <w:t>油品储存区、</w:t>
            </w:r>
            <w:r>
              <w:rPr>
                <w:rFonts w:hint="default" w:ascii="Times New Roman" w:hAnsi="Times New Roman" w:eastAsia="宋体" w:cs="Times New Roman"/>
                <w:color w:val="auto"/>
                <w:sz w:val="21"/>
                <w:szCs w:val="21"/>
                <w:lang w:val="en-US" w:eastAsia="zh-CN"/>
              </w:rPr>
              <w:t>油漆库、调漆室、喷涂区、水帘喷漆循环水池、危险废物贮存库</w:t>
            </w:r>
            <w:r>
              <w:rPr>
                <w:rFonts w:hint="default" w:ascii="Times New Roman" w:hAnsi="Times New Roman" w:eastAsia="宋体" w:cs="Times New Roman"/>
                <w:color w:val="auto"/>
                <w:sz w:val="21"/>
                <w:szCs w:val="21"/>
              </w:rPr>
              <w:t>划分为重点防渗区，采用天然或人工材料构筑防渗层进行防渗处理，抗渗混凝土抗渗等级不低于P8，强度等级不低于C25，防渗层的防渗性能不应低于6.0m厚渗透系数为10</w:t>
            </w:r>
            <w:r>
              <w:rPr>
                <w:rFonts w:hint="default" w:ascii="Times New Roman" w:hAnsi="Times New Roman" w:eastAsia="宋体" w:cs="Times New Roman"/>
                <w:color w:val="auto"/>
                <w:sz w:val="21"/>
                <w:szCs w:val="21"/>
                <w:vertAlign w:val="superscript"/>
              </w:rPr>
              <w:t>-7</w:t>
            </w:r>
            <w:r>
              <w:rPr>
                <w:rFonts w:hint="default" w:ascii="Times New Roman" w:hAnsi="Times New Roman" w:eastAsia="宋体" w:cs="Times New Roman"/>
                <w:color w:val="auto"/>
                <w:sz w:val="21"/>
                <w:szCs w:val="21"/>
              </w:rPr>
              <w:t>cm/s的黏土层的防渗性能。</w:t>
            </w:r>
            <w:r>
              <w:rPr>
                <w:rFonts w:hint="default" w:ascii="Times New Roman" w:hAnsi="Times New Roman" w:eastAsia="宋体" w:cs="Times New Roman"/>
                <w:color w:val="auto"/>
                <w:sz w:val="21"/>
                <w:szCs w:val="21"/>
                <w:lang w:val="en-US" w:eastAsia="zh-CN"/>
              </w:rPr>
              <w:t>其中</w:t>
            </w:r>
            <w:r>
              <w:rPr>
                <w:rFonts w:hint="default" w:ascii="Times New Roman" w:hAnsi="Times New Roman" w:eastAsia="宋体" w:cs="Times New Roman"/>
                <w:color w:val="auto"/>
                <w:sz w:val="21"/>
                <w:szCs w:val="21"/>
                <w:lang w:eastAsia="zh-CN"/>
              </w:rPr>
              <w:t>危险废物贮存库</w:t>
            </w:r>
            <w:r>
              <w:rPr>
                <w:rFonts w:hint="default" w:ascii="Times New Roman" w:hAnsi="Times New Roman" w:eastAsia="宋体" w:cs="Times New Roman"/>
                <w:color w:val="auto"/>
                <w:sz w:val="21"/>
                <w:szCs w:val="21"/>
              </w:rPr>
              <w:t>采取的防渗措施应符合《危险废物贮存污染控制标准》（GB18597-2023）的要求</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防渗层为至少1m厚黏土层（渗透系数不大于10</w:t>
            </w:r>
            <w:r>
              <w:rPr>
                <w:rFonts w:hint="default" w:ascii="Times New Roman" w:hAnsi="Times New Roman" w:eastAsia="宋体" w:cs="Times New Roman"/>
                <w:color w:val="auto"/>
                <w:sz w:val="21"/>
                <w:szCs w:val="21"/>
                <w:vertAlign w:val="superscript"/>
              </w:rPr>
              <w:t>-7</w:t>
            </w:r>
            <w:r>
              <w:rPr>
                <w:rFonts w:hint="default" w:ascii="Times New Roman" w:hAnsi="Times New Roman" w:eastAsia="宋体" w:cs="Times New Roman"/>
                <w:color w:val="auto"/>
                <w:sz w:val="21"/>
                <w:szCs w:val="21"/>
              </w:rPr>
              <w:t>cm/s），或至少2mm厚高密度聚乙烯膜等人工防渗材料（渗透系数不大于10</w:t>
            </w:r>
            <w:r>
              <w:rPr>
                <w:rFonts w:hint="default" w:ascii="Times New Roman" w:hAnsi="Times New Roman" w:eastAsia="宋体" w:cs="Times New Roman"/>
                <w:color w:val="auto"/>
                <w:sz w:val="21"/>
                <w:szCs w:val="21"/>
                <w:vertAlign w:val="superscript"/>
              </w:rPr>
              <w:t>-10</w:t>
            </w:r>
            <w:r>
              <w:rPr>
                <w:rFonts w:hint="default" w:ascii="Times New Roman" w:hAnsi="Times New Roman" w:eastAsia="宋体" w:cs="Times New Roman"/>
                <w:color w:val="auto"/>
                <w:sz w:val="21"/>
                <w:szCs w:val="21"/>
              </w:rPr>
              <w:t>cm/s），或其他防渗性能等效的材料。</w:t>
            </w:r>
            <w:r>
              <w:rPr>
                <w:rFonts w:hint="eastAsia" w:eastAsia="宋体" w:cs="Times New Roman"/>
                <w:color w:val="auto"/>
                <w:sz w:val="21"/>
                <w:szCs w:val="21"/>
                <w:lang w:val="en-US" w:eastAsia="zh-CN"/>
              </w:rPr>
              <w:t>厂房内其他区域</w:t>
            </w:r>
            <w:r>
              <w:rPr>
                <w:rFonts w:hint="default" w:ascii="Times New Roman" w:hAnsi="Times New Roman" w:eastAsia="宋体" w:cs="Times New Roman"/>
                <w:color w:val="auto"/>
                <w:sz w:val="21"/>
                <w:szCs w:val="21"/>
              </w:rPr>
              <w:t>为一般防渗区，</w:t>
            </w:r>
            <w:r>
              <w:rPr>
                <w:rFonts w:hint="default" w:ascii="Times New Roman" w:hAnsi="Times New Roman" w:eastAsia="宋体" w:cs="Times New Roman"/>
                <w:color w:val="auto"/>
                <w:sz w:val="21"/>
                <w:szCs w:val="21"/>
                <w:lang w:val="en-US" w:eastAsia="zh-CN"/>
              </w:rPr>
              <w:t>采用</w:t>
            </w:r>
            <w:r>
              <w:rPr>
                <w:rFonts w:hint="default" w:ascii="Times New Roman" w:hAnsi="Times New Roman" w:eastAsia="宋体" w:cs="Times New Roman"/>
                <w:color w:val="auto"/>
                <w:sz w:val="21"/>
                <w:szCs w:val="21"/>
              </w:rPr>
              <w:t>厚度不小于1.5m抗渗混凝土，抗渗等级不低于P8，强度等级不低于C25，渗透系数≤10</w:t>
            </w:r>
            <w:r>
              <w:rPr>
                <w:rFonts w:hint="default" w:ascii="Times New Roman" w:hAnsi="Times New Roman" w:eastAsia="宋体" w:cs="Times New Roman"/>
                <w:color w:val="auto"/>
                <w:sz w:val="21"/>
                <w:szCs w:val="21"/>
                <w:vertAlign w:val="superscript"/>
              </w:rPr>
              <w:t>-7</w:t>
            </w:r>
            <w:r>
              <w:rPr>
                <w:rFonts w:hint="default" w:ascii="Times New Roman" w:hAnsi="Times New Roman" w:eastAsia="宋体" w:cs="Times New Roman"/>
                <w:color w:val="auto"/>
                <w:sz w:val="21"/>
                <w:szCs w:val="21"/>
              </w:rPr>
              <w:t>cm/s。</w:t>
            </w:r>
            <w:r>
              <w:rPr>
                <w:rFonts w:hint="default" w:ascii="Times New Roman" w:hAnsi="Times New Roman" w:eastAsia="宋体" w:cs="Times New Roman"/>
                <w:color w:val="auto"/>
                <w:sz w:val="21"/>
                <w:szCs w:val="21"/>
                <w:lang w:val="en-US" w:eastAsia="zh-CN"/>
              </w:rPr>
              <w:t>办公楼、门卫室、宿舍楼</w:t>
            </w:r>
            <w:r>
              <w:rPr>
                <w:rFonts w:hint="default" w:ascii="Times New Roman" w:hAnsi="Times New Roman" w:eastAsia="宋体" w:cs="Times New Roman"/>
                <w:color w:val="auto"/>
                <w:sz w:val="21"/>
                <w:szCs w:val="21"/>
              </w:rPr>
              <w:t>及厂内道路</w:t>
            </w:r>
            <w:r>
              <w:rPr>
                <w:rFonts w:hint="default" w:ascii="Times New Roman" w:hAnsi="Times New Roman" w:eastAsia="宋体" w:cs="Times New Roman"/>
                <w:color w:val="auto"/>
                <w:sz w:val="21"/>
                <w:szCs w:val="21"/>
                <w:lang w:val="en-US" w:eastAsia="zh-CN"/>
              </w:rPr>
              <w:t>为简单防渗区，采取一般地面硬化措施，地面采取水泥混凝土结构。</w:t>
            </w:r>
          </w:p>
          <w:p w14:paraId="73AFB1CD">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在生产车间下游设置一眼地下水跟踪监测井，定期开展跟踪监测。按照《环境影响评价技术导则土壤环境（试行）》（HJ964-2018）设置土壤跟踪监测点，定期开展</w:t>
            </w:r>
            <w:r>
              <w:rPr>
                <w:rFonts w:hint="default" w:ascii="Times New Roman" w:hAnsi="Times New Roman" w:eastAsia="宋体" w:cs="Times New Roman"/>
                <w:color w:val="auto"/>
                <w:sz w:val="21"/>
                <w:szCs w:val="21"/>
                <w:lang w:val="en-US" w:eastAsia="zh-CN"/>
              </w:rPr>
              <w:t>土壤</w:t>
            </w:r>
            <w:r>
              <w:rPr>
                <w:rFonts w:hint="default" w:ascii="Times New Roman" w:hAnsi="Times New Roman" w:eastAsia="宋体" w:cs="Times New Roman"/>
                <w:color w:val="auto"/>
                <w:sz w:val="21"/>
                <w:szCs w:val="21"/>
                <w:lang w:eastAsia="zh-CN"/>
              </w:rPr>
              <w:t>跟踪监测。</w:t>
            </w:r>
          </w:p>
        </w:tc>
        <w:tc>
          <w:tcPr>
            <w:tcW w:w="496" w:type="pct"/>
            <w:tcBorders>
              <w:tl2br w:val="nil"/>
              <w:tr2bl w:val="nil"/>
            </w:tcBorders>
            <w:noWrap w:val="0"/>
            <w:vAlign w:val="center"/>
          </w:tcPr>
          <w:p w14:paraId="3135A453">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3"/>
                <w:sz w:val="21"/>
                <w:szCs w:val="21"/>
                <w:lang w:val="en-US" w:eastAsia="zh-CN"/>
              </w:rPr>
            </w:pPr>
            <w:r>
              <w:rPr>
                <w:rFonts w:hint="eastAsia" w:eastAsia="宋体" w:cs="Times New Roman"/>
                <w:color w:val="auto"/>
                <w:spacing w:val="3"/>
                <w:sz w:val="21"/>
                <w:szCs w:val="21"/>
                <w:lang w:val="en-US" w:eastAsia="zh-CN"/>
              </w:rPr>
              <w:t>新建</w:t>
            </w:r>
          </w:p>
        </w:tc>
      </w:tr>
      <w:tr w14:paraId="2655D9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vMerge w:val="continue"/>
            <w:tcBorders>
              <w:tl2br w:val="nil"/>
              <w:tr2bl w:val="nil"/>
            </w:tcBorders>
            <w:noWrap w:val="0"/>
            <w:vAlign w:val="center"/>
          </w:tcPr>
          <w:p w14:paraId="2E7AF81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z w:val="21"/>
                <w:szCs w:val="21"/>
              </w:rPr>
            </w:pPr>
          </w:p>
        </w:tc>
        <w:tc>
          <w:tcPr>
            <w:tcW w:w="563" w:type="pct"/>
            <w:tcBorders>
              <w:tl2br w:val="nil"/>
              <w:tr2bl w:val="nil"/>
            </w:tcBorders>
            <w:noWrap w:val="0"/>
            <w:vAlign w:val="center"/>
          </w:tcPr>
          <w:p w14:paraId="44907B66">
            <w:pPr>
              <w:pStyle w:val="37"/>
              <w:bidi w:val="0"/>
              <w:ind w:firstLine="0" w:firstLineChars="0"/>
              <w:rPr>
                <w:color w:val="auto"/>
                <w:sz w:val="21"/>
                <w:szCs w:val="21"/>
                <w:highlight w:val="none"/>
              </w:rPr>
            </w:pPr>
            <w:r>
              <w:rPr>
                <w:color w:val="auto"/>
                <w:sz w:val="21"/>
                <w:szCs w:val="21"/>
                <w:highlight w:val="none"/>
              </w:rPr>
              <w:t>环境风险</w:t>
            </w:r>
          </w:p>
        </w:tc>
        <w:tc>
          <w:tcPr>
            <w:tcW w:w="3437" w:type="pct"/>
            <w:tcBorders>
              <w:tl2br w:val="nil"/>
              <w:tr2bl w:val="nil"/>
            </w:tcBorders>
            <w:noWrap w:val="0"/>
            <w:vAlign w:val="center"/>
          </w:tcPr>
          <w:p w14:paraId="43099E0B">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rPr>
              <w:t>建立健全安全生产操作规程；加强运输及装卸安全风险防范；构建环境风险事故污染防控系统；制定并完善环境风险应急预案，配备应急管理机构和应急物质，建立相应的应急管理体系，定期安排人员参与培训与应急演练等。</w:t>
            </w:r>
          </w:p>
        </w:tc>
        <w:tc>
          <w:tcPr>
            <w:tcW w:w="496" w:type="pct"/>
            <w:tcBorders>
              <w:tl2br w:val="nil"/>
              <w:tr2bl w:val="nil"/>
            </w:tcBorders>
            <w:noWrap w:val="0"/>
            <w:vAlign w:val="center"/>
          </w:tcPr>
          <w:p w14:paraId="3EA8A9F9">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lang w:val="en-US" w:eastAsia="zh-CN"/>
              </w:rPr>
            </w:pPr>
            <w:r>
              <w:rPr>
                <w:rFonts w:hint="eastAsia" w:eastAsia="宋体" w:cs="Times New Roman"/>
                <w:color w:val="auto"/>
                <w:spacing w:val="3"/>
                <w:sz w:val="21"/>
                <w:szCs w:val="21"/>
                <w:lang w:val="en-US" w:eastAsia="zh-CN"/>
              </w:rPr>
              <w:t>新建</w:t>
            </w:r>
          </w:p>
        </w:tc>
      </w:tr>
      <w:tr w14:paraId="03B6CA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503" w:type="pct"/>
            <w:tcBorders>
              <w:tl2br w:val="nil"/>
              <w:tr2bl w:val="nil"/>
            </w:tcBorders>
            <w:noWrap w:val="0"/>
            <w:vAlign w:val="center"/>
          </w:tcPr>
          <w:p w14:paraId="2590BCC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依托工程</w:t>
            </w:r>
          </w:p>
        </w:tc>
        <w:tc>
          <w:tcPr>
            <w:tcW w:w="563" w:type="pct"/>
            <w:tcBorders>
              <w:tl2br w:val="nil"/>
              <w:tr2bl w:val="nil"/>
            </w:tcBorders>
            <w:noWrap w:val="0"/>
            <w:vAlign w:val="center"/>
          </w:tcPr>
          <w:p w14:paraId="39BE81BE">
            <w:pPr>
              <w:pStyle w:val="37"/>
              <w:bidi w:val="0"/>
              <w:ind w:firstLine="0" w:firstLineChars="0"/>
              <w:rPr>
                <w:color w:val="auto"/>
                <w:sz w:val="21"/>
                <w:szCs w:val="21"/>
                <w:highlight w:val="none"/>
              </w:rPr>
            </w:pPr>
            <w:r>
              <w:rPr>
                <w:rFonts w:hint="default" w:ascii="Times New Roman" w:hAnsi="Times New Roman" w:eastAsia="宋体" w:cs="Times New Roman"/>
                <w:color w:val="auto"/>
                <w:sz w:val="21"/>
                <w:szCs w:val="21"/>
                <w:lang w:val="en-US" w:eastAsia="zh-CN"/>
              </w:rPr>
              <w:t>牛家满族镇污水处理厂</w:t>
            </w:r>
          </w:p>
        </w:tc>
        <w:tc>
          <w:tcPr>
            <w:tcW w:w="3437" w:type="pct"/>
            <w:tcBorders>
              <w:tl2br w:val="nil"/>
              <w:tr2bl w:val="nil"/>
            </w:tcBorders>
            <w:noWrap w:val="0"/>
            <w:vAlign w:val="center"/>
          </w:tcPr>
          <w:p w14:paraId="72EB19E1">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rPr>
            </w:pPr>
            <w:r>
              <w:rPr>
                <w:rFonts w:hint="eastAsia"/>
                <w:color w:val="auto"/>
                <w:sz w:val="21"/>
                <w:szCs w:val="21"/>
              </w:rPr>
              <w:t>牛家满族镇镇污水处理厂主要收集牛家镇生活污水、牛家经济开发区工业污水，设计处理规模2.0万m</w:t>
            </w:r>
            <w:r>
              <w:rPr>
                <w:rFonts w:hint="eastAsia" w:eastAsia="宋体"/>
                <w:color w:val="auto"/>
                <w:sz w:val="21"/>
                <w:szCs w:val="21"/>
                <w:vertAlign w:val="superscript"/>
                <w:lang w:val="en-US" w:eastAsia="zh-CN"/>
              </w:rPr>
              <w:t>3</w:t>
            </w:r>
            <w:r>
              <w:rPr>
                <w:rFonts w:hint="eastAsia"/>
                <w:color w:val="auto"/>
                <w:sz w:val="21"/>
                <w:szCs w:val="21"/>
              </w:rPr>
              <w:t>/d，采用CWSBR污水处理工艺，配套建设紫外线消毒工艺系统，进水水质达到《污水综合排放标准》（GB8978-1996）三级标准。出水标准为《城镇污水处理厂污染物排放标准》(GB18918-2002)中的一级A标准，经张乡沟排入拉林河。</w:t>
            </w:r>
          </w:p>
        </w:tc>
        <w:tc>
          <w:tcPr>
            <w:tcW w:w="496" w:type="pct"/>
            <w:tcBorders>
              <w:tl2br w:val="nil"/>
              <w:tr2bl w:val="nil"/>
            </w:tcBorders>
            <w:noWrap w:val="0"/>
            <w:vAlign w:val="center"/>
          </w:tcPr>
          <w:p w14:paraId="004EB7B7">
            <w:pPr>
              <w:pStyle w:val="42"/>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3"/>
                <w:sz w:val="21"/>
                <w:szCs w:val="21"/>
                <w:lang w:val="en-US" w:eastAsia="zh-CN"/>
              </w:rPr>
            </w:pPr>
            <w:r>
              <w:rPr>
                <w:rFonts w:hint="eastAsia" w:eastAsia="宋体" w:cs="Times New Roman"/>
                <w:color w:val="auto"/>
                <w:spacing w:val="3"/>
                <w:sz w:val="21"/>
                <w:szCs w:val="21"/>
                <w:lang w:val="en-US" w:eastAsia="zh-CN"/>
              </w:rPr>
              <w:t>依托</w:t>
            </w:r>
          </w:p>
        </w:tc>
      </w:tr>
    </w:tbl>
    <w:p w14:paraId="0403801B">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3.1.3</w:t>
      </w:r>
      <w:r>
        <w:rPr>
          <w:rFonts w:hint="default" w:ascii="Times New Roman" w:hAnsi="Times New Roman" w:eastAsia="宋体" w:cs="Times New Roman"/>
          <w:b/>
          <w:bCs/>
          <w:snapToGrid w:val="0"/>
          <w:color w:val="auto"/>
          <w:spacing w:val="0"/>
          <w:kern w:val="0"/>
          <w:position w:val="0"/>
          <w:sz w:val="30"/>
          <w:szCs w:val="30"/>
          <w:lang w:val="en-US" w:eastAsia="zh-CN" w:bidi="ar-SA"/>
        </w:rPr>
        <w:t>主要生产设备</w:t>
      </w:r>
    </w:p>
    <w:p w14:paraId="1E10EEA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outlineLvl w:val="9"/>
        <w:rPr>
          <w:rFonts w:hint="eastAsia" w:ascii="Times New Roman" w:hAnsi="Times New Roman" w:eastAsia="宋体" w:cs="Times New Roman"/>
          <w:color w:val="auto"/>
          <w:spacing w:val="-3"/>
          <w:sz w:val="24"/>
          <w:szCs w:val="24"/>
          <w:lang w:val="en-US" w:eastAsia="zh-CN"/>
        </w:rPr>
      </w:pPr>
      <w:r>
        <w:rPr>
          <w:rFonts w:hint="eastAsia" w:ascii="Times New Roman" w:hAnsi="Times New Roman" w:eastAsia="宋体" w:cs="Times New Roman"/>
          <w:color w:val="auto"/>
          <w:spacing w:val="-3"/>
          <w:sz w:val="24"/>
          <w:szCs w:val="24"/>
          <w:lang w:val="en-US" w:eastAsia="zh-CN"/>
        </w:rPr>
        <w:t>本项目主要设备见表3.1-2。</w:t>
      </w:r>
    </w:p>
    <w:p w14:paraId="79AA179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snapToGrid w:val="0"/>
          <w:color w:val="auto"/>
          <w:kern w:val="0"/>
          <w:sz w:val="24"/>
          <w:szCs w:val="24"/>
          <w:lang w:val="en-US" w:eastAsia="zh-CN" w:bidi="ar"/>
        </w:rPr>
      </w:pPr>
      <w:r>
        <w:rPr>
          <w:rFonts w:hint="default" w:ascii="Times New Roman" w:hAnsi="Times New Roman" w:eastAsia="宋体" w:cs="Times New Roman"/>
          <w:b/>
          <w:bCs/>
          <w:snapToGrid w:val="0"/>
          <w:color w:val="auto"/>
          <w:kern w:val="0"/>
          <w:sz w:val="24"/>
          <w:szCs w:val="24"/>
          <w:lang w:val="en-US" w:eastAsia="zh-CN" w:bidi="ar"/>
        </w:rPr>
        <w:t>表3.</w:t>
      </w:r>
      <w:r>
        <w:rPr>
          <w:rFonts w:hint="eastAsia" w:ascii="Times New Roman" w:hAnsi="Times New Roman" w:eastAsia="宋体" w:cs="Times New Roman"/>
          <w:b/>
          <w:bCs/>
          <w:snapToGrid w:val="0"/>
          <w:color w:val="auto"/>
          <w:kern w:val="0"/>
          <w:sz w:val="24"/>
          <w:szCs w:val="24"/>
          <w:lang w:val="en-US" w:eastAsia="zh-CN" w:bidi="ar"/>
        </w:rPr>
        <w:t>1</w:t>
      </w:r>
      <w:r>
        <w:rPr>
          <w:rFonts w:hint="default" w:ascii="Times New Roman" w:hAnsi="Times New Roman" w:eastAsia="宋体" w:cs="Times New Roman"/>
          <w:b/>
          <w:bCs/>
          <w:snapToGrid w:val="0"/>
          <w:color w:val="auto"/>
          <w:kern w:val="0"/>
          <w:sz w:val="24"/>
          <w:szCs w:val="24"/>
          <w:lang w:val="en-US" w:eastAsia="zh-CN" w:bidi="ar"/>
        </w:rPr>
        <w:t>-2</w:t>
      </w:r>
      <w:r>
        <w:rPr>
          <w:rFonts w:hint="eastAsia" w:ascii="Times New Roman" w:hAnsi="Times New Roman" w:eastAsia="宋体" w:cs="Times New Roman"/>
          <w:b/>
          <w:bCs/>
          <w:snapToGrid w:val="0"/>
          <w:color w:val="auto"/>
          <w:kern w:val="0"/>
          <w:sz w:val="24"/>
          <w:szCs w:val="24"/>
          <w:lang w:val="en-US" w:eastAsia="zh-CN" w:bidi="ar"/>
        </w:rPr>
        <w:t xml:space="preserve">  本项目</w:t>
      </w:r>
      <w:r>
        <w:rPr>
          <w:rFonts w:hint="default" w:ascii="Times New Roman" w:hAnsi="Times New Roman" w:eastAsia="宋体" w:cs="Times New Roman"/>
          <w:b/>
          <w:bCs/>
          <w:snapToGrid w:val="0"/>
          <w:color w:val="auto"/>
          <w:kern w:val="0"/>
          <w:sz w:val="24"/>
          <w:szCs w:val="24"/>
          <w:lang w:val="en-US" w:eastAsia="zh-CN" w:bidi="ar"/>
        </w:rPr>
        <w:t>主要设备一览表</w:t>
      </w:r>
    </w:p>
    <w:tbl>
      <w:tblPr>
        <w:tblStyle w:val="2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94"/>
        <w:gridCol w:w="2935"/>
        <w:gridCol w:w="1734"/>
        <w:gridCol w:w="1367"/>
        <w:gridCol w:w="1858"/>
      </w:tblGrid>
      <w:tr w14:paraId="1390C8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5E3239B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color w:val="auto"/>
                <w:spacing w:val="4"/>
                <w:sz w:val="21"/>
                <w:szCs w:val="21"/>
                <w:lang w:val="en-US" w:eastAsia="zh-CN"/>
              </w:rPr>
              <w:t>序号</w:t>
            </w:r>
          </w:p>
        </w:tc>
        <w:tc>
          <w:tcPr>
            <w:tcW w:w="2935" w:type="dxa"/>
            <w:tcBorders>
              <w:tl2br w:val="nil"/>
              <w:tr2bl w:val="nil"/>
            </w:tcBorders>
            <w:vAlign w:val="center"/>
          </w:tcPr>
          <w:p w14:paraId="1FFE4B4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color w:val="auto"/>
                <w:spacing w:val="4"/>
                <w:sz w:val="21"/>
                <w:szCs w:val="21"/>
                <w:lang w:val="en-US" w:eastAsia="zh-CN"/>
              </w:rPr>
              <w:t>设备名称</w:t>
            </w:r>
          </w:p>
        </w:tc>
        <w:tc>
          <w:tcPr>
            <w:tcW w:w="1734" w:type="dxa"/>
            <w:tcBorders>
              <w:tl2br w:val="nil"/>
              <w:tr2bl w:val="nil"/>
            </w:tcBorders>
            <w:vAlign w:val="center"/>
          </w:tcPr>
          <w:p w14:paraId="27603BB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color w:val="auto"/>
                <w:spacing w:val="4"/>
                <w:sz w:val="21"/>
                <w:szCs w:val="21"/>
                <w:lang w:val="en-US" w:eastAsia="zh-CN"/>
              </w:rPr>
              <w:t>规格</w:t>
            </w:r>
          </w:p>
        </w:tc>
        <w:tc>
          <w:tcPr>
            <w:tcW w:w="1367" w:type="dxa"/>
            <w:tcBorders>
              <w:tl2br w:val="nil"/>
              <w:tr2bl w:val="nil"/>
            </w:tcBorders>
            <w:vAlign w:val="center"/>
          </w:tcPr>
          <w:p w14:paraId="6055476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color w:val="auto"/>
                <w:spacing w:val="4"/>
                <w:sz w:val="21"/>
                <w:szCs w:val="21"/>
                <w:lang w:val="en-US" w:eastAsia="zh-CN"/>
              </w:rPr>
              <w:t>数量</w:t>
            </w:r>
          </w:p>
        </w:tc>
        <w:tc>
          <w:tcPr>
            <w:tcW w:w="1858" w:type="dxa"/>
            <w:tcBorders>
              <w:tl2br w:val="nil"/>
              <w:tr2bl w:val="nil"/>
            </w:tcBorders>
            <w:vAlign w:val="center"/>
          </w:tcPr>
          <w:p w14:paraId="2E376D1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color w:val="auto"/>
                <w:spacing w:val="4"/>
                <w:sz w:val="21"/>
                <w:szCs w:val="21"/>
                <w:lang w:val="en-US" w:eastAsia="zh-CN"/>
              </w:rPr>
              <w:t>备注</w:t>
            </w:r>
          </w:p>
        </w:tc>
      </w:tr>
      <w:tr w14:paraId="0364E7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7F20F462">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rPr>
              <w:t>1</w:t>
            </w:r>
          </w:p>
        </w:tc>
        <w:tc>
          <w:tcPr>
            <w:tcW w:w="2935" w:type="dxa"/>
            <w:tcBorders>
              <w:tl2br w:val="nil"/>
              <w:tr2bl w:val="nil"/>
            </w:tcBorders>
            <w:vAlign w:val="center"/>
          </w:tcPr>
          <w:p w14:paraId="293360BA">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注塑机</w:t>
            </w:r>
          </w:p>
        </w:tc>
        <w:tc>
          <w:tcPr>
            <w:tcW w:w="1734" w:type="dxa"/>
            <w:tcBorders>
              <w:tl2br w:val="nil"/>
              <w:tr2bl w:val="nil"/>
            </w:tcBorders>
            <w:vAlign w:val="center"/>
          </w:tcPr>
          <w:p w14:paraId="11116D19">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160T</w:t>
            </w:r>
          </w:p>
        </w:tc>
        <w:tc>
          <w:tcPr>
            <w:tcW w:w="1367" w:type="dxa"/>
            <w:tcBorders>
              <w:tl2br w:val="nil"/>
              <w:tr2bl w:val="nil"/>
            </w:tcBorders>
            <w:vAlign w:val="center"/>
          </w:tcPr>
          <w:p w14:paraId="62145CCC">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2台</w:t>
            </w:r>
          </w:p>
        </w:tc>
        <w:tc>
          <w:tcPr>
            <w:tcW w:w="1858" w:type="dxa"/>
            <w:vMerge w:val="restart"/>
            <w:tcBorders>
              <w:tl2br w:val="nil"/>
              <w:tr2bl w:val="nil"/>
            </w:tcBorders>
            <w:vAlign w:val="center"/>
          </w:tcPr>
          <w:p w14:paraId="7A212D4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r>
              <w:rPr>
                <w:rFonts w:hint="eastAsia" w:ascii="Times New Roman" w:hAnsi="Times New Roman" w:eastAsia="宋体" w:cs="Times New Roman"/>
                <w:color w:val="auto"/>
                <w:spacing w:val="4"/>
                <w:sz w:val="21"/>
                <w:szCs w:val="21"/>
                <w:lang w:val="en-US" w:eastAsia="zh-CN"/>
              </w:rPr>
              <w:t>注塑车间</w:t>
            </w:r>
          </w:p>
        </w:tc>
      </w:tr>
      <w:tr w14:paraId="09ECC0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34AE90B6">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rPr>
              <w:t>2</w:t>
            </w:r>
          </w:p>
        </w:tc>
        <w:tc>
          <w:tcPr>
            <w:tcW w:w="2935" w:type="dxa"/>
            <w:tcBorders>
              <w:tl2br w:val="nil"/>
              <w:tr2bl w:val="nil"/>
            </w:tcBorders>
            <w:vAlign w:val="center"/>
          </w:tcPr>
          <w:p w14:paraId="57DD46E2">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注塑机</w:t>
            </w:r>
          </w:p>
        </w:tc>
        <w:tc>
          <w:tcPr>
            <w:tcW w:w="1734" w:type="dxa"/>
            <w:tcBorders>
              <w:tl2br w:val="nil"/>
              <w:tr2bl w:val="nil"/>
            </w:tcBorders>
            <w:vAlign w:val="center"/>
          </w:tcPr>
          <w:p w14:paraId="35E1BD5C">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260T</w:t>
            </w:r>
          </w:p>
        </w:tc>
        <w:tc>
          <w:tcPr>
            <w:tcW w:w="1367" w:type="dxa"/>
            <w:tcBorders>
              <w:tl2br w:val="nil"/>
              <w:tr2bl w:val="nil"/>
            </w:tcBorders>
            <w:vAlign w:val="center"/>
          </w:tcPr>
          <w:p w14:paraId="34681E3B">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2台</w:t>
            </w:r>
          </w:p>
        </w:tc>
        <w:tc>
          <w:tcPr>
            <w:tcW w:w="1858" w:type="dxa"/>
            <w:vMerge w:val="continue"/>
            <w:tcBorders>
              <w:tl2br w:val="nil"/>
              <w:tr2bl w:val="nil"/>
            </w:tcBorders>
            <w:vAlign w:val="center"/>
          </w:tcPr>
          <w:p w14:paraId="050CC26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1B30DF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24D82C50">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rPr>
              <w:t>3</w:t>
            </w:r>
          </w:p>
        </w:tc>
        <w:tc>
          <w:tcPr>
            <w:tcW w:w="2935" w:type="dxa"/>
            <w:tcBorders>
              <w:tl2br w:val="nil"/>
              <w:tr2bl w:val="nil"/>
            </w:tcBorders>
            <w:vAlign w:val="center"/>
          </w:tcPr>
          <w:p w14:paraId="1CB17CA4">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注塑机</w:t>
            </w:r>
          </w:p>
        </w:tc>
        <w:tc>
          <w:tcPr>
            <w:tcW w:w="1734" w:type="dxa"/>
            <w:tcBorders>
              <w:tl2br w:val="nil"/>
              <w:tr2bl w:val="nil"/>
            </w:tcBorders>
            <w:vAlign w:val="center"/>
          </w:tcPr>
          <w:p w14:paraId="556BB568">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380T</w:t>
            </w:r>
          </w:p>
        </w:tc>
        <w:tc>
          <w:tcPr>
            <w:tcW w:w="1367" w:type="dxa"/>
            <w:tcBorders>
              <w:tl2br w:val="nil"/>
              <w:tr2bl w:val="nil"/>
            </w:tcBorders>
            <w:vAlign w:val="center"/>
          </w:tcPr>
          <w:p w14:paraId="3565694C">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3台</w:t>
            </w:r>
          </w:p>
        </w:tc>
        <w:tc>
          <w:tcPr>
            <w:tcW w:w="1858" w:type="dxa"/>
            <w:vMerge w:val="continue"/>
            <w:tcBorders>
              <w:tl2br w:val="nil"/>
              <w:tr2bl w:val="nil"/>
            </w:tcBorders>
            <w:vAlign w:val="center"/>
          </w:tcPr>
          <w:p w14:paraId="70C565C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49AAA5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6B28FEFC">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rPr>
              <w:t>4</w:t>
            </w:r>
          </w:p>
        </w:tc>
        <w:tc>
          <w:tcPr>
            <w:tcW w:w="2935" w:type="dxa"/>
            <w:tcBorders>
              <w:tl2br w:val="nil"/>
              <w:tr2bl w:val="nil"/>
            </w:tcBorders>
            <w:vAlign w:val="center"/>
          </w:tcPr>
          <w:p w14:paraId="11C48D18">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注塑机</w:t>
            </w:r>
          </w:p>
        </w:tc>
        <w:tc>
          <w:tcPr>
            <w:tcW w:w="1734" w:type="dxa"/>
            <w:tcBorders>
              <w:tl2br w:val="nil"/>
              <w:tr2bl w:val="nil"/>
            </w:tcBorders>
            <w:vAlign w:val="center"/>
          </w:tcPr>
          <w:p w14:paraId="1EF6D24F">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470T</w:t>
            </w:r>
          </w:p>
        </w:tc>
        <w:tc>
          <w:tcPr>
            <w:tcW w:w="1367" w:type="dxa"/>
            <w:tcBorders>
              <w:tl2br w:val="nil"/>
              <w:tr2bl w:val="nil"/>
            </w:tcBorders>
            <w:vAlign w:val="center"/>
          </w:tcPr>
          <w:p w14:paraId="556735DF">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6台</w:t>
            </w:r>
          </w:p>
        </w:tc>
        <w:tc>
          <w:tcPr>
            <w:tcW w:w="1858" w:type="dxa"/>
            <w:vMerge w:val="continue"/>
            <w:tcBorders>
              <w:tl2br w:val="nil"/>
              <w:tr2bl w:val="nil"/>
            </w:tcBorders>
            <w:vAlign w:val="center"/>
          </w:tcPr>
          <w:p w14:paraId="0C8C60F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5C15A9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606C1EA1">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rPr>
              <w:t>5</w:t>
            </w:r>
          </w:p>
        </w:tc>
        <w:tc>
          <w:tcPr>
            <w:tcW w:w="2935" w:type="dxa"/>
            <w:tcBorders>
              <w:tl2br w:val="nil"/>
              <w:tr2bl w:val="nil"/>
            </w:tcBorders>
            <w:vAlign w:val="center"/>
          </w:tcPr>
          <w:p w14:paraId="2D846090">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注塑机</w:t>
            </w:r>
          </w:p>
        </w:tc>
        <w:tc>
          <w:tcPr>
            <w:tcW w:w="1734" w:type="dxa"/>
            <w:tcBorders>
              <w:tl2br w:val="nil"/>
              <w:tr2bl w:val="nil"/>
            </w:tcBorders>
            <w:vAlign w:val="center"/>
          </w:tcPr>
          <w:p w14:paraId="073A507F">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650T</w:t>
            </w:r>
          </w:p>
        </w:tc>
        <w:tc>
          <w:tcPr>
            <w:tcW w:w="1367" w:type="dxa"/>
            <w:tcBorders>
              <w:tl2br w:val="nil"/>
              <w:tr2bl w:val="nil"/>
            </w:tcBorders>
            <w:vAlign w:val="center"/>
          </w:tcPr>
          <w:p w14:paraId="7CD3E1DE">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3台</w:t>
            </w:r>
          </w:p>
        </w:tc>
        <w:tc>
          <w:tcPr>
            <w:tcW w:w="1858" w:type="dxa"/>
            <w:vMerge w:val="continue"/>
            <w:tcBorders>
              <w:tl2br w:val="nil"/>
              <w:tr2bl w:val="nil"/>
            </w:tcBorders>
            <w:vAlign w:val="center"/>
          </w:tcPr>
          <w:p w14:paraId="4E5C130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2968D9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7A6E76F5">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lang w:val="en-US" w:eastAsia="zh-CN"/>
              </w:rPr>
              <w:t>6</w:t>
            </w:r>
          </w:p>
        </w:tc>
        <w:tc>
          <w:tcPr>
            <w:tcW w:w="2935" w:type="dxa"/>
            <w:tcBorders>
              <w:tl2br w:val="nil"/>
              <w:tr2bl w:val="nil"/>
            </w:tcBorders>
            <w:vAlign w:val="center"/>
          </w:tcPr>
          <w:p w14:paraId="7328CFFB">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注塑机</w:t>
            </w:r>
          </w:p>
        </w:tc>
        <w:tc>
          <w:tcPr>
            <w:tcW w:w="1734" w:type="dxa"/>
            <w:tcBorders>
              <w:tl2br w:val="nil"/>
              <w:tr2bl w:val="nil"/>
            </w:tcBorders>
            <w:vAlign w:val="center"/>
          </w:tcPr>
          <w:p w14:paraId="45E1FCCC">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800T</w:t>
            </w:r>
          </w:p>
        </w:tc>
        <w:tc>
          <w:tcPr>
            <w:tcW w:w="1367" w:type="dxa"/>
            <w:tcBorders>
              <w:tl2br w:val="nil"/>
              <w:tr2bl w:val="nil"/>
            </w:tcBorders>
            <w:vAlign w:val="center"/>
          </w:tcPr>
          <w:p w14:paraId="66EC5DC6">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2台</w:t>
            </w:r>
          </w:p>
        </w:tc>
        <w:tc>
          <w:tcPr>
            <w:tcW w:w="1858" w:type="dxa"/>
            <w:vMerge w:val="continue"/>
            <w:tcBorders>
              <w:tl2br w:val="nil"/>
              <w:tr2bl w:val="nil"/>
            </w:tcBorders>
            <w:vAlign w:val="center"/>
          </w:tcPr>
          <w:p w14:paraId="17FFA68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0A4DCC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39A063E2">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rPr>
              <w:t>7</w:t>
            </w:r>
          </w:p>
        </w:tc>
        <w:tc>
          <w:tcPr>
            <w:tcW w:w="2935" w:type="dxa"/>
            <w:tcBorders>
              <w:tl2br w:val="nil"/>
              <w:tr2bl w:val="nil"/>
            </w:tcBorders>
            <w:vAlign w:val="center"/>
          </w:tcPr>
          <w:p w14:paraId="1092EE54">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注塑机</w:t>
            </w:r>
          </w:p>
        </w:tc>
        <w:tc>
          <w:tcPr>
            <w:tcW w:w="1734" w:type="dxa"/>
            <w:tcBorders>
              <w:tl2br w:val="nil"/>
              <w:tr2bl w:val="nil"/>
            </w:tcBorders>
            <w:vAlign w:val="center"/>
          </w:tcPr>
          <w:p w14:paraId="1B3E63B7">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900T</w:t>
            </w:r>
          </w:p>
        </w:tc>
        <w:tc>
          <w:tcPr>
            <w:tcW w:w="1367" w:type="dxa"/>
            <w:tcBorders>
              <w:tl2br w:val="nil"/>
              <w:tr2bl w:val="nil"/>
            </w:tcBorders>
            <w:vAlign w:val="center"/>
          </w:tcPr>
          <w:p w14:paraId="5D7E2740">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2台</w:t>
            </w:r>
          </w:p>
        </w:tc>
        <w:tc>
          <w:tcPr>
            <w:tcW w:w="1858" w:type="dxa"/>
            <w:vMerge w:val="continue"/>
            <w:tcBorders>
              <w:tl2br w:val="nil"/>
              <w:tr2bl w:val="nil"/>
            </w:tcBorders>
            <w:vAlign w:val="center"/>
          </w:tcPr>
          <w:p w14:paraId="0C2ECD9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037139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4A05DF03">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rPr>
              <w:t>8</w:t>
            </w:r>
          </w:p>
        </w:tc>
        <w:tc>
          <w:tcPr>
            <w:tcW w:w="2935" w:type="dxa"/>
            <w:tcBorders>
              <w:tl2br w:val="nil"/>
              <w:tr2bl w:val="nil"/>
            </w:tcBorders>
            <w:vAlign w:val="center"/>
          </w:tcPr>
          <w:p w14:paraId="4135A252">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注塑机</w:t>
            </w:r>
          </w:p>
        </w:tc>
        <w:tc>
          <w:tcPr>
            <w:tcW w:w="1734" w:type="dxa"/>
            <w:tcBorders>
              <w:tl2br w:val="nil"/>
              <w:tr2bl w:val="nil"/>
            </w:tcBorders>
            <w:vAlign w:val="center"/>
          </w:tcPr>
          <w:p w14:paraId="38CB734D">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1300T</w:t>
            </w:r>
          </w:p>
        </w:tc>
        <w:tc>
          <w:tcPr>
            <w:tcW w:w="1367" w:type="dxa"/>
            <w:tcBorders>
              <w:tl2br w:val="nil"/>
              <w:tr2bl w:val="nil"/>
            </w:tcBorders>
            <w:vAlign w:val="center"/>
          </w:tcPr>
          <w:p w14:paraId="26EB1884">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2台</w:t>
            </w:r>
          </w:p>
        </w:tc>
        <w:tc>
          <w:tcPr>
            <w:tcW w:w="1858" w:type="dxa"/>
            <w:vMerge w:val="continue"/>
            <w:tcBorders>
              <w:tl2br w:val="nil"/>
              <w:tr2bl w:val="nil"/>
            </w:tcBorders>
            <w:vAlign w:val="center"/>
          </w:tcPr>
          <w:p w14:paraId="4577BFC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1E8AB6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1EC9FEE9">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rPr>
              <w:t>9</w:t>
            </w:r>
          </w:p>
        </w:tc>
        <w:tc>
          <w:tcPr>
            <w:tcW w:w="2935" w:type="dxa"/>
            <w:tcBorders>
              <w:tl2br w:val="nil"/>
              <w:tr2bl w:val="nil"/>
            </w:tcBorders>
            <w:vAlign w:val="center"/>
          </w:tcPr>
          <w:p w14:paraId="1FBE66C1">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注塑机</w:t>
            </w:r>
          </w:p>
        </w:tc>
        <w:tc>
          <w:tcPr>
            <w:tcW w:w="1734" w:type="dxa"/>
            <w:tcBorders>
              <w:tl2br w:val="nil"/>
              <w:tr2bl w:val="nil"/>
            </w:tcBorders>
            <w:vAlign w:val="center"/>
          </w:tcPr>
          <w:p w14:paraId="1DBEE936">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2400T</w:t>
            </w:r>
          </w:p>
        </w:tc>
        <w:tc>
          <w:tcPr>
            <w:tcW w:w="1367" w:type="dxa"/>
            <w:tcBorders>
              <w:tl2br w:val="nil"/>
              <w:tr2bl w:val="nil"/>
            </w:tcBorders>
            <w:vAlign w:val="center"/>
          </w:tcPr>
          <w:p w14:paraId="5EBEC158">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1台</w:t>
            </w:r>
          </w:p>
        </w:tc>
        <w:tc>
          <w:tcPr>
            <w:tcW w:w="1858" w:type="dxa"/>
            <w:vMerge w:val="continue"/>
            <w:tcBorders>
              <w:tl2br w:val="nil"/>
              <w:tr2bl w:val="nil"/>
            </w:tcBorders>
            <w:vAlign w:val="center"/>
          </w:tcPr>
          <w:p w14:paraId="12B667A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277FC9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30A86669">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rPr>
              <w:t>10</w:t>
            </w:r>
          </w:p>
        </w:tc>
        <w:tc>
          <w:tcPr>
            <w:tcW w:w="2935" w:type="dxa"/>
            <w:tcBorders>
              <w:tl2br w:val="nil"/>
              <w:tr2bl w:val="nil"/>
            </w:tcBorders>
            <w:vAlign w:val="center"/>
          </w:tcPr>
          <w:p w14:paraId="1DB96FEA">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注塑机（双色机）</w:t>
            </w:r>
          </w:p>
        </w:tc>
        <w:tc>
          <w:tcPr>
            <w:tcW w:w="1734" w:type="dxa"/>
            <w:tcBorders>
              <w:tl2br w:val="nil"/>
              <w:tr2bl w:val="nil"/>
            </w:tcBorders>
            <w:vAlign w:val="center"/>
          </w:tcPr>
          <w:p w14:paraId="26445FD2">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FB-200R</w:t>
            </w:r>
          </w:p>
        </w:tc>
        <w:tc>
          <w:tcPr>
            <w:tcW w:w="1367" w:type="dxa"/>
            <w:tcBorders>
              <w:tl2br w:val="nil"/>
              <w:tr2bl w:val="nil"/>
            </w:tcBorders>
            <w:vAlign w:val="center"/>
          </w:tcPr>
          <w:p w14:paraId="6F873A08">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1台</w:t>
            </w:r>
          </w:p>
        </w:tc>
        <w:tc>
          <w:tcPr>
            <w:tcW w:w="1858" w:type="dxa"/>
            <w:vMerge w:val="continue"/>
            <w:tcBorders>
              <w:tl2br w:val="nil"/>
              <w:tr2bl w:val="nil"/>
            </w:tcBorders>
            <w:vAlign w:val="center"/>
          </w:tcPr>
          <w:p w14:paraId="3B31359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35A0B2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3A96B584">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rPr>
              <w:t>11</w:t>
            </w:r>
          </w:p>
        </w:tc>
        <w:tc>
          <w:tcPr>
            <w:tcW w:w="2935" w:type="dxa"/>
            <w:tcBorders>
              <w:tl2br w:val="nil"/>
              <w:tr2bl w:val="nil"/>
            </w:tcBorders>
            <w:vAlign w:val="center"/>
          </w:tcPr>
          <w:p w14:paraId="1CA86E94">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注塑机（双色机）</w:t>
            </w:r>
          </w:p>
        </w:tc>
        <w:tc>
          <w:tcPr>
            <w:tcW w:w="1734" w:type="dxa"/>
            <w:tcBorders>
              <w:tl2br w:val="nil"/>
              <w:tr2bl w:val="nil"/>
            </w:tcBorders>
            <w:vAlign w:val="center"/>
          </w:tcPr>
          <w:p w14:paraId="4982DDEC">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FB-700R</w:t>
            </w:r>
          </w:p>
        </w:tc>
        <w:tc>
          <w:tcPr>
            <w:tcW w:w="1367" w:type="dxa"/>
            <w:tcBorders>
              <w:tl2br w:val="nil"/>
              <w:tr2bl w:val="nil"/>
            </w:tcBorders>
            <w:vAlign w:val="center"/>
          </w:tcPr>
          <w:p w14:paraId="6058DB22">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2台</w:t>
            </w:r>
          </w:p>
        </w:tc>
        <w:tc>
          <w:tcPr>
            <w:tcW w:w="1858" w:type="dxa"/>
            <w:vMerge w:val="continue"/>
            <w:tcBorders>
              <w:tl2br w:val="nil"/>
              <w:tr2bl w:val="nil"/>
            </w:tcBorders>
            <w:vAlign w:val="center"/>
          </w:tcPr>
          <w:p w14:paraId="4835E87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5C4DB1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191D87FD">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rPr>
              <w:t>12</w:t>
            </w:r>
          </w:p>
        </w:tc>
        <w:tc>
          <w:tcPr>
            <w:tcW w:w="2935" w:type="dxa"/>
            <w:tcBorders>
              <w:tl2br w:val="nil"/>
              <w:tr2bl w:val="nil"/>
            </w:tcBorders>
            <w:vAlign w:val="center"/>
          </w:tcPr>
          <w:p w14:paraId="667DF25E">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注塑机（双色机）</w:t>
            </w:r>
          </w:p>
        </w:tc>
        <w:tc>
          <w:tcPr>
            <w:tcW w:w="1734" w:type="dxa"/>
            <w:tcBorders>
              <w:tl2br w:val="nil"/>
              <w:tr2bl w:val="nil"/>
            </w:tcBorders>
            <w:vAlign w:val="center"/>
          </w:tcPr>
          <w:p w14:paraId="5413465B">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FB-1250R</w:t>
            </w:r>
          </w:p>
        </w:tc>
        <w:tc>
          <w:tcPr>
            <w:tcW w:w="1367" w:type="dxa"/>
            <w:tcBorders>
              <w:tl2br w:val="nil"/>
              <w:tr2bl w:val="nil"/>
            </w:tcBorders>
            <w:vAlign w:val="center"/>
          </w:tcPr>
          <w:p w14:paraId="00134C32">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1台</w:t>
            </w:r>
          </w:p>
        </w:tc>
        <w:tc>
          <w:tcPr>
            <w:tcW w:w="1858" w:type="dxa"/>
            <w:vMerge w:val="continue"/>
            <w:tcBorders>
              <w:tl2br w:val="nil"/>
              <w:tr2bl w:val="nil"/>
            </w:tcBorders>
            <w:vAlign w:val="center"/>
          </w:tcPr>
          <w:p w14:paraId="493421B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1FC1CD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607846B4">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rPr>
              <w:t>13</w:t>
            </w:r>
          </w:p>
        </w:tc>
        <w:tc>
          <w:tcPr>
            <w:tcW w:w="2935" w:type="dxa"/>
            <w:tcBorders>
              <w:tl2br w:val="nil"/>
              <w:tr2bl w:val="nil"/>
            </w:tcBorders>
            <w:vAlign w:val="center"/>
          </w:tcPr>
          <w:p w14:paraId="6F4B6B9A">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包覆作业工作台</w:t>
            </w:r>
          </w:p>
        </w:tc>
        <w:tc>
          <w:tcPr>
            <w:tcW w:w="1734" w:type="dxa"/>
            <w:tcBorders>
              <w:tl2br w:val="nil"/>
              <w:tr2bl w:val="nil"/>
            </w:tcBorders>
            <w:vAlign w:val="center"/>
          </w:tcPr>
          <w:p w14:paraId="641D776D">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1.4米*0.9米</w:t>
            </w:r>
          </w:p>
        </w:tc>
        <w:tc>
          <w:tcPr>
            <w:tcW w:w="1367" w:type="dxa"/>
            <w:tcBorders>
              <w:tl2br w:val="nil"/>
              <w:tr2bl w:val="nil"/>
            </w:tcBorders>
            <w:vAlign w:val="center"/>
          </w:tcPr>
          <w:p w14:paraId="45254622">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20个</w:t>
            </w:r>
          </w:p>
        </w:tc>
        <w:tc>
          <w:tcPr>
            <w:tcW w:w="1858" w:type="dxa"/>
            <w:vMerge w:val="restart"/>
            <w:tcBorders>
              <w:tl2br w:val="nil"/>
              <w:tr2bl w:val="nil"/>
            </w:tcBorders>
            <w:vAlign w:val="center"/>
          </w:tcPr>
          <w:p w14:paraId="4B6D061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color w:val="auto"/>
                <w:spacing w:val="4"/>
                <w:sz w:val="21"/>
                <w:szCs w:val="21"/>
                <w:lang w:val="en-US" w:eastAsia="zh-CN"/>
              </w:rPr>
              <w:t>包覆车间</w:t>
            </w:r>
          </w:p>
        </w:tc>
      </w:tr>
      <w:tr w14:paraId="228A13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26E2F7C2">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rPr>
              <w:t>14</w:t>
            </w:r>
          </w:p>
        </w:tc>
        <w:tc>
          <w:tcPr>
            <w:tcW w:w="2935" w:type="dxa"/>
            <w:tcBorders>
              <w:tl2br w:val="nil"/>
              <w:tr2bl w:val="nil"/>
            </w:tcBorders>
            <w:vAlign w:val="center"/>
          </w:tcPr>
          <w:p w14:paraId="7CFF3D1B">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真空吸附设备</w:t>
            </w:r>
          </w:p>
        </w:tc>
        <w:tc>
          <w:tcPr>
            <w:tcW w:w="1734" w:type="dxa"/>
            <w:tcBorders>
              <w:tl2br w:val="nil"/>
              <w:tr2bl w:val="nil"/>
            </w:tcBorders>
            <w:vAlign w:val="center"/>
          </w:tcPr>
          <w:p w14:paraId="71BE01A0">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2米*1.2米</w:t>
            </w:r>
          </w:p>
        </w:tc>
        <w:tc>
          <w:tcPr>
            <w:tcW w:w="1367" w:type="dxa"/>
            <w:tcBorders>
              <w:tl2br w:val="nil"/>
              <w:tr2bl w:val="nil"/>
            </w:tcBorders>
            <w:vAlign w:val="center"/>
          </w:tcPr>
          <w:p w14:paraId="002A7836">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4台</w:t>
            </w:r>
          </w:p>
        </w:tc>
        <w:tc>
          <w:tcPr>
            <w:tcW w:w="1858" w:type="dxa"/>
            <w:vMerge w:val="continue"/>
            <w:tcBorders>
              <w:tl2br w:val="nil"/>
              <w:tr2bl w:val="nil"/>
            </w:tcBorders>
            <w:vAlign w:val="center"/>
          </w:tcPr>
          <w:p w14:paraId="165D520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42F818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1B6179E5">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rPr>
              <w:t>15</w:t>
            </w:r>
          </w:p>
        </w:tc>
        <w:tc>
          <w:tcPr>
            <w:tcW w:w="2935" w:type="dxa"/>
            <w:tcBorders>
              <w:tl2br w:val="nil"/>
              <w:tr2bl w:val="nil"/>
            </w:tcBorders>
            <w:vAlign w:val="center"/>
          </w:tcPr>
          <w:p w14:paraId="66C14E4D">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热压机</w:t>
            </w:r>
          </w:p>
        </w:tc>
        <w:tc>
          <w:tcPr>
            <w:tcW w:w="1734" w:type="dxa"/>
            <w:tcBorders>
              <w:tl2br w:val="nil"/>
              <w:tr2bl w:val="nil"/>
            </w:tcBorders>
            <w:vAlign w:val="center"/>
          </w:tcPr>
          <w:p w14:paraId="42862C16">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0.9米*1.6米</w:t>
            </w:r>
          </w:p>
        </w:tc>
        <w:tc>
          <w:tcPr>
            <w:tcW w:w="1367" w:type="dxa"/>
            <w:tcBorders>
              <w:tl2br w:val="nil"/>
              <w:tr2bl w:val="nil"/>
            </w:tcBorders>
            <w:vAlign w:val="center"/>
          </w:tcPr>
          <w:p w14:paraId="434A0B4A">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2台</w:t>
            </w:r>
          </w:p>
        </w:tc>
        <w:tc>
          <w:tcPr>
            <w:tcW w:w="1858" w:type="dxa"/>
            <w:vMerge w:val="continue"/>
            <w:tcBorders>
              <w:tl2br w:val="nil"/>
              <w:tr2bl w:val="nil"/>
            </w:tcBorders>
            <w:vAlign w:val="center"/>
          </w:tcPr>
          <w:p w14:paraId="1AEC345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055802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69C58386">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rPr>
              <w:t>16</w:t>
            </w:r>
          </w:p>
        </w:tc>
        <w:tc>
          <w:tcPr>
            <w:tcW w:w="2935" w:type="dxa"/>
            <w:tcBorders>
              <w:tl2br w:val="nil"/>
              <w:tr2bl w:val="nil"/>
            </w:tcBorders>
            <w:vAlign w:val="center"/>
          </w:tcPr>
          <w:p w14:paraId="52D713B3">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裁床</w:t>
            </w:r>
          </w:p>
        </w:tc>
        <w:tc>
          <w:tcPr>
            <w:tcW w:w="1734" w:type="dxa"/>
            <w:tcBorders>
              <w:tl2br w:val="nil"/>
              <w:tr2bl w:val="nil"/>
            </w:tcBorders>
            <w:vAlign w:val="center"/>
          </w:tcPr>
          <w:p w14:paraId="78404941">
            <w:pPr>
              <w:keepNext w:val="0"/>
              <w:keepLines w:val="0"/>
              <w:pageBreakBefore w:val="0"/>
              <w:widowControl/>
              <w:wordWrap/>
              <w:overflowPunct/>
              <w:topLinePunct w:val="0"/>
              <w:bidi w:val="0"/>
              <w:jc w:val="center"/>
              <w:rPr>
                <w:rFonts w:hint="default" w:ascii="Times New Roman" w:hAnsi="Times New Roman" w:eastAsia="宋体" w:cs="Times New Roman"/>
                <w:color w:val="auto"/>
                <w:spacing w:val="4"/>
                <w:sz w:val="21"/>
                <w:szCs w:val="21"/>
                <w:lang w:val="en-US" w:eastAsia="zh-CN"/>
              </w:rPr>
            </w:pPr>
          </w:p>
        </w:tc>
        <w:tc>
          <w:tcPr>
            <w:tcW w:w="1367" w:type="dxa"/>
            <w:tcBorders>
              <w:tl2br w:val="nil"/>
              <w:tr2bl w:val="nil"/>
            </w:tcBorders>
            <w:vAlign w:val="center"/>
          </w:tcPr>
          <w:p w14:paraId="28B87960">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1台</w:t>
            </w:r>
          </w:p>
        </w:tc>
        <w:tc>
          <w:tcPr>
            <w:tcW w:w="1858" w:type="dxa"/>
            <w:vMerge w:val="continue"/>
            <w:tcBorders>
              <w:tl2br w:val="nil"/>
              <w:tr2bl w:val="nil"/>
            </w:tcBorders>
            <w:vAlign w:val="center"/>
          </w:tcPr>
          <w:p w14:paraId="0F5BC73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543EC3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60F88252">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rPr>
              <w:t>17</w:t>
            </w:r>
          </w:p>
        </w:tc>
        <w:tc>
          <w:tcPr>
            <w:tcW w:w="2935" w:type="dxa"/>
            <w:tcBorders>
              <w:tl2br w:val="nil"/>
              <w:tr2bl w:val="nil"/>
            </w:tcBorders>
            <w:vAlign w:val="center"/>
          </w:tcPr>
          <w:p w14:paraId="6B883A52">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缝纫机</w:t>
            </w:r>
          </w:p>
        </w:tc>
        <w:tc>
          <w:tcPr>
            <w:tcW w:w="1734" w:type="dxa"/>
            <w:tcBorders>
              <w:tl2br w:val="nil"/>
              <w:tr2bl w:val="nil"/>
            </w:tcBorders>
            <w:vAlign w:val="center"/>
          </w:tcPr>
          <w:p w14:paraId="7AE5F432">
            <w:pPr>
              <w:keepNext w:val="0"/>
              <w:keepLines w:val="0"/>
              <w:pageBreakBefore w:val="0"/>
              <w:widowControl/>
              <w:wordWrap/>
              <w:overflowPunct/>
              <w:topLinePunct w:val="0"/>
              <w:bidi w:val="0"/>
              <w:jc w:val="center"/>
              <w:rPr>
                <w:rFonts w:hint="default" w:ascii="Times New Roman" w:hAnsi="Times New Roman" w:eastAsia="宋体" w:cs="Times New Roman"/>
                <w:color w:val="auto"/>
                <w:spacing w:val="4"/>
                <w:sz w:val="21"/>
                <w:szCs w:val="21"/>
                <w:lang w:val="en-US" w:eastAsia="zh-CN"/>
              </w:rPr>
            </w:pPr>
          </w:p>
        </w:tc>
        <w:tc>
          <w:tcPr>
            <w:tcW w:w="1367" w:type="dxa"/>
            <w:tcBorders>
              <w:tl2br w:val="nil"/>
              <w:tr2bl w:val="nil"/>
            </w:tcBorders>
            <w:vAlign w:val="center"/>
          </w:tcPr>
          <w:p w14:paraId="1A71FBFA">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6台</w:t>
            </w:r>
          </w:p>
        </w:tc>
        <w:tc>
          <w:tcPr>
            <w:tcW w:w="1858" w:type="dxa"/>
            <w:vMerge w:val="continue"/>
            <w:tcBorders>
              <w:tl2br w:val="nil"/>
              <w:tr2bl w:val="nil"/>
            </w:tcBorders>
            <w:vAlign w:val="center"/>
          </w:tcPr>
          <w:p w14:paraId="6CAF752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24A907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4C00F7BA">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lang w:val="en-US" w:eastAsia="zh-CN"/>
              </w:rPr>
              <w:t>18</w:t>
            </w:r>
          </w:p>
        </w:tc>
        <w:tc>
          <w:tcPr>
            <w:tcW w:w="2935" w:type="dxa"/>
            <w:tcBorders>
              <w:tl2br w:val="nil"/>
              <w:tr2bl w:val="nil"/>
            </w:tcBorders>
            <w:vAlign w:val="center"/>
          </w:tcPr>
          <w:p w14:paraId="51FDB0B5">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喷胶柜</w:t>
            </w:r>
          </w:p>
        </w:tc>
        <w:tc>
          <w:tcPr>
            <w:tcW w:w="1734" w:type="dxa"/>
            <w:tcBorders>
              <w:tl2br w:val="nil"/>
              <w:tr2bl w:val="nil"/>
            </w:tcBorders>
            <w:vAlign w:val="center"/>
          </w:tcPr>
          <w:p w14:paraId="4B7A7F27">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2.4米*1.8米</w:t>
            </w:r>
          </w:p>
        </w:tc>
        <w:tc>
          <w:tcPr>
            <w:tcW w:w="1367" w:type="dxa"/>
            <w:tcBorders>
              <w:tl2br w:val="nil"/>
              <w:tr2bl w:val="nil"/>
            </w:tcBorders>
            <w:vAlign w:val="center"/>
          </w:tcPr>
          <w:p w14:paraId="1D31D676">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4个</w:t>
            </w:r>
          </w:p>
        </w:tc>
        <w:tc>
          <w:tcPr>
            <w:tcW w:w="1858" w:type="dxa"/>
            <w:vMerge w:val="continue"/>
            <w:tcBorders>
              <w:tl2br w:val="nil"/>
              <w:tr2bl w:val="nil"/>
            </w:tcBorders>
            <w:vAlign w:val="center"/>
          </w:tcPr>
          <w:p w14:paraId="758236E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049C31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7293A366">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lang w:val="en-US" w:eastAsia="zh-CN"/>
              </w:rPr>
              <w:t>19</w:t>
            </w:r>
          </w:p>
        </w:tc>
        <w:tc>
          <w:tcPr>
            <w:tcW w:w="2935" w:type="dxa"/>
            <w:tcBorders>
              <w:tl2br w:val="nil"/>
              <w:tr2bl w:val="nil"/>
            </w:tcBorders>
            <w:vAlign w:val="center"/>
          </w:tcPr>
          <w:p w14:paraId="407A608B">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工作台上加温箱</w:t>
            </w:r>
          </w:p>
        </w:tc>
        <w:tc>
          <w:tcPr>
            <w:tcW w:w="1734" w:type="dxa"/>
            <w:tcBorders>
              <w:tl2br w:val="nil"/>
              <w:tr2bl w:val="nil"/>
            </w:tcBorders>
            <w:vAlign w:val="center"/>
          </w:tcPr>
          <w:p w14:paraId="09E07392">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p>
        </w:tc>
        <w:tc>
          <w:tcPr>
            <w:tcW w:w="1367" w:type="dxa"/>
            <w:tcBorders>
              <w:tl2br w:val="nil"/>
              <w:tr2bl w:val="nil"/>
            </w:tcBorders>
            <w:vAlign w:val="center"/>
          </w:tcPr>
          <w:p w14:paraId="73F9170E">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10个</w:t>
            </w:r>
          </w:p>
        </w:tc>
        <w:tc>
          <w:tcPr>
            <w:tcW w:w="1858" w:type="dxa"/>
            <w:vMerge w:val="continue"/>
            <w:tcBorders>
              <w:tl2br w:val="nil"/>
              <w:tr2bl w:val="nil"/>
            </w:tcBorders>
            <w:vAlign w:val="center"/>
          </w:tcPr>
          <w:p w14:paraId="3AA280B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5824E5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0647E630">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lang w:val="en-US" w:eastAsia="zh-CN"/>
              </w:rPr>
              <w:t>20</w:t>
            </w:r>
          </w:p>
        </w:tc>
        <w:tc>
          <w:tcPr>
            <w:tcW w:w="2935" w:type="dxa"/>
            <w:tcBorders>
              <w:tl2br w:val="nil"/>
              <w:tr2bl w:val="nil"/>
            </w:tcBorders>
            <w:vAlign w:val="center"/>
          </w:tcPr>
          <w:p w14:paraId="13300258">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加温烤炉</w:t>
            </w:r>
          </w:p>
        </w:tc>
        <w:tc>
          <w:tcPr>
            <w:tcW w:w="1734" w:type="dxa"/>
            <w:tcBorders>
              <w:tl2br w:val="nil"/>
              <w:tr2bl w:val="nil"/>
            </w:tcBorders>
            <w:vAlign w:val="center"/>
          </w:tcPr>
          <w:p w14:paraId="7B606C0D">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p>
        </w:tc>
        <w:tc>
          <w:tcPr>
            <w:tcW w:w="1367" w:type="dxa"/>
            <w:tcBorders>
              <w:tl2br w:val="nil"/>
              <w:tr2bl w:val="nil"/>
            </w:tcBorders>
            <w:vAlign w:val="center"/>
          </w:tcPr>
          <w:p w14:paraId="0A82F01D">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2个</w:t>
            </w:r>
          </w:p>
        </w:tc>
        <w:tc>
          <w:tcPr>
            <w:tcW w:w="1858" w:type="dxa"/>
            <w:vMerge w:val="continue"/>
            <w:tcBorders>
              <w:tl2br w:val="nil"/>
              <w:tr2bl w:val="nil"/>
            </w:tcBorders>
            <w:vAlign w:val="center"/>
          </w:tcPr>
          <w:p w14:paraId="621CAE2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76995F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6968EE05">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lang w:val="en-US" w:eastAsia="zh-CN"/>
              </w:rPr>
              <w:t>21</w:t>
            </w:r>
          </w:p>
        </w:tc>
        <w:tc>
          <w:tcPr>
            <w:tcW w:w="2935" w:type="dxa"/>
            <w:tcBorders>
              <w:tl2br w:val="nil"/>
              <w:tr2bl w:val="nil"/>
            </w:tcBorders>
            <w:vAlign w:val="center"/>
          </w:tcPr>
          <w:p w14:paraId="4B17B606">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PU发泡设备</w:t>
            </w:r>
          </w:p>
        </w:tc>
        <w:tc>
          <w:tcPr>
            <w:tcW w:w="1734" w:type="dxa"/>
            <w:tcBorders>
              <w:tl2br w:val="nil"/>
              <w:tr2bl w:val="nil"/>
            </w:tcBorders>
            <w:vAlign w:val="center"/>
          </w:tcPr>
          <w:p w14:paraId="21F422AA">
            <w:pPr>
              <w:keepNext w:val="0"/>
              <w:keepLines w:val="0"/>
              <w:pageBreakBefore w:val="0"/>
              <w:widowControl/>
              <w:wordWrap/>
              <w:overflowPunct/>
              <w:topLinePunct w:val="0"/>
              <w:bidi w:val="0"/>
              <w:jc w:val="center"/>
              <w:rPr>
                <w:rFonts w:hint="default" w:ascii="Times New Roman" w:hAnsi="Times New Roman" w:eastAsia="宋体" w:cs="Times New Roman"/>
                <w:color w:val="auto"/>
                <w:spacing w:val="4"/>
                <w:sz w:val="21"/>
                <w:szCs w:val="21"/>
                <w:lang w:val="en-US" w:eastAsia="zh-CN"/>
              </w:rPr>
            </w:pPr>
          </w:p>
        </w:tc>
        <w:tc>
          <w:tcPr>
            <w:tcW w:w="1367" w:type="dxa"/>
            <w:tcBorders>
              <w:tl2br w:val="nil"/>
              <w:tr2bl w:val="nil"/>
            </w:tcBorders>
            <w:vAlign w:val="center"/>
          </w:tcPr>
          <w:p w14:paraId="1118E1D4">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1台</w:t>
            </w:r>
          </w:p>
        </w:tc>
        <w:tc>
          <w:tcPr>
            <w:tcW w:w="1858" w:type="dxa"/>
            <w:vMerge w:val="continue"/>
            <w:tcBorders>
              <w:tl2br w:val="nil"/>
              <w:tr2bl w:val="nil"/>
            </w:tcBorders>
            <w:vAlign w:val="center"/>
          </w:tcPr>
          <w:p w14:paraId="079394A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4EB7F6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1FC7EDF0">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lang w:val="en-US" w:eastAsia="zh-CN"/>
              </w:rPr>
              <w:t>22</w:t>
            </w:r>
          </w:p>
        </w:tc>
        <w:tc>
          <w:tcPr>
            <w:tcW w:w="2935" w:type="dxa"/>
            <w:tcBorders>
              <w:tl2br w:val="nil"/>
              <w:tr2bl w:val="nil"/>
            </w:tcBorders>
            <w:vAlign w:val="center"/>
          </w:tcPr>
          <w:p w14:paraId="164EC547">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涂装线体</w:t>
            </w:r>
          </w:p>
        </w:tc>
        <w:tc>
          <w:tcPr>
            <w:tcW w:w="1734" w:type="dxa"/>
            <w:tcBorders>
              <w:tl2br w:val="nil"/>
              <w:tr2bl w:val="nil"/>
            </w:tcBorders>
            <w:vAlign w:val="center"/>
          </w:tcPr>
          <w:p w14:paraId="790D14F1">
            <w:pPr>
              <w:keepNext w:val="0"/>
              <w:keepLines w:val="0"/>
              <w:pageBreakBefore w:val="0"/>
              <w:widowControl/>
              <w:wordWrap/>
              <w:overflowPunct/>
              <w:topLinePunct w:val="0"/>
              <w:bidi w:val="0"/>
              <w:jc w:val="center"/>
              <w:rPr>
                <w:rFonts w:hint="default" w:ascii="Times New Roman" w:hAnsi="Times New Roman" w:eastAsia="宋体" w:cs="Times New Roman"/>
                <w:color w:val="auto"/>
                <w:spacing w:val="4"/>
                <w:sz w:val="21"/>
                <w:szCs w:val="21"/>
                <w:lang w:val="en-US" w:eastAsia="zh-CN"/>
              </w:rPr>
            </w:pPr>
          </w:p>
        </w:tc>
        <w:tc>
          <w:tcPr>
            <w:tcW w:w="1367" w:type="dxa"/>
            <w:tcBorders>
              <w:tl2br w:val="nil"/>
              <w:tr2bl w:val="nil"/>
            </w:tcBorders>
            <w:vAlign w:val="center"/>
          </w:tcPr>
          <w:p w14:paraId="1F68415E">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3条</w:t>
            </w:r>
          </w:p>
        </w:tc>
        <w:tc>
          <w:tcPr>
            <w:tcW w:w="1858" w:type="dxa"/>
            <w:vMerge w:val="restart"/>
            <w:tcBorders>
              <w:tl2br w:val="nil"/>
              <w:tr2bl w:val="nil"/>
            </w:tcBorders>
            <w:vAlign w:val="center"/>
          </w:tcPr>
          <w:p w14:paraId="1BA8C9E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color w:val="auto"/>
                <w:spacing w:val="4"/>
                <w:sz w:val="21"/>
                <w:szCs w:val="21"/>
                <w:lang w:val="en-US" w:eastAsia="zh-CN"/>
              </w:rPr>
              <w:t>涂装车间</w:t>
            </w:r>
          </w:p>
        </w:tc>
      </w:tr>
      <w:tr w14:paraId="383F77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3B9D8DDF">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lang w:val="en-US" w:eastAsia="zh-CN"/>
              </w:rPr>
              <w:t>23</w:t>
            </w:r>
          </w:p>
        </w:tc>
        <w:tc>
          <w:tcPr>
            <w:tcW w:w="2935" w:type="dxa"/>
            <w:tcBorders>
              <w:tl2br w:val="nil"/>
              <w:tr2bl w:val="nil"/>
            </w:tcBorders>
            <w:vAlign w:val="center"/>
          </w:tcPr>
          <w:p w14:paraId="34D93495">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喷房</w:t>
            </w:r>
          </w:p>
        </w:tc>
        <w:tc>
          <w:tcPr>
            <w:tcW w:w="1734" w:type="dxa"/>
            <w:tcBorders>
              <w:tl2br w:val="nil"/>
              <w:tr2bl w:val="nil"/>
            </w:tcBorders>
            <w:vAlign w:val="center"/>
          </w:tcPr>
          <w:p w14:paraId="51AFDF75">
            <w:pPr>
              <w:keepNext w:val="0"/>
              <w:keepLines w:val="0"/>
              <w:pageBreakBefore w:val="0"/>
              <w:widowControl/>
              <w:wordWrap/>
              <w:overflowPunct/>
              <w:topLinePunct w:val="0"/>
              <w:bidi w:val="0"/>
              <w:jc w:val="center"/>
              <w:rPr>
                <w:rFonts w:hint="default" w:ascii="Times New Roman" w:hAnsi="Times New Roman" w:eastAsia="宋体" w:cs="Times New Roman"/>
                <w:color w:val="auto"/>
                <w:spacing w:val="4"/>
                <w:sz w:val="21"/>
                <w:szCs w:val="21"/>
                <w:lang w:val="en-US" w:eastAsia="zh-CN"/>
              </w:rPr>
            </w:pPr>
          </w:p>
        </w:tc>
        <w:tc>
          <w:tcPr>
            <w:tcW w:w="1367" w:type="dxa"/>
            <w:tcBorders>
              <w:tl2br w:val="nil"/>
              <w:tr2bl w:val="nil"/>
            </w:tcBorders>
            <w:vAlign w:val="center"/>
          </w:tcPr>
          <w:p w14:paraId="1E23BA70">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12个</w:t>
            </w:r>
          </w:p>
        </w:tc>
        <w:tc>
          <w:tcPr>
            <w:tcW w:w="1858" w:type="dxa"/>
            <w:vMerge w:val="continue"/>
            <w:tcBorders>
              <w:tl2br w:val="nil"/>
              <w:tr2bl w:val="nil"/>
            </w:tcBorders>
            <w:vAlign w:val="center"/>
          </w:tcPr>
          <w:p w14:paraId="6F9B7F2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53BB71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42DC481B">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lang w:val="en-US" w:eastAsia="zh-CN"/>
              </w:rPr>
              <w:t>24</w:t>
            </w:r>
          </w:p>
        </w:tc>
        <w:tc>
          <w:tcPr>
            <w:tcW w:w="2935" w:type="dxa"/>
            <w:tcBorders>
              <w:tl2br w:val="nil"/>
              <w:tr2bl w:val="nil"/>
            </w:tcBorders>
            <w:shd w:val="clear" w:color="auto" w:fill="auto"/>
            <w:vAlign w:val="center"/>
          </w:tcPr>
          <w:p w14:paraId="1325DA5F">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snapToGrid w:val="0"/>
                <w:color w:val="auto"/>
                <w:spacing w:val="4"/>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往复喷涂机械手</w:t>
            </w:r>
          </w:p>
        </w:tc>
        <w:tc>
          <w:tcPr>
            <w:tcW w:w="1734" w:type="dxa"/>
            <w:tcBorders>
              <w:tl2br w:val="nil"/>
              <w:tr2bl w:val="nil"/>
            </w:tcBorders>
            <w:shd w:val="clear" w:color="auto" w:fill="auto"/>
            <w:vAlign w:val="center"/>
          </w:tcPr>
          <w:p w14:paraId="0B818DAF">
            <w:pPr>
              <w:keepNext w:val="0"/>
              <w:keepLines w:val="0"/>
              <w:pageBreakBefore w:val="0"/>
              <w:widowControl/>
              <w:wordWrap/>
              <w:overflowPunct/>
              <w:topLinePunct w:val="0"/>
              <w:bidi w:val="0"/>
              <w:jc w:val="center"/>
              <w:rPr>
                <w:rFonts w:hint="default" w:ascii="Times New Roman" w:hAnsi="Times New Roman" w:eastAsia="宋体" w:cs="Times New Roman"/>
                <w:snapToGrid w:val="0"/>
                <w:color w:val="auto"/>
                <w:spacing w:val="4"/>
                <w:kern w:val="0"/>
                <w:sz w:val="21"/>
                <w:szCs w:val="21"/>
                <w:lang w:val="en-US" w:eastAsia="zh-CN" w:bidi="ar-SA"/>
              </w:rPr>
            </w:pPr>
          </w:p>
        </w:tc>
        <w:tc>
          <w:tcPr>
            <w:tcW w:w="1367" w:type="dxa"/>
            <w:tcBorders>
              <w:tl2br w:val="nil"/>
              <w:tr2bl w:val="nil"/>
            </w:tcBorders>
            <w:shd w:val="clear" w:color="auto" w:fill="auto"/>
            <w:vAlign w:val="center"/>
          </w:tcPr>
          <w:p w14:paraId="33E6140E">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snapToGrid w:val="0"/>
                <w:color w:val="auto"/>
                <w:spacing w:val="4"/>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8个</w:t>
            </w:r>
          </w:p>
        </w:tc>
        <w:tc>
          <w:tcPr>
            <w:tcW w:w="1858" w:type="dxa"/>
            <w:vMerge w:val="continue"/>
            <w:tcBorders>
              <w:tl2br w:val="nil"/>
              <w:tr2bl w:val="nil"/>
            </w:tcBorders>
            <w:vAlign w:val="center"/>
          </w:tcPr>
          <w:p w14:paraId="5FE2CE1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79E99E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5A019EED">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lang w:val="en-US" w:eastAsia="zh-CN"/>
              </w:rPr>
              <w:t>25</w:t>
            </w:r>
          </w:p>
        </w:tc>
        <w:tc>
          <w:tcPr>
            <w:tcW w:w="2935" w:type="dxa"/>
            <w:tcBorders>
              <w:tl2br w:val="nil"/>
              <w:tr2bl w:val="nil"/>
            </w:tcBorders>
            <w:shd w:val="clear" w:color="auto" w:fill="auto"/>
            <w:vAlign w:val="center"/>
          </w:tcPr>
          <w:p w14:paraId="6FA97D4F">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snapToGrid w:val="0"/>
                <w:color w:val="auto"/>
                <w:spacing w:val="4"/>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PVD真空镀炉</w:t>
            </w:r>
          </w:p>
        </w:tc>
        <w:tc>
          <w:tcPr>
            <w:tcW w:w="1734" w:type="dxa"/>
            <w:tcBorders>
              <w:tl2br w:val="nil"/>
              <w:tr2bl w:val="nil"/>
            </w:tcBorders>
            <w:shd w:val="clear" w:color="auto" w:fill="auto"/>
            <w:vAlign w:val="center"/>
          </w:tcPr>
          <w:p w14:paraId="77CB81C2">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snapToGrid w:val="0"/>
                <w:color w:val="auto"/>
                <w:spacing w:val="4"/>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1.8米*2米</w:t>
            </w:r>
          </w:p>
        </w:tc>
        <w:tc>
          <w:tcPr>
            <w:tcW w:w="1367" w:type="dxa"/>
            <w:tcBorders>
              <w:tl2br w:val="nil"/>
              <w:tr2bl w:val="nil"/>
            </w:tcBorders>
            <w:shd w:val="clear" w:color="auto" w:fill="auto"/>
            <w:vAlign w:val="center"/>
          </w:tcPr>
          <w:p w14:paraId="6212DF9D">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snapToGrid w:val="0"/>
                <w:color w:val="auto"/>
                <w:spacing w:val="4"/>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2个</w:t>
            </w:r>
          </w:p>
        </w:tc>
        <w:tc>
          <w:tcPr>
            <w:tcW w:w="1858" w:type="dxa"/>
            <w:vMerge w:val="continue"/>
            <w:tcBorders>
              <w:tl2br w:val="nil"/>
              <w:tr2bl w:val="nil"/>
            </w:tcBorders>
            <w:vAlign w:val="center"/>
          </w:tcPr>
          <w:p w14:paraId="10942A0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69B03B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0FC634F0">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lang w:val="en-US" w:eastAsia="zh-CN"/>
              </w:rPr>
              <w:t>26</w:t>
            </w:r>
          </w:p>
        </w:tc>
        <w:tc>
          <w:tcPr>
            <w:tcW w:w="2935" w:type="dxa"/>
            <w:tcBorders>
              <w:tl2br w:val="nil"/>
              <w:tr2bl w:val="nil"/>
            </w:tcBorders>
            <w:shd w:val="clear" w:color="auto" w:fill="auto"/>
            <w:vAlign w:val="center"/>
          </w:tcPr>
          <w:p w14:paraId="7E855CCC">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auto"/>
                <w:spacing w:val="4"/>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皮带拉线</w:t>
            </w:r>
          </w:p>
        </w:tc>
        <w:tc>
          <w:tcPr>
            <w:tcW w:w="1734" w:type="dxa"/>
            <w:tcBorders>
              <w:tl2br w:val="nil"/>
              <w:tr2bl w:val="nil"/>
            </w:tcBorders>
            <w:shd w:val="clear" w:color="auto" w:fill="auto"/>
            <w:vAlign w:val="center"/>
          </w:tcPr>
          <w:p w14:paraId="065DBC71">
            <w:pPr>
              <w:keepNext w:val="0"/>
              <w:keepLines w:val="0"/>
              <w:pageBreakBefore w:val="0"/>
              <w:widowControl/>
              <w:wordWrap/>
              <w:overflowPunct/>
              <w:topLinePunct w:val="0"/>
              <w:bidi w:val="0"/>
              <w:jc w:val="center"/>
              <w:rPr>
                <w:rFonts w:hint="default" w:ascii="Times New Roman" w:hAnsi="Times New Roman" w:eastAsia="宋体" w:cs="Times New Roman"/>
                <w:snapToGrid w:val="0"/>
                <w:color w:val="auto"/>
                <w:spacing w:val="4"/>
                <w:kern w:val="0"/>
                <w:sz w:val="21"/>
                <w:szCs w:val="21"/>
                <w:lang w:val="en-US" w:eastAsia="zh-CN" w:bidi="ar-SA"/>
              </w:rPr>
            </w:pPr>
          </w:p>
        </w:tc>
        <w:tc>
          <w:tcPr>
            <w:tcW w:w="1367" w:type="dxa"/>
            <w:tcBorders>
              <w:tl2br w:val="nil"/>
              <w:tr2bl w:val="nil"/>
            </w:tcBorders>
            <w:shd w:val="clear" w:color="auto" w:fill="auto"/>
            <w:vAlign w:val="center"/>
          </w:tcPr>
          <w:p w14:paraId="73246899">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auto"/>
                <w:spacing w:val="4"/>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4条</w:t>
            </w:r>
          </w:p>
        </w:tc>
        <w:tc>
          <w:tcPr>
            <w:tcW w:w="1858" w:type="dxa"/>
            <w:vMerge w:val="restart"/>
            <w:tcBorders>
              <w:tl2br w:val="nil"/>
              <w:tr2bl w:val="nil"/>
            </w:tcBorders>
            <w:vAlign w:val="center"/>
          </w:tcPr>
          <w:p w14:paraId="4C8D630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color w:val="auto"/>
                <w:spacing w:val="4"/>
                <w:sz w:val="21"/>
                <w:szCs w:val="21"/>
                <w:lang w:val="en-US" w:eastAsia="zh-CN"/>
              </w:rPr>
              <w:t>组装车间</w:t>
            </w:r>
          </w:p>
        </w:tc>
      </w:tr>
      <w:tr w14:paraId="1FB314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55BB6042">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lang w:val="en-US" w:eastAsia="zh-CN"/>
              </w:rPr>
              <w:t>27</w:t>
            </w:r>
          </w:p>
        </w:tc>
        <w:tc>
          <w:tcPr>
            <w:tcW w:w="2935" w:type="dxa"/>
            <w:tcBorders>
              <w:tl2br w:val="nil"/>
              <w:tr2bl w:val="nil"/>
            </w:tcBorders>
            <w:shd w:val="clear" w:color="auto" w:fill="auto"/>
            <w:vAlign w:val="center"/>
          </w:tcPr>
          <w:p w14:paraId="0BD3AFA0">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FF0000"/>
                <w:spacing w:val="4"/>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热熔焊接机</w:t>
            </w:r>
          </w:p>
        </w:tc>
        <w:tc>
          <w:tcPr>
            <w:tcW w:w="1734" w:type="dxa"/>
            <w:tcBorders>
              <w:tl2br w:val="nil"/>
              <w:tr2bl w:val="nil"/>
            </w:tcBorders>
            <w:shd w:val="clear" w:color="auto" w:fill="auto"/>
            <w:vAlign w:val="center"/>
          </w:tcPr>
          <w:p w14:paraId="79FE001C">
            <w:pPr>
              <w:keepNext w:val="0"/>
              <w:keepLines w:val="0"/>
              <w:pageBreakBefore w:val="0"/>
              <w:widowControl/>
              <w:wordWrap/>
              <w:overflowPunct/>
              <w:topLinePunct w:val="0"/>
              <w:bidi w:val="0"/>
              <w:jc w:val="center"/>
              <w:rPr>
                <w:rFonts w:hint="default" w:ascii="Times New Roman" w:hAnsi="Times New Roman" w:eastAsia="宋体" w:cs="Times New Roman"/>
                <w:snapToGrid w:val="0"/>
                <w:color w:val="FF0000"/>
                <w:spacing w:val="4"/>
                <w:kern w:val="0"/>
                <w:sz w:val="21"/>
                <w:szCs w:val="21"/>
                <w:lang w:val="en-US" w:eastAsia="zh-CN" w:bidi="ar-SA"/>
              </w:rPr>
            </w:pPr>
          </w:p>
        </w:tc>
        <w:tc>
          <w:tcPr>
            <w:tcW w:w="1367" w:type="dxa"/>
            <w:tcBorders>
              <w:tl2br w:val="nil"/>
              <w:tr2bl w:val="nil"/>
            </w:tcBorders>
            <w:shd w:val="clear" w:color="auto" w:fill="auto"/>
            <w:vAlign w:val="center"/>
          </w:tcPr>
          <w:p w14:paraId="78E7B5AC">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FF0000"/>
                <w:spacing w:val="4"/>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4台</w:t>
            </w:r>
          </w:p>
        </w:tc>
        <w:tc>
          <w:tcPr>
            <w:tcW w:w="1858" w:type="dxa"/>
            <w:vMerge w:val="continue"/>
            <w:tcBorders>
              <w:tl2br w:val="nil"/>
              <w:tr2bl w:val="nil"/>
            </w:tcBorders>
            <w:vAlign w:val="center"/>
          </w:tcPr>
          <w:p w14:paraId="0523DAF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71E2B0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6D3D64F4">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z w:val="21"/>
                <w:szCs w:val="21"/>
                <w:highlight w:val="none"/>
                <w:lang w:val="en-US" w:eastAsia="zh-CN"/>
              </w:rPr>
              <w:t>28</w:t>
            </w:r>
          </w:p>
        </w:tc>
        <w:tc>
          <w:tcPr>
            <w:tcW w:w="2935" w:type="dxa"/>
            <w:tcBorders>
              <w:tl2br w:val="nil"/>
              <w:tr2bl w:val="nil"/>
            </w:tcBorders>
            <w:shd w:val="clear" w:color="auto" w:fill="auto"/>
            <w:vAlign w:val="center"/>
          </w:tcPr>
          <w:p w14:paraId="23D0FAC2">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FF0000"/>
                <w:spacing w:val="4"/>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超声波焊接机</w:t>
            </w:r>
          </w:p>
        </w:tc>
        <w:tc>
          <w:tcPr>
            <w:tcW w:w="1734" w:type="dxa"/>
            <w:tcBorders>
              <w:tl2br w:val="nil"/>
              <w:tr2bl w:val="nil"/>
            </w:tcBorders>
            <w:shd w:val="clear" w:color="auto" w:fill="auto"/>
            <w:vAlign w:val="center"/>
          </w:tcPr>
          <w:p w14:paraId="751618E6">
            <w:pPr>
              <w:keepNext w:val="0"/>
              <w:keepLines w:val="0"/>
              <w:pageBreakBefore w:val="0"/>
              <w:widowControl/>
              <w:wordWrap/>
              <w:overflowPunct/>
              <w:topLinePunct w:val="0"/>
              <w:bidi w:val="0"/>
              <w:jc w:val="center"/>
              <w:rPr>
                <w:rFonts w:hint="default" w:ascii="Times New Roman" w:hAnsi="Times New Roman" w:eastAsia="宋体" w:cs="Times New Roman"/>
                <w:snapToGrid w:val="0"/>
                <w:color w:val="FF0000"/>
                <w:spacing w:val="4"/>
                <w:kern w:val="0"/>
                <w:sz w:val="21"/>
                <w:szCs w:val="21"/>
                <w:lang w:val="en-US" w:eastAsia="zh-CN" w:bidi="ar-SA"/>
              </w:rPr>
            </w:pPr>
          </w:p>
        </w:tc>
        <w:tc>
          <w:tcPr>
            <w:tcW w:w="1367" w:type="dxa"/>
            <w:tcBorders>
              <w:tl2br w:val="nil"/>
              <w:tr2bl w:val="nil"/>
            </w:tcBorders>
            <w:shd w:val="clear" w:color="auto" w:fill="auto"/>
            <w:vAlign w:val="center"/>
          </w:tcPr>
          <w:p w14:paraId="3CD13ED0">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FF0000"/>
                <w:spacing w:val="4"/>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6台</w:t>
            </w:r>
          </w:p>
        </w:tc>
        <w:tc>
          <w:tcPr>
            <w:tcW w:w="1858" w:type="dxa"/>
            <w:vMerge w:val="continue"/>
            <w:tcBorders>
              <w:tl2br w:val="nil"/>
              <w:tr2bl w:val="nil"/>
            </w:tcBorders>
            <w:vAlign w:val="center"/>
          </w:tcPr>
          <w:p w14:paraId="1E5C0A4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p>
        </w:tc>
      </w:tr>
      <w:tr w14:paraId="03A638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1059EB92">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FF0000"/>
                <w:spacing w:val="4"/>
                <w:sz w:val="21"/>
                <w:szCs w:val="21"/>
                <w:lang w:val="en-US" w:eastAsia="zh-CN"/>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29</w:t>
            </w:r>
          </w:p>
        </w:tc>
        <w:tc>
          <w:tcPr>
            <w:tcW w:w="2935" w:type="dxa"/>
            <w:tcBorders>
              <w:tl2br w:val="nil"/>
              <w:tr2bl w:val="nil"/>
            </w:tcBorders>
            <w:shd w:val="clear" w:color="auto" w:fill="auto"/>
            <w:vAlign w:val="center"/>
          </w:tcPr>
          <w:p w14:paraId="02251D7F">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FF0000"/>
                <w:spacing w:val="4"/>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热板焊接机</w:t>
            </w:r>
          </w:p>
        </w:tc>
        <w:tc>
          <w:tcPr>
            <w:tcW w:w="1734" w:type="dxa"/>
            <w:tcBorders>
              <w:tl2br w:val="nil"/>
              <w:tr2bl w:val="nil"/>
            </w:tcBorders>
            <w:shd w:val="clear" w:color="auto" w:fill="auto"/>
            <w:vAlign w:val="center"/>
          </w:tcPr>
          <w:p w14:paraId="2344049D">
            <w:pPr>
              <w:keepNext w:val="0"/>
              <w:keepLines w:val="0"/>
              <w:pageBreakBefore w:val="0"/>
              <w:widowControl/>
              <w:wordWrap/>
              <w:overflowPunct/>
              <w:topLinePunct w:val="0"/>
              <w:bidi w:val="0"/>
              <w:jc w:val="center"/>
              <w:rPr>
                <w:rFonts w:hint="default" w:ascii="Times New Roman" w:hAnsi="Times New Roman" w:eastAsia="宋体" w:cs="Times New Roman"/>
                <w:snapToGrid w:val="0"/>
                <w:color w:val="FF0000"/>
                <w:spacing w:val="4"/>
                <w:kern w:val="0"/>
                <w:sz w:val="21"/>
                <w:szCs w:val="21"/>
                <w:lang w:val="en-US" w:eastAsia="zh-CN" w:bidi="ar-SA"/>
              </w:rPr>
            </w:pPr>
          </w:p>
        </w:tc>
        <w:tc>
          <w:tcPr>
            <w:tcW w:w="1367" w:type="dxa"/>
            <w:tcBorders>
              <w:tl2br w:val="nil"/>
              <w:tr2bl w:val="nil"/>
            </w:tcBorders>
            <w:shd w:val="clear" w:color="auto" w:fill="auto"/>
            <w:vAlign w:val="center"/>
          </w:tcPr>
          <w:p w14:paraId="3A8ABDB2">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FF0000"/>
                <w:spacing w:val="4"/>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1台</w:t>
            </w:r>
          </w:p>
        </w:tc>
        <w:tc>
          <w:tcPr>
            <w:tcW w:w="1858" w:type="dxa"/>
            <w:vMerge w:val="continue"/>
            <w:tcBorders>
              <w:tl2br w:val="nil"/>
              <w:tr2bl w:val="nil"/>
            </w:tcBorders>
            <w:vAlign w:val="center"/>
          </w:tcPr>
          <w:p w14:paraId="53CCA36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4"/>
                <w:sz w:val="21"/>
                <w:szCs w:val="21"/>
                <w:lang w:val="en-US" w:eastAsia="zh-CN"/>
              </w:rPr>
            </w:pPr>
          </w:p>
        </w:tc>
      </w:tr>
      <w:tr w14:paraId="5773D7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194CCEFC">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FF0000"/>
                <w:spacing w:val="4"/>
                <w:sz w:val="21"/>
                <w:szCs w:val="21"/>
                <w:lang w:val="en-US" w:eastAsia="zh-CN"/>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30</w:t>
            </w:r>
          </w:p>
        </w:tc>
        <w:tc>
          <w:tcPr>
            <w:tcW w:w="2935" w:type="dxa"/>
            <w:tcBorders>
              <w:tl2br w:val="nil"/>
              <w:tr2bl w:val="nil"/>
            </w:tcBorders>
            <w:shd w:val="clear" w:color="auto" w:fill="auto"/>
            <w:vAlign w:val="center"/>
          </w:tcPr>
          <w:p w14:paraId="381C183D">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auto"/>
                <w:spacing w:val="4"/>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塑料破碎机</w:t>
            </w:r>
          </w:p>
        </w:tc>
        <w:tc>
          <w:tcPr>
            <w:tcW w:w="1734" w:type="dxa"/>
            <w:tcBorders>
              <w:tl2br w:val="nil"/>
              <w:tr2bl w:val="nil"/>
            </w:tcBorders>
            <w:shd w:val="clear" w:color="auto" w:fill="auto"/>
            <w:vAlign w:val="center"/>
          </w:tcPr>
          <w:p w14:paraId="35053E6C">
            <w:pPr>
              <w:keepNext w:val="0"/>
              <w:keepLines w:val="0"/>
              <w:pageBreakBefore w:val="0"/>
              <w:widowControl/>
              <w:wordWrap/>
              <w:overflowPunct/>
              <w:topLinePunct w:val="0"/>
              <w:bidi w:val="0"/>
              <w:jc w:val="center"/>
              <w:rPr>
                <w:rFonts w:hint="default" w:ascii="Times New Roman" w:hAnsi="Times New Roman" w:eastAsia="宋体" w:cs="Times New Roman"/>
                <w:snapToGrid w:val="0"/>
                <w:color w:val="FF0000"/>
                <w:spacing w:val="4"/>
                <w:kern w:val="0"/>
                <w:sz w:val="21"/>
                <w:szCs w:val="21"/>
                <w:lang w:val="en-US" w:eastAsia="zh-CN" w:bidi="ar-SA"/>
              </w:rPr>
            </w:pPr>
          </w:p>
        </w:tc>
        <w:tc>
          <w:tcPr>
            <w:tcW w:w="1367" w:type="dxa"/>
            <w:tcBorders>
              <w:tl2br w:val="nil"/>
              <w:tr2bl w:val="nil"/>
            </w:tcBorders>
            <w:shd w:val="clear" w:color="auto" w:fill="auto"/>
            <w:vAlign w:val="center"/>
          </w:tcPr>
          <w:p w14:paraId="572C4703">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FF0000"/>
                <w:spacing w:val="4"/>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2台</w:t>
            </w:r>
          </w:p>
        </w:tc>
        <w:tc>
          <w:tcPr>
            <w:tcW w:w="1858" w:type="dxa"/>
            <w:tcBorders>
              <w:tl2br w:val="nil"/>
              <w:tr2bl w:val="nil"/>
            </w:tcBorders>
            <w:vAlign w:val="center"/>
          </w:tcPr>
          <w:p w14:paraId="7847A0B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4"/>
                <w:sz w:val="21"/>
                <w:szCs w:val="21"/>
                <w:lang w:val="en-US" w:eastAsia="zh-CN"/>
              </w:rPr>
            </w:pPr>
          </w:p>
        </w:tc>
      </w:tr>
      <w:tr w14:paraId="27B455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0453DAC5">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FF0000"/>
                <w:spacing w:val="4"/>
                <w:sz w:val="21"/>
                <w:szCs w:val="21"/>
                <w:lang w:val="en-US" w:eastAsia="zh-CN"/>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31</w:t>
            </w:r>
          </w:p>
        </w:tc>
        <w:tc>
          <w:tcPr>
            <w:tcW w:w="2935" w:type="dxa"/>
            <w:tcBorders>
              <w:tl2br w:val="nil"/>
              <w:tr2bl w:val="nil"/>
            </w:tcBorders>
            <w:shd w:val="clear" w:color="auto" w:fill="auto"/>
            <w:vAlign w:val="center"/>
          </w:tcPr>
          <w:p w14:paraId="6C49261F">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auto"/>
                <w:spacing w:val="4"/>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塑料烤料机</w:t>
            </w:r>
          </w:p>
        </w:tc>
        <w:tc>
          <w:tcPr>
            <w:tcW w:w="1734" w:type="dxa"/>
            <w:tcBorders>
              <w:tl2br w:val="nil"/>
              <w:tr2bl w:val="nil"/>
            </w:tcBorders>
            <w:shd w:val="clear" w:color="auto" w:fill="auto"/>
            <w:vAlign w:val="center"/>
          </w:tcPr>
          <w:p w14:paraId="5E755EA5">
            <w:pPr>
              <w:keepNext w:val="0"/>
              <w:keepLines w:val="0"/>
              <w:pageBreakBefore w:val="0"/>
              <w:widowControl/>
              <w:wordWrap/>
              <w:overflowPunct/>
              <w:topLinePunct w:val="0"/>
              <w:bidi w:val="0"/>
              <w:jc w:val="center"/>
              <w:rPr>
                <w:rFonts w:hint="default" w:ascii="Times New Roman" w:hAnsi="Times New Roman" w:eastAsia="宋体" w:cs="Times New Roman"/>
                <w:snapToGrid w:val="0"/>
                <w:color w:val="FF0000"/>
                <w:spacing w:val="4"/>
                <w:kern w:val="0"/>
                <w:sz w:val="21"/>
                <w:szCs w:val="21"/>
                <w:lang w:val="en-US" w:eastAsia="zh-CN" w:bidi="ar-SA"/>
              </w:rPr>
            </w:pPr>
          </w:p>
        </w:tc>
        <w:tc>
          <w:tcPr>
            <w:tcW w:w="1367" w:type="dxa"/>
            <w:tcBorders>
              <w:tl2br w:val="nil"/>
              <w:tr2bl w:val="nil"/>
            </w:tcBorders>
            <w:shd w:val="clear" w:color="auto" w:fill="auto"/>
            <w:vAlign w:val="center"/>
          </w:tcPr>
          <w:p w14:paraId="314BCE40">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FF0000"/>
                <w:spacing w:val="4"/>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4台</w:t>
            </w:r>
          </w:p>
        </w:tc>
        <w:tc>
          <w:tcPr>
            <w:tcW w:w="1858" w:type="dxa"/>
            <w:tcBorders>
              <w:tl2br w:val="nil"/>
              <w:tr2bl w:val="nil"/>
            </w:tcBorders>
            <w:vAlign w:val="center"/>
          </w:tcPr>
          <w:p w14:paraId="08AD8AB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4"/>
                <w:sz w:val="21"/>
                <w:szCs w:val="21"/>
                <w:lang w:val="en-US" w:eastAsia="zh-CN"/>
              </w:rPr>
            </w:pPr>
          </w:p>
        </w:tc>
      </w:tr>
      <w:tr w14:paraId="27DAD0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181E9AD6">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color w:val="auto"/>
                <w:spacing w:val="4"/>
                <w:sz w:val="21"/>
                <w:szCs w:val="21"/>
                <w:lang w:val="en-US" w:eastAsia="zh-CN"/>
              </w:rPr>
              <w:t>32</w:t>
            </w:r>
          </w:p>
        </w:tc>
        <w:tc>
          <w:tcPr>
            <w:tcW w:w="2935" w:type="dxa"/>
            <w:tcBorders>
              <w:tl2br w:val="nil"/>
              <w:tr2bl w:val="nil"/>
            </w:tcBorders>
            <w:shd w:val="clear" w:color="auto" w:fill="auto"/>
            <w:vAlign w:val="center"/>
          </w:tcPr>
          <w:p w14:paraId="4818282E">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auto"/>
                <w:spacing w:val="4"/>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装塑料粒子料筒</w:t>
            </w:r>
          </w:p>
        </w:tc>
        <w:tc>
          <w:tcPr>
            <w:tcW w:w="1734" w:type="dxa"/>
            <w:tcBorders>
              <w:tl2br w:val="nil"/>
              <w:tr2bl w:val="nil"/>
            </w:tcBorders>
            <w:shd w:val="clear" w:color="auto" w:fill="auto"/>
            <w:vAlign w:val="center"/>
          </w:tcPr>
          <w:p w14:paraId="5CC02BEE">
            <w:pPr>
              <w:keepNext w:val="0"/>
              <w:keepLines w:val="0"/>
              <w:pageBreakBefore w:val="0"/>
              <w:widowControl/>
              <w:wordWrap/>
              <w:overflowPunct/>
              <w:topLinePunct w:val="0"/>
              <w:bidi w:val="0"/>
              <w:jc w:val="center"/>
              <w:rPr>
                <w:rFonts w:hint="default" w:ascii="Times New Roman" w:hAnsi="Times New Roman" w:eastAsia="宋体" w:cs="Times New Roman"/>
                <w:snapToGrid w:val="0"/>
                <w:color w:val="FF0000"/>
                <w:spacing w:val="4"/>
                <w:kern w:val="0"/>
                <w:sz w:val="21"/>
                <w:szCs w:val="21"/>
                <w:lang w:val="en-US" w:eastAsia="zh-CN" w:bidi="ar-SA"/>
              </w:rPr>
            </w:pPr>
          </w:p>
        </w:tc>
        <w:tc>
          <w:tcPr>
            <w:tcW w:w="1367" w:type="dxa"/>
            <w:tcBorders>
              <w:tl2br w:val="nil"/>
              <w:tr2bl w:val="nil"/>
            </w:tcBorders>
            <w:shd w:val="clear" w:color="auto" w:fill="auto"/>
            <w:vAlign w:val="center"/>
          </w:tcPr>
          <w:p w14:paraId="5DE0B827">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FF0000"/>
                <w:spacing w:val="4"/>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28台</w:t>
            </w:r>
          </w:p>
        </w:tc>
        <w:tc>
          <w:tcPr>
            <w:tcW w:w="1858" w:type="dxa"/>
            <w:tcBorders>
              <w:tl2br w:val="nil"/>
              <w:tr2bl w:val="nil"/>
            </w:tcBorders>
            <w:vAlign w:val="center"/>
          </w:tcPr>
          <w:p w14:paraId="03EF822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4"/>
                <w:sz w:val="21"/>
                <w:szCs w:val="21"/>
                <w:lang w:val="en-US" w:eastAsia="zh-CN"/>
              </w:rPr>
            </w:pPr>
          </w:p>
        </w:tc>
      </w:tr>
      <w:tr w14:paraId="4BC052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4A16D483">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color w:val="auto"/>
                <w:spacing w:val="4"/>
                <w:sz w:val="21"/>
                <w:szCs w:val="21"/>
                <w:lang w:val="en-US" w:eastAsia="zh-CN"/>
              </w:rPr>
              <w:t>33</w:t>
            </w:r>
          </w:p>
        </w:tc>
        <w:tc>
          <w:tcPr>
            <w:tcW w:w="2935" w:type="dxa"/>
            <w:tcBorders>
              <w:tl2br w:val="nil"/>
              <w:tr2bl w:val="nil"/>
            </w:tcBorders>
            <w:shd w:val="clear" w:color="auto" w:fill="auto"/>
            <w:vAlign w:val="center"/>
          </w:tcPr>
          <w:p w14:paraId="5281AE7D">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auto"/>
                <w:spacing w:val="4"/>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空气压缩机</w:t>
            </w:r>
          </w:p>
        </w:tc>
        <w:tc>
          <w:tcPr>
            <w:tcW w:w="1734" w:type="dxa"/>
            <w:tcBorders>
              <w:tl2br w:val="nil"/>
              <w:tr2bl w:val="nil"/>
            </w:tcBorders>
            <w:shd w:val="clear" w:color="auto" w:fill="auto"/>
            <w:vAlign w:val="center"/>
          </w:tcPr>
          <w:p w14:paraId="44C38C2F">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FF0000"/>
                <w:spacing w:val="4"/>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75KW</w:t>
            </w:r>
          </w:p>
        </w:tc>
        <w:tc>
          <w:tcPr>
            <w:tcW w:w="1367" w:type="dxa"/>
            <w:tcBorders>
              <w:tl2br w:val="nil"/>
              <w:tr2bl w:val="nil"/>
            </w:tcBorders>
            <w:shd w:val="clear" w:color="auto" w:fill="auto"/>
            <w:vAlign w:val="center"/>
          </w:tcPr>
          <w:p w14:paraId="1AFD829D">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FF0000"/>
                <w:spacing w:val="4"/>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4台</w:t>
            </w:r>
          </w:p>
        </w:tc>
        <w:tc>
          <w:tcPr>
            <w:tcW w:w="1858" w:type="dxa"/>
            <w:tcBorders>
              <w:tl2br w:val="nil"/>
              <w:tr2bl w:val="nil"/>
            </w:tcBorders>
            <w:vAlign w:val="center"/>
          </w:tcPr>
          <w:p w14:paraId="3720A39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4"/>
                <w:sz w:val="21"/>
                <w:szCs w:val="21"/>
                <w:lang w:val="en-US" w:eastAsia="zh-CN"/>
              </w:rPr>
            </w:pPr>
          </w:p>
        </w:tc>
      </w:tr>
      <w:tr w14:paraId="2CC3F6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3B744936">
            <w:pPr>
              <w:pStyle w:val="37"/>
              <w:keepNext w:val="0"/>
              <w:keepLines w:val="0"/>
              <w:pageBreakBefore w:val="0"/>
              <w:widowControl/>
              <w:wordWrap/>
              <w:overflowPunct/>
              <w:topLinePunct w:val="0"/>
              <w:bidi w:val="0"/>
              <w:ind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color w:val="auto"/>
                <w:spacing w:val="4"/>
                <w:sz w:val="21"/>
                <w:szCs w:val="21"/>
                <w:lang w:val="en-US" w:eastAsia="zh-CN"/>
              </w:rPr>
              <w:t>34</w:t>
            </w:r>
          </w:p>
        </w:tc>
        <w:tc>
          <w:tcPr>
            <w:tcW w:w="2935" w:type="dxa"/>
            <w:tcBorders>
              <w:tl2br w:val="nil"/>
              <w:tr2bl w:val="nil"/>
            </w:tcBorders>
            <w:shd w:val="clear" w:color="auto" w:fill="auto"/>
            <w:vAlign w:val="center"/>
          </w:tcPr>
          <w:p w14:paraId="0C9DF09C">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auto"/>
                <w:spacing w:val="4"/>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吊车</w:t>
            </w:r>
          </w:p>
        </w:tc>
        <w:tc>
          <w:tcPr>
            <w:tcW w:w="1734" w:type="dxa"/>
            <w:tcBorders>
              <w:tl2br w:val="nil"/>
              <w:tr2bl w:val="nil"/>
            </w:tcBorders>
            <w:shd w:val="clear" w:color="auto" w:fill="auto"/>
            <w:vAlign w:val="center"/>
          </w:tcPr>
          <w:p w14:paraId="515E6FF3">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FF0000"/>
                <w:spacing w:val="4"/>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25吨</w:t>
            </w:r>
          </w:p>
        </w:tc>
        <w:tc>
          <w:tcPr>
            <w:tcW w:w="1367" w:type="dxa"/>
            <w:tcBorders>
              <w:tl2br w:val="nil"/>
              <w:tr2bl w:val="nil"/>
            </w:tcBorders>
            <w:shd w:val="clear" w:color="auto" w:fill="auto"/>
            <w:vAlign w:val="center"/>
          </w:tcPr>
          <w:p w14:paraId="3F867D04">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FF0000"/>
                <w:spacing w:val="4"/>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1台</w:t>
            </w:r>
          </w:p>
        </w:tc>
        <w:tc>
          <w:tcPr>
            <w:tcW w:w="1858" w:type="dxa"/>
            <w:tcBorders>
              <w:tl2br w:val="nil"/>
              <w:tr2bl w:val="nil"/>
            </w:tcBorders>
            <w:vAlign w:val="center"/>
          </w:tcPr>
          <w:p w14:paraId="54C8EF0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4"/>
                <w:sz w:val="21"/>
                <w:szCs w:val="21"/>
                <w:lang w:val="en-US" w:eastAsia="zh-CN"/>
              </w:rPr>
            </w:pPr>
          </w:p>
        </w:tc>
      </w:tr>
      <w:tr w14:paraId="68F7B2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0710DBC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color w:val="auto"/>
                <w:spacing w:val="4"/>
                <w:sz w:val="21"/>
                <w:szCs w:val="21"/>
                <w:lang w:val="en-US" w:eastAsia="zh-CN"/>
              </w:rPr>
              <w:t>35</w:t>
            </w:r>
          </w:p>
        </w:tc>
        <w:tc>
          <w:tcPr>
            <w:tcW w:w="2935" w:type="dxa"/>
            <w:tcBorders>
              <w:tl2br w:val="nil"/>
              <w:tr2bl w:val="nil"/>
            </w:tcBorders>
            <w:shd w:val="clear" w:color="auto" w:fill="auto"/>
            <w:vAlign w:val="center"/>
          </w:tcPr>
          <w:p w14:paraId="0B54374C">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auto"/>
                <w:spacing w:val="4"/>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吊车</w:t>
            </w:r>
          </w:p>
        </w:tc>
        <w:tc>
          <w:tcPr>
            <w:tcW w:w="1734" w:type="dxa"/>
            <w:tcBorders>
              <w:tl2br w:val="nil"/>
              <w:tr2bl w:val="nil"/>
            </w:tcBorders>
            <w:shd w:val="clear" w:color="auto" w:fill="auto"/>
            <w:vAlign w:val="center"/>
          </w:tcPr>
          <w:p w14:paraId="23204193">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FF0000"/>
                <w:spacing w:val="4"/>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10吨</w:t>
            </w:r>
          </w:p>
        </w:tc>
        <w:tc>
          <w:tcPr>
            <w:tcW w:w="1367" w:type="dxa"/>
            <w:tcBorders>
              <w:tl2br w:val="nil"/>
              <w:tr2bl w:val="nil"/>
            </w:tcBorders>
            <w:shd w:val="clear" w:color="auto" w:fill="auto"/>
            <w:vAlign w:val="center"/>
          </w:tcPr>
          <w:p w14:paraId="3C633E6D">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FF0000"/>
                <w:spacing w:val="4"/>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1台</w:t>
            </w:r>
          </w:p>
        </w:tc>
        <w:tc>
          <w:tcPr>
            <w:tcW w:w="1858" w:type="dxa"/>
            <w:tcBorders>
              <w:tl2br w:val="nil"/>
              <w:tr2bl w:val="nil"/>
            </w:tcBorders>
            <w:vAlign w:val="center"/>
          </w:tcPr>
          <w:p w14:paraId="05BDA93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4"/>
                <w:sz w:val="21"/>
                <w:szCs w:val="21"/>
                <w:lang w:val="en-US" w:eastAsia="zh-CN"/>
              </w:rPr>
            </w:pPr>
          </w:p>
        </w:tc>
      </w:tr>
      <w:tr w14:paraId="769137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64C1DD9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color w:val="auto"/>
                <w:spacing w:val="4"/>
                <w:sz w:val="21"/>
                <w:szCs w:val="21"/>
                <w:lang w:val="en-US" w:eastAsia="zh-CN"/>
              </w:rPr>
              <w:t>36</w:t>
            </w:r>
          </w:p>
        </w:tc>
        <w:tc>
          <w:tcPr>
            <w:tcW w:w="2935" w:type="dxa"/>
            <w:tcBorders>
              <w:tl2br w:val="nil"/>
              <w:tr2bl w:val="nil"/>
            </w:tcBorders>
            <w:shd w:val="clear" w:color="auto" w:fill="auto"/>
            <w:vAlign w:val="center"/>
          </w:tcPr>
          <w:p w14:paraId="3FB5C573">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auto"/>
                <w:spacing w:val="4"/>
                <w:kern w:val="0"/>
                <w:sz w:val="21"/>
                <w:szCs w:val="21"/>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冷却水塔</w:t>
            </w:r>
          </w:p>
        </w:tc>
        <w:tc>
          <w:tcPr>
            <w:tcW w:w="1734" w:type="dxa"/>
            <w:tcBorders>
              <w:tl2br w:val="nil"/>
              <w:tr2bl w:val="nil"/>
            </w:tcBorders>
            <w:shd w:val="clear" w:color="auto" w:fill="auto"/>
            <w:vAlign w:val="center"/>
          </w:tcPr>
          <w:p w14:paraId="4D10A655">
            <w:pPr>
              <w:keepNext w:val="0"/>
              <w:keepLines w:val="0"/>
              <w:pageBreakBefore w:val="0"/>
              <w:widowControl/>
              <w:wordWrap/>
              <w:overflowPunct/>
              <w:topLinePunct w:val="0"/>
              <w:bidi w:val="0"/>
              <w:jc w:val="center"/>
              <w:rPr>
                <w:rFonts w:hint="default" w:ascii="Times New Roman" w:hAnsi="Times New Roman" w:eastAsia="宋体" w:cs="Times New Roman"/>
                <w:snapToGrid w:val="0"/>
                <w:color w:val="FF0000"/>
                <w:spacing w:val="4"/>
                <w:kern w:val="0"/>
                <w:sz w:val="21"/>
                <w:szCs w:val="21"/>
                <w:lang w:val="en-US" w:eastAsia="zh-CN" w:bidi="ar-SA"/>
              </w:rPr>
            </w:pPr>
          </w:p>
        </w:tc>
        <w:tc>
          <w:tcPr>
            <w:tcW w:w="1367" w:type="dxa"/>
            <w:tcBorders>
              <w:tl2br w:val="nil"/>
              <w:tr2bl w:val="nil"/>
            </w:tcBorders>
            <w:shd w:val="clear" w:color="auto" w:fill="auto"/>
            <w:vAlign w:val="center"/>
          </w:tcPr>
          <w:p w14:paraId="28FFC60F">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snapToGrid w:val="0"/>
                <w:color w:val="FF0000"/>
                <w:spacing w:val="4"/>
                <w:kern w:val="0"/>
                <w:sz w:val="21"/>
                <w:szCs w:val="21"/>
                <w:lang w:val="en-US" w:eastAsia="zh-CN" w:bidi="ar-SA"/>
              </w:rPr>
            </w:pPr>
            <w:r>
              <w:rPr>
                <w:rFonts w:hint="default" w:ascii="Times New Roman" w:hAnsi="Times New Roman" w:eastAsia="宋体" w:cs="Times New Roman"/>
                <w:i w:val="0"/>
                <w:iCs w:val="0"/>
                <w:snapToGrid w:val="0"/>
                <w:color w:val="000000"/>
                <w:kern w:val="0"/>
                <w:sz w:val="21"/>
                <w:szCs w:val="21"/>
                <w:u w:val="none"/>
                <w:lang w:val="en-US" w:eastAsia="zh-CN" w:bidi="ar"/>
              </w:rPr>
              <w:t>2台</w:t>
            </w:r>
          </w:p>
        </w:tc>
        <w:tc>
          <w:tcPr>
            <w:tcW w:w="1858" w:type="dxa"/>
            <w:tcBorders>
              <w:tl2br w:val="nil"/>
              <w:tr2bl w:val="nil"/>
            </w:tcBorders>
            <w:vAlign w:val="center"/>
          </w:tcPr>
          <w:p w14:paraId="54DC494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4"/>
                <w:sz w:val="21"/>
                <w:szCs w:val="21"/>
                <w:lang w:val="en-US" w:eastAsia="zh-CN"/>
              </w:rPr>
            </w:pPr>
          </w:p>
        </w:tc>
      </w:tr>
      <w:tr w14:paraId="2B8763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35D761C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color w:val="auto"/>
                <w:spacing w:val="4"/>
                <w:sz w:val="21"/>
                <w:szCs w:val="21"/>
                <w:lang w:val="en-US" w:eastAsia="zh-CN"/>
              </w:rPr>
              <w:t>37</w:t>
            </w:r>
          </w:p>
        </w:tc>
        <w:tc>
          <w:tcPr>
            <w:tcW w:w="2935" w:type="dxa"/>
            <w:tcBorders>
              <w:tl2br w:val="nil"/>
              <w:tr2bl w:val="nil"/>
            </w:tcBorders>
            <w:shd w:val="clear" w:color="auto" w:fill="auto"/>
            <w:vAlign w:val="center"/>
          </w:tcPr>
          <w:p w14:paraId="06005E05">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highlight w:val="none"/>
                <w:u w:val="none"/>
                <w:lang w:val="en-US" w:eastAsia="zh-CN" w:bidi="ar"/>
              </w:rPr>
              <w:t>抛光机</w:t>
            </w:r>
          </w:p>
        </w:tc>
        <w:tc>
          <w:tcPr>
            <w:tcW w:w="1734" w:type="dxa"/>
            <w:tcBorders>
              <w:tl2br w:val="nil"/>
              <w:tr2bl w:val="nil"/>
            </w:tcBorders>
            <w:shd w:val="clear" w:color="auto" w:fill="auto"/>
            <w:vAlign w:val="center"/>
          </w:tcPr>
          <w:p w14:paraId="0CCF8470">
            <w:pPr>
              <w:keepNext w:val="0"/>
              <w:keepLines w:val="0"/>
              <w:pageBreakBefore w:val="0"/>
              <w:widowControl/>
              <w:wordWrap/>
              <w:overflowPunct/>
              <w:topLinePunct w:val="0"/>
              <w:bidi w:val="0"/>
              <w:jc w:val="center"/>
              <w:rPr>
                <w:rFonts w:hint="default" w:ascii="Times New Roman" w:hAnsi="Times New Roman" w:eastAsia="宋体" w:cs="Times New Roman"/>
                <w:snapToGrid w:val="0"/>
                <w:color w:val="FF0000"/>
                <w:spacing w:val="4"/>
                <w:kern w:val="0"/>
                <w:sz w:val="21"/>
                <w:szCs w:val="21"/>
                <w:lang w:val="en-US" w:eastAsia="zh-CN" w:bidi="ar-SA"/>
              </w:rPr>
            </w:pPr>
          </w:p>
        </w:tc>
        <w:tc>
          <w:tcPr>
            <w:tcW w:w="1367" w:type="dxa"/>
            <w:tcBorders>
              <w:tl2br w:val="nil"/>
              <w:tr2bl w:val="nil"/>
            </w:tcBorders>
            <w:shd w:val="clear" w:color="auto" w:fill="auto"/>
            <w:vAlign w:val="center"/>
          </w:tcPr>
          <w:p w14:paraId="12D75172">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ascii="Times New Roman" w:hAnsi="Times New Roman" w:eastAsia="宋体" w:cs="Times New Roman"/>
                <w:i w:val="0"/>
                <w:iCs w:val="0"/>
                <w:snapToGrid w:val="0"/>
                <w:color w:val="000000"/>
                <w:kern w:val="0"/>
                <w:sz w:val="21"/>
                <w:szCs w:val="21"/>
                <w:u w:val="none"/>
                <w:lang w:val="en-US" w:eastAsia="zh-CN" w:bidi="ar"/>
              </w:rPr>
              <w:t>1台</w:t>
            </w:r>
          </w:p>
        </w:tc>
        <w:tc>
          <w:tcPr>
            <w:tcW w:w="1858" w:type="dxa"/>
            <w:tcBorders>
              <w:tl2br w:val="nil"/>
              <w:tr2bl w:val="nil"/>
            </w:tcBorders>
            <w:vAlign w:val="center"/>
          </w:tcPr>
          <w:p w14:paraId="4AEAE58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4"/>
                <w:sz w:val="21"/>
                <w:szCs w:val="21"/>
                <w:lang w:val="en-US" w:eastAsia="zh-CN"/>
              </w:rPr>
            </w:pPr>
          </w:p>
        </w:tc>
      </w:tr>
      <w:tr w14:paraId="06380F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94" w:type="dxa"/>
            <w:tcBorders>
              <w:tl2br w:val="nil"/>
              <w:tr2bl w:val="nil"/>
            </w:tcBorders>
            <w:vAlign w:val="center"/>
          </w:tcPr>
          <w:p w14:paraId="1BBCDB8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color w:val="auto"/>
                <w:spacing w:val="4"/>
                <w:sz w:val="21"/>
                <w:szCs w:val="21"/>
                <w:lang w:val="en-US" w:eastAsia="zh-CN"/>
              </w:rPr>
              <w:t>38</w:t>
            </w:r>
          </w:p>
        </w:tc>
        <w:tc>
          <w:tcPr>
            <w:tcW w:w="2935" w:type="dxa"/>
            <w:tcBorders>
              <w:tl2br w:val="nil"/>
              <w:tr2bl w:val="nil"/>
            </w:tcBorders>
            <w:shd w:val="clear" w:color="auto" w:fill="auto"/>
            <w:vAlign w:val="center"/>
          </w:tcPr>
          <w:p w14:paraId="049B3A1A">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打磨机</w:t>
            </w:r>
          </w:p>
        </w:tc>
        <w:tc>
          <w:tcPr>
            <w:tcW w:w="1734" w:type="dxa"/>
            <w:tcBorders>
              <w:tl2br w:val="nil"/>
              <w:tr2bl w:val="nil"/>
            </w:tcBorders>
            <w:shd w:val="clear" w:color="auto" w:fill="auto"/>
            <w:vAlign w:val="center"/>
          </w:tcPr>
          <w:p w14:paraId="5DD47A5E">
            <w:pPr>
              <w:keepNext w:val="0"/>
              <w:keepLines w:val="0"/>
              <w:pageBreakBefore w:val="0"/>
              <w:widowControl/>
              <w:wordWrap/>
              <w:overflowPunct/>
              <w:topLinePunct w:val="0"/>
              <w:bidi w:val="0"/>
              <w:jc w:val="center"/>
              <w:rPr>
                <w:rFonts w:hint="default" w:ascii="Times New Roman" w:hAnsi="Times New Roman" w:eastAsia="宋体" w:cs="Times New Roman"/>
                <w:snapToGrid w:val="0"/>
                <w:color w:val="FF0000"/>
                <w:spacing w:val="4"/>
                <w:kern w:val="0"/>
                <w:sz w:val="21"/>
                <w:szCs w:val="21"/>
                <w:lang w:val="en-US" w:eastAsia="zh-CN" w:bidi="ar-SA"/>
              </w:rPr>
            </w:pPr>
          </w:p>
        </w:tc>
        <w:tc>
          <w:tcPr>
            <w:tcW w:w="1367" w:type="dxa"/>
            <w:tcBorders>
              <w:tl2br w:val="nil"/>
              <w:tr2bl w:val="nil"/>
            </w:tcBorders>
            <w:shd w:val="clear" w:color="auto" w:fill="auto"/>
            <w:vAlign w:val="center"/>
          </w:tcPr>
          <w:p w14:paraId="1BAFF180">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ascii="Times New Roman" w:hAnsi="Times New Roman" w:eastAsia="宋体" w:cs="Times New Roman"/>
                <w:i w:val="0"/>
                <w:iCs w:val="0"/>
                <w:snapToGrid w:val="0"/>
                <w:color w:val="000000"/>
                <w:kern w:val="0"/>
                <w:sz w:val="21"/>
                <w:szCs w:val="21"/>
                <w:u w:val="none"/>
                <w:lang w:val="en-US" w:eastAsia="zh-CN" w:bidi="ar"/>
              </w:rPr>
              <w:t>1台</w:t>
            </w:r>
          </w:p>
        </w:tc>
        <w:tc>
          <w:tcPr>
            <w:tcW w:w="1858" w:type="dxa"/>
            <w:tcBorders>
              <w:tl2br w:val="nil"/>
              <w:tr2bl w:val="nil"/>
            </w:tcBorders>
            <w:vAlign w:val="center"/>
          </w:tcPr>
          <w:p w14:paraId="3B5DC7E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4"/>
                <w:sz w:val="21"/>
                <w:szCs w:val="21"/>
                <w:lang w:val="en-US" w:eastAsia="zh-CN"/>
              </w:rPr>
            </w:pPr>
          </w:p>
        </w:tc>
      </w:tr>
      <w:tr w14:paraId="25CA09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88" w:type="dxa"/>
            <w:gridSpan w:val="5"/>
            <w:tcBorders>
              <w:tl2br w:val="nil"/>
              <w:tr2bl w:val="nil"/>
            </w:tcBorders>
            <w:vAlign w:val="center"/>
          </w:tcPr>
          <w:p w14:paraId="773D281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4"/>
                <w:sz w:val="21"/>
                <w:szCs w:val="21"/>
                <w:lang w:val="en-US" w:eastAsia="zh-CN"/>
              </w:rPr>
            </w:pPr>
            <w:r>
              <w:rPr>
                <w:rFonts w:hint="eastAsia" w:ascii="Times New Roman" w:hAnsi="Times New Roman" w:eastAsia="宋体" w:cs="Times New Roman"/>
                <w:color w:val="auto"/>
                <w:spacing w:val="4"/>
                <w:sz w:val="21"/>
                <w:szCs w:val="21"/>
                <w:lang w:val="en-US" w:eastAsia="zh-CN"/>
              </w:rPr>
              <w:t>环保设备</w:t>
            </w:r>
          </w:p>
        </w:tc>
      </w:tr>
      <w:tr w14:paraId="3C2057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7B49436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r>
              <w:rPr>
                <w:rFonts w:hint="eastAsia" w:ascii="Times New Roman" w:hAnsi="Times New Roman" w:eastAsia="宋体" w:cs="Times New Roman"/>
                <w:color w:val="auto"/>
                <w:spacing w:val="4"/>
                <w:sz w:val="21"/>
                <w:szCs w:val="21"/>
                <w:lang w:val="en-US" w:eastAsia="zh-CN"/>
              </w:rPr>
              <w:t>1</w:t>
            </w:r>
          </w:p>
        </w:tc>
        <w:tc>
          <w:tcPr>
            <w:tcW w:w="2935" w:type="dxa"/>
            <w:tcBorders>
              <w:tl2br w:val="nil"/>
              <w:tr2bl w:val="nil"/>
            </w:tcBorders>
            <w:shd w:val="clear" w:color="auto" w:fill="auto"/>
            <w:vAlign w:val="center"/>
          </w:tcPr>
          <w:p w14:paraId="0E310E89">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水帘除尘+</w:t>
            </w:r>
            <w:r>
              <w:rPr>
                <w:rFonts w:hint="default" w:ascii="Times New Roman" w:hAnsi="Times New Roman" w:eastAsia="宋体" w:cs="Times New Roman"/>
                <w:i w:val="0"/>
                <w:iCs w:val="0"/>
                <w:snapToGrid w:val="0"/>
                <w:color w:val="auto"/>
                <w:kern w:val="0"/>
                <w:sz w:val="21"/>
                <w:szCs w:val="21"/>
                <w:u w:val="none"/>
                <w:lang w:val="en-US" w:eastAsia="zh-CN" w:bidi="ar"/>
              </w:rPr>
              <w:t>沸石转轮吸附+RTO焚烧装置</w:t>
            </w:r>
          </w:p>
        </w:tc>
        <w:tc>
          <w:tcPr>
            <w:tcW w:w="1734" w:type="dxa"/>
            <w:tcBorders>
              <w:tl2br w:val="nil"/>
              <w:tr2bl w:val="nil"/>
            </w:tcBorders>
            <w:shd w:val="clear" w:color="auto" w:fill="auto"/>
            <w:vAlign w:val="center"/>
          </w:tcPr>
          <w:p w14:paraId="3B9E1311">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snapToGrid w:val="0"/>
                <w:color w:val="FF0000"/>
                <w:spacing w:val="4"/>
                <w:kern w:val="0"/>
                <w:sz w:val="21"/>
                <w:szCs w:val="21"/>
                <w:lang w:val="en-US" w:eastAsia="zh-CN" w:bidi="ar-SA"/>
              </w:rPr>
            </w:pPr>
            <w:r>
              <w:rPr>
                <w:rFonts w:hint="eastAsia" w:ascii="Times New Roman" w:hAnsi="Times New Roman" w:eastAsia="宋体" w:cs="Times New Roman"/>
                <w:i w:val="0"/>
                <w:iCs w:val="0"/>
                <w:snapToGrid w:val="0"/>
                <w:color w:val="auto"/>
                <w:kern w:val="0"/>
                <w:sz w:val="21"/>
                <w:szCs w:val="21"/>
                <w:u w:val="none"/>
                <w:lang w:val="en-US" w:eastAsia="zh-CN" w:bidi="ar"/>
              </w:rPr>
              <w:t>/</w:t>
            </w:r>
          </w:p>
        </w:tc>
        <w:tc>
          <w:tcPr>
            <w:tcW w:w="1367" w:type="dxa"/>
            <w:tcBorders>
              <w:tl2br w:val="nil"/>
              <w:tr2bl w:val="nil"/>
            </w:tcBorders>
            <w:shd w:val="clear" w:color="auto" w:fill="auto"/>
            <w:vAlign w:val="center"/>
          </w:tcPr>
          <w:p w14:paraId="75326E14">
            <w:pPr>
              <w:keepNext w:val="0"/>
              <w:keepLines w:val="0"/>
              <w:pageBreakBefore w:val="0"/>
              <w:widowControl/>
              <w:suppressLineNumbers w:val="0"/>
              <w:wordWrap/>
              <w:overflowPunct/>
              <w:topLinePunct w:val="0"/>
              <w:bidi w:val="0"/>
              <w:jc w:val="center"/>
              <w:textAlignment w:val="bottom"/>
              <w:rPr>
                <w:rFonts w:hint="default" w:ascii="Times New Roman" w:hAnsi="Times New Roman" w:eastAsia="宋体" w:cs="Times New Roman"/>
                <w:i w:val="0"/>
                <w:iCs w:val="0"/>
                <w:snapToGrid w:val="0"/>
                <w:color w:val="000000"/>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1套</w:t>
            </w:r>
          </w:p>
        </w:tc>
        <w:tc>
          <w:tcPr>
            <w:tcW w:w="1858" w:type="dxa"/>
            <w:tcBorders>
              <w:tl2br w:val="nil"/>
              <w:tr2bl w:val="nil"/>
            </w:tcBorders>
            <w:vAlign w:val="center"/>
          </w:tcPr>
          <w:p w14:paraId="767F0A4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4"/>
                <w:sz w:val="21"/>
                <w:szCs w:val="21"/>
                <w:lang w:val="en-US" w:eastAsia="zh-CN"/>
              </w:rPr>
            </w:pPr>
          </w:p>
        </w:tc>
      </w:tr>
      <w:tr w14:paraId="29969F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5A73F2F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r>
              <w:rPr>
                <w:rFonts w:hint="eastAsia" w:ascii="Times New Roman" w:hAnsi="Times New Roman" w:eastAsia="宋体" w:cs="Times New Roman"/>
                <w:color w:val="auto"/>
                <w:spacing w:val="4"/>
                <w:sz w:val="21"/>
                <w:szCs w:val="21"/>
                <w:lang w:val="en-US" w:eastAsia="zh-CN"/>
              </w:rPr>
              <w:t>2</w:t>
            </w:r>
          </w:p>
        </w:tc>
        <w:tc>
          <w:tcPr>
            <w:tcW w:w="2935" w:type="dxa"/>
            <w:tcBorders>
              <w:tl2br w:val="nil"/>
              <w:tr2bl w:val="nil"/>
            </w:tcBorders>
            <w:shd w:val="clear" w:color="auto" w:fill="auto"/>
            <w:vAlign w:val="center"/>
          </w:tcPr>
          <w:p w14:paraId="03417211">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四级活性炭吸附装置</w:t>
            </w:r>
          </w:p>
        </w:tc>
        <w:tc>
          <w:tcPr>
            <w:tcW w:w="1734" w:type="dxa"/>
            <w:tcBorders>
              <w:tl2br w:val="nil"/>
              <w:tr2bl w:val="nil"/>
            </w:tcBorders>
            <w:shd w:val="clear" w:color="auto" w:fill="auto"/>
            <w:vAlign w:val="center"/>
          </w:tcPr>
          <w:p w14:paraId="30F2DDD5">
            <w:pPr>
              <w:keepNext w:val="0"/>
              <w:keepLines w:val="0"/>
              <w:pageBreakBefore w:val="0"/>
              <w:widowControl/>
              <w:wordWrap/>
              <w:overflowPunct/>
              <w:topLinePunct w:val="0"/>
              <w:bidi w:val="0"/>
              <w:jc w:val="center"/>
              <w:rPr>
                <w:rFonts w:hint="default" w:ascii="Times New Roman" w:hAnsi="Times New Roman" w:eastAsia="宋体" w:cs="Times New Roman"/>
                <w:snapToGrid w:val="0"/>
                <w:color w:val="FF0000"/>
                <w:spacing w:val="4"/>
                <w:kern w:val="0"/>
                <w:sz w:val="21"/>
                <w:szCs w:val="21"/>
                <w:lang w:val="en-US" w:eastAsia="zh-CN" w:bidi="ar-SA"/>
              </w:rPr>
            </w:pPr>
          </w:p>
        </w:tc>
        <w:tc>
          <w:tcPr>
            <w:tcW w:w="1367" w:type="dxa"/>
            <w:tcBorders>
              <w:tl2br w:val="nil"/>
              <w:tr2bl w:val="nil"/>
            </w:tcBorders>
            <w:shd w:val="clear" w:color="auto" w:fill="auto"/>
            <w:vAlign w:val="center"/>
          </w:tcPr>
          <w:p w14:paraId="776732E3">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ascii="Times New Roman" w:hAnsi="Times New Roman" w:eastAsia="宋体" w:cs="Times New Roman"/>
                <w:i w:val="0"/>
                <w:iCs w:val="0"/>
                <w:snapToGrid w:val="0"/>
                <w:color w:val="000000"/>
                <w:kern w:val="0"/>
                <w:sz w:val="21"/>
                <w:szCs w:val="21"/>
                <w:u w:val="none"/>
                <w:lang w:val="en-US" w:eastAsia="zh-CN" w:bidi="ar"/>
              </w:rPr>
              <w:t>2套</w:t>
            </w:r>
          </w:p>
        </w:tc>
        <w:tc>
          <w:tcPr>
            <w:tcW w:w="1858" w:type="dxa"/>
            <w:tcBorders>
              <w:tl2br w:val="nil"/>
              <w:tr2bl w:val="nil"/>
            </w:tcBorders>
            <w:vAlign w:val="center"/>
          </w:tcPr>
          <w:p w14:paraId="697D819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4"/>
                <w:sz w:val="21"/>
                <w:szCs w:val="21"/>
                <w:lang w:val="en-US" w:eastAsia="zh-CN"/>
              </w:rPr>
            </w:pPr>
          </w:p>
        </w:tc>
      </w:tr>
      <w:tr w14:paraId="5BBE41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6FE1D12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r>
              <w:rPr>
                <w:rFonts w:hint="eastAsia" w:ascii="Times New Roman" w:hAnsi="Times New Roman" w:eastAsia="宋体" w:cs="Times New Roman"/>
                <w:color w:val="auto"/>
                <w:spacing w:val="4"/>
                <w:sz w:val="21"/>
                <w:szCs w:val="21"/>
                <w:lang w:val="en-US" w:eastAsia="zh-CN"/>
              </w:rPr>
              <w:t>3</w:t>
            </w:r>
          </w:p>
        </w:tc>
        <w:tc>
          <w:tcPr>
            <w:tcW w:w="2935" w:type="dxa"/>
            <w:tcBorders>
              <w:tl2br w:val="nil"/>
              <w:tr2bl w:val="nil"/>
            </w:tcBorders>
            <w:shd w:val="clear" w:color="auto" w:fill="auto"/>
            <w:vAlign w:val="center"/>
          </w:tcPr>
          <w:p w14:paraId="6EC39536">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布袋除尘器</w:t>
            </w:r>
          </w:p>
        </w:tc>
        <w:tc>
          <w:tcPr>
            <w:tcW w:w="1734" w:type="dxa"/>
            <w:tcBorders>
              <w:tl2br w:val="nil"/>
              <w:tr2bl w:val="nil"/>
            </w:tcBorders>
            <w:shd w:val="clear" w:color="auto" w:fill="auto"/>
            <w:vAlign w:val="center"/>
          </w:tcPr>
          <w:p w14:paraId="22079F6F">
            <w:pPr>
              <w:keepNext w:val="0"/>
              <w:keepLines w:val="0"/>
              <w:pageBreakBefore w:val="0"/>
              <w:widowControl/>
              <w:wordWrap/>
              <w:overflowPunct/>
              <w:topLinePunct w:val="0"/>
              <w:bidi w:val="0"/>
              <w:jc w:val="center"/>
              <w:rPr>
                <w:rFonts w:hint="default" w:ascii="Times New Roman" w:hAnsi="Times New Roman" w:eastAsia="宋体" w:cs="Times New Roman"/>
                <w:snapToGrid w:val="0"/>
                <w:color w:val="FF0000"/>
                <w:spacing w:val="4"/>
                <w:kern w:val="0"/>
                <w:sz w:val="21"/>
                <w:szCs w:val="21"/>
                <w:lang w:val="en-US" w:eastAsia="zh-CN" w:bidi="ar-SA"/>
              </w:rPr>
            </w:pPr>
          </w:p>
        </w:tc>
        <w:tc>
          <w:tcPr>
            <w:tcW w:w="1367" w:type="dxa"/>
            <w:tcBorders>
              <w:tl2br w:val="nil"/>
              <w:tr2bl w:val="nil"/>
            </w:tcBorders>
            <w:shd w:val="clear" w:color="auto" w:fill="auto"/>
            <w:vAlign w:val="center"/>
          </w:tcPr>
          <w:p w14:paraId="7ACC3E45">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ascii="Times New Roman" w:hAnsi="Times New Roman" w:eastAsia="宋体" w:cs="Times New Roman"/>
                <w:i w:val="0"/>
                <w:iCs w:val="0"/>
                <w:snapToGrid w:val="0"/>
                <w:color w:val="000000"/>
                <w:kern w:val="0"/>
                <w:sz w:val="21"/>
                <w:szCs w:val="21"/>
                <w:u w:val="none"/>
                <w:lang w:val="en-US" w:eastAsia="zh-CN" w:bidi="ar"/>
              </w:rPr>
              <w:t>2套</w:t>
            </w:r>
          </w:p>
        </w:tc>
        <w:tc>
          <w:tcPr>
            <w:tcW w:w="1858" w:type="dxa"/>
            <w:tcBorders>
              <w:tl2br w:val="nil"/>
              <w:tr2bl w:val="nil"/>
            </w:tcBorders>
            <w:vAlign w:val="center"/>
          </w:tcPr>
          <w:p w14:paraId="4C7AFCA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4"/>
                <w:sz w:val="21"/>
                <w:szCs w:val="21"/>
                <w:lang w:val="en-US" w:eastAsia="zh-CN"/>
              </w:rPr>
            </w:pPr>
          </w:p>
        </w:tc>
      </w:tr>
      <w:tr w14:paraId="07680E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94" w:type="dxa"/>
            <w:tcBorders>
              <w:tl2br w:val="nil"/>
              <w:tr2bl w:val="nil"/>
            </w:tcBorders>
            <w:vAlign w:val="center"/>
          </w:tcPr>
          <w:p w14:paraId="28B9298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pacing w:val="4"/>
                <w:sz w:val="21"/>
                <w:szCs w:val="21"/>
                <w:lang w:val="en-US" w:eastAsia="zh-CN"/>
              </w:rPr>
            </w:pPr>
            <w:r>
              <w:rPr>
                <w:rFonts w:hint="eastAsia" w:ascii="Times New Roman" w:hAnsi="Times New Roman" w:eastAsia="宋体" w:cs="Times New Roman"/>
                <w:color w:val="auto"/>
                <w:spacing w:val="4"/>
                <w:sz w:val="21"/>
                <w:szCs w:val="21"/>
                <w:lang w:val="en-US" w:eastAsia="zh-CN"/>
              </w:rPr>
              <w:t>4</w:t>
            </w:r>
          </w:p>
        </w:tc>
        <w:tc>
          <w:tcPr>
            <w:tcW w:w="2935" w:type="dxa"/>
            <w:tcBorders>
              <w:tl2br w:val="nil"/>
              <w:tr2bl w:val="nil"/>
            </w:tcBorders>
            <w:shd w:val="clear" w:color="auto" w:fill="auto"/>
            <w:vAlign w:val="center"/>
          </w:tcPr>
          <w:p w14:paraId="51E9F504">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低氮燃烧</w:t>
            </w:r>
          </w:p>
        </w:tc>
        <w:tc>
          <w:tcPr>
            <w:tcW w:w="1734" w:type="dxa"/>
            <w:tcBorders>
              <w:tl2br w:val="nil"/>
              <w:tr2bl w:val="nil"/>
            </w:tcBorders>
            <w:shd w:val="clear" w:color="auto" w:fill="auto"/>
            <w:vAlign w:val="center"/>
          </w:tcPr>
          <w:p w14:paraId="30A090AC">
            <w:pPr>
              <w:keepNext w:val="0"/>
              <w:keepLines w:val="0"/>
              <w:pageBreakBefore w:val="0"/>
              <w:widowControl/>
              <w:wordWrap/>
              <w:overflowPunct/>
              <w:topLinePunct w:val="0"/>
              <w:bidi w:val="0"/>
              <w:jc w:val="center"/>
              <w:rPr>
                <w:rFonts w:hint="default" w:ascii="Times New Roman" w:hAnsi="Times New Roman" w:eastAsia="宋体" w:cs="Times New Roman"/>
                <w:snapToGrid w:val="0"/>
                <w:color w:val="FF0000"/>
                <w:spacing w:val="4"/>
                <w:kern w:val="0"/>
                <w:sz w:val="21"/>
                <w:szCs w:val="21"/>
                <w:lang w:val="en-US" w:eastAsia="zh-CN" w:bidi="ar-SA"/>
              </w:rPr>
            </w:pPr>
          </w:p>
        </w:tc>
        <w:tc>
          <w:tcPr>
            <w:tcW w:w="1367" w:type="dxa"/>
            <w:tcBorders>
              <w:tl2br w:val="nil"/>
              <w:tr2bl w:val="nil"/>
            </w:tcBorders>
            <w:shd w:val="clear" w:color="auto" w:fill="auto"/>
            <w:vAlign w:val="center"/>
          </w:tcPr>
          <w:p w14:paraId="145681D6">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ascii="Times New Roman" w:hAnsi="Times New Roman" w:eastAsia="宋体" w:cs="Times New Roman"/>
                <w:i w:val="0"/>
                <w:iCs w:val="0"/>
                <w:snapToGrid w:val="0"/>
                <w:color w:val="000000"/>
                <w:kern w:val="0"/>
                <w:sz w:val="21"/>
                <w:szCs w:val="21"/>
                <w:u w:val="none"/>
                <w:lang w:val="en-US" w:eastAsia="zh-CN" w:bidi="ar"/>
              </w:rPr>
              <w:t>1个</w:t>
            </w:r>
          </w:p>
        </w:tc>
        <w:tc>
          <w:tcPr>
            <w:tcW w:w="1858" w:type="dxa"/>
            <w:tcBorders>
              <w:tl2br w:val="nil"/>
              <w:tr2bl w:val="nil"/>
            </w:tcBorders>
            <w:vAlign w:val="center"/>
          </w:tcPr>
          <w:p w14:paraId="016F3C9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FF0000"/>
                <w:spacing w:val="4"/>
                <w:sz w:val="21"/>
                <w:szCs w:val="21"/>
                <w:lang w:val="en-US" w:eastAsia="zh-CN"/>
              </w:rPr>
            </w:pPr>
          </w:p>
        </w:tc>
      </w:tr>
    </w:tbl>
    <w:p w14:paraId="51D90EF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eastAsia" w:ascii="Times New Roman" w:hAnsi="Times New Roman" w:cs="Times New Roman"/>
          <w:color w:val="auto"/>
          <w:spacing w:val="15"/>
          <w:sz w:val="21"/>
          <w:szCs w:val="21"/>
          <w:highlight w:val="none"/>
          <w:lang w:val="en-US" w:eastAsia="zh-CN"/>
        </w:rPr>
      </w:pPr>
      <w:r>
        <w:rPr>
          <w:rFonts w:hint="eastAsia" w:ascii="Times New Roman" w:hAnsi="Times New Roman" w:cs="Times New Roman"/>
          <w:color w:val="auto"/>
          <w:spacing w:val="15"/>
          <w:sz w:val="21"/>
          <w:szCs w:val="21"/>
          <w:highlight w:val="none"/>
          <w:lang w:val="en-US" w:eastAsia="zh-CN"/>
        </w:rPr>
        <w:t>注：本项目通过塑料烤料机对塑料粒子表面的水分进行去除，温度约60℃，不产生分解废气。</w:t>
      </w:r>
    </w:p>
    <w:p w14:paraId="4A61735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eastAsia" w:ascii="Times New Roman" w:hAnsi="Times New Roman" w:cs="Times New Roman"/>
          <w:color w:val="auto"/>
          <w:spacing w:val="15"/>
          <w:sz w:val="21"/>
          <w:szCs w:val="21"/>
          <w:highlight w:val="none"/>
          <w:lang w:val="en-US" w:eastAsia="zh-CN"/>
        </w:rPr>
      </w:pPr>
    </w:p>
    <w:p w14:paraId="325EB8D5">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outlineLvl w:val="2"/>
        <w:rPr>
          <w:rFonts w:hint="eastAsia"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3.1.4原辅材料消耗</w:t>
      </w:r>
    </w:p>
    <w:p w14:paraId="4C84DD8F">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根据设计资料，本项目建成后，</w:t>
      </w:r>
      <w:r>
        <w:rPr>
          <w:rFonts w:hint="default" w:ascii="Times New Roman" w:hAnsi="Times New Roman" w:cs="Times New Roman"/>
          <w:color w:val="auto"/>
          <w:spacing w:val="15"/>
          <w:sz w:val="24"/>
          <w:szCs w:val="23"/>
          <w:highlight w:val="none"/>
          <w:lang w:val="en-US" w:eastAsia="zh-CN"/>
        </w:rPr>
        <w:t>各原辅材料种类及消耗量见表</w:t>
      </w:r>
      <w:r>
        <w:rPr>
          <w:rFonts w:hint="eastAsia" w:ascii="Times New Roman" w:hAnsi="Times New Roman" w:cs="Times New Roman"/>
          <w:color w:val="auto"/>
          <w:spacing w:val="15"/>
          <w:sz w:val="24"/>
          <w:szCs w:val="23"/>
          <w:highlight w:val="none"/>
          <w:lang w:val="en-US" w:eastAsia="zh-CN"/>
        </w:rPr>
        <w:t>3.1-3</w:t>
      </w:r>
      <w:r>
        <w:rPr>
          <w:rFonts w:hint="default" w:ascii="Times New Roman" w:hAnsi="Times New Roman" w:cs="Times New Roman"/>
          <w:color w:val="auto"/>
          <w:spacing w:val="15"/>
          <w:sz w:val="24"/>
          <w:szCs w:val="23"/>
          <w:highlight w:val="none"/>
          <w:lang w:val="en-US" w:eastAsia="zh-CN"/>
        </w:rPr>
        <w:t>。</w:t>
      </w:r>
    </w:p>
    <w:p w14:paraId="4F02F01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eastAsia" w:ascii="Times New Roman" w:hAnsi="Times New Roman" w:eastAsia="宋体" w:cs="Times New Roman"/>
          <w:b/>
          <w:bCs/>
          <w:snapToGrid w:val="0"/>
          <w:color w:val="auto"/>
          <w:kern w:val="0"/>
          <w:sz w:val="24"/>
          <w:szCs w:val="24"/>
          <w:lang w:val="en-US" w:eastAsia="zh-CN" w:bidi="ar"/>
        </w:rPr>
      </w:pPr>
      <w:r>
        <w:rPr>
          <w:rFonts w:hint="eastAsia" w:ascii="Times New Roman" w:hAnsi="Times New Roman" w:eastAsia="宋体" w:cs="Times New Roman"/>
          <w:b/>
          <w:bCs/>
          <w:snapToGrid w:val="0"/>
          <w:color w:val="auto"/>
          <w:kern w:val="0"/>
          <w:sz w:val="24"/>
          <w:szCs w:val="24"/>
          <w:lang w:val="en-US" w:eastAsia="zh-CN" w:bidi="ar"/>
        </w:rPr>
        <w:t>表3.1-3  原辅材料消耗量一览表</w:t>
      </w:r>
    </w:p>
    <w:tbl>
      <w:tblPr>
        <w:tblStyle w:val="23"/>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08"/>
        <w:gridCol w:w="72"/>
        <w:gridCol w:w="1755"/>
        <w:gridCol w:w="1471"/>
        <w:gridCol w:w="1547"/>
        <w:gridCol w:w="1623"/>
        <w:gridCol w:w="1005"/>
      </w:tblGrid>
      <w:tr w14:paraId="6E8BAF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1958" w:type="pct"/>
            <w:gridSpan w:val="3"/>
            <w:tcBorders>
              <w:tl2br w:val="nil"/>
              <w:tr2bl w:val="nil"/>
            </w:tcBorders>
            <w:noWrap w:val="0"/>
            <w:vAlign w:val="center"/>
          </w:tcPr>
          <w:p w14:paraId="5A4B104C">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rPr>
              <w:t>原料名称</w:t>
            </w:r>
          </w:p>
        </w:tc>
        <w:tc>
          <w:tcPr>
            <w:tcW w:w="1625" w:type="pct"/>
            <w:gridSpan w:val="2"/>
            <w:tcBorders>
              <w:tl2br w:val="nil"/>
              <w:tr2bl w:val="nil"/>
            </w:tcBorders>
            <w:noWrap w:val="0"/>
            <w:vAlign w:val="center"/>
          </w:tcPr>
          <w:p w14:paraId="0A70FF24">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rPr>
              <w:t>年</w:t>
            </w:r>
            <w:r>
              <w:rPr>
                <w:rFonts w:hint="eastAsia" w:ascii="Times New Roman" w:hAnsi="Times New Roman" w:eastAsia="宋体" w:cs="Times New Roman"/>
                <w:color w:val="auto"/>
                <w:lang w:val="en-US" w:eastAsia="zh-CN"/>
              </w:rPr>
              <w:t>用</w:t>
            </w:r>
            <w:r>
              <w:rPr>
                <w:rFonts w:hint="default" w:ascii="Times New Roman" w:hAnsi="Times New Roman" w:cs="Times New Roman"/>
                <w:color w:val="auto"/>
              </w:rPr>
              <w:t>量</w:t>
            </w:r>
          </w:p>
        </w:tc>
        <w:tc>
          <w:tcPr>
            <w:tcW w:w="874" w:type="pct"/>
            <w:tcBorders>
              <w:tl2br w:val="nil"/>
              <w:tr2bl w:val="nil"/>
            </w:tcBorders>
            <w:noWrap w:val="0"/>
            <w:vAlign w:val="center"/>
          </w:tcPr>
          <w:p w14:paraId="313D8213">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最大存在量</w:t>
            </w:r>
          </w:p>
        </w:tc>
        <w:tc>
          <w:tcPr>
            <w:tcW w:w="541" w:type="pct"/>
            <w:tcBorders>
              <w:tl2br w:val="nil"/>
              <w:tr2bl w:val="nil"/>
            </w:tcBorders>
            <w:noWrap w:val="0"/>
            <w:vAlign w:val="center"/>
          </w:tcPr>
          <w:p w14:paraId="129CCBBF">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rPr>
              <w:t>单位</w:t>
            </w:r>
          </w:p>
        </w:tc>
      </w:tr>
      <w:tr w14:paraId="0B466F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3" w:type="pct"/>
            <w:gridSpan w:val="2"/>
            <w:vMerge w:val="restart"/>
            <w:tcBorders>
              <w:right w:val="single" w:color="000000" w:sz="4" w:space="0"/>
              <w:tl2br w:val="nil"/>
              <w:tr2bl w:val="nil"/>
            </w:tcBorders>
            <w:noWrap w:val="0"/>
            <w:vAlign w:val="center"/>
          </w:tcPr>
          <w:p w14:paraId="3B6BCD3A">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溶剂型油漆</w:t>
            </w:r>
          </w:p>
        </w:tc>
        <w:tc>
          <w:tcPr>
            <w:tcW w:w="945" w:type="pct"/>
            <w:tcBorders>
              <w:left w:val="single" w:color="000000" w:sz="4" w:space="0"/>
              <w:tl2br w:val="nil"/>
              <w:tr2bl w:val="nil"/>
            </w:tcBorders>
            <w:noWrap w:val="0"/>
            <w:vAlign w:val="center"/>
          </w:tcPr>
          <w:p w14:paraId="125529F4">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底漆</w:t>
            </w:r>
          </w:p>
        </w:tc>
        <w:tc>
          <w:tcPr>
            <w:tcW w:w="792" w:type="pct"/>
            <w:vMerge w:val="restart"/>
            <w:tcBorders>
              <w:right w:val="single" w:color="000000" w:sz="4" w:space="0"/>
              <w:tl2br w:val="nil"/>
              <w:tr2bl w:val="nil"/>
            </w:tcBorders>
            <w:noWrap w:val="0"/>
            <w:vAlign w:val="center"/>
          </w:tcPr>
          <w:p w14:paraId="31FE50A3">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453</w:t>
            </w:r>
          </w:p>
        </w:tc>
        <w:tc>
          <w:tcPr>
            <w:tcW w:w="833" w:type="pct"/>
            <w:tcBorders>
              <w:left w:val="single" w:color="000000" w:sz="4" w:space="0"/>
              <w:tl2br w:val="nil"/>
              <w:tr2bl w:val="nil"/>
            </w:tcBorders>
            <w:noWrap w:val="0"/>
            <w:vAlign w:val="center"/>
          </w:tcPr>
          <w:p w14:paraId="51BB0528">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271.8</w:t>
            </w:r>
          </w:p>
        </w:tc>
        <w:tc>
          <w:tcPr>
            <w:tcW w:w="874" w:type="pct"/>
            <w:tcBorders>
              <w:tl2br w:val="nil"/>
              <w:tr2bl w:val="nil"/>
            </w:tcBorders>
            <w:noWrap w:val="0"/>
            <w:vAlign w:val="center"/>
          </w:tcPr>
          <w:p w14:paraId="63B273A9">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w:t>
            </w:r>
          </w:p>
        </w:tc>
        <w:tc>
          <w:tcPr>
            <w:tcW w:w="541" w:type="pct"/>
            <w:tcBorders>
              <w:tl2br w:val="nil"/>
              <w:tr2bl w:val="nil"/>
            </w:tcBorders>
            <w:noWrap w:val="0"/>
            <w:vAlign w:val="center"/>
          </w:tcPr>
          <w:p w14:paraId="67C6D3F4">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吨</w:t>
            </w:r>
          </w:p>
        </w:tc>
      </w:tr>
      <w:tr w14:paraId="4FEC18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3" w:type="pct"/>
            <w:gridSpan w:val="2"/>
            <w:vMerge w:val="continue"/>
            <w:tcBorders>
              <w:right w:val="single" w:color="000000" w:sz="4" w:space="0"/>
              <w:tl2br w:val="nil"/>
              <w:tr2bl w:val="nil"/>
            </w:tcBorders>
            <w:noWrap w:val="0"/>
            <w:vAlign w:val="center"/>
          </w:tcPr>
          <w:p w14:paraId="27D6E1F2">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kern w:val="0"/>
                <w:szCs w:val="21"/>
                <w:lang w:val="en-US" w:eastAsia="zh-CN"/>
              </w:rPr>
            </w:pPr>
          </w:p>
        </w:tc>
        <w:tc>
          <w:tcPr>
            <w:tcW w:w="945" w:type="pct"/>
            <w:tcBorders>
              <w:left w:val="single" w:color="000000" w:sz="4" w:space="0"/>
              <w:tl2br w:val="nil"/>
              <w:tr2bl w:val="nil"/>
            </w:tcBorders>
            <w:noWrap w:val="0"/>
            <w:vAlign w:val="center"/>
          </w:tcPr>
          <w:p w14:paraId="3A513CEA">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中漆</w:t>
            </w:r>
          </w:p>
        </w:tc>
        <w:tc>
          <w:tcPr>
            <w:tcW w:w="792" w:type="pct"/>
            <w:vMerge w:val="continue"/>
            <w:tcBorders>
              <w:right w:val="single" w:color="000000" w:sz="4" w:space="0"/>
              <w:tl2br w:val="nil"/>
              <w:tr2bl w:val="nil"/>
            </w:tcBorders>
            <w:noWrap w:val="0"/>
            <w:vAlign w:val="center"/>
          </w:tcPr>
          <w:p w14:paraId="332FDBF3">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cs="Times New Roman"/>
                <w:color w:val="auto"/>
                <w:lang w:val="en-US" w:eastAsia="zh-CN"/>
              </w:rPr>
            </w:pPr>
          </w:p>
        </w:tc>
        <w:tc>
          <w:tcPr>
            <w:tcW w:w="833" w:type="pct"/>
            <w:tcBorders>
              <w:left w:val="single" w:color="000000" w:sz="4" w:space="0"/>
              <w:tl2br w:val="nil"/>
              <w:tr2bl w:val="nil"/>
            </w:tcBorders>
            <w:noWrap w:val="0"/>
            <w:vAlign w:val="center"/>
          </w:tcPr>
          <w:p w14:paraId="12D9839C">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90.6</w:t>
            </w:r>
          </w:p>
        </w:tc>
        <w:tc>
          <w:tcPr>
            <w:tcW w:w="874" w:type="pct"/>
            <w:tcBorders>
              <w:tl2br w:val="nil"/>
              <w:tr2bl w:val="nil"/>
            </w:tcBorders>
            <w:noWrap w:val="0"/>
            <w:vAlign w:val="center"/>
          </w:tcPr>
          <w:p w14:paraId="5B8532F7">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w:t>
            </w:r>
          </w:p>
        </w:tc>
        <w:tc>
          <w:tcPr>
            <w:tcW w:w="541" w:type="pct"/>
            <w:tcBorders>
              <w:tl2br w:val="nil"/>
              <w:tr2bl w:val="nil"/>
            </w:tcBorders>
            <w:noWrap w:val="0"/>
            <w:vAlign w:val="center"/>
          </w:tcPr>
          <w:p w14:paraId="1533F748">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吨</w:t>
            </w:r>
          </w:p>
        </w:tc>
      </w:tr>
      <w:tr w14:paraId="524485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3" w:type="pct"/>
            <w:gridSpan w:val="2"/>
            <w:vMerge w:val="continue"/>
            <w:tcBorders>
              <w:right w:val="single" w:color="000000" w:sz="4" w:space="0"/>
              <w:tl2br w:val="nil"/>
              <w:tr2bl w:val="nil"/>
            </w:tcBorders>
            <w:noWrap w:val="0"/>
            <w:vAlign w:val="center"/>
          </w:tcPr>
          <w:p w14:paraId="3CE83724">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kern w:val="0"/>
                <w:szCs w:val="21"/>
                <w:lang w:val="en-US" w:eastAsia="zh-CN"/>
              </w:rPr>
            </w:pPr>
          </w:p>
        </w:tc>
        <w:tc>
          <w:tcPr>
            <w:tcW w:w="945" w:type="pct"/>
            <w:tcBorders>
              <w:left w:val="single" w:color="000000" w:sz="4" w:space="0"/>
              <w:tl2br w:val="nil"/>
              <w:tr2bl w:val="nil"/>
            </w:tcBorders>
            <w:noWrap w:val="0"/>
            <w:vAlign w:val="center"/>
          </w:tcPr>
          <w:p w14:paraId="5BDB5CF9">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面漆</w:t>
            </w:r>
          </w:p>
        </w:tc>
        <w:tc>
          <w:tcPr>
            <w:tcW w:w="792" w:type="pct"/>
            <w:vMerge w:val="continue"/>
            <w:tcBorders>
              <w:right w:val="single" w:color="000000" w:sz="4" w:space="0"/>
              <w:tl2br w:val="nil"/>
              <w:tr2bl w:val="nil"/>
            </w:tcBorders>
            <w:noWrap w:val="0"/>
            <w:vAlign w:val="center"/>
          </w:tcPr>
          <w:p w14:paraId="7E256D0D">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cs="Times New Roman"/>
                <w:color w:val="auto"/>
                <w:lang w:val="en-US" w:eastAsia="zh-CN"/>
              </w:rPr>
            </w:pPr>
          </w:p>
        </w:tc>
        <w:tc>
          <w:tcPr>
            <w:tcW w:w="833" w:type="pct"/>
            <w:tcBorders>
              <w:left w:val="single" w:color="000000" w:sz="4" w:space="0"/>
              <w:tl2br w:val="nil"/>
              <w:tr2bl w:val="nil"/>
            </w:tcBorders>
            <w:noWrap w:val="0"/>
            <w:vAlign w:val="center"/>
          </w:tcPr>
          <w:p w14:paraId="13739FCD">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90.6</w:t>
            </w:r>
          </w:p>
        </w:tc>
        <w:tc>
          <w:tcPr>
            <w:tcW w:w="874" w:type="pct"/>
            <w:tcBorders>
              <w:tl2br w:val="nil"/>
              <w:tr2bl w:val="nil"/>
            </w:tcBorders>
            <w:noWrap w:val="0"/>
            <w:vAlign w:val="center"/>
          </w:tcPr>
          <w:p w14:paraId="6AEFADAC">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w:t>
            </w:r>
          </w:p>
        </w:tc>
        <w:tc>
          <w:tcPr>
            <w:tcW w:w="541" w:type="pct"/>
            <w:tcBorders>
              <w:tl2br w:val="nil"/>
              <w:tr2bl w:val="nil"/>
            </w:tcBorders>
            <w:noWrap w:val="0"/>
            <w:vAlign w:val="center"/>
          </w:tcPr>
          <w:p w14:paraId="228611CE">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吨</w:t>
            </w:r>
          </w:p>
        </w:tc>
      </w:tr>
      <w:tr w14:paraId="0FE5B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8" w:type="pct"/>
            <w:gridSpan w:val="3"/>
            <w:tcBorders>
              <w:tl2br w:val="nil"/>
              <w:tr2bl w:val="nil"/>
            </w:tcBorders>
            <w:noWrap w:val="0"/>
            <w:vAlign w:val="center"/>
          </w:tcPr>
          <w:p w14:paraId="711F1E7D">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稀释剂</w:t>
            </w:r>
          </w:p>
        </w:tc>
        <w:tc>
          <w:tcPr>
            <w:tcW w:w="1625" w:type="pct"/>
            <w:gridSpan w:val="2"/>
            <w:tcBorders>
              <w:tl2br w:val="nil"/>
              <w:tr2bl w:val="nil"/>
            </w:tcBorders>
            <w:noWrap w:val="0"/>
            <w:vAlign w:val="center"/>
          </w:tcPr>
          <w:p w14:paraId="530F7915">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151</w:t>
            </w:r>
          </w:p>
        </w:tc>
        <w:tc>
          <w:tcPr>
            <w:tcW w:w="874" w:type="pct"/>
            <w:tcBorders>
              <w:tl2br w:val="nil"/>
              <w:tr2bl w:val="nil"/>
            </w:tcBorders>
            <w:noWrap w:val="0"/>
            <w:vAlign w:val="center"/>
          </w:tcPr>
          <w:p w14:paraId="4D4DEA2D">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w:t>
            </w:r>
          </w:p>
        </w:tc>
        <w:tc>
          <w:tcPr>
            <w:tcW w:w="541" w:type="pct"/>
            <w:tcBorders>
              <w:tl2br w:val="nil"/>
              <w:tr2bl w:val="nil"/>
            </w:tcBorders>
            <w:noWrap w:val="0"/>
            <w:vAlign w:val="center"/>
          </w:tcPr>
          <w:p w14:paraId="6B70D9B7">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吨</w:t>
            </w:r>
          </w:p>
        </w:tc>
      </w:tr>
      <w:tr w14:paraId="193DE9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8" w:type="pct"/>
            <w:gridSpan w:val="3"/>
            <w:tcBorders>
              <w:tl2br w:val="nil"/>
              <w:tr2bl w:val="nil"/>
            </w:tcBorders>
            <w:noWrap w:val="0"/>
            <w:vAlign w:val="center"/>
          </w:tcPr>
          <w:p w14:paraId="1D27A7F2">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固化剂</w:t>
            </w:r>
          </w:p>
        </w:tc>
        <w:tc>
          <w:tcPr>
            <w:tcW w:w="1625" w:type="pct"/>
            <w:gridSpan w:val="2"/>
            <w:tcBorders>
              <w:tl2br w:val="nil"/>
              <w:tr2bl w:val="nil"/>
            </w:tcBorders>
            <w:noWrap w:val="0"/>
            <w:vAlign w:val="center"/>
          </w:tcPr>
          <w:p w14:paraId="07B6EBCC">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151</w:t>
            </w:r>
          </w:p>
        </w:tc>
        <w:tc>
          <w:tcPr>
            <w:tcW w:w="874" w:type="pct"/>
            <w:tcBorders>
              <w:tl2br w:val="nil"/>
              <w:tr2bl w:val="nil"/>
            </w:tcBorders>
            <w:noWrap w:val="0"/>
            <w:vAlign w:val="center"/>
          </w:tcPr>
          <w:p w14:paraId="70A3DCEB">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w:t>
            </w:r>
          </w:p>
        </w:tc>
        <w:tc>
          <w:tcPr>
            <w:tcW w:w="541" w:type="pct"/>
            <w:tcBorders>
              <w:tl2br w:val="nil"/>
              <w:tr2bl w:val="nil"/>
            </w:tcBorders>
            <w:noWrap w:val="0"/>
            <w:vAlign w:val="center"/>
          </w:tcPr>
          <w:p w14:paraId="065B5CD7">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吨</w:t>
            </w:r>
          </w:p>
        </w:tc>
      </w:tr>
      <w:tr w14:paraId="0E4F6C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8" w:type="pct"/>
            <w:gridSpan w:val="3"/>
            <w:tcBorders>
              <w:tl2br w:val="nil"/>
              <w:tr2bl w:val="nil"/>
            </w:tcBorders>
            <w:noWrap w:val="0"/>
            <w:vAlign w:val="center"/>
          </w:tcPr>
          <w:p w14:paraId="228DD432">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UV漆</w:t>
            </w:r>
          </w:p>
        </w:tc>
        <w:tc>
          <w:tcPr>
            <w:tcW w:w="1625" w:type="pct"/>
            <w:gridSpan w:val="2"/>
            <w:tcBorders>
              <w:tl2br w:val="nil"/>
              <w:tr2bl w:val="nil"/>
            </w:tcBorders>
            <w:noWrap w:val="0"/>
            <w:vAlign w:val="center"/>
          </w:tcPr>
          <w:p w14:paraId="0F105C32">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200</w:t>
            </w:r>
          </w:p>
        </w:tc>
        <w:tc>
          <w:tcPr>
            <w:tcW w:w="874" w:type="pct"/>
            <w:tcBorders>
              <w:tl2br w:val="nil"/>
              <w:tr2bl w:val="nil"/>
            </w:tcBorders>
            <w:noWrap w:val="0"/>
            <w:vAlign w:val="center"/>
          </w:tcPr>
          <w:p w14:paraId="55E6ABC8">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w:t>
            </w:r>
          </w:p>
        </w:tc>
        <w:tc>
          <w:tcPr>
            <w:tcW w:w="541" w:type="pct"/>
            <w:tcBorders>
              <w:tl2br w:val="nil"/>
              <w:tr2bl w:val="nil"/>
            </w:tcBorders>
            <w:noWrap w:val="0"/>
            <w:vAlign w:val="center"/>
          </w:tcPr>
          <w:p w14:paraId="0370A96D">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吨</w:t>
            </w:r>
          </w:p>
        </w:tc>
      </w:tr>
      <w:tr w14:paraId="0F505B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8" w:type="pct"/>
            <w:gridSpan w:val="3"/>
            <w:tcBorders>
              <w:tl2br w:val="nil"/>
              <w:tr2bl w:val="nil"/>
            </w:tcBorders>
            <w:noWrap w:val="0"/>
            <w:vAlign w:val="center"/>
          </w:tcPr>
          <w:p w14:paraId="62E9CF65">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清洗溶剂</w:t>
            </w:r>
          </w:p>
        </w:tc>
        <w:tc>
          <w:tcPr>
            <w:tcW w:w="1625" w:type="pct"/>
            <w:gridSpan w:val="2"/>
            <w:tcBorders>
              <w:tl2br w:val="nil"/>
              <w:tr2bl w:val="nil"/>
            </w:tcBorders>
            <w:noWrap w:val="0"/>
            <w:vAlign w:val="center"/>
          </w:tcPr>
          <w:p w14:paraId="0D2A7D94">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5</w:t>
            </w:r>
          </w:p>
        </w:tc>
        <w:tc>
          <w:tcPr>
            <w:tcW w:w="874" w:type="pct"/>
            <w:tcBorders>
              <w:tl2br w:val="nil"/>
              <w:tr2bl w:val="nil"/>
            </w:tcBorders>
            <w:noWrap w:val="0"/>
            <w:vAlign w:val="center"/>
          </w:tcPr>
          <w:p w14:paraId="0CCA14A0">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0.2</w:t>
            </w:r>
          </w:p>
        </w:tc>
        <w:tc>
          <w:tcPr>
            <w:tcW w:w="541" w:type="pct"/>
            <w:tcBorders>
              <w:tl2br w:val="nil"/>
              <w:tr2bl w:val="nil"/>
            </w:tcBorders>
            <w:noWrap w:val="0"/>
            <w:vAlign w:val="center"/>
          </w:tcPr>
          <w:p w14:paraId="6DB994DB">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吨</w:t>
            </w:r>
          </w:p>
        </w:tc>
      </w:tr>
      <w:tr w14:paraId="6AEEEE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958" w:type="pct"/>
            <w:gridSpan w:val="3"/>
            <w:tcBorders>
              <w:tl2br w:val="nil"/>
              <w:tr2bl w:val="nil"/>
            </w:tcBorders>
            <w:noWrap w:val="0"/>
            <w:vAlign w:val="center"/>
          </w:tcPr>
          <w:p w14:paraId="35565B28">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异氰酸酯（黑料、PAPI）</w:t>
            </w:r>
          </w:p>
        </w:tc>
        <w:tc>
          <w:tcPr>
            <w:tcW w:w="1625" w:type="pct"/>
            <w:gridSpan w:val="2"/>
            <w:tcBorders>
              <w:tl2br w:val="nil"/>
              <w:tr2bl w:val="nil"/>
            </w:tcBorders>
            <w:noWrap w:val="0"/>
            <w:vAlign w:val="center"/>
          </w:tcPr>
          <w:p w14:paraId="27CA8D63">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150</w:t>
            </w:r>
          </w:p>
        </w:tc>
        <w:tc>
          <w:tcPr>
            <w:tcW w:w="874" w:type="pct"/>
            <w:tcBorders>
              <w:tl2br w:val="nil"/>
              <w:tr2bl w:val="nil"/>
            </w:tcBorders>
            <w:noWrap w:val="0"/>
            <w:vAlign w:val="center"/>
          </w:tcPr>
          <w:p w14:paraId="3A014CBB">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w:t>
            </w:r>
          </w:p>
        </w:tc>
        <w:tc>
          <w:tcPr>
            <w:tcW w:w="541" w:type="pct"/>
            <w:tcBorders>
              <w:tl2br w:val="nil"/>
              <w:tr2bl w:val="nil"/>
            </w:tcBorders>
            <w:noWrap w:val="0"/>
            <w:vAlign w:val="center"/>
          </w:tcPr>
          <w:p w14:paraId="3B842259">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吨</w:t>
            </w:r>
          </w:p>
        </w:tc>
      </w:tr>
      <w:tr w14:paraId="0A7944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8" w:type="pct"/>
            <w:gridSpan w:val="3"/>
            <w:tcBorders>
              <w:tl2br w:val="nil"/>
              <w:tr2bl w:val="nil"/>
            </w:tcBorders>
            <w:noWrap w:val="0"/>
            <w:vAlign w:val="center"/>
          </w:tcPr>
          <w:p w14:paraId="69AC5F76">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聚醚多元醇（白料）</w:t>
            </w:r>
          </w:p>
        </w:tc>
        <w:tc>
          <w:tcPr>
            <w:tcW w:w="1625" w:type="pct"/>
            <w:gridSpan w:val="2"/>
            <w:tcBorders>
              <w:tl2br w:val="nil"/>
              <w:tr2bl w:val="nil"/>
            </w:tcBorders>
            <w:noWrap w:val="0"/>
            <w:vAlign w:val="center"/>
          </w:tcPr>
          <w:p w14:paraId="7A37E497">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150</w:t>
            </w:r>
          </w:p>
        </w:tc>
        <w:tc>
          <w:tcPr>
            <w:tcW w:w="874" w:type="pct"/>
            <w:tcBorders>
              <w:tl2br w:val="nil"/>
              <w:tr2bl w:val="nil"/>
            </w:tcBorders>
            <w:noWrap w:val="0"/>
            <w:vAlign w:val="center"/>
          </w:tcPr>
          <w:p w14:paraId="347DC90A">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w:t>
            </w:r>
          </w:p>
        </w:tc>
        <w:tc>
          <w:tcPr>
            <w:tcW w:w="541" w:type="pct"/>
            <w:tcBorders>
              <w:tl2br w:val="nil"/>
              <w:tr2bl w:val="nil"/>
            </w:tcBorders>
            <w:noWrap w:val="0"/>
            <w:vAlign w:val="center"/>
          </w:tcPr>
          <w:p w14:paraId="653647E7">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吨</w:t>
            </w:r>
          </w:p>
        </w:tc>
      </w:tr>
      <w:tr w14:paraId="2D60BD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8" w:type="pct"/>
            <w:gridSpan w:val="3"/>
            <w:tcBorders>
              <w:tl2br w:val="nil"/>
              <w:tr2bl w:val="nil"/>
            </w:tcBorders>
            <w:noWrap w:val="0"/>
            <w:vAlign w:val="center"/>
          </w:tcPr>
          <w:p w14:paraId="686473B1">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丝印油墨</w:t>
            </w:r>
          </w:p>
        </w:tc>
        <w:tc>
          <w:tcPr>
            <w:tcW w:w="1625" w:type="pct"/>
            <w:gridSpan w:val="2"/>
            <w:tcBorders>
              <w:tl2br w:val="nil"/>
              <w:tr2bl w:val="nil"/>
            </w:tcBorders>
            <w:noWrap w:val="0"/>
            <w:vAlign w:val="center"/>
          </w:tcPr>
          <w:p w14:paraId="6EBC0517">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24</w:t>
            </w:r>
          </w:p>
        </w:tc>
        <w:tc>
          <w:tcPr>
            <w:tcW w:w="874" w:type="pct"/>
            <w:tcBorders>
              <w:tl2br w:val="nil"/>
              <w:tr2bl w:val="nil"/>
            </w:tcBorders>
            <w:noWrap w:val="0"/>
            <w:vAlign w:val="center"/>
          </w:tcPr>
          <w:p w14:paraId="6581BBC5">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w:t>
            </w:r>
          </w:p>
        </w:tc>
        <w:tc>
          <w:tcPr>
            <w:tcW w:w="541" w:type="pct"/>
            <w:tcBorders>
              <w:tl2br w:val="nil"/>
              <w:tr2bl w:val="nil"/>
            </w:tcBorders>
            <w:noWrap w:val="0"/>
            <w:vAlign w:val="center"/>
          </w:tcPr>
          <w:p w14:paraId="70D307BD">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rPr>
              <w:t>公斤</w:t>
            </w:r>
          </w:p>
        </w:tc>
      </w:tr>
      <w:tr w14:paraId="3FF776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8" w:type="pct"/>
            <w:gridSpan w:val="3"/>
            <w:tcBorders>
              <w:tl2br w:val="nil"/>
              <w:tr2bl w:val="nil"/>
            </w:tcBorders>
            <w:noWrap w:val="0"/>
            <w:vAlign w:val="center"/>
          </w:tcPr>
          <w:p w14:paraId="32170C45">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网版</w:t>
            </w:r>
          </w:p>
        </w:tc>
        <w:tc>
          <w:tcPr>
            <w:tcW w:w="1625" w:type="pct"/>
            <w:gridSpan w:val="2"/>
            <w:tcBorders>
              <w:tl2br w:val="nil"/>
              <w:tr2bl w:val="nil"/>
            </w:tcBorders>
            <w:noWrap w:val="0"/>
            <w:vAlign w:val="center"/>
          </w:tcPr>
          <w:p w14:paraId="220A1919">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rPr>
              <w:t>120</w:t>
            </w:r>
          </w:p>
        </w:tc>
        <w:tc>
          <w:tcPr>
            <w:tcW w:w="874" w:type="pct"/>
            <w:tcBorders>
              <w:tl2br w:val="nil"/>
              <w:tr2bl w:val="nil"/>
            </w:tcBorders>
            <w:noWrap w:val="0"/>
            <w:vAlign w:val="center"/>
          </w:tcPr>
          <w:p w14:paraId="5C98C382">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541" w:type="pct"/>
            <w:tcBorders>
              <w:tl2br w:val="nil"/>
              <w:tr2bl w:val="nil"/>
            </w:tcBorders>
            <w:noWrap w:val="0"/>
            <w:vAlign w:val="center"/>
          </w:tcPr>
          <w:p w14:paraId="02C26952">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rPr>
              <w:t>个</w:t>
            </w:r>
          </w:p>
        </w:tc>
      </w:tr>
      <w:tr w14:paraId="35AA08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8" w:type="pct"/>
            <w:gridSpan w:val="3"/>
            <w:tcBorders>
              <w:tl2br w:val="nil"/>
              <w:tr2bl w:val="nil"/>
            </w:tcBorders>
            <w:shd w:val="clear" w:color="auto" w:fill="auto"/>
            <w:noWrap w:val="0"/>
            <w:vAlign w:val="center"/>
          </w:tcPr>
          <w:p w14:paraId="5886244B">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Arial" w:cs="Times New Roman"/>
                <w:snapToGrid w:val="0"/>
                <w:color w:val="auto"/>
                <w:kern w:val="0"/>
                <w:sz w:val="21"/>
                <w:szCs w:val="21"/>
                <w:lang w:val="en-US" w:eastAsia="zh-CN" w:bidi="ar-SA"/>
              </w:rPr>
            </w:pPr>
            <w:r>
              <w:rPr>
                <w:rFonts w:hint="default" w:ascii="Times New Roman" w:hAnsi="Times New Roman" w:cs="Times New Roman"/>
                <w:color w:val="auto"/>
                <w:kern w:val="0"/>
                <w:szCs w:val="21"/>
              </w:rPr>
              <w:t>印版</w:t>
            </w:r>
          </w:p>
        </w:tc>
        <w:tc>
          <w:tcPr>
            <w:tcW w:w="1625" w:type="pct"/>
            <w:gridSpan w:val="2"/>
            <w:tcBorders>
              <w:tl2br w:val="nil"/>
              <w:tr2bl w:val="nil"/>
            </w:tcBorders>
            <w:shd w:val="clear" w:color="auto" w:fill="auto"/>
            <w:noWrap w:val="0"/>
            <w:vAlign w:val="center"/>
          </w:tcPr>
          <w:p w14:paraId="40DFA656">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Arial" w:cs="Times New Roman"/>
                <w:snapToGrid w:val="0"/>
                <w:color w:val="auto"/>
                <w:kern w:val="0"/>
                <w:sz w:val="21"/>
                <w:szCs w:val="21"/>
                <w:lang w:val="en-US" w:eastAsia="zh-CN" w:bidi="ar-SA"/>
              </w:rPr>
            </w:pPr>
            <w:r>
              <w:rPr>
                <w:rFonts w:hint="default" w:ascii="Times New Roman" w:hAnsi="Times New Roman" w:cs="Times New Roman"/>
                <w:color w:val="auto"/>
              </w:rPr>
              <w:t>60</w:t>
            </w:r>
          </w:p>
        </w:tc>
        <w:tc>
          <w:tcPr>
            <w:tcW w:w="874" w:type="pct"/>
            <w:tcBorders>
              <w:tl2br w:val="nil"/>
              <w:tr2bl w:val="nil"/>
            </w:tcBorders>
            <w:shd w:val="clear" w:color="auto" w:fill="auto"/>
            <w:noWrap w:val="0"/>
            <w:vAlign w:val="center"/>
          </w:tcPr>
          <w:p w14:paraId="29718743">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541" w:type="pct"/>
            <w:tcBorders>
              <w:tl2br w:val="nil"/>
              <w:tr2bl w:val="nil"/>
            </w:tcBorders>
            <w:shd w:val="clear" w:color="auto" w:fill="auto"/>
            <w:noWrap w:val="0"/>
            <w:vAlign w:val="center"/>
          </w:tcPr>
          <w:p w14:paraId="0B8ED1F4">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Arial" w:cs="Times New Roman"/>
                <w:snapToGrid w:val="0"/>
                <w:color w:val="auto"/>
                <w:kern w:val="0"/>
                <w:sz w:val="21"/>
                <w:szCs w:val="21"/>
                <w:lang w:val="en-US" w:eastAsia="zh-CN" w:bidi="ar-SA"/>
              </w:rPr>
            </w:pPr>
            <w:r>
              <w:rPr>
                <w:rFonts w:hint="default" w:ascii="Times New Roman" w:hAnsi="Times New Roman" w:cs="Times New Roman"/>
                <w:color w:val="auto"/>
              </w:rPr>
              <w:t>个</w:t>
            </w:r>
          </w:p>
        </w:tc>
      </w:tr>
      <w:tr w14:paraId="373977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8" w:type="pct"/>
            <w:gridSpan w:val="3"/>
            <w:tcBorders>
              <w:tl2br w:val="nil"/>
              <w:tr2bl w:val="nil"/>
            </w:tcBorders>
            <w:noWrap w:val="0"/>
            <w:vAlign w:val="center"/>
          </w:tcPr>
          <w:p w14:paraId="78CF322A">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水性胶水</w:t>
            </w:r>
          </w:p>
        </w:tc>
        <w:tc>
          <w:tcPr>
            <w:tcW w:w="1625" w:type="pct"/>
            <w:gridSpan w:val="2"/>
            <w:tcBorders>
              <w:tl2br w:val="nil"/>
              <w:tr2bl w:val="nil"/>
            </w:tcBorders>
            <w:noWrap w:val="0"/>
            <w:vAlign w:val="center"/>
          </w:tcPr>
          <w:p w14:paraId="2ECF3213">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360</w:t>
            </w:r>
          </w:p>
        </w:tc>
        <w:tc>
          <w:tcPr>
            <w:tcW w:w="874" w:type="pct"/>
            <w:tcBorders>
              <w:tl2br w:val="nil"/>
              <w:tr2bl w:val="nil"/>
            </w:tcBorders>
            <w:noWrap w:val="0"/>
            <w:vAlign w:val="center"/>
          </w:tcPr>
          <w:p w14:paraId="6256A11F">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15</w:t>
            </w:r>
          </w:p>
        </w:tc>
        <w:tc>
          <w:tcPr>
            <w:tcW w:w="541" w:type="pct"/>
            <w:tcBorders>
              <w:tl2br w:val="nil"/>
              <w:tr2bl w:val="nil"/>
            </w:tcBorders>
            <w:noWrap w:val="0"/>
            <w:vAlign w:val="center"/>
          </w:tcPr>
          <w:p w14:paraId="3E12E1F3">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吨</w:t>
            </w:r>
          </w:p>
        </w:tc>
      </w:tr>
      <w:tr w14:paraId="34591E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8" w:type="pct"/>
            <w:gridSpan w:val="3"/>
            <w:tcBorders>
              <w:tl2br w:val="nil"/>
              <w:tr2bl w:val="nil"/>
            </w:tcBorders>
            <w:noWrap w:val="0"/>
            <w:vAlign w:val="center"/>
          </w:tcPr>
          <w:p w14:paraId="687D6014">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布料</w:t>
            </w:r>
          </w:p>
        </w:tc>
        <w:tc>
          <w:tcPr>
            <w:tcW w:w="1625" w:type="pct"/>
            <w:gridSpan w:val="2"/>
            <w:tcBorders>
              <w:tl2br w:val="nil"/>
              <w:tr2bl w:val="nil"/>
            </w:tcBorders>
            <w:noWrap w:val="0"/>
            <w:vAlign w:val="center"/>
          </w:tcPr>
          <w:p w14:paraId="60B11EF1">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w:t>
            </w:r>
          </w:p>
        </w:tc>
        <w:tc>
          <w:tcPr>
            <w:tcW w:w="874" w:type="pct"/>
            <w:tcBorders>
              <w:tl2br w:val="nil"/>
              <w:tr2bl w:val="nil"/>
            </w:tcBorders>
            <w:noWrap w:val="0"/>
            <w:vAlign w:val="center"/>
          </w:tcPr>
          <w:p w14:paraId="5A03267B">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w:t>
            </w:r>
          </w:p>
        </w:tc>
        <w:tc>
          <w:tcPr>
            <w:tcW w:w="541" w:type="pct"/>
            <w:tcBorders>
              <w:tl2br w:val="nil"/>
              <w:tr2bl w:val="nil"/>
            </w:tcBorders>
            <w:noWrap w:val="0"/>
            <w:vAlign w:val="center"/>
          </w:tcPr>
          <w:p w14:paraId="490791B5">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匹</w:t>
            </w:r>
          </w:p>
        </w:tc>
      </w:tr>
      <w:tr w14:paraId="3FB518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4" w:type="pct"/>
            <w:vMerge w:val="restart"/>
            <w:tcBorders>
              <w:tl2br w:val="nil"/>
              <w:tr2bl w:val="nil"/>
            </w:tcBorders>
            <w:noWrap w:val="0"/>
            <w:vAlign w:val="center"/>
          </w:tcPr>
          <w:p w14:paraId="31C48A59">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eastAsia" w:ascii="Times New Roman" w:hAnsi="Times New Roman" w:eastAsia="宋体" w:cs="Times New Roman"/>
                <w:color w:val="auto"/>
                <w:kern w:val="0"/>
                <w:szCs w:val="21"/>
                <w:lang w:eastAsia="zh-CN"/>
              </w:rPr>
            </w:pPr>
            <w:r>
              <w:rPr>
                <w:rFonts w:hint="default" w:ascii="Times New Roman" w:hAnsi="Times New Roman" w:cs="Times New Roman"/>
                <w:color w:val="auto"/>
                <w:kern w:val="0"/>
                <w:szCs w:val="21"/>
              </w:rPr>
              <w:t>塑料粒子</w:t>
            </w:r>
          </w:p>
        </w:tc>
        <w:tc>
          <w:tcPr>
            <w:tcW w:w="984" w:type="pct"/>
            <w:gridSpan w:val="2"/>
            <w:tcBorders>
              <w:tl2br w:val="nil"/>
              <w:tr2bl w:val="nil"/>
            </w:tcBorders>
            <w:noWrap w:val="0"/>
            <w:vAlign w:val="center"/>
          </w:tcPr>
          <w:p w14:paraId="62040216">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ABS</w:t>
            </w:r>
          </w:p>
        </w:tc>
        <w:tc>
          <w:tcPr>
            <w:tcW w:w="1625" w:type="pct"/>
            <w:gridSpan w:val="2"/>
            <w:tcBorders>
              <w:tl2br w:val="nil"/>
              <w:tr2bl w:val="nil"/>
            </w:tcBorders>
            <w:noWrap w:val="0"/>
            <w:vAlign w:val="center"/>
          </w:tcPr>
          <w:p w14:paraId="7E64EFD0">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rPr>
            </w:pPr>
            <w:r>
              <w:rPr>
                <w:rFonts w:hint="eastAsia" w:ascii="Times New Roman" w:hAnsi="Times New Roman" w:eastAsia="宋体" w:cs="Times New Roman"/>
                <w:color w:val="auto"/>
                <w:lang w:val="en-US" w:eastAsia="zh-CN"/>
              </w:rPr>
              <w:t>4</w:t>
            </w:r>
            <w:r>
              <w:rPr>
                <w:rFonts w:hint="default" w:ascii="Times New Roman" w:hAnsi="Times New Roman" w:cs="Times New Roman"/>
                <w:color w:val="auto"/>
              </w:rPr>
              <w:t>00</w:t>
            </w:r>
          </w:p>
        </w:tc>
        <w:tc>
          <w:tcPr>
            <w:tcW w:w="874" w:type="pct"/>
            <w:tcBorders>
              <w:tl2br w:val="nil"/>
              <w:tr2bl w:val="nil"/>
            </w:tcBorders>
            <w:noWrap w:val="0"/>
            <w:vAlign w:val="center"/>
          </w:tcPr>
          <w:p w14:paraId="56D6BF66">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16</w:t>
            </w:r>
          </w:p>
        </w:tc>
        <w:tc>
          <w:tcPr>
            <w:tcW w:w="541" w:type="pct"/>
            <w:tcBorders>
              <w:tl2br w:val="nil"/>
              <w:tr2bl w:val="nil"/>
            </w:tcBorders>
            <w:noWrap w:val="0"/>
            <w:vAlign w:val="center"/>
          </w:tcPr>
          <w:p w14:paraId="2F47226A">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rPr>
              <w:t>吨</w:t>
            </w:r>
          </w:p>
        </w:tc>
      </w:tr>
      <w:tr w14:paraId="12DD69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4" w:type="pct"/>
            <w:vMerge w:val="continue"/>
            <w:tcBorders>
              <w:tl2br w:val="nil"/>
              <w:tr2bl w:val="nil"/>
            </w:tcBorders>
            <w:noWrap w:val="0"/>
            <w:vAlign w:val="center"/>
          </w:tcPr>
          <w:p w14:paraId="508966A3">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kern w:val="0"/>
                <w:szCs w:val="21"/>
              </w:rPr>
            </w:pPr>
          </w:p>
        </w:tc>
        <w:tc>
          <w:tcPr>
            <w:tcW w:w="984" w:type="pct"/>
            <w:gridSpan w:val="2"/>
            <w:tcBorders>
              <w:tl2br w:val="nil"/>
              <w:tr2bl w:val="nil"/>
            </w:tcBorders>
            <w:noWrap w:val="0"/>
            <w:vAlign w:val="center"/>
          </w:tcPr>
          <w:p w14:paraId="4C056C83">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PP</w:t>
            </w:r>
          </w:p>
        </w:tc>
        <w:tc>
          <w:tcPr>
            <w:tcW w:w="1625" w:type="pct"/>
            <w:gridSpan w:val="2"/>
            <w:tcBorders>
              <w:tl2br w:val="nil"/>
              <w:tr2bl w:val="nil"/>
            </w:tcBorders>
            <w:noWrap w:val="0"/>
            <w:vAlign w:val="center"/>
          </w:tcPr>
          <w:p w14:paraId="5E295A67">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rPr>
              <w:t>1</w:t>
            </w:r>
            <w:r>
              <w:rPr>
                <w:rFonts w:hint="eastAsia" w:ascii="Times New Roman" w:hAnsi="Times New Roman" w:eastAsia="宋体" w:cs="Times New Roman"/>
                <w:color w:val="auto"/>
                <w:lang w:val="en-US" w:eastAsia="zh-CN"/>
              </w:rPr>
              <w:t>3</w:t>
            </w:r>
            <w:r>
              <w:rPr>
                <w:rFonts w:hint="default" w:ascii="Times New Roman" w:hAnsi="Times New Roman" w:cs="Times New Roman"/>
                <w:color w:val="auto"/>
              </w:rPr>
              <w:t>00</w:t>
            </w:r>
          </w:p>
        </w:tc>
        <w:tc>
          <w:tcPr>
            <w:tcW w:w="874" w:type="pct"/>
            <w:tcBorders>
              <w:tl2br w:val="nil"/>
              <w:tr2bl w:val="nil"/>
            </w:tcBorders>
            <w:noWrap w:val="0"/>
            <w:vAlign w:val="center"/>
          </w:tcPr>
          <w:p w14:paraId="0D18AC7B">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52</w:t>
            </w:r>
          </w:p>
        </w:tc>
        <w:tc>
          <w:tcPr>
            <w:tcW w:w="541" w:type="pct"/>
            <w:tcBorders>
              <w:tl2br w:val="nil"/>
              <w:tr2bl w:val="nil"/>
            </w:tcBorders>
            <w:noWrap w:val="0"/>
            <w:vAlign w:val="center"/>
          </w:tcPr>
          <w:p w14:paraId="5A48AB2F">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rPr>
              <w:t>吨</w:t>
            </w:r>
          </w:p>
        </w:tc>
      </w:tr>
      <w:tr w14:paraId="61871A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4" w:type="pct"/>
            <w:vMerge w:val="continue"/>
            <w:tcBorders>
              <w:tl2br w:val="nil"/>
              <w:tr2bl w:val="nil"/>
            </w:tcBorders>
            <w:noWrap w:val="0"/>
            <w:vAlign w:val="center"/>
          </w:tcPr>
          <w:p w14:paraId="16C81A6C">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kern w:val="0"/>
                <w:szCs w:val="21"/>
              </w:rPr>
            </w:pPr>
          </w:p>
        </w:tc>
        <w:tc>
          <w:tcPr>
            <w:tcW w:w="984" w:type="pct"/>
            <w:gridSpan w:val="2"/>
            <w:tcBorders>
              <w:tl2br w:val="nil"/>
              <w:tr2bl w:val="nil"/>
            </w:tcBorders>
            <w:noWrap w:val="0"/>
            <w:vAlign w:val="center"/>
          </w:tcPr>
          <w:p w14:paraId="55AA0C1A">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PC</w:t>
            </w:r>
          </w:p>
        </w:tc>
        <w:tc>
          <w:tcPr>
            <w:tcW w:w="1625" w:type="pct"/>
            <w:gridSpan w:val="2"/>
            <w:tcBorders>
              <w:tl2br w:val="nil"/>
              <w:tr2bl w:val="nil"/>
            </w:tcBorders>
            <w:noWrap w:val="0"/>
            <w:vAlign w:val="center"/>
          </w:tcPr>
          <w:p w14:paraId="3265F616">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rPr>
            </w:pPr>
            <w:r>
              <w:rPr>
                <w:rFonts w:hint="eastAsia" w:ascii="Times New Roman" w:hAnsi="Times New Roman" w:eastAsia="宋体" w:cs="Times New Roman"/>
                <w:color w:val="auto"/>
                <w:lang w:val="en-US" w:eastAsia="zh-CN"/>
              </w:rPr>
              <w:t>4</w:t>
            </w:r>
            <w:r>
              <w:rPr>
                <w:rFonts w:hint="default" w:ascii="Times New Roman" w:hAnsi="Times New Roman" w:cs="Times New Roman"/>
                <w:color w:val="auto"/>
              </w:rPr>
              <w:t>00</w:t>
            </w:r>
          </w:p>
        </w:tc>
        <w:tc>
          <w:tcPr>
            <w:tcW w:w="874" w:type="pct"/>
            <w:tcBorders>
              <w:tl2br w:val="nil"/>
              <w:tr2bl w:val="nil"/>
            </w:tcBorders>
            <w:noWrap w:val="0"/>
            <w:vAlign w:val="center"/>
          </w:tcPr>
          <w:p w14:paraId="1CD8819E">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16</w:t>
            </w:r>
          </w:p>
        </w:tc>
        <w:tc>
          <w:tcPr>
            <w:tcW w:w="541" w:type="pct"/>
            <w:tcBorders>
              <w:tl2br w:val="nil"/>
              <w:tr2bl w:val="nil"/>
            </w:tcBorders>
            <w:noWrap w:val="0"/>
            <w:vAlign w:val="center"/>
          </w:tcPr>
          <w:p w14:paraId="55F4A69A">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rPr>
              <w:t>吨</w:t>
            </w:r>
          </w:p>
        </w:tc>
      </w:tr>
      <w:tr w14:paraId="3501ED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4" w:type="pct"/>
            <w:vMerge w:val="continue"/>
            <w:tcBorders>
              <w:tl2br w:val="nil"/>
              <w:tr2bl w:val="nil"/>
            </w:tcBorders>
            <w:noWrap w:val="0"/>
            <w:vAlign w:val="center"/>
          </w:tcPr>
          <w:p w14:paraId="4242D424">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kern w:val="0"/>
                <w:szCs w:val="21"/>
              </w:rPr>
            </w:pPr>
          </w:p>
        </w:tc>
        <w:tc>
          <w:tcPr>
            <w:tcW w:w="984" w:type="pct"/>
            <w:gridSpan w:val="2"/>
            <w:tcBorders>
              <w:tl2br w:val="nil"/>
              <w:tr2bl w:val="nil"/>
            </w:tcBorders>
            <w:noWrap w:val="0"/>
            <w:vAlign w:val="center"/>
          </w:tcPr>
          <w:p w14:paraId="2ABE0C88">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PA</w:t>
            </w:r>
          </w:p>
        </w:tc>
        <w:tc>
          <w:tcPr>
            <w:tcW w:w="1625" w:type="pct"/>
            <w:gridSpan w:val="2"/>
            <w:tcBorders>
              <w:tl2br w:val="nil"/>
              <w:tr2bl w:val="nil"/>
            </w:tcBorders>
            <w:noWrap w:val="0"/>
            <w:vAlign w:val="center"/>
          </w:tcPr>
          <w:p w14:paraId="78ECA9AE">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rPr>
            </w:pPr>
            <w:r>
              <w:rPr>
                <w:rFonts w:hint="eastAsia" w:ascii="Times New Roman" w:hAnsi="Times New Roman" w:eastAsia="宋体" w:cs="Times New Roman"/>
                <w:color w:val="auto"/>
                <w:lang w:val="en-US" w:eastAsia="zh-CN"/>
              </w:rPr>
              <w:t>3</w:t>
            </w:r>
            <w:r>
              <w:rPr>
                <w:rFonts w:hint="default" w:ascii="Times New Roman" w:hAnsi="Times New Roman" w:cs="Times New Roman"/>
                <w:color w:val="auto"/>
              </w:rPr>
              <w:t>00</w:t>
            </w:r>
          </w:p>
        </w:tc>
        <w:tc>
          <w:tcPr>
            <w:tcW w:w="874" w:type="pct"/>
            <w:tcBorders>
              <w:tl2br w:val="nil"/>
              <w:tr2bl w:val="nil"/>
            </w:tcBorders>
            <w:noWrap w:val="0"/>
            <w:vAlign w:val="center"/>
          </w:tcPr>
          <w:p w14:paraId="589BF369">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12</w:t>
            </w:r>
          </w:p>
        </w:tc>
        <w:tc>
          <w:tcPr>
            <w:tcW w:w="541" w:type="pct"/>
            <w:tcBorders>
              <w:tl2br w:val="nil"/>
              <w:tr2bl w:val="nil"/>
            </w:tcBorders>
            <w:noWrap w:val="0"/>
            <w:vAlign w:val="center"/>
          </w:tcPr>
          <w:p w14:paraId="465CF09E">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rPr>
              <w:t>吨</w:t>
            </w:r>
          </w:p>
        </w:tc>
      </w:tr>
      <w:tr w14:paraId="362F97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4" w:type="pct"/>
            <w:vMerge w:val="continue"/>
            <w:tcBorders>
              <w:tl2br w:val="nil"/>
              <w:tr2bl w:val="nil"/>
            </w:tcBorders>
            <w:noWrap w:val="0"/>
            <w:vAlign w:val="center"/>
          </w:tcPr>
          <w:p w14:paraId="62784665">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kern w:val="0"/>
                <w:szCs w:val="21"/>
              </w:rPr>
            </w:pPr>
          </w:p>
        </w:tc>
        <w:tc>
          <w:tcPr>
            <w:tcW w:w="984" w:type="pct"/>
            <w:gridSpan w:val="2"/>
            <w:tcBorders>
              <w:tl2br w:val="nil"/>
              <w:tr2bl w:val="nil"/>
            </w:tcBorders>
            <w:noWrap w:val="0"/>
            <w:vAlign w:val="center"/>
          </w:tcPr>
          <w:p w14:paraId="70423282">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ABS+PC</w:t>
            </w:r>
          </w:p>
        </w:tc>
        <w:tc>
          <w:tcPr>
            <w:tcW w:w="1625" w:type="pct"/>
            <w:gridSpan w:val="2"/>
            <w:tcBorders>
              <w:tl2br w:val="nil"/>
              <w:tr2bl w:val="nil"/>
            </w:tcBorders>
            <w:noWrap w:val="0"/>
            <w:vAlign w:val="center"/>
          </w:tcPr>
          <w:p w14:paraId="23528C0C">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rPr>
              <w:t>1</w:t>
            </w:r>
            <w:r>
              <w:rPr>
                <w:rFonts w:hint="eastAsia" w:ascii="Times New Roman" w:hAnsi="Times New Roman" w:eastAsia="宋体" w:cs="Times New Roman"/>
                <w:color w:val="auto"/>
                <w:lang w:val="en-US" w:eastAsia="zh-CN"/>
              </w:rPr>
              <w:t>6</w:t>
            </w:r>
            <w:r>
              <w:rPr>
                <w:rFonts w:hint="default" w:ascii="Times New Roman" w:hAnsi="Times New Roman" w:cs="Times New Roman"/>
                <w:color w:val="auto"/>
              </w:rPr>
              <w:t>00</w:t>
            </w:r>
          </w:p>
        </w:tc>
        <w:tc>
          <w:tcPr>
            <w:tcW w:w="874" w:type="pct"/>
            <w:tcBorders>
              <w:tl2br w:val="nil"/>
              <w:tr2bl w:val="nil"/>
            </w:tcBorders>
            <w:noWrap w:val="0"/>
            <w:vAlign w:val="center"/>
          </w:tcPr>
          <w:p w14:paraId="71A431EC">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64</w:t>
            </w:r>
          </w:p>
        </w:tc>
        <w:tc>
          <w:tcPr>
            <w:tcW w:w="541" w:type="pct"/>
            <w:tcBorders>
              <w:tl2br w:val="nil"/>
              <w:tr2bl w:val="nil"/>
            </w:tcBorders>
            <w:noWrap w:val="0"/>
            <w:vAlign w:val="center"/>
          </w:tcPr>
          <w:p w14:paraId="54F45C9B">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rPr>
              <w:t>吨</w:t>
            </w:r>
          </w:p>
        </w:tc>
      </w:tr>
      <w:tr w14:paraId="153715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8" w:type="pct"/>
            <w:gridSpan w:val="3"/>
            <w:tcBorders>
              <w:tl2br w:val="nil"/>
              <w:tr2bl w:val="nil"/>
            </w:tcBorders>
            <w:noWrap w:val="0"/>
            <w:vAlign w:val="center"/>
          </w:tcPr>
          <w:p w14:paraId="714E1584">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kern w:val="0"/>
                <w:szCs w:val="21"/>
              </w:rPr>
            </w:pPr>
            <w:r>
              <w:rPr>
                <w:rFonts w:hint="eastAsia" w:ascii="Times New Roman" w:hAnsi="Times New Roman" w:eastAsia="宋体" w:cs="Times New Roman"/>
                <w:color w:val="auto"/>
                <w:kern w:val="0"/>
                <w:szCs w:val="21"/>
                <w:lang w:val="en-US" w:eastAsia="zh-CN"/>
              </w:rPr>
              <w:t>天然气</w:t>
            </w:r>
          </w:p>
        </w:tc>
        <w:tc>
          <w:tcPr>
            <w:tcW w:w="1625" w:type="pct"/>
            <w:gridSpan w:val="2"/>
            <w:tcBorders>
              <w:tl2br w:val="nil"/>
              <w:tr2bl w:val="nil"/>
            </w:tcBorders>
            <w:noWrap w:val="0"/>
            <w:vAlign w:val="center"/>
          </w:tcPr>
          <w:p w14:paraId="087A01B5">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rPr>
            </w:pPr>
            <w:r>
              <w:rPr>
                <w:rFonts w:hint="eastAsia" w:ascii="Times New Roman" w:hAnsi="Times New Roman" w:eastAsia="宋体" w:cs="Times New Roman"/>
                <w:snapToGrid w:val="0"/>
                <w:color w:val="auto"/>
                <w:kern w:val="2"/>
                <w:sz w:val="24"/>
                <w:szCs w:val="24"/>
                <w:lang w:val="en-US" w:eastAsia="zh-CN" w:bidi="ar-SA"/>
              </w:rPr>
              <w:t>38</w:t>
            </w:r>
          </w:p>
        </w:tc>
        <w:tc>
          <w:tcPr>
            <w:tcW w:w="874" w:type="pct"/>
            <w:tcBorders>
              <w:tl2br w:val="nil"/>
              <w:tr2bl w:val="nil"/>
            </w:tcBorders>
            <w:noWrap w:val="0"/>
            <w:vAlign w:val="center"/>
          </w:tcPr>
          <w:p w14:paraId="72A06BCD">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541" w:type="pct"/>
            <w:tcBorders>
              <w:tl2br w:val="nil"/>
              <w:tr2bl w:val="nil"/>
            </w:tcBorders>
            <w:noWrap w:val="0"/>
            <w:vAlign w:val="center"/>
          </w:tcPr>
          <w:p w14:paraId="717A5C4B">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cs="Times New Roman"/>
                <w:color w:val="auto"/>
              </w:rPr>
            </w:pPr>
            <w:r>
              <w:rPr>
                <w:rFonts w:hint="eastAsia" w:ascii="Times New Roman" w:hAnsi="Times New Roman" w:eastAsia="宋体" w:cs="Times New Roman"/>
                <w:snapToGrid w:val="0"/>
                <w:color w:val="auto"/>
                <w:kern w:val="2"/>
                <w:sz w:val="24"/>
                <w:szCs w:val="24"/>
                <w:lang w:val="en-US" w:eastAsia="zh-CN" w:bidi="ar-SA"/>
              </w:rPr>
              <w:t>万m</w:t>
            </w:r>
            <w:r>
              <w:rPr>
                <w:rFonts w:hint="eastAsia" w:ascii="Times New Roman" w:hAnsi="Times New Roman" w:eastAsia="宋体" w:cs="Times New Roman"/>
                <w:snapToGrid w:val="0"/>
                <w:color w:val="auto"/>
                <w:kern w:val="2"/>
                <w:sz w:val="24"/>
                <w:szCs w:val="24"/>
                <w:vertAlign w:val="superscript"/>
                <w:lang w:val="en-US" w:eastAsia="zh-CN" w:bidi="ar-SA"/>
              </w:rPr>
              <w:t>3</w:t>
            </w:r>
          </w:p>
        </w:tc>
      </w:tr>
      <w:tr w14:paraId="0A1F37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8" w:type="pct"/>
            <w:gridSpan w:val="3"/>
            <w:tcBorders>
              <w:tl2br w:val="nil"/>
              <w:tr2bl w:val="nil"/>
            </w:tcBorders>
            <w:noWrap w:val="0"/>
            <w:vAlign w:val="center"/>
          </w:tcPr>
          <w:p w14:paraId="566BCA14">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润滑油</w:t>
            </w:r>
          </w:p>
        </w:tc>
        <w:tc>
          <w:tcPr>
            <w:tcW w:w="1625" w:type="pct"/>
            <w:gridSpan w:val="2"/>
            <w:tcBorders>
              <w:tl2br w:val="nil"/>
              <w:tr2bl w:val="nil"/>
            </w:tcBorders>
            <w:noWrap w:val="0"/>
            <w:vAlign w:val="center"/>
          </w:tcPr>
          <w:p w14:paraId="6B9ABB1C">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snapToGrid w:val="0"/>
                <w:color w:val="auto"/>
                <w:kern w:val="2"/>
                <w:sz w:val="24"/>
                <w:szCs w:val="24"/>
                <w:lang w:val="en-US" w:eastAsia="zh-CN" w:bidi="ar-SA"/>
              </w:rPr>
            </w:pPr>
            <w:r>
              <w:rPr>
                <w:rFonts w:hint="eastAsia" w:ascii="Times New Roman" w:hAnsi="Times New Roman" w:eastAsia="宋体" w:cs="Times New Roman"/>
                <w:snapToGrid w:val="0"/>
                <w:color w:val="auto"/>
                <w:kern w:val="2"/>
                <w:sz w:val="24"/>
                <w:szCs w:val="24"/>
                <w:lang w:val="en-US" w:eastAsia="zh-CN" w:bidi="ar-SA"/>
              </w:rPr>
              <w:t>1.0</w:t>
            </w:r>
          </w:p>
        </w:tc>
        <w:tc>
          <w:tcPr>
            <w:tcW w:w="874" w:type="pct"/>
            <w:tcBorders>
              <w:tl2br w:val="nil"/>
              <w:tr2bl w:val="nil"/>
            </w:tcBorders>
            <w:noWrap w:val="0"/>
            <w:vAlign w:val="center"/>
          </w:tcPr>
          <w:p w14:paraId="539ED15A">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0.2</w:t>
            </w:r>
          </w:p>
        </w:tc>
        <w:tc>
          <w:tcPr>
            <w:tcW w:w="541" w:type="pct"/>
            <w:tcBorders>
              <w:tl2br w:val="nil"/>
              <w:tr2bl w:val="nil"/>
            </w:tcBorders>
            <w:noWrap w:val="0"/>
            <w:vAlign w:val="center"/>
          </w:tcPr>
          <w:p w14:paraId="7F378F2D">
            <w:pPr>
              <w:keepNext w:val="0"/>
              <w:keepLines w:val="0"/>
              <w:pageBreakBefore w:val="0"/>
              <w:widowControl w:val="0"/>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snapToGrid w:val="0"/>
                <w:color w:val="auto"/>
                <w:kern w:val="2"/>
                <w:sz w:val="24"/>
                <w:szCs w:val="24"/>
                <w:lang w:val="en-US" w:eastAsia="zh-CN" w:bidi="ar-SA"/>
              </w:rPr>
            </w:pPr>
            <w:r>
              <w:rPr>
                <w:rFonts w:hint="eastAsia" w:ascii="Times New Roman" w:hAnsi="Times New Roman" w:eastAsia="宋体" w:cs="Times New Roman"/>
                <w:snapToGrid w:val="0"/>
                <w:color w:val="auto"/>
                <w:kern w:val="2"/>
                <w:sz w:val="24"/>
                <w:szCs w:val="24"/>
                <w:lang w:val="en-US" w:eastAsia="zh-CN" w:bidi="ar-SA"/>
              </w:rPr>
              <w:t>吨</w:t>
            </w:r>
          </w:p>
        </w:tc>
      </w:tr>
    </w:tbl>
    <w:p w14:paraId="684B4623">
      <w:pPr>
        <w:spacing w:line="21" w:lineRule="exact"/>
        <w:rPr>
          <w:rFonts w:ascii="Times New Roman" w:hAnsi="Times New Roman" w:cs="Times New Roman"/>
          <w:color w:val="FF0000"/>
          <w:highlight w:val="none"/>
        </w:rPr>
      </w:pPr>
    </w:p>
    <w:p w14:paraId="0621A5F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outlineLvl w:val="9"/>
        <w:rPr>
          <w:rFonts w:hint="default" w:ascii="Times New Roman" w:hAnsi="Times New Roman" w:eastAsia="宋体" w:cs="Times New Roman"/>
          <w:b w:val="0"/>
          <w:bCs w:val="0"/>
          <w:snapToGrid w:val="0"/>
          <w:color w:val="auto"/>
          <w:kern w:val="0"/>
          <w:sz w:val="24"/>
          <w:szCs w:val="24"/>
          <w:lang w:val="en-US" w:eastAsia="zh-CN" w:bidi="ar"/>
        </w:rPr>
      </w:pPr>
      <w:r>
        <w:rPr>
          <w:rFonts w:hint="eastAsia" w:ascii="Times New Roman" w:hAnsi="Times New Roman" w:eastAsia="宋体" w:cs="Times New Roman"/>
          <w:b w:val="0"/>
          <w:bCs w:val="0"/>
          <w:snapToGrid w:val="0"/>
          <w:color w:val="auto"/>
          <w:kern w:val="0"/>
          <w:sz w:val="24"/>
          <w:szCs w:val="24"/>
          <w:lang w:val="en-US" w:eastAsia="zh-CN" w:bidi="ar"/>
        </w:rPr>
        <w:t>项目原料成分及理化性质</w:t>
      </w:r>
    </w:p>
    <w:p w14:paraId="31AC86FC">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sz w:val="24"/>
          <w:szCs w:val="24"/>
          <w:highlight w:val="none"/>
        </w:rPr>
        <w:t>根据厂家提供资料，</w:t>
      </w:r>
      <w:r>
        <w:rPr>
          <w:rFonts w:hint="default" w:ascii="Times New Roman" w:hAnsi="Times New Roman" w:cs="Times New Roman" w:eastAsiaTheme="majorEastAsia"/>
          <w:color w:val="auto"/>
          <w:sz w:val="24"/>
          <w:szCs w:val="24"/>
          <w:highlight w:val="none"/>
          <w:lang w:eastAsia="zh-CN"/>
        </w:rPr>
        <w:t>本项目使用的油漆</w:t>
      </w:r>
      <w:r>
        <w:rPr>
          <w:rFonts w:hint="eastAsia" w:ascii="Times New Roman" w:hAnsi="Times New Roman" w:cs="Times New Roman" w:eastAsiaTheme="majorEastAsia"/>
          <w:color w:val="auto"/>
          <w:sz w:val="24"/>
          <w:szCs w:val="24"/>
          <w:highlight w:val="none"/>
          <w:lang w:eastAsia="zh-CN"/>
        </w:rPr>
        <w:t>、</w:t>
      </w:r>
      <w:r>
        <w:rPr>
          <w:rFonts w:hint="eastAsia" w:ascii="Times New Roman" w:hAnsi="Times New Roman" w:cs="Times New Roman" w:eastAsiaTheme="majorEastAsia"/>
          <w:color w:val="auto"/>
          <w:sz w:val="24"/>
          <w:szCs w:val="24"/>
          <w:highlight w:val="none"/>
          <w:lang w:val="en-US" w:eastAsia="zh-CN"/>
        </w:rPr>
        <w:t>固化剂</w:t>
      </w:r>
      <w:r>
        <w:rPr>
          <w:rFonts w:hint="default" w:ascii="Times New Roman" w:hAnsi="Times New Roman" w:cs="Times New Roman" w:eastAsiaTheme="majorEastAsia"/>
          <w:color w:val="auto"/>
          <w:sz w:val="24"/>
          <w:szCs w:val="24"/>
          <w:highlight w:val="none"/>
          <w:lang w:eastAsia="zh-CN"/>
        </w:rPr>
        <w:t>及稀释剂成分中均不包含甲苯</w:t>
      </w:r>
      <w:r>
        <w:rPr>
          <w:rFonts w:hint="eastAsia" w:ascii="Times New Roman" w:hAnsi="Times New Roman" w:cs="Times New Roman" w:eastAsiaTheme="majorEastAsia"/>
          <w:color w:val="auto"/>
          <w:sz w:val="24"/>
          <w:szCs w:val="24"/>
          <w:highlight w:val="none"/>
          <w:lang w:eastAsia="zh-CN"/>
        </w:rPr>
        <w:t>、</w:t>
      </w:r>
      <w:r>
        <w:rPr>
          <w:rFonts w:hint="eastAsia" w:ascii="Times New Roman" w:hAnsi="Times New Roman" w:cs="Times New Roman" w:eastAsiaTheme="majorEastAsia"/>
          <w:color w:val="auto"/>
          <w:sz w:val="24"/>
          <w:szCs w:val="24"/>
          <w:highlight w:val="none"/>
          <w:lang w:val="en-US" w:eastAsia="zh-CN"/>
        </w:rPr>
        <w:t>二甲苯</w:t>
      </w:r>
      <w:r>
        <w:rPr>
          <w:rFonts w:hint="default" w:ascii="Times New Roman" w:hAnsi="Times New Roman" w:cs="Times New Roman" w:eastAsiaTheme="majorEastAsia"/>
          <w:color w:val="auto"/>
          <w:sz w:val="24"/>
          <w:szCs w:val="24"/>
          <w:highlight w:val="none"/>
          <w:lang w:eastAsia="zh-CN"/>
        </w:rPr>
        <w:t>和苯</w:t>
      </w:r>
      <w:r>
        <w:rPr>
          <w:rFonts w:hint="default" w:ascii="Times New Roman" w:hAnsi="Times New Roman" w:eastAsia="宋体" w:cs="Times New Roman"/>
          <w:bCs/>
          <w:color w:val="auto"/>
          <w:kern w:val="2"/>
          <w:sz w:val="24"/>
          <w:szCs w:val="24"/>
          <w:highlight w:val="none"/>
          <w:lang w:eastAsia="zh-CN"/>
        </w:rPr>
        <w:t>。</w:t>
      </w:r>
      <w:r>
        <w:rPr>
          <w:rFonts w:hint="default" w:ascii="Times New Roman" w:hAnsi="Times New Roman" w:eastAsia="宋体" w:cs="Times New Roman"/>
          <w:bCs/>
          <w:color w:val="auto"/>
          <w:kern w:val="2"/>
          <w:sz w:val="24"/>
          <w:szCs w:val="24"/>
          <w:highlight w:val="none"/>
        </w:rPr>
        <w:t>主要组分及含量见表3.1-</w:t>
      </w:r>
      <w:r>
        <w:rPr>
          <w:rFonts w:hint="eastAsia" w:ascii="Times New Roman" w:hAnsi="Times New Roman" w:eastAsia="宋体" w:cs="Times New Roman"/>
          <w:bCs/>
          <w:color w:val="auto"/>
          <w:kern w:val="2"/>
          <w:sz w:val="24"/>
          <w:szCs w:val="24"/>
          <w:highlight w:val="none"/>
          <w:lang w:val="en-US" w:eastAsia="zh-CN"/>
        </w:rPr>
        <w:t>4</w:t>
      </w:r>
      <w:r>
        <w:rPr>
          <w:rFonts w:hint="default" w:ascii="Times New Roman" w:hAnsi="Times New Roman" w:eastAsia="宋体" w:cs="Times New Roman"/>
          <w:bCs/>
          <w:color w:val="auto"/>
          <w:kern w:val="2"/>
          <w:sz w:val="24"/>
          <w:szCs w:val="24"/>
          <w:highlight w:val="none"/>
        </w:rPr>
        <w:t>。</w:t>
      </w:r>
    </w:p>
    <w:p w14:paraId="0A92C9FD">
      <w:pPr>
        <w:widowControl w:val="0"/>
        <w:adjustRightInd/>
        <w:snapToGrid/>
        <w:spacing w:after="0" w:line="500" w:lineRule="exact"/>
        <w:jc w:val="center"/>
        <w:rPr>
          <w:rFonts w:hint="default" w:ascii="Times New Roman" w:hAnsi="Times New Roman" w:eastAsia="宋体" w:cs="Times New Roman"/>
          <w:b/>
          <w:bCs w:val="0"/>
          <w:color w:val="auto"/>
          <w:kern w:val="2"/>
          <w:sz w:val="24"/>
          <w:szCs w:val="24"/>
          <w:highlight w:val="none"/>
        </w:rPr>
      </w:pPr>
      <w:r>
        <w:rPr>
          <w:rFonts w:hint="default" w:ascii="Times New Roman" w:hAnsi="Times New Roman" w:eastAsia="宋体" w:cs="Times New Roman"/>
          <w:b/>
          <w:bCs w:val="0"/>
          <w:color w:val="auto"/>
          <w:kern w:val="2"/>
          <w:sz w:val="24"/>
          <w:szCs w:val="24"/>
          <w:highlight w:val="none"/>
        </w:rPr>
        <w:t>表3.1-</w:t>
      </w:r>
      <w:r>
        <w:rPr>
          <w:rFonts w:hint="eastAsia" w:ascii="Times New Roman" w:hAnsi="Times New Roman" w:eastAsia="宋体" w:cs="Times New Roman"/>
          <w:b/>
          <w:bCs w:val="0"/>
          <w:color w:val="auto"/>
          <w:kern w:val="2"/>
          <w:sz w:val="24"/>
          <w:szCs w:val="24"/>
          <w:highlight w:val="none"/>
          <w:lang w:val="en-US" w:eastAsia="zh-CN"/>
        </w:rPr>
        <w:t>4</w:t>
      </w:r>
      <w:r>
        <w:rPr>
          <w:rFonts w:hint="default" w:ascii="Times New Roman" w:hAnsi="Times New Roman" w:eastAsia="宋体" w:cs="Times New Roman"/>
          <w:b/>
          <w:bCs w:val="0"/>
          <w:color w:val="auto"/>
          <w:kern w:val="2"/>
          <w:sz w:val="24"/>
          <w:szCs w:val="24"/>
          <w:highlight w:val="none"/>
        </w:rPr>
        <w:t xml:space="preserve">  </w:t>
      </w:r>
      <w:r>
        <w:rPr>
          <w:rFonts w:hint="default" w:ascii="Times New Roman" w:hAnsi="Times New Roman" w:eastAsia="宋体" w:cs="Times New Roman"/>
          <w:b/>
          <w:bCs w:val="0"/>
          <w:color w:val="auto"/>
          <w:kern w:val="2"/>
          <w:sz w:val="24"/>
          <w:szCs w:val="24"/>
          <w:highlight w:val="none"/>
          <w:lang w:val="en-US" w:eastAsia="zh-CN"/>
        </w:rPr>
        <w:t xml:space="preserve"> </w:t>
      </w:r>
      <w:r>
        <w:rPr>
          <w:rFonts w:hint="default" w:ascii="Times New Roman" w:hAnsi="Times New Roman" w:eastAsia="宋体" w:cs="Times New Roman"/>
          <w:b/>
          <w:bCs w:val="0"/>
          <w:color w:val="auto"/>
          <w:kern w:val="2"/>
          <w:sz w:val="24"/>
          <w:szCs w:val="24"/>
          <w:highlight w:val="none"/>
        </w:rPr>
        <w:t>主要组分及含量表</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316"/>
        <w:gridCol w:w="2324"/>
        <w:gridCol w:w="2323"/>
        <w:gridCol w:w="2325"/>
      </w:tblGrid>
      <w:tr w14:paraId="6E2E11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16" w:type="dxa"/>
            <w:vAlign w:val="center"/>
          </w:tcPr>
          <w:p w14:paraId="536319A4">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漆料名称</w:t>
            </w:r>
          </w:p>
        </w:tc>
        <w:tc>
          <w:tcPr>
            <w:tcW w:w="2324" w:type="dxa"/>
            <w:vAlign w:val="center"/>
          </w:tcPr>
          <w:p w14:paraId="7F4265D6">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eastAsia="zh-CN"/>
              </w:rPr>
              <w:t>主要</w:t>
            </w:r>
            <w:r>
              <w:rPr>
                <w:rFonts w:hint="default" w:ascii="Times New Roman" w:hAnsi="Times New Roman" w:eastAsia="宋体" w:cs="Times New Roman"/>
                <w:bCs/>
                <w:color w:val="auto"/>
                <w:kern w:val="2"/>
                <w:sz w:val="21"/>
                <w:szCs w:val="21"/>
                <w:highlight w:val="none"/>
              </w:rPr>
              <w:t>成分</w:t>
            </w:r>
          </w:p>
        </w:tc>
        <w:tc>
          <w:tcPr>
            <w:tcW w:w="2323" w:type="dxa"/>
            <w:vAlign w:val="center"/>
          </w:tcPr>
          <w:p w14:paraId="4BECAB32">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CAS</w:t>
            </w:r>
          </w:p>
        </w:tc>
        <w:tc>
          <w:tcPr>
            <w:tcW w:w="2325" w:type="dxa"/>
            <w:vAlign w:val="center"/>
          </w:tcPr>
          <w:p w14:paraId="47FA47D7">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eastAsia="zh-CN"/>
              </w:rPr>
            </w:pPr>
            <w:r>
              <w:rPr>
                <w:rFonts w:hint="default" w:ascii="Times New Roman" w:hAnsi="Times New Roman" w:eastAsia="宋体" w:cs="Times New Roman"/>
                <w:bCs/>
                <w:color w:val="auto"/>
                <w:kern w:val="2"/>
                <w:sz w:val="21"/>
                <w:szCs w:val="21"/>
                <w:highlight w:val="none"/>
                <w:lang w:eastAsia="zh-CN"/>
              </w:rPr>
              <w:t>备注</w:t>
            </w:r>
          </w:p>
        </w:tc>
      </w:tr>
      <w:tr w14:paraId="78F45CE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16" w:type="dxa"/>
            <w:vMerge w:val="restart"/>
            <w:vAlign w:val="center"/>
          </w:tcPr>
          <w:p w14:paraId="466C6F07">
            <w:pPr>
              <w:widowControl w:val="0"/>
              <w:adjustRightInd/>
              <w:snapToGrid/>
              <w:spacing w:after="0" w:line="300" w:lineRule="exact"/>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val="en-US" w:eastAsia="zh-CN"/>
              </w:rPr>
              <w:t>油漆</w:t>
            </w:r>
          </w:p>
        </w:tc>
        <w:tc>
          <w:tcPr>
            <w:tcW w:w="2324" w:type="dxa"/>
            <w:vAlign w:val="center"/>
          </w:tcPr>
          <w:p w14:paraId="10713F43">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丙烯酸改性树脂</w:t>
            </w:r>
          </w:p>
        </w:tc>
        <w:tc>
          <w:tcPr>
            <w:tcW w:w="2323" w:type="dxa"/>
            <w:vAlign w:val="center"/>
          </w:tcPr>
          <w:p w14:paraId="0D4C1F1B">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eastAsia="zh-CN"/>
              </w:rPr>
            </w:pPr>
            <w:r>
              <w:rPr>
                <w:rFonts w:hint="eastAsia" w:ascii="Times New Roman" w:hAnsi="Times New Roman" w:eastAsia="宋体" w:cs="Times New Roman"/>
                <w:bCs/>
                <w:color w:val="auto"/>
                <w:kern w:val="2"/>
                <w:sz w:val="21"/>
                <w:szCs w:val="21"/>
                <w:highlight w:val="none"/>
                <w:lang w:val="en-US" w:eastAsia="zh-CN"/>
              </w:rPr>
              <w:t>-</w:t>
            </w:r>
          </w:p>
        </w:tc>
        <w:tc>
          <w:tcPr>
            <w:tcW w:w="2325" w:type="dxa"/>
            <w:vAlign w:val="center"/>
          </w:tcPr>
          <w:p w14:paraId="124BC589">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40-60%</w:t>
            </w:r>
          </w:p>
        </w:tc>
      </w:tr>
      <w:tr w14:paraId="43AB3D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16" w:type="dxa"/>
            <w:vMerge w:val="continue"/>
            <w:vAlign w:val="center"/>
          </w:tcPr>
          <w:p w14:paraId="7C8FA296">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rPr>
            </w:pPr>
          </w:p>
        </w:tc>
        <w:tc>
          <w:tcPr>
            <w:tcW w:w="2324" w:type="dxa"/>
            <w:vAlign w:val="center"/>
          </w:tcPr>
          <w:p w14:paraId="378F0A54">
            <w:pPr>
              <w:widowControl w:val="0"/>
              <w:adjustRightInd/>
              <w:snapToGrid/>
              <w:spacing w:after="0" w:line="320" w:lineRule="exact"/>
              <w:jc w:val="center"/>
              <w:rPr>
                <w:rFonts w:hint="eastAsia"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丙烯酸树脂</w:t>
            </w:r>
          </w:p>
        </w:tc>
        <w:tc>
          <w:tcPr>
            <w:tcW w:w="2323" w:type="dxa"/>
            <w:vAlign w:val="center"/>
          </w:tcPr>
          <w:p w14:paraId="2E955EF8">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rPr>
            </w:pPr>
            <w:r>
              <w:rPr>
                <w:rFonts w:hint="eastAsia" w:ascii="Times New Roman" w:hAnsi="Times New Roman" w:eastAsia="宋体" w:cs="Times New Roman"/>
                <w:bCs/>
                <w:color w:val="auto"/>
                <w:kern w:val="2"/>
                <w:sz w:val="21"/>
                <w:szCs w:val="21"/>
                <w:highlight w:val="none"/>
                <w:lang w:val="en-US" w:eastAsia="zh-CN"/>
              </w:rPr>
              <w:t>-</w:t>
            </w:r>
          </w:p>
        </w:tc>
        <w:tc>
          <w:tcPr>
            <w:tcW w:w="2325" w:type="dxa"/>
            <w:vAlign w:val="center"/>
          </w:tcPr>
          <w:p w14:paraId="025B51B9">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10-20%</w:t>
            </w:r>
          </w:p>
        </w:tc>
      </w:tr>
      <w:tr w14:paraId="61A7F1F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16" w:type="dxa"/>
            <w:vMerge w:val="continue"/>
            <w:vAlign w:val="center"/>
          </w:tcPr>
          <w:p w14:paraId="47D62A55">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rPr>
            </w:pPr>
          </w:p>
        </w:tc>
        <w:tc>
          <w:tcPr>
            <w:tcW w:w="2324" w:type="dxa"/>
            <w:vAlign w:val="center"/>
          </w:tcPr>
          <w:p w14:paraId="66F9AA0A">
            <w:pPr>
              <w:widowControl w:val="0"/>
              <w:adjustRightInd/>
              <w:snapToGrid/>
              <w:spacing w:after="0" w:line="320" w:lineRule="exact"/>
              <w:jc w:val="center"/>
              <w:rPr>
                <w:rFonts w:hint="eastAsia"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乙酸乙酯</w:t>
            </w:r>
          </w:p>
        </w:tc>
        <w:tc>
          <w:tcPr>
            <w:tcW w:w="2323" w:type="dxa"/>
            <w:vAlign w:val="center"/>
          </w:tcPr>
          <w:p w14:paraId="3322AF28">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val="en-US" w:eastAsia="zh-CN"/>
              </w:rPr>
              <w:t>141-78-6</w:t>
            </w:r>
          </w:p>
        </w:tc>
        <w:tc>
          <w:tcPr>
            <w:tcW w:w="2325" w:type="dxa"/>
            <w:vAlign w:val="center"/>
          </w:tcPr>
          <w:p w14:paraId="49E261D6">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10-20%</w:t>
            </w:r>
          </w:p>
        </w:tc>
      </w:tr>
      <w:tr w14:paraId="7C7A62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16" w:type="dxa"/>
            <w:vMerge w:val="continue"/>
            <w:vAlign w:val="center"/>
          </w:tcPr>
          <w:p w14:paraId="3171082E">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rPr>
            </w:pPr>
          </w:p>
        </w:tc>
        <w:tc>
          <w:tcPr>
            <w:tcW w:w="2324" w:type="dxa"/>
            <w:vAlign w:val="center"/>
          </w:tcPr>
          <w:p w14:paraId="2656B58C">
            <w:pPr>
              <w:widowControl w:val="0"/>
              <w:adjustRightInd/>
              <w:snapToGrid/>
              <w:spacing w:after="0" w:line="320" w:lineRule="exact"/>
              <w:jc w:val="center"/>
              <w:rPr>
                <w:rFonts w:hint="eastAsia"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醋酸丁酯</w:t>
            </w:r>
          </w:p>
        </w:tc>
        <w:tc>
          <w:tcPr>
            <w:tcW w:w="2323" w:type="dxa"/>
            <w:vAlign w:val="center"/>
          </w:tcPr>
          <w:p w14:paraId="3B74C37C">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w:t>
            </w:r>
          </w:p>
        </w:tc>
        <w:tc>
          <w:tcPr>
            <w:tcW w:w="2325" w:type="dxa"/>
            <w:vAlign w:val="center"/>
          </w:tcPr>
          <w:p w14:paraId="384566CC">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25-35%</w:t>
            </w:r>
          </w:p>
        </w:tc>
      </w:tr>
      <w:tr w14:paraId="53CA04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16" w:type="dxa"/>
            <w:vMerge w:val="continue"/>
            <w:vAlign w:val="center"/>
          </w:tcPr>
          <w:p w14:paraId="74821896">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rPr>
            </w:pPr>
          </w:p>
        </w:tc>
        <w:tc>
          <w:tcPr>
            <w:tcW w:w="2324" w:type="dxa"/>
            <w:vAlign w:val="center"/>
          </w:tcPr>
          <w:p w14:paraId="2A2BC667">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气相二氧化硅</w:t>
            </w:r>
          </w:p>
        </w:tc>
        <w:tc>
          <w:tcPr>
            <w:tcW w:w="2323" w:type="dxa"/>
            <w:vAlign w:val="center"/>
          </w:tcPr>
          <w:p w14:paraId="225ED64D">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w:t>
            </w:r>
          </w:p>
        </w:tc>
        <w:tc>
          <w:tcPr>
            <w:tcW w:w="2325" w:type="dxa"/>
            <w:vAlign w:val="center"/>
          </w:tcPr>
          <w:p w14:paraId="2AA791FD">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1-10%</w:t>
            </w:r>
          </w:p>
        </w:tc>
      </w:tr>
      <w:tr w14:paraId="585E99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16" w:type="dxa"/>
            <w:vMerge w:val="continue"/>
            <w:vAlign w:val="center"/>
          </w:tcPr>
          <w:p w14:paraId="4350539D">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rPr>
            </w:pPr>
          </w:p>
        </w:tc>
        <w:tc>
          <w:tcPr>
            <w:tcW w:w="2324" w:type="dxa"/>
            <w:vAlign w:val="center"/>
          </w:tcPr>
          <w:p w14:paraId="2DE24682">
            <w:pPr>
              <w:widowControl w:val="0"/>
              <w:adjustRightInd/>
              <w:snapToGrid/>
              <w:spacing w:after="0" w:line="320" w:lineRule="exact"/>
              <w:jc w:val="center"/>
              <w:rPr>
                <w:rFonts w:hint="eastAsia"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添加剂</w:t>
            </w:r>
          </w:p>
        </w:tc>
        <w:tc>
          <w:tcPr>
            <w:tcW w:w="2323" w:type="dxa"/>
            <w:vAlign w:val="center"/>
          </w:tcPr>
          <w:p w14:paraId="63D9CBBD">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w:t>
            </w:r>
          </w:p>
        </w:tc>
        <w:tc>
          <w:tcPr>
            <w:tcW w:w="2325" w:type="dxa"/>
            <w:vAlign w:val="center"/>
          </w:tcPr>
          <w:p w14:paraId="34272D14">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1-5%</w:t>
            </w:r>
          </w:p>
        </w:tc>
      </w:tr>
      <w:tr w14:paraId="233C96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2316" w:type="dxa"/>
            <w:vMerge w:val="restart"/>
            <w:vAlign w:val="center"/>
          </w:tcPr>
          <w:p w14:paraId="3B86C36A">
            <w:pPr>
              <w:widowControl w:val="0"/>
              <w:adjustRightInd/>
              <w:snapToGrid/>
              <w:spacing w:after="0" w:line="300" w:lineRule="exact"/>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color w:val="auto"/>
                <w:kern w:val="2"/>
                <w:sz w:val="21"/>
                <w:szCs w:val="21"/>
                <w:highlight w:val="none"/>
              </w:rPr>
              <w:t>稀释剂</w:t>
            </w:r>
          </w:p>
        </w:tc>
        <w:tc>
          <w:tcPr>
            <w:tcW w:w="2324" w:type="dxa"/>
            <w:vAlign w:val="center"/>
          </w:tcPr>
          <w:p w14:paraId="0C9D1972">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乙酸乙酯</w:t>
            </w:r>
          </w:p>
        </w:tc>
        <w:tc>
          <w:tcPr>
            <w:tcW w:w="2323" w:type="dxa"/>
            <w:vAlign w:val="center"/>
          </w:tcPr>
          <w:p w14:paraId="4E4FBC4F">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141-78-6</w:t>
            </w:r>
          </w:p>
        </w:tc>
        <w:tc>
          <w:tcPr>
            <w:tcW w:w="2325" w:type="dxa"/>
            <w:vAlign w:val="center"/>
          </w:tcPr>
          <w:p w14:paraId="6D0223D0">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20%-30%</w:t>
            </w:r>
          </w:p>
        </w:tc>
      </w:tr>
      <w:tr w14:paraId="46BD3B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316" w:type="dxa"/>
            <w:vMerge w:val="continue"/>
            <w:vAlign w:val="center"/>
          </w:tcPr>
          <w:p w14:paraId="3681F07A">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rPr>
            </w:pPr>
          </w:p>
        </w:tc>
        <w:tc>
          <w:tcPr>
            <w:tcW w:w="2324" w:type="dxa"/>
            <w:shd w:val="clear" w:color="auto" w:fill="auto"/>
            <w:vAlign w:val="center"/>
          </w:tcPr>
          <w:p w14:paraId="70846D1E">
            <w:pPr>
              <w:widowControl w:val="0"/>
              <w:adjustRightInd/>
              <w:snapToGrid/>
              <w:spacing w:after="0" w:line="320" w:lineRule="exact"/>
              <w:jc w:val="center"/>
              <w:rPr>
                <w:rFonts w:hint="default" w:ascii="Times New Roman" w:hAnsi="Times New Roman" w:eastAsia="宋体" w:cs="Times New Roman"/>
                <w:bCs/>
                <w:snapToGrid w:val="0"/>
                <w:color w:val="auto"/>
                <w:kern w:val="2"/>
                <w:sz w:val="21"/>
                <w:szCs w:val="21"/>
                <w:highlight w:val="none"/>
                <w:lang w:val="en-US" w:eastAsia="en-US" w:bidi="ar-SA"/>
              </w:rPr>
            </w:pPr>
            <w:r>
              <w:rPr>
                <w:rFonts w:hint="default" w:ascii="Times New Roman" w:hAnsi="Times New Roman" w:eastAsia="宋体" w:cs="Times New Roman"/>
                <w:bCs/>
                <w:color w:val="auto"/>
                <w:kern w:val="2"/>
                <w:sz w:val="21"/>
                <w:szCs w:val="21"/>
                <w:highlight w:val="none"/>
                <w:lang w:eastAsia="zh-CN"/>
              </w:rPr>
              <w:t>醋酸丁酯</w:t>
            </w:r>
          </w:p>
        </w:tc>
        <w:tc>
          <w:tcPr>
            <w:tcW w:w="2323" w:type="dxa"/>
            <w:shd w:val="clear" w:color="auto" w:fill="auto"/>
            <w:vAlign w:val="center"/>
          </w:tcPr>
          <w:p w14:paraId="61D1E13A">
            <w:pPr>
              <w:widowControl w:val="0"/>
              <w:adjustRightInd/>
              <w:snapToGrid/>
              <w:spacing w:after="0" w:line="320" w:lineRule="exact"/>
              <w:jc w:val="center"/>
              <w:rPr>
                <w:rFonts w:hint="default" w:ascii="Times New Roman" w:hAnsi="Times New Roman" w:eastAsia="宋体" w:cs="Times New Roman"/>
                <w:bCs/>
                <w:snapToGrid w:val="0"/>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highlight w:val="none"/>
                <w:lang w:val="en-US" w:eastAsia="zh-CN"/>
              </w:rPr>
              <w:t>-</w:t>
            </w:r>
          </w:p>
        </w:tc>
        <w:tc>
          <w:tcPr>
            <w:tcW w:w="2325" w:type="dxa"/>
            <w:shd w:val="clear" w:color="auto" w:fill="auto"/>
            <w:vAlign w:val="center"/>
          </w:tcPr>
          <w:p w14:paraId="647DB05A">
            <w:pPr>
              <w:widowControl w:val="0"/>
              <w:adjustRightInd/>
              <w:snapToGrid/>
              <w:spacing w:after="0" w:line="320" w:lineRule="exact"/>
              <w:jc w:val="center"/>
              <w:rPr>
                <w:rFonts w:hint="default" w:ascii="Times New Roman" w:hAnsi="Times New Roman" w:eastAsia="宋体" w:cs="Times New Roman"/>
                <w:bCs/>
                <w:snapToGrid w:val="0"/>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highlight w:val="none"/>
                <w:lang w:val="en-US" w:eastAsia="zh-CN"/>
              </w:rPr>
              <w:t>30%-40%</w:t>
            </w:r>
          </w:p>
        </w:tc>
      </w:tr>
      <w:tr w14:paraId="25C430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316" w:type="dxa"/>
            <w:vMerge w:val="continue"/>
            <w:vAlign w:val="center"/>
          </w:tcPr>
          <w:p w14:paraId="3DD33F77">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rPr>
            </w:pPr>
          </w:p>
        </w:tc>
        <w:tc>
          <w:tcPr>
            <w:tcW w:w="2324" w:type="dxa"/>
            <w:vAlign w:val="center"/>
          </w:tcPr>
          <w:p w14:paraId="0BBF2140">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highlight w:val="none"/>
                <w:lang w:val="en-US" w:eastAsia="zh-CN" w:bidi="ar-SA"/>
              </w:rPr>
              <w:t>二异丁基酮</w:t>
            </w:r>
          </w:p>
        </w:tc>
        <w:tc>
          <w:tcPr>
            <w:tcW w:w="2323" w:type="dxa"/>
            <w:vAlign w:val="center"/>
          </w:tcPr>
          <w:p w14:paraId="0D58D7CD">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rPr>
              <w:t>-</w:t>
            </w:r>
          </w:p>
        </w:tc>
        <w:tc>
          <w:tcPr>
            <w:tcW w:w="2325" w:type="dxa"/>
            <w:vAlign w:val="center"/>
          </w:tcPr>
          <w:p w14:paraId="7FE55DDC">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highlight w:val="none"/>
                <w:lang w:val="en-US" w:eastAsia="zh-CN"/>
              </w:rPr>
              <w:t>20%-30%</w:t>
            </w:r>
          </w:p>
        </w:tc>
      </w:tr>
      <w:tr w14:paraId="5DC9E5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16" w:type="dxa"/>
            <w:vMerge w:val="continue"/>
            <w:vAlign w:val="center"/>
          </w:tcPr>
          <w:p w14:paraId="526BD372">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rPr>
            </w:pPr>
          </w:p>
        </w:tc>
        <w:tc>
          <w:tcPr>
            <w:tcW w:w="2324" w:type="dxa"/>
            <w:vAlign w:val="center"/>
          </w:tcPr>
          <w:p w14:paraId="7C0F0C8C">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丙二醇甲醚醋酸酯</w:t>
            </w:r>
          </w:p>
        </w:tc>
        <w:tc>
          <w:tcPr>
            <w:tcW w:w="2323" w:type="dxa"/>
            <w:vAlign w:val="center"/>
          </w:tcPr>
          <w:p w14:paraId="09C01256">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w:t>
            </w:r>
          </w:p>
        </w:tc>
        <w:tc>
          <w:tcPr>
            <w:tcW w:w="2325" w:type="dxa"/>
            <w:vAlign w:val="center"/>
          </w:tcPr>
          <w:p w14:paraId="7281114F">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20%-30%</w:t>
            </w:r>
          </w:p>
        </w:tc>
      </w:tr>
      <w:tr w14:paraId="7B565D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16" w:type="dxa"/>
            <w:vMerge w:val="restart"/>
            <w:vAlign w:val="center"/>
          </w:tcPr>
          <w:p w14:paraId="4026A571">
            <w:pPr>
              <w:widowControl w:val="0"/>
              <w:adjustRightInd/>
              <w:snapToGrid/>
              <w:spacing w:after="0" w:line="320" w:lineRule="exact"/>
              <w:jc w:val="center"/>
              <w:rPr>
                <w:rFonts w:hint="eastAsia"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固化剂</w:t>
            </w:r>
          </w:p>
        </w:tc>
        <w:tc>
          <w:tcPr>
            <w:tcW w:w="2324" w:type="dxa"/>
            <w:vAlign w:val="center"/>
          </w:tcPr>
          <w:p w14:paraId="2F9A2958">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脂肪族聚二异氰酸酯</w:t>
            </w:r>
          </w:p>
        </w:tc>
        <w:tc>
          <w:tcPr>
            <w:tcW w:w="2323" w:type="dxa"/>
            <w:vAlign w:val="center"/>
          </w:tcPr>
          <w:p w14:paraId="4ACC59A3">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w:t>
            </w:r>
          </w:p>
        </w:tc>
        <w:tc>
          <w:tcPr>
            <w:tcW w:w="2325" w:type="dxa"/>
            <w:vAlign w:val="center"/>
          </w:tcPr>
          <w:p w14:paraId="2B790F2E">
            <w:pPr>
              <w:widowControl w:val="0"/>
              <w:adjustRightInd/>
              <w:snapToGrid/>
              <w:spacing w:after="0" w:line="320" w:lineRule="exact"/>
              <w:jc w:val="center"/>
              <w:rPr>
                <w:rFonts w:hint="default" w:ascii="Times New Roman" w:hAnsi="Times New Roman" w:eastAsia="宋体" w:cs="Times New Roman"/>
                <w:bCs/>
                <w:color w:val="FF0000"/>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30%-50%</w:t>
            </w:r>
          </w:p>
        </w:tc>
      </w:tr>
      <w:tr w14:paraId="5FD759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16" w:type="dxa"/>
            <w:vMerge w:val="continue"/>
            <w:vAlign w:val="center"/>
          </w:tcPr>
          <w:p w14:paraId="506CC2EC">
            <w:pPr>
              <w:widowControl w:val="0"/>
              <w:adjustRightInd/>
              <w:snapToGrid/>
              <w:spacing w:after="0" w:line="320" w:lineRule="exact"/>
              <w:jc w:val="center"/>
              <w:rPr>
                <w:rFonts w:hint="eastAsia" w:ascii="Times New Roman" w:hAnsi="Times New Roman" w:eastAsia="宋体" w:cs="Times New Roman"/>
                <w:bCs/>
                <w:color w:val="auto"/>
                <w:kern w:val="2"/>
                <w:sz w:val="21"/>
                <w:szCs w:val="21"/>
                <w:highlight w:val="none"/>
                <w:lang w:val="en-US" w:eastAsia="zh-CN"/>
              </w:rPr>
            </w:pPr>
          </w:p>
        </w:tc>
        <w:tc>
          <w:tcPr>
            <w:tcW w:w="2324" w:type="dxa"/>
            <w:vAlign w:val="center"/>
          </w:tcPr>
          <w:p w14:paraId="643A2601">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乙酸乙酯</w:t>
            </w:r>
          </w:p>
        </w:tc>
        <w:tc>
          <w:tcPr>
            <w:tcW w:w="2323" w:type="dxa"/>
            <w:vAlign w:val="center"/>
          </w:tcPr>
          <w:p w14:paraId="233456B4">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141-78-6</w:t>
            </w:r>
          </w:p>
        </w:tc>
        <w:tc>
          <w:tcPr>
            <w:tcW w:w="2325" w:type="dxa"/>
            <w:vAlign w:val="center"/>
          </w:tcPr>
          <w:p w14:paraId="0415F9D7">
            <w:pPr>
              <w:widowControl w:val="0"/>
              <w:adjustRightInd/>
              <w:snapToGrid/>
              <w:spacing w:after="0" w:line="320" w:lineRule="exact"/>
              <w:jc w:val="center"/>
              <w:rPr>
                <w:rFonts w:hint="default" w:ascii="Times New Roman" w:hAnsi="Times New Roman" w:eastAsia="宋体" w:cs="Times New Roman"/>
                <w:bCs/>
                <w:color w:val="FF0000"/>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30%-40%</w:t>
            </w:r>
          </w:p>
        </w:tc>
      </w:tr>
      <w:tr w14:paraId="46B445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16" w:type="dxa"/>
            <w:vMerge w:val="continue"/>
            <w:vAlign w:val="center"/>
          </w:tcPr>
          <w:p w14:paraId="6384CC56">
            <w:pPr>
              <w:widowControl w:val="0"/>
              <w:adjustRightInd/>
              <w:snapToGrid/>
              <w:spacing w:after="0" w:line="320" w:lineRule="exact"/>
              <w:jc w:val="center"/>
              <w:rPr>
                <w:rFonts w:hint="eastAsia" w:ascii="Times New Roman" w:hAnsi="Times New Roman" w:eastAsia="宋体" w:cs="Times New Roman"/>
                <w:bCs/>
                <w:color w:val="auto"/>
                <w:kern w:val="2"/>
                <w:sz w:val="21"/>
                <w:szCs w:val="21"/>
                <w:highlight w:val="none"/>
                <w:lang w:val="en-US" w:eastAsia="zh-CN"/>
              </w:rPr>
            </w:pPr>
          </w:p>
        </w:tc>
        <w:tc>
          <w:tcPr>
            <w:tcW w:w="2324" w:type="dxa"/>
            <w:vAlign w:val="center"/>
          </w:tcPr>
          <w:p w14:paraId="681043DA">
            <w:pPr>
              <w:widowControl w:val="0"/>
              <w:adjustRightInd/>
              <w:snapToGrid/>
              <w:spacing w:after="0" w:line="320" w:lineRule="exact"/>
              <w:jc w:val="center"/>
              <w:rPr>
                <w:rFonts w:hint="eastAsia"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bidi="ar-SA"/>
              </w:rPr>
              <w:t>二异丁基酮</w:t>
            </w:r>
          </w:p>
        </w:tc>
        <w:tc>
          <w:tcPr>
            <w:tcW w:w="2323" w:type="dxa"/>
            <w:vAlign w:val="center"/>
          </w:tcPr>
          <w:p w14:paraId="0FD4AC73">
            <w:pPr>
              <w:widowControl w:val="0"/>
              <w:adjustRightInd/>
              <w:snapToGrid/>
              <w:spacing w:after="0" w:line="320" w:lineRule="exact"/>
              <w:jc w:val="center"/>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w:t>
            </w:r>
          </w:p>
        </w:tc>
        <w:tc>
          <w:tcPr>
            <w:tcW w:w="2325" w:type="dxa"/>
            <w:vAlign w:val="center"/>
          </w:tcPr>
          <w:p w14:paraId="71700B26">
            <w:pPr>
              <w:widowControl w:val="0"/>
              <w:adjustRightInd/>
              <w:snapToGrid/>
              <w:spacing w:after="0" w:line="320" w:lineRule="exact"/>
              <w:jc w:val="center"/>
              <w:rPr>
                <w:rFonts w:hint="default" w:ascii="Times New Roman" w:hAnsi="Times New Roman" w:eastAsia="宋体" w:cs="Times New Roman"/>
                <w:bCs/>
                <w:color w:val="FF0000"/>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30%-40%</w:t>
            </w:r>
          </w:p>
        </w:tc>
      </w:tr>
    </w:tbl>
    <w:p w14:paraId="468A95B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outlineLvl w:val="9"/>
        <w:rPr>
          <w:rFonts w:hint="eastAsia" w:ascii="Times New Roman" w:hAnsi="Times New Roman" w:eastAsia="宋体" w:cs="Times New Roman"/>
          <w:b w:val="0"/>
          <w:bCs w:val="0"/>
          <w:snapToGrid w:val="0"/>
          <w:color w:val="auto"/>
          <w:kern w:val="0"/>
          <w:sz w:val="24"/>
          <w:szCs w:val="24"/>
          <w:lang w:val="en-US" w:eastAsia="zh-CN" w:bidi="ar"/>
        </w:rPr>
      </w:pPr>
      <w:r>
        <w:rPr>
          <w:rFonts w:hint="eastAsia" w:ascii="Times New Roman" w:hAnsi="Times New Roman" w:eastAsia="宋体" w:cs="Times New Roman"/>
          <w:b w:val="0"/>
          <w:bCs w:val="0"/>
          <w:snapToGrid w:val="0"/>
          <w:color w:val="auto"/>
          <w:kern w:val="0"/>
          <w:sz w:val="24"/>
          <w:szCs w:val="24"/>
          <w:lang w:val="en-US" w:eastAsia="zh-CN" w:bidi="ar"/>
        </w:rPr>
        <w:t>主要原辅料理化性质见表3.1-5。</w:t>
      </w:r>
    </w:p>
    <w:p w14:paraId="36CD6A0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snapToGrid w:val="0"/>
          <w:color w:val="auto"/>
          <w:kern w:val="0"/>
          <w:sz w:val="24"/>
          <w:szCs w:val="24"/>
          <w:lang w:val="en-US" w:eastAsia="zh-CN" w:bidi="ar"/>
        </w:rPr>
      </w:pPr>
      <w:r>
        <w:rPr>
          <w:rFonts w:hint="eastAsia" w:ascii="Times New Roman" w:hAnsi="Times New Roman" w:eastAsia="宋体" w:cs="Times New Roman"/>
          <w:b/>
          <w:bCs/>
          <w:snapToGrid w:val="0"/>
          <w:color w:val="auto"/>
          <w:kern w:val="0"/>
          <w:sz w:val="24"/>
          <w:szCs w:val="24"/>
          <w:lang w:val="en-US" w:eastAsia="zh-CN" w:bidi="ar"/>
        </w:rPr>
        <w:t>表3.1-5  主要原辅材料理化性质表</w:t>
      </w:r>
    </w:p>
    <w:tbl>
      <w:tblPr>
        <w:tblStyle w:val="2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1125"/>
        <w:gridCol w:w="1582"/>
        <w:gridCol w:w="5874"/>
      </w:tblGrid>
      <w:tr w14:paraId="06C007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dxa"/>
            <w:tcBorders>
              <w:tl2br w:val="nil"/>
              <w:tr2bl w:val="nil"/>
            </w:tcBorders>
            <w:vAlign w:val="center"/>
          </w:tcPr>
          <w:p w14:paraId="0BACE758">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序号</w:t>
            </w:r>
          </w:p>
        </w:tc>
        <w:tc>
          <w:tcPr>
            <w:tcW w:w="1125" w:type="dxa"/>
            <w:tcBorders>
              <w:tl2br w:val="nil"/>
              <w:tr2bl w:val="nil"/>
            </w:tcBorders>
            <w:vAlign w:val="center"/>
          </w:tcPr>
          <w:p w14:paraId="76A0AF50">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物质</w:t>
            </w:r>
          </w:p>
        </w:tc>
        <w:tc>
          <w:tcPr>
            <w:tcW w:w="1582" w:type="dxa"/>
            <w:tcBorders>
              <w:tl2br w:val="nil"/>
              <w:tr2bl w:val="nil"/>
            </w:tcBorders>
            <w:vAlign w:val="center"/>
          </w:tcPr>
          <w:p w14:paraId="2D68473A">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主要成分</w:t>
            </w:r>
          </w:p>
        </w:tc>
        <w:tc>
          <w:tcPr>
            <w:tcW w:w="5874" w:type="dxa"/>
            <w:tcBorders>
              <w:tl2br w:val="nil"/>
              <w:tr2bl w:val="nil"/>
            </w:tcBorders>
            <w:vAlign w:val="center"/>
          </w:tcPr>
          <w:p w14:paraId="450106EC">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理化性质</w:t>
            </w:r>
          </w:p>
        </w:tc>
      </w:tr>
      <w:tr w14:paraId="75567F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dxa"/>
            <w:tcBorders>
              <w:tl2br w:val="nil"/>
              <w:tr2bl w:val="nil"/>
            </w:tcBorders>
            <w:vAlign w:val="center"/>
          </w:tcPr>
          <w:p w14:paraId="1D283115">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w:t>
            </w:r>
          </w:p>
        </w:tc>
        <w:tc>
          <w:tcPr>
            <w:tcW w:w="1125" w:type="dxa"/>
            <w:tcBorders>
              <w:tl2br w:val="nil"/>
              <w:tr2bl w:val="nil"/>
            </w:tcBorders>
            <w:vAlign w:val="center"/>
          </w:tcPr>
          <w:p w14:paraId="6B5C8FE6">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ABS塑料粒子</w:t>
            </w:r>
          </w:p>
        </w:tc>
        <w:tc>
          <w:tcPr>
            <w:tcW w:w="1582" w:type="dxa"/>
            <w:tcBorders>
              <w:tl2br w:val="nil"/>
              <w:tr2bl w:val="nil"/>
            </w:tcBorders>
            <w:vAlign w:val="center"/>
          </w:tcPr>
          <w:p w14:paraId="53031AB8">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丙烯腈-丁二烯-苯乙烯</w:t>
            </w:r>
          </w:p>
        </w:tc>
        <w:tc>
          <w:tcPr>
            <w:tcW w:w="5874" w:type="dxa"/>
            <w:tcBorders>
              <w:tl2br w:val="nil"/>
              <w:tr2bl w:val="nil"/>
            </w:tcBorders>
            <w:vAlign w:val="center"/>
          </w:tcPr>
          <w:p w14:paraId="1D349C93">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A代表丙烯腈，B代表丁二烯，S代表苯乙烯。ABS工程塑料一般是不透明的，外观呈浅象牙色、无毒、无味，兼有韧、硬、刚的特性，ABS工程塑料具有优良的综合性能，有极好的冲击强度、尺寸稳定性好、电性能、耐磨性、抗化学药品性、染色性，成型加工和机械加工较好。ABS树脂耐水、无机盐、碱和酸类，不溶于大部分醇类和烃类溶剂，而容易溶于醛、酮、酯和某些氯代烃中。其变形温度为67~107℃。</w:t>
            </w:r>
          </w:p>
        </w:tc>
      </w:tr>
      <w:tr w14:paraId="295785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dxa"/>
            <w:tcBorders>
              <w:tl2br w:val="nil"/>
              <w:tr2bl w:val="nil"/>
            </w:tcBorders>
            <w:vAlign w:val="center"/>
          </w:tcPr>
          <w:p w14:paraId="13BF0D58">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w:t>
            </w:r>
          </w:p>
        </w:tc>
        <w:tc>
          <w:tcPr>
            <w:tcW w:w="1125" w:type="dxa"/>
            <w:tcBorders>
              <w:tl2br w:val="nil"/>
              <w:tr2bl w:val="nil"/>
            </w:tcBorders>
            <w:vAlign w:val="center"/>
          </w:tcPr>
          <w:p w14:paraId="4EB02740">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PP塑料粒子</w:t>
            </w:r>
          </w:p>
        </w:tc>
        <w:tc>
          <w:tcPr>
            <w:tcW w:w="1582" w:type="dxa"/>
            <w:tcBorders>
              <w:tl2br w:val="nil"/>
              <w:tr2bl w:val="nil"/>
            </w:tcBorders>
            <w:vAlign w:val="center"/>
          </w:tcPr>
          <w:p w14:paraId="392237D4">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聚丙烯树脂</w:t>
            </w:r>
          </w:p>
        </w:tc>
        <w:tc>
          <w:tcPr>
            <w:tcW w:w="5874" w:type="dxa"/>
            <w:tcBorders>
              <w:tl2br w:val="nil"/>
              <w:tr2bl w:val="nil"/>
            </w:tcBorders>
            <w:vAlign w:val="center"/>
          </w:tcPr>
          <w:p w14:paraId="7FEA1820">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聚丙烯为无毒、无味的乳白色高结晶的聚合物，是目前所有塑料中最轻的品种之一，对水特别稳定，在水中14h的吸水率仅为0.01%。分子量约8~15万之间，成型性好。但因收缩率大，原壁制品易凹陷，制品表面光泽好，易于着色。PP具有良好的耐热性，熔点在164~170℃，制品能在100℃以上温度进行消毒灭菌。在不受外力的作用下，150℃也不变形。脆化为-35℃在低于-35℃会发生脆化，耐热性不如PE。PP具有良好的化学稳定性，除能被浓硫酸、浓硝酸侵蚀外，对其他各种化学试剂都比较稳定，但低分子量的脂肪烃、芳香烃等能使PP软化和溶胀，化学稳定性随结晶度的增加还有所提高。</w:t>
            </w:r>
          </w:p>
        </w:tc>
      </w:tr>
      <w:tr w14:paraId="3E2453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dxa"/>
            <w:tcBorders>
              <w:tl2br w:val="nil"/>
              <w:tr2bl w:val="nil"/>
            </w:tcBorders>
            <w:vAlign w:val="center"/>
          </w:tcPr>
          <w:p w14:paraId="7C7A218F">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3</w:t>
            </w:r>
          </w:p>
        </w:tc>
        <w:tc>
          <w:tcPr>
            <w:tcW w:w="1125" w:type="dxa"/>
            <w:tcBorders>
              <w:tl2br w:val="nil"/>
              <w:tr2bl w:val="nil"/>
            </w:tcBorders>
            <w:vAlign w:val="center"/>
          </w:tcPr>
          <w:p w14:paraId="1A2132D7">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PC塑料粒子</w:t>
            </w:r>
          </w:p>
        </w:tc>
        <w:tc>
          <w:tcPr>
            <w:tcW w:w="1582" w:type="dxa"/>
            <w:tcBorders>
              <w:tl2br w:val="nil"/>
              <w:tr2bl w:val="nil"/>
            </w:tcBorders>
            <w:vAlign w:val="center"/>
          </w:tcPr>
          <w:p w14:paraId="406C1293">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聚碳酸酯树脂</w:t>
            </w:r>
          </w:p>
        </w:tc>
        <w:tc>
          <w:tcPr>
            <w:tcW w:w="5874" w:type="dxa"/>
            <w:tcBorders>
              <w:tl2br w:val="nil"/>
              <w:tr2bl w:val="nil"/>
            </w:tcBorders>
            <w:vAlign w:val="center"/>
          </w:tcPr>
          <w:p w14:paraId="3D459F1D">
            <w:pPr>
              <w:keepNext w:val="0"/>
              <w:keepLines w:val="0"/>
              <w:pageBreakBefore w:val="0"/>
              <w:widowControl/>
              <w:kinsoku w:val="0"/>
              <w:wordWrap/>
              <w:overflowPunct/>
              <w:topLinePunct w:val="0"/>
              <w:autoSpaceDE w:val="0"/>
              <w:autoSpaceDN w:val="0"/>
              <w:bidi w:val="0"/>
              <w:adjustRightInd w:val="0"/>
              <w:snapToGrid w:val="0"/>
              <w:ind w:firstLine="0" w:firstLineChars="0"/>
              <w:jc w:val="both"/>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密度1.18-1.22g/cm’，热变形温度135℃低温-45℃,无色透明，耐热，抗冲击，在普通使用温度内都有良好的机械性能。聚碳酸酯耐弱酸，耐弱碱，耐中性油。有阻燃性。抗氧化性。不耐紫外光，不耐强碱。耐水解稳定性不够高，对缺口敏感，耐有机化学品性，耐刮痕性较差，长期暴露于紫外线中会发黄。容易受某些有机溶剂的侵蚀。</w:t>
            </w:r>
          </w:p>
        </w:tc>
      </w:tr>
      <w:tr w14:paraId="5A765C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dxa"/>
            <w:tcBorders>
              <w:tl2br w:val="nil"/>
              <w:tr2bl w:val="nil"/>
            </w:tcBorders>
            <w:vAlign w:val="center"/>
          </w:tcPr>
          <w:p w14:paraId="3E248EAF">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4</w:t>
            </w:r>
          </w:p>
        </w:tc>
        <w:tc>
          <w:tcPr>
            <w:tcW w:w="1125" w:type="dxa"/>
            <w:tcBorders>
              <w:tl2br w:val="nil"/>
              <w:tr2bl w:val="nil"/>
            </w:tcBorders>
            <w:vAlign w:val="center"/>
          </w:tcPr>
          <w:p w14:paraId="3432D11D">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PA塑料粒子</w:t>
            </w:r>
          </w:p>
        </w:tc>
        <w:tc>
          <w:tcPr>
            <w:tcW w:w="1582" w:type="dxa"/>
            <w:tcBorders>
              <w:tl2br w:val="nil"/>
              <w:tr2bl w:val="nil"/>
            </w:tcBorders>
            <w:vAlign w:val="center"/>
          </w:tcPr>
          <w:p w14:paraId="738B3E1F">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聚酰胺树脂</w:t>
            </w:r>
          </w:p>
        </w:tc>
        <w:tc>
          <w:tcPr>
            <w:tcW w:w="5874" w:type="dxa"/>
            <w:tcBorders>
              <w:tl2br w:val="nil"/>
              <w:tr2bl w:val="nil"/>
            </w:tcBorders>
            <w:vAlign w:val="center"/>
          </w:tcPr>
          <w:p w14:paraId="323EDDE5">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一</w:t>
            </w:r>
            <w:r>
              <w:rPr>
                <w:rFonts w:hint="default" w:ascii="Times New Roman" w:hAnsi="Times New Roman" w:eastAsia="宋体" w:cs="Times New Roman"/>
                <w:color w:val="auto"/>
                <w:kern w:val="0"/>
                <w:sz w:val="21"/>
                <w:szCs w:val="21"/>
                <w:lang w:val="en-US" w:eastAsia="zh-CN"/>
              </w:rPr>
              <w:t>种热塑性树脂。白色固体。密度1.14。熔点253℃。不溶于一般溶剂，仅溶于间苯甲酚等。机械强度和硬度很高，刚性很大。可用作工程塑料。用作机械附件，如齿轮、润滑轴承</w:t>
            </w:r>
            <w:r>
              <w:rPr>
                <w:rFonts w:hint="eastAsia" w:ascii="Times New Roman" w:hAnsi="Times New Roman" w:eastAsia="宋体"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代替有色金属材料做机器外壳，汽车发动机叶片等。也可用于制合成纤维。</w:t>
            </w:r>
          </w:p>
        </w:tc>
      </w:tr>
      <w:tr w14:paraId="73A942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dxa"/>
            <w:tcBorders>
              <w:tl2br w:val="nil"/>
              <w:tr2bl w:val="nil"/>
            </w:tcBorders>
            <w:vAlign w:val="center"/>
          </w:tcPr>
          <w:p w14:paraId="09A7E08F">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5</w:t>
            </w:r>
          </w:p>
        </w:tc>
        <w:tc>
          <w:tcPr>
            <w:tcW w:w="1125" w:type="dxa"/>
            <w:tcBorders>
              <w:tl2br w:val="nil"/>
              <w:tr2bl w:val="nil"/>
            </w:tcBorders>
            <w:vAlign w:val="center"/>
          </w:tcPr>
          <w:p w14:paraId="5DF4E83D">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ABS+PC</w:t>
            </w:r>
            <w:r>
              <w:rPr>
                <w:rFonts w:hint="eastAsia" w:ascii="Times New Roman" w:hAnsi="Times New Roman" w:eastAsia="宋体" w:cs="Times New Roman"/>
                <w:color w:val="auto"/>
                <w:kern w:val="0"/>
                <w:sz w:val="21"/>
                <w:szCs w:val="21"/>
                <w:lang w:val="en-US" w:eastAsia="zh-CN"/>
              </w:rPr>
              <w:t>合金</w:t>
            </w:r>
          </w:p>
        </w:tc>
        <w:tc>
          <w:tcPr>
            <w:tcW w:w="1582" w:type="dxa"/>
            <w:tcBorders>
              <w:tl2br w:val="nil"/>
              <w:tr2bl w:val="nil"/>
            </w:tcBorders>
            <w:vAlign w:val="center"/>
          </w:tcPr>
          <w:p w14:paraId="2333EA10">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丙烯腈-丁二烯-苯乙烯、</w:t>
            </w:r>
            <w:r>
              <w:rPr>
                <w:rFonts w:hint="default" w:ascii="Times New Roman" w:hAnsi="Times New Roman" w:eastAsia="宋体" w:cs="Times New Roman"/>
                <w:color w:val="auto"/>
                <w:kern w:val="0"/>
                <w:sz w:val="21"/>
                <w:szCs w:val="21"/>
                <w:lang w:val="en-US" w:eastAsia="zh-CN"/>
              </w:rPr>
              <w:t>聚碳酸酯树脂</w:t>
            </w:r>
          </w:p>
        </w:tc>
        <w:tc>
          <w:tcPr>
            <w:tcW w:w="5874" w:type="dxa"/>
            <w:tcBorders>
              <w:tl2br w:val="nil"/>
              <w:tr2bl w:val="nil"/>
            </w:tcBorders>
            <w:vAlign w:val="center"/>
          </w:tcPr>
          <w:p w14:paraId="0406CF61">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可综合两者的优良性能。一方面提高ABS的耐热性和拉伸强度另一方面降低PC熔体粘度，改善加工性能，减少制品内应力和冲击强度对制品厚度的敏感性。PC与ABS具有一定的相容性，为了有效改善界面相容性，最有效方法是在共混体系中加入相溶剂。PC/ABS合金采用PC、ABS树脂共混造粒生产</w:t>
            </w:r>
            <w:r>
              <w:rPr>
                <w:rFonts w:hint="eastAsia" w:ascii="Times New Roman" w:hAnsi="Times New Roman" w:eastAsia="宋体" w:cs="Times New Roman"/>
                <w:color w:val="auto"/>
                <w:kern w:val="0"/>
                <w:sz w:val="21"/>
                <w:szCs w:val="21"/>
                <w:lang w:val="en-US" w:eastAsia="zh-CN"/>
              </w:rPr>
              <w:t>。</w:t>
            </w:r>
          </w:p>
        </w:tc>
      </w:tr>
    </w:tbl>
    <w:p w14:paraId="7EFCFA38">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outlineLvl w:val="2"/>
        <w:rPr>
          <w:rFonts w:hint="eastAsia"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3.1.5产品方案</w:t>
      </w:r>
    </w:p>
    <w:p w14:paraId="46B52BF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outlineLvl w:val="9"/>
        <w:rPr>
          <w:rFonts w:hint="eastAsia" w:ascii="Times New Roman" w:hAnsi="Times New Roman" w:eastAsia="宋体" w:cs="Times New Roman"/>
          <w:color w:val="auto"/>
          <w:spacing w:val="-3"/>
          <w:sz w:val="24"/>
          <w:szCs w:val="24"/>
          <w:lang w:val="en-US" w:eastAsia="zh-CN"/>
        </w:rPr>
      </w:pPr>
      <w:r>
        <w:rPr>
          <w:rFonts w:hint="eastAsia" w:ascii="Times New Roman" w:hAnsi="Times New Roman" w:eastAsia="宋体" w:cs="Times New Roman"/>
          <w:color w:val="auto"/>
          <w:spacing w:val="-3"/>
          <w:sz w:val="24"/>
          <w:szCs w:val="24"/>
          <w:lang w:val="en-US" w:eastAsia="zh-CN"/>
        </w:rPr>
        <w:t>年产量为2000万件汽车装饰零部件，具体产品方案及规模见表</w:t>
      </w:r>
      <w:r>
        <w:rPr>
          <w:rFonts w:hint="default" w:ascii="Times New Roman" w:hAnsi="Times New Roman" w:eastAsia="宋体" w:cs="Times New Roman"/>
          <w:color w:val="auto"/>
          <w:spacing w:val="-3"/>
          <w:sz w:val="24"/>
          <w:szCs w:val="24"/>
          <w:lang w:val="en-US" w:eastAsia="zh-CN"/>
        </w:rPr>
        <w:t>3.</w:t>
      </w:r>
      <w:r>
        <w:rPr>
          <w:rFonts w:hint="eastAsia" w:ascii="Times New Roman" w:hAnsi="Times New Roman" w:eastAsia="宋体" w:cs="Times New Roman"/>
          <w:color w:val="auto"/>
          <w:spacing w:val="-3"/>
          <w:sz w:val="24"/>
          <w:szCs w:val="24"/>
          <w:lang w:val="en-US" w:eastAsia="zh-CN"/>
        </w:rPr>
        <w:t>1</w:t>
      </w:r>
      <w:r>
        <w:rPr>
          <w:rFonts w:hint="default" w:ascii="Times New Roman" w:hAnsi="Times New Roman" w:eastAsia="宋体" w:cs="Times New Roman"/>
          <w:color w:val="auto"/>
          <w:spacing w:val="-3"/>
          <w:sz w:val="24"/>
          <w:szCs w:val="24"/>
          <w:lang w:val="en-US" w:eastAsia="zh-CN"/>
        </w:rPr>
        <w:t>-</w:t>
      </w:r>
      <w:r>
        <w:rPr>
          <w:rFonts w:hint="eastAsia" w:ascii="Times New Roman" w:hAnsi="Times New Roman" w:eastAsia="宋体" w:cs="Times New Roman"/>
          <w:color w:val="auto"/>
          <w:spacing w:val="-3"/>
          <w:sz w:val="24"/>
          <w:szCs w:val="24"/>
          <w:lang w:val="en-US" w:eastAsia="zh-CN"/>
        </w:rPr>
        <w:t>6。</w:t>
      </w:r>
    </w:p>
    <w:p w14:paraId="1F9A516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snapToGrid w:val="0"/>
          <w:color w:val="auto"/>
          <w:kern w:val="0"/>
          <w:sz w:val="24"/>
          <w:szCs w:val="24"/>
          <w:lang w:val="en-US" w:eastAsia="zh-CN" w:bidi="ar"/>
        </w:rPr>
      </w:pPr>
      <w:r>
        <w:rPr>
          <w:rFonts w:hint="eastAsia" w:ascii="Times New Roman" w:hAnsi="Times New Roman" w:eastAsia="宋体" w:cs="Times New Roman"/>
          <w:b/>
          <w:bCs/>
          <w:snapToGrid w:val="0"/>
          <w:color w:val="auto"/>
          <w:kern w:val="0"/>
          <w:sz w:val="24"/>
          <w:szCs w:val="24"/>
          <w:lang w:val="en-US" w:eastAsia="zh-CN" w:bidi="ar"/>
        </w:rPr>
        <w:t>表</w:t>
      </w:r>
      <w:r>
        <w:rPr>
          <w:rFonts w:hint="default" w:ascii="Times New Roman" w:hAnsi="Times New Roman" w:eastAsia="宋体" w:cs="Times New Roman"/>
          <w:b/>
          <w:bCs/>
          <w:snapToGrid w:val="0"/>
          <w:color w:val="auto"/>
          <w:kern w:val="0"/>
          <w:sz w:val="24"/>
          <w:szCs w:val="24"/>
          <w:lang w:val="en-US" w:eastAsia="zh-CN" w:bidi="ar"/>
        </w:rPr>
        <w:t>3.</w:t>
      </w:r>
      <w:r>
        <w:rPr>
          <w:rFonts w:hint="eastAsia" w:ascii="Times New Roman" w:hAnsi="Times New Roman" w:eastAsia="宋体" w:cs="Times New Roman"/>
          <w:b/>
          <w:bCs/>
          <w:snapToGrid w:val="0"/>
          <w:color w:val="auto"/>
          <w:kern w:val="0"/>
          <w:sz w:val="24"/>
          <w:szCs w:val="24"/>
          <w:lang w:val="en-US" w:eastAsia="zh-CN" w:bidi="ar"/>
        </w:rPr>
        <w:t>1</w:t>
      </w:r>
      <w:r>
        <w:rPr>
          <w:rFonts w:hint="default" w:ascii="Times New Roman" w:hAnsi="Times New Roman" w:eastAsia="宋体" w:cs="Times New Roman"/>
          <w:b/>
          <w:bCs/>
          <w:snapToGrid w:val="0"/>
          <w:color w:val="auto"/>
          <w:kern w:val="0"/>
          <w:sz w:val="24"/>
          <w:szCs w:val="24"/>
          <w:lang w:val="en-US" w:eastAsia="zh-CN" w:bidi="ar"/>
        </w:rPr>
        <w:t>-</w:t>
      </w:r>
      <w:r>
        <w:rPr>
          <w:rFonts w:hint="eastAsia" w:ascii="Times New Roman" w:hAnsi="Times New Roman" w:eastAsia="宋体" w:cs="Times New Roman"/>
          <w:b/>
          <w:bCs/>
          <w:snapToGrid w:val="0"/>
          <w:color w:val="auto"/>
          <w:kern w:val="0"/>
          <w:sz w:val="24"/>
          <w:szCs w:val="24"/>
          <w:lang w:val="en-US" w:eastAsia="zh-CN" w:bidi="ar"/>
        </w:rPr>
        <w:t>6  产品方案一览表</w:t>
      </w:r>
    </w:p>
    <w:tbl>
      <w:tblPr>
        <w:tblStyle w:val="41"/>
        <w:tblW w:w="4997" w:type="pct"/>
        <w:tblInd w:w="0" w:type="dxa"/>
        <w:tblBorders>
          <w:top w:val="single" w:color="auto" w:sz="12" w:space="0"/>
          <w:left w:val="single" w:color="000000" w:sz="2" w:space="0"/>
          <w:bottom w:val="single" w:color="auto"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464"/>
        <w:gridCol w:w="2503"/>
        <w:gridCol w:w="2550"/>
        <w:gridCol w:w="2550"/>
      </w:tblGrid>
      <w:tr w14:paraId="3B07AEAC">
        <w:tblPrEx>
          <w:tblBorders>
            <w:top w:val="single" w:color="auto" w:sz="12" w:space="0"/>
            <w:left w:val="single" w:color="000000" w:sz="2" w:space="0"/>
            <w:bottom w:val="single" w:color="auto"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187" w:type="pct"/>
            <w:gridSpan w:val="2"/>
            <w:tcBorders>
              <w:left w:val="nil"/>
            </w:tcBorders>
            <w:vAlign w:val="center"/>
          </w:tcPr>
          <w:p w14:paraId="666D473F">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产品名称</w:t>
            </w:r>
          </w:p>
        </w:tc>
        <w:tc>
          <w:tcPr>
            <w:tcW w:w="1406" w:type="pct"/>
            <w:vAlign w:val="center"/>
          </w:tcPr>
          <w:p w14:paraId="29C2A4F5">
            <w:pPr>
              <w:pStyle w:val="37"/>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产能（万件）</w:t>
            </w:r>
          </w:p>
        </w:tc>
        <w:tc>
          <w:tcPr>
            <w:tcW w:w="1406" w:type="pct"/>
            <w:vAlign w:val="center"/>
          </w:tcPr>
          <w:p w14:paraId="2A01A395">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单件重量（g）</w:t>
            </w:r>
          </w:p>
        </w:tc>
      </w:tr>
      <w:tr w14:paraId="60718053">
        <w:tblPrEx>
          <w:tblBorders>
            <w:top w:val="single" w:color="auto" w:sz="12" w:space="0"/>
            <w:left w:val="single" w:color="000000" w:sz="2" w:space="0"/>
            <w:bottom w:val="single" w:color="auto"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187" w:type="pct"/>
            <w:gridSpan w:val="2"/>
            <w:tcBorders>
              <w:left w:val="nil"/>
            </w:tcBorders>
            <w:vAlign w:val="center"/>
          </w:tcPr>
          <w:p w14:paraId="6837BB16">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溶剂漆汽车</w:t>
            </w:r>
            <w:r>
              <w:rPr>
                <w:rFonts w:hint="default" w:ascii="Times New Roman" w:hAnsi="Times New Roman" w:eastAsia="宋体" w:cs="Times New Roman"/>
                <w:color w:val="auto"/>
                <w:highlight w:val="none"/>
                <w:lang w:val="en-US" w:eastAsia="zh-CN"/>
              </w:rPr>
              <w:t>零件</w:t>
            </w:r>
          </w:p>
        </w:tc>
        <w:tc>
          <w:tcPr>
            <w:tcW w:w="1406" w:type="pct"/>
            <w:vAlign w:val="center"/>
          </w:tcPr>
          <w:p w14:paraId="438A83D4">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1000</w:t>
            </w:r>
          </w:p>
        </w:tc>
        <w:tc>
          <w:tcPr>
            <w:tcW w:w="1406" w:type="pct"/>
            <w:vAlign w:val="center"/>
          </w:tcPr>
          <w:p w14:paraId="0DDE2542">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300</w:t>
            </w:r>
          </w:p>
        </w:tc>
      </w:tr>
      <w:tr w14:paraId="75BF1B48">
        <w:tblPrEx>
          <w:tblBorders>
            <w:top w:val="single" w:color="auto" w:sz="12" w:space="0"/>
            <w:left w:val="single" w:color="000000" w:sz="2" w:space="0"/>
            <w:bottom w:val="single" w:color="auto"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07" w:type="pct"/>
            <w:vMerge w:val="restart"/>
            <w:tcBorders>
              <w:left w:val="nil"/>
              <w:right w:val="single" w:color="auto" w:sz="4" w:space="0"/>
            </w:tcBorders>
            <w:vAlign w:val="center"/>
          </w:tcPr>
          <w:p w14:paraId="0EFAE684">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UV漆汽车</w:t>
            </w:r>
            <w:r>
              <w:rPr>
                <w:rFonts w:hint="default" w:ascii="Times New Roman" w:hAnsi="Times New Roman" w:eastAsia="宋体" w:cs="Times New Roman"/>
                <w:color w:val="auto"/>
                <w:highlight w:val="none"/>
                <w:lang w:val="en-US" w:eastAsia="zh-CN"/>
              </w:rPr>
              <w:t>零件</w:t>
            </w:r>
          </w:p>
        </w:tc>
        <w:tc>
          <w:tcPr>
            <w:tcW w:w="1380" w:type="pct"/>
            <w:tcBorders>
              <w:left w:val="single" w:color="auto" w:sz="4" w:space="0"/>
              <w:bottom w:val="single" w:color="auto" w:sz="4" w:space="0"/>
            </w:tcBorders>
            <w:vAlign w:val="center"/>
          </w:tcPr>
          <w:p w14:paraId="0D4C28D3">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喷漆</w:t>
            </w:r>
          </w:p>
        </w:tc>
        <w:tc>
          <w:tcPr>
            <w:tcW w:w="1406" w:type="pct"/>
            <w:tcBorders>
              <w:bottom w:val="single" w:color="auto" w:sz="4" w:space="0"/>
            </w:tcBorders>
            <w:vAlign w:val="center"/>
          </w:tcPr>
          <w:p w14:paraId="3D903677">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80</w:t>
            </w:r>
          </w:p>
        </w:tc>
        <w:tc>
          <w:tcPr>
            <w:tcW w:w="1406" w:type="pct"/>
            <w:vMerge w:val="restart"/>
            <w:vAlign w:val="center"/>
          </w:tcPr>
          <w:p w14:paraId="6D30396E">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60</w:t>
            </w:r>
          </w:p>
        </w:tc>
      </w:tr>
      <w:tr w14:paraId="44557BC2">
        <w:tblPrEx>
          <w:tblBorders>
            <w:top w:val="single" w:color="auto" w:sz="12" w:space="0"/>
            <w:left w:val="single" w:color="000000" w:sz="2" w:space="0"/>
            <w:bottom w:val="single" w:color="auto"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07" w:type="pct"/>
            <w:vMerge w:val="continue"/>
            <w:tcBorders>
              <w:left w:val="nil"/>
              <w:right w:val="single" w:color="auto" w:sz="4" w:space="0"/>
            </w:tcBorders>
            <w:vAlign w:val="center"/>
          </w:tcPr>
          <w:p w14:paraId="6F3748CC">
            <w:pPr>
              <w:pStyle w:val="37"/>
              <w:bidi w:val="0"/>
              <w:rPr>
                <w:rFonts w:hint="eastAsia" w:ascii="Times New Roman" w:hAnsi="Times New Roman" w:eastAsia="宋体" w:cs="Times New Roman"/>
                <w:color w:val="auto"/>
                <w:highlight w:val="none"/>
                <w:lang w:val="en-US" w:eastAsia="zh-CN"/>
              </w:rPr>
            </w:pPr>
          </w:p>
        </w:tc>
        <w:tc>
          <w:tcPr>
            <w:tcW w:w="1380" w:type="pct"/>
            <w:tcBorders>
              <w:top w:val="single" w:color="auto" w:sz="4" w:space="0"/>
              <w:left w:val="single" w:color="auto" w:sz="4" w:space="0"/>
            </w:tcBorders>
            <w:vAlign w:val="center"/>
          </w:tcPr>
          <w:p w14:paraId="2FADE3AB">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喷漆、镀膜、喷漆</w:t>
            </w:r>
          </w:p>
        </w:tc>
        <w:tc>
          <w:tcPr>
            <w:tcW w:w="1406" w:type="pct"/>
            <w:tcBorders>
              <w:top w:val="single" w:color="auto" w:sz="4" w:space="0"/>
            </w:tcBorders>
            <w:vAlign w:val="center"/>
          </w:tcPr>
          <w:p w14:paraId="7355E1E4">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320</w:t>
            </w:r>
          </w:p>
        </w:tc>
        <w:tc>
          <w:tcPr>
            <w:tcW w:w="1406" w:type="pct"/>
            <w:vMerge w:val="continue"/>
            <w:vAlign w:val="center"/>
          </w:tcPr>
          <w:p w14:paraId="2B462EF5">
            <w:pPr>
              <w:pStyle w:val="37"/>
              <w:bidi w:val="0"/>
              <w:rPr>
                <w:rFonts w:hint="eastAsia" w:ascii="Times New Roman" w:hAnsi="Times New Roman" w:eastAsia="宋体" w:cs="Times New Roman"/>
                <w:color w:val="auto"/>
                <w:highlight w:val="none"/>
                <w:lang w:val="en-US" w:eastAsia="zh-CN"/>
              </w:rPr>
            </w:pPr>
          </w:p>
        </w:tc>
      </w:tr>
      <w:tr w14:paraId="57E2B896">
        <w:tblPrEx>
          <w:tblBorders>
            <w:top w:val="single" w:color="auto" w:sz="12" w:space="0"/>
            <w:left w:val="single" w:color="000000" w:sz="2" w:space="0"/>
            <w:bottom w:val="single" w:color="auto"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187" w:type="pct"/>
            <w:gridSpan w:val="2"/>
            <w:tcBorders>
              <w:left w:val="nil"/>
            </w:tcBorders>
            <w:vAlign w:val="center"/>
          </w:tcPr>
          <w:p w14:paraId="31DE83AE">
            <w:pPr>
              <w:pStyle w:val="37"/>
              <w:bidi w:val="0"/>
              <w:rPr>
                <w:rFonts w:hint="default" w:ascii="Times New Roman" w:hAnsi="Times New Roman" w:cs="Times New Roman"/>
                <w:color w:val="auto"/>
                <w:highlight w:val="none"/>
              </w:rPr>
            </w:pPr>
            <w:r>
              <w:rPr>
                <w:rFonts w:hint="default" w:ascii="Times New Roman" w:hAnsi="Times New Roman" w:cs="Times New Roman"/>
                <w:color w:val="auto"/>
              </w:rPr>
              <w:t>发泡</w:t>
            </w:r>
            <w:r>
              <w:rPr>
                <w:rFonts w:hint="eastAsia" w:ascii="Times New Roman" w:hAnsi="Times New Roman" w:eastAsia="宋体" w:cs="Times New Roman"/>
                <w:color w:val="auto"/>
                <w:lang w:val="en-US" w:eastAsia="zh-CN"/>
              </w:rPr>
              <w:t>包覆</w:t>
            </w:r>
            <w:r>
              <w:rPr>
                <w:rFonts w:hint="default" w:ascii="Times New Roman" w:hAnsi="Times New Roman" w:cs="Times New Roman"/>
                <w:color w:val="auto"/>
              </w:rPr>
              <w:t>零件</w:t>
            </w:r>
          </w:p>
        </w:tc>
        <w:tc>
          <w:tcPr>
            <w:tcW w:w="1406" w:type="pct"/>
            <w:vAlign w:val="center"/>
          </w:tcPr>
          <w:p w14:paraId="41C462C0">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300</w:t>
            </w:r>
          </w:p>
        </w:tc>
        <w:tc>
          <w:tcPr>
            <w:tcW w:w="1406" w:type="pct"/>
            <w:vMerge w:val="restart"/>
            <w:vAlign w:val="center"/>
          </w:tcPr>
          <w:p w14:paraId="64425270">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120</w:t>
            </w:r>
          </w:p>
        </w:tc>
      </w:tr>
      <w:tr w14:paraId="1394FBD5">
        <w:tblPrEx>
          <w:tblBorders>
            <w:top w:val="single" w:color="auto" w:sz="12" w:space="0"/>
            <w:left w:val="single" w:color="000000" w:sz="2" w:space="0"/>
            <w:bottom w:val="single" w:color="auto"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2187" w:type="pct"/>
            <w:gridSpan w:val="2"/>
            <w:tcBorders>
              <w:left w:val="nil"/>
            </w:tcBorders>
            <w:vAlign w:val="center"/>
          </w:tcPr>
          <w:p w14:paraId="322778A5">
            <w:pPr>
              <w:pStyle w:val="37"/>
              <w:bidi w:val="0"/>
              <w:rPr>
                <w:rFonts w:hint="default" w:ascii="Times New Roman" w:hAnsi="Times New Roman" w:cs="Times New Roman"/>
                <w:color w:val="auto"/>
                <w:highlight w:val="none"/>
              </w:rPr>
            </w:pPr>
            <w:r>
              <w:rPr>
                <w:rFonts w:hint="eastAsia" w:ascii="Times New Roman" w:hAnsi="Times New Roman" w:eastAsia="宋体" w:cs="Times New Roman"/>
                <w:color w:val="auto"/>
                <w:lang w:val="en-US" w:eastAsia="zh-CN"/>
              </w:rPr>
              <w:t>注塑</w:t>
            </w:r>
            <w:r>
              <w:rPr>
                <w:rFonts w:hint="default" w:ascii="Times New Roman" w:hAnsi="Times New Roman" w:cs="Times New Roman"/>
                <w:color w:val="auto"/>
              </w:rPr>
              <w:t>包覆零件</w:t>
            </w:r>
          </w:p>
        </w:tc>
        <w:tc>
          <w:tcPr>
            <w:tcW w:w="1406" w:type="pct"/>
            <w:vAlign w:val="center"/>
          </w:tcPr>
          <w:p w14:paraId="54A067C1">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300</w:t>
            </w:r>
          </w:p>
        </w:tc>
        <w:tc>
          <w:tcPr>
            <w:tcW w:w="1406" w:type="pct"/>
            <w:vMerge w:val="continue"/>
            <w:vAlign w:val="center"/>
          </w:tcPr>
          <w:p w14:paraId="2762AC84">
            <w:pPr>
              <w:pStyle w:val="37"/>
              <w:bidi w:val="0"/>
              <w:rPr>
                <w:rFonts w:hint="eastAsia" w:ascii="Times New Roman" w:hAnsi="Times New Roman" w:eastAsia="宋体" w:cs="Times New Roman"/>
                <w:color w:val="auto"/>
                <w:highlight w:val="none"/>
                <w:lang w:val="en-US" w:eastAsia="zh-CN"/>
              </w:rPr>
            </w:pPr>
          </w:p>
        </w:tc>
      </w:tr>
    </w:tbl>
    <w:p w14:paraId="7B9FC50F">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default" w:ascii="Times New Roman" w:hAnsi="Times New Roman" w:eastAsia="宋体" w:cs="Times New Roman"/>
          <w:b/>
          <w:bCs/>
          <w:snapToGrid w:val="0"/>
          <w:color w:val="auto"/>
          <w:spacing w:val="0"/>
          <w:kern w:val="0"/>
          <w:position w:val="0"/>
          <w:sz w:val="30"/>
          <w:szCs w:val="30"/>
          <w:lang w:val="en-US" w:eastAsia="zh-CN" w:bidi="ar-SA"/>
        </w:rPr>
        <w:t>3.1.6劳动定员及工作制度</w:t>
      </w:r>
    </w:p>
    <w:p w14:paraId="68E7FD11">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本项目劳动定员400人，年工作天数290天</w:t>
      </w:r>
      <w:r>
        <w:rPr>
          <w:rFonts w:hint="eastAsia" w:ascii="Times New Roman" w:hAnsi="Times New Roman" w:cs="Times New Roman"/>
          <w:color w:val="auto"/>
          <w:spacing w:val="15"/>
          <w:sz w:val="24"/>
          <w:szCs w:val="23"/>
          <w:highlight w:val="none"/>
          <w:lang w:val="en-US" w:eastAsia="zh-CN"/>
        </w:rPr>
        <w:t>，</w:t>
      </w:r>
      <w:r>
        <w:rPr>
          <w:rFonts w:hint="default" w:ascii="Times New Roman" w:hAnsi="Times New Roman" w:cs="Times New Roman"/>
          <w:color w:val="auto"/>
          <w:spacing w:val="15"/>
          <w:sz w:val="24"/>
          <w:szCs w:val="23"/>
          <w:highlight w:val="none"/>
          <w:lang w:val="en-US" w:eastAsia="zh-CN"/>
        </w:rPr>
        <w:t>2班工作制</w:t>
      </w:r>
      <w:r>
        <w:rPr>
          <w:rFonts w:hint="eastAsia" w:ascii="Times New Roman" w:hAnsi="Times New Roman" w:cs="Times New Roman"/>
          <w:color w:val="auto"/>
          <w:spacing w:val="15"/>
          <w:sz w:val="24"/>
          <w:szCs w:val="23"/>
          <w:highlight w:val="none"/>
          <w:lang w:val="en-US" w:eastAsia="zh-CN"/>
        </w:rPr>
        <w:t>，每班12小时</w:t>
      </w:r>
      <w:r>
        <w:rPr>
          <w:rFonts w:hint="default" w:ascii="Times New Roman" w:hAnsi="Times New Roman" w:cs="Times New Roman"/>
          <w:color w:val="auto"/>
          <w:spacing w:val="15"/>
          <w:sz w:val="24"/>
          <w:szCs w:val="23"/>
          <w:highlight w:val="none"/>
          <w:lang w:val="en-US" w:eastAsia="zh-CN"/>
        </w:rPr>
        <w:t>，每天24小时工作制。</w:t>
      </w:r>
    </w:p>
    <w:p w14:paraId="1336EE59">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3.1.7</w:t>
      </w:r>
      <w:r>
        <w:rPr>
          <w:rFonts w:hint="default" w:ascii="Times New Roman" w:hAnsi="Times New Roman" w:eastAsia="宋体" w:cs="Times New Roman"/>
          <w:b/>
          <w:bCs/>
          <w:snapToGrid w:val="0"/>
          <w:color w:val="auto"/>
          <w:spacing w:val="0"/>
          <w:kern w:val="0"/>
          <w:position w:val="0"/>
          <w:sz w:val="30"/>
          <w:szCs w:val="30"/>
          <w:lang w:val="en-US" w:eastAsia="zh-CN" w:bidi="ar-SA"/>
        </w:rPr>
        <w:t>公用工程</w:t>
      </w:r>
    </w:p>
    <w:p w14:paraId="4087C153">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3.1.7.1给排水</w:t>
      </w:r>
    </w:p>
    <w:p w14:paraId="186E0408">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1、给水</w:t>
      </w:r>
    </w:p>
    <w:p w14:paraId="6AEEE7BC">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本项目所用水源为市政给水管网。</w:t>
      </w:r>
    </w:p>
    <w:p w14:paraId="6420FD95">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（1）生活用水</w:t>
      </w:r>
    </w:p>
    <w:p w14:paraId="6AF6BC13">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本项目劳动定员400人。根据黑龙江省地方标准《用水定额》(DB23/T727-202</w:t>
      </w:r>
      <w:r>
        <w:rPr>
          <w:rFonts w:hint="eastAsia" w:ascii="Times New Roman" w:hAnsi="Times New Roman" w:cs="Times New Roman"/>
          <w:color w:val="auto"/>
          <w:spacing w:val="15"/>
          <w:sz w:val="24"/>
          <w:szCs w:val="23"/>
          <w:highlight w:val="none"/>
          <w:lang w:val="en-US" w:eastAsia="zh-CN"/>
        </w:rPr>
        <w:t>5</w:t>
      </w:r>
      <w:r>
        <w:rPr>
          <w:rFonts w:hint="default" w:ascii="Times New Roman" w:hAnsi="Times New Roman" w:cs="Times New Roman"/>
          <w:color w:val="auto"/>
          <w:spacing w:val="15"/>
          <w:sz w:val="24"/>
          <w:szCs w:val="23"/>
          <w:highlight w:val="none"/>
          <w:lang w:val="en-US" w:eastAsia="zh-CN"/>
        </w:rPr>
        <w:t>)，用水量按80L/人.d，用水量</w:t>
      </w:r>
      <w:r>
        <w:rPr>
          <w:rFonts w:hint="eastAsia" w:ascii="Times New Roman" w:hAnsi="Times New Roman" w:cs="Times New Roman"/>
          <w:color w:val="auto"/>
          <w:spacing w:val="15"/>
          <w:sz w:val="24"/>
          <w:szCs w:val="23"/>
          <w:highlight w:val="none"/>
          <w:lang w:val="en-US" w:eastAsia="zh-CN"/>
        </w:rPr>
        <w:t>32</w:t>
      </w:r>
      <w:r>
        <w:rPr>
          <w:rFonts w:hint="default" w:ascii="Times New Roman" w:hAnsi="Times New Roman" w:cs="Times New Roman"/>
          <w:color w:val="auto"/>
          <w:spacing w:val="15"/>
          <w:sz w:val="24"/>
          <w:szCs w:val="23"/>
          <w:highlight w:val="none"/>
          <w:lang w:val="en-US" w:eastAsia="zh-CN"/>
        </w:rPr>
        <w:t>t/d</w:t>
      </w:r>
      <w:r>
        <w:rPr>
          <w:rFonts w:hint="eastAsia" w:ascii="Times New Roman" w:hAnsi="Times New Roman" w:cs="Times New Roman"/>
          <w:color w:val="auto"/>
          <w:spacing w:val="15"/>
          <w:sz w:val="24"/>
          <w:szCs w:val="23"/>
          <w:highlight w:val="none"/>
          <w:lang w:val="en-US" w:eastAsia="zh-CN"/>
        </w:rPr>
        <w:t>，9280</w:t>
      </w:r>
      <w:r>
        <w:rPr>
          <w:rFonts w:hint="default" w:ascii="Times New Roman" w:hAnsi="Times New Roman" w:cs="Times New Roman"/>
          <w:color w:val="auto"/>
          <w:spacing w:val="15"/>
          <w:sz w:val="24"/>
          <w:szCs w:val="23"/>
          <w:highlight w:val="none"/>
          <w:lang w:val="en-US" w:eastAsia="zh-CN"/>
        </w:rPr>
        <w:t>t</w:t>
      </w:r>
      <w:r>
        <w:rPr>
          <w:rFonts w:hint="eastAsia" w:ascii="Times New Roman" w:hAnsi="Times New Roman" w:cs="Times New Roman"/>
          <w:color w:val="auto"/>
          <w:spacing w:val="15"/>
          <w:sz w:val="24"/>
          <w:szCs w:val="23"/>
          <w:highlight w:val="none"/>
          <w:lang w:val="en-US" w:eastAsia="zh-CN"/>
        </w:rPr>
        <w:t>/</w:t>
      </w:r>
      <w:r>
        <w:rPr>
          <w:rFonts w:hint="default" w:ascii="Times New Roman" w:hAnsi="Times New Roman" w:cs="Times New Roman"/>
          <w:color w:val="auto"/>
          <w:spacing w:val="15"/>
          <w:sz w:val="24"/>
          <w:szCs w:val="23"/>
          <w:highlight w:val="none"/>
          <w:lang w:val="en-US" w:eastAsia="zh-CN"/>
        </w:rPr>
        <w:t>a。</w:t>
      </w:r>
    </w:p>
    <w:p w14:paraId="1229BD9C">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（2）生产用水</w:t>
      </w:r>
    </w:p>
    <w:p w14:paraId="000EBF99">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本项目生产用水为冷却塔用水及喷漆水帘用水。</w:t>
      </w:r>
    </w:p>
    <w:p w14:paraId="6BCAE33E">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①冷却塔用水</w:t>
      </w:r>
    </w:p>
    <w:p w14:paraId="7D94B1DD">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项目设有</w:t>
      </w:r>
      <w:r>
        <w:rPr>
          <w:rFonts w:hint="eastAsia" w:ascii="Times New Roman" w:hAnsi="Times New Roman" w:cs="Times New Roman"/>
          <w:color w:val="auto"/>
          <w:spacing w:val="15"/>
          <w:sz w:val="24"/>
          <w:szCs w:val="23"/>
          <w:highlight w:val="none"/>
          <w:lang w:val="en-US" w:eastAsia="zh-CN"/>
        </w:rPr>
        <w:t>2</w:t>
      </w:r>
      <w:r>
        <w:rPr>
          <w:rFonts w:hint="default" w:ascii="Times New Roman" w:hAnsi="Times New Roman" w:cs="Times New Roman"/>
          <w:color w:val="auto"/>
          <w:spacing w:val="15"/>
          <w:sz w:val="24"/>
          <w:szCs w:val="23"/>
          <w:highlight w:val="none"/>
          <w:lang w:val="en-US" w:eastAsia="zh-CN"/>
        </w:rPr>
        <w:t>台</w:t>
      </w:r>
      <w:r>
        <w:rPr>
          <w:rFonts w:hint="eastAsia" w:ascii="Times New Roman" w:hAnsi="Times New Roman" w:cs="Times New Roman"/>
          <w:color w:val="auto"/>
          <w:spacing w:val="15"/>
          <w:sz w:val="24"/>
          <w:szCs w:val="23"/>
          <w:highlight w:val="none"/>
          <w:lang w:val="en-US" w:eastAsia="zh-CN"/>
        </w:rPr>
        <w:t>125m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/h</w:t>
      </w:r>
      <w:r>
        <w:rPr>
          <w:rFonts w:hint="default" w:ascii="Times New Roman" w:hAnsi="Times New Roman" w:cs="Times New Roman"/>
          <w:color w:val="auto"/>
          <w:spacing w:val="15"/>
          <w:sz w:val="24"/>
          <w:szCs w:val="23"/>
          <w:highlight w:val="none"/>
          <w:lang w:val="en-US" w:eastAsia="zh-CN"/>
        </w:rPr>
        <w:t>冷却塔，合计循环量为</w:t>
      </w:r>
      <w:r>
        <w:rPr>
          <w:rFonts w:hint="eastAsia" w:ascii="Times New Roman" w:hAnsi="Times New Roman" w:cs="Times New Roman"/>
          <w:color w:val="auto"/>
          <w:spacing w:val="15"/>
          <w:sz w:val="24"/>
          <w:szCs w:val="23"/>
          <w:highlight w:val="none"/>
          <w:lang w:val="en-US" w:eastAsia="zh-CN"/>
        </w:rPr>
        <w:t>6000m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/d</w:t>
      </w:r>
      <w:r>
        <w:rPr>
          <w:rFonts w:hint="default" w:ascii="Times New Roman" w:hAnsi="Times New Roman" w:cs="Times New Roman"/>
          <w:color w:val="auto"/>
          <w:spacing w:val="15"/>
          <w:sz w:val="24"/>
          <w:szCs w:val="23"/>
          <w:highlight w:val="none"/>
          <w:lang w:val="en-US" w:eastAsia="zh-CN"/>
        </w:rPr>
        <w:t>，考虑风扫、水蒸气蒸发等，损失量约为循环量的1%，每天工作24h计，计算损失量为</w:t>
      </w:r>
      <w:r>
        <w:rPr>
          <w:rFonts w:hint="eastAsia" w:ascii="Times New Roman" w:hAnsi="Times New Roman" w:cs="Times New Roman"/>
          <w:color w:val="auto"/>
          <w:spacing w:val="15"/>
          <w:sz w:val="24"/>
          <w:szCs w:val="23"/>
          <w:highlight w:val="none"/>
          <w:lang w:val="en-US" w:eastAsia="zh-CN"/>
        </w:rPr>
        <w:t>60m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/d</w:t>
      </w:r>
      <w:r>
        <w:rPr>
          <w:rFonts w:hint="default" w:ascii="Times New Roman" w:hAnsi="Times New Roman" w:cs="Times New Roman"/>
          <w:color w:val="auto"/>
          <w:spacing w:val="15"/>
          <w:sz w:val="24"/>
          <w:szCs w:val="23"/>
          <w:highlight w:val="none"/>
          <w:lang w:val="en-US" w:eastAsia="zh-CN"/>
        </w:rPr>
        <w:t>。</w:t>
      </w:r>
      <w:r>
        <w:rPr>
          <w:rFonts w:hint="eastAsia" w:ascii="Times New Roman" w:hAnsi="Times New Roman" w:eastAsia="宋体" w:cs="Times New Roman"/>
          <w:color w:val="auto"/>
          <w:sz w:val="24"/>
          <w:szCs w:val="24"/>
        </w:rPr>
        <w:t>本项目循环冷却水对水质无特殊要求，但随着生产的不断进行，循环水质会逐渐恶化，长时间使用会影响产品的质量，根据企业提供的资料，</w:t>
      </w:r>
      <w:r>
        <w:rPr>
          <w:rFonts w:hint="default" w:ascii="Times New Roman" w:hAnsi="Times New Roman" w:cs="Times New Roman"/>
          <w:color w:val="auto"/>
          <w:spacing w:val="15"/>
          <w:sz w:val="24"/>
          <w:szCs w:val="23"/>
          <w:highlight w:val="none"/>
          <w:lang w:val="en-US" w:eastAsia="zh-CN"/>
        </w:rPr>
        <w:t>更换排放量约为蒸发补充水量的5%，平均每天更换排水量为</w:t>
      </w:r>
      <w:r>
        <w:rPr>
          <w:rFonts w:hint="eastAsia" w:ascii="Times New Roman" w:hAnsi="Times New Roman" w:cs="Times New Roman"/>
          <w:color w:val="auto"/>
          <w:spacing w:val="15"/>
          <w:sz w:val="24"/>
          <w:szCs w:val="23"/>
          <w:highlight w:val="none"/>
          <w:lang w:val="en-US" w:eastAsia="zh-CN"/>
        </w:rPr>
        <w:t>3m</w:t>
      </w:r>
      <w:r>
        <w:rPr>
          <w:rFonts w:hint="eastAsia" w:ascii="Times New Roman" w:hAnsi="Times New Roman" w:cs="Times New Roman"/>
          <w:color w:val="auto"/>
          <w:spacing w:val="15"/>
          <w:sz w:val="24"/>
          <w:szCs w:val="23"/>
          <w:highlight w:val="none"/>
          <w:vertAlign w:val="superscript"/>
          <w:lang w:val="en-US" w:eastAsia="zh-CN"/>
        </w:rPr>
        <w:t>3</w:t>
      </w:r>
      <w:r>
        <w:rPr>
          <w:rFonts w:hint="default" w:ascii="Times New Roman" w:hAnsi="Times New Roman" w:cs="Times New Roman"/>
          <w:color w:val="auto"/>
          <w:spacing w:val="15"/>
          <w:sz w:val="24"/>
          <w:szCs w:val="23"/>
          <w:highlight w:val="none"/>
          <w:lang w:val="en-US" w:eastAsia="zh-CN"/>
        </w:rPr>
        <w:t>。</w:t>
      </w:r>
      <w:r>
        <w:rPr>
          <w:rFonts w:hint="eastAsia" w:ascii="Times New Roman" w:hAnsi="Times New Roman" w:eastAsia="宋体" w:cs="Times New Roman"/>
          <w:color w:val="auto"/>
          <w:sz w:val="24"/>
          <w:szCs w:val="24"/>
        </w:rPr>
        <w:t>因此，项目冷却循环系统用水量约为</w:t>
      </w:r>
      <w:r>
        <w:rPr>
          <w:rFonts w:hint="eastAsia" w:ascii="Times New Roman" w:hAnsi="Times New Roman" w:eastAsia="宋体" w:cs="Times New Roman"/>
          <w:color w:val="auto"/>
          <w:sz w:val="24"/>
          <w:szCs w:val="24"/>
          <w:lang w:val="en-US" w:eastAsia="zh-CN"/>
        </w:rPr>
        <w:t>63</w:t>
      </w:r>
      <w:r>
        <w:rPr>
          <w:rFonts w:hint="eastAsia" w:ascii="Times New Roman" w:hAnsi="Times New Roman" w:cs="Times New Roman"/>
          <w:color w:val="auto"/>
          <w:spacing w:val="15"/>
          <w:sz w:val="24"/>
          <w:szCs w:val="23"/>
          <w:highlight w:val="none"/>
          <w:lang w:val="en-US" w:eastAsia="zh-CN"/>
        </w:rPr>
        <w:t>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/d</w:t>
      </w:r>
      <w:r>
        <w:rPr>
          <w:rFonts w:hint="eastAsia" w:ascii="Times New Roman" w:hAnsi="Times New Roman" w:eastAsia="宋体" w:cs="Times New Roman"/>
          <w:color w:val="auto"/>
          <w:sz w:val="24"/>
          <w:szCs w:val="24"/>
          <w:lang w:val="en-US" w:eastAsia="zh-CN"/>
        </w:rPr>
        <w:t>，18270</w:t>
      </w:r>
      <w:r>
        <w:rPr>
          <w:rFonts w:hint="eastAsia" w:ascii="Times New Roman" w:hAnsi="Times New Roman" w:cs="Times New Roman"/>
          <w:color w:val="auto"/>
          <w:spacing w:val="15"/>
          <w:sz w:val="24"/>
          <w:szCs w:val="23"/>
          <w:highlight w:val="none"/>
          <w:lang w:val="en-US" w:eastAsia="zh-CN"/>
        </w:rPr>
        <w:t>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/a</w:t>
      </w:r>
      <w:r>
        <w:rPr>
          <w:rFonts w:hint="eastAsia" w:ascii="Times New Roman" w:hAnsi="Times New Roman" w:eastAsia="宋体" w:cs="Times New Roman"/>
          <w:color w:val="auto"/>
          <w:sz w:val="24"/>
          <w:szCs w:val="24"/>
        </w:rPr>
        <w:t>。</w:t>
      </w:r>
    </w:p>
    <w:p w14:paraId="520DA2D1">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③喷漆水帘用水</w:t>
      </w:r>
    </w:p>
    <w:p w14:paraId="430080E8">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FF0000"/>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根据设计单位提供的资料，项目喷漆房漆雾颗粒先采用水帘装置进行处理，设置一座水帘喷漆循环水池，定期对喷漆水帘喷漆循环水池中的漆渣进行清理，喷漆水帘废水循环使用量为196m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/h，（喷漆水帘废水循环水池容积为200m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），该部分水有2%损失，则损耗水量为4m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/h，喷漆系统每天按运行24h计算，则每天损耗量为96m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/d，年损耗量为27840m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/a。企业约6个月对其水池废水进行彻底清排更换，每次更换量200m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，则喷漆水帘用水为28240m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/a。更换下来的废水作为废液不贮存，直接委托有资质单位进行处理。</w:t>
      </w:r>
    </w:p>
    <w:p w14:paraId="6B3A2E64">
      <w:pPr>
        <w:keepNext w:val="0"/>
        <w:keepLines w:val="0"/>
        <w:pageBreakBefore w:val="0"/>
        <w:widowControl/>
        <w:numPr>
          <w:ilvl w:val="0"/>
          <w:numId w:val="18"/>
        </w:numPr>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排水</w:t>
      </w:r>
    </w:p>
    <w:p w14:paraId="3F293A37">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本项目排水为生活污水、冷却塔循环冷却废水。</w:t>
      </w:r>
    </w:p>
    <w:p w14:paraId="638B2E52">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（1）生活污水</w:t>
      </w:r>
    </w:p>
    <w:p w14:paraId="3E242446">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生活污水按照生活用水的80%计算，产生量为25.6m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/d、7424m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/a。</w:t>
      </w:r>
    </w:p>
    <w:p w14:paraId="7441DEE3">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（2）冷却塔循环冷却废水</w:t>
      </w:r>
    </w:p>
    <w:p w14:paraId="0F38492E">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据上述计算，冷却塔循环冷却废水产生量为3m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/d、870m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/a。</w:t>
      </w:r>
    </w:p>
    <w:p w14:paraId="5CFDF163">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本项目生活污水及冷却塔循环冷却废水经市政管网排入牛家满族镇镇污水处理厂。</w:t>
      </w:r>
    </w:p>
    <w:p w14:paraId="314B8338">
      <w:pPr>
        <w:pStyle w:val="8"/>
        <w:jc w:val="center"/>
        <w:rPr>
          <w:rFonts w:hint="default" w:ascii="Times New Roman" w:hAnsi="Times New Roman" w:eastAsia="宋体" w:cs="Times New Roman"/>
          <w:b/>
          <w:bCs/>
          <w:snapToGrid w:val="0"/>
          <w:color w:val="FF0000"/>
          <w:kern w:val="0"/>
          <w:sz w:val="24"/>
          <w:szCs w:val="24"/>
          <w:highlight w:val="none"/>
          <w:lang w:val="en-US" w:eastAsia="zh-CN" w:bidi="ar-SA"/>
        </w:rPr>
      </w:pPr>
      <w:r>
        <w:rPr>
          <w:rFonts w:hint="eastAsia" w:ascii="Times New Roman" w:hAnsi="Times New Roman" w:cs="Times New Roman"/>
          <w:color w:val="auto"/>
          <w:spacing w:val="15"/>
          <w:sz w:val="24"/>
          <w:szCs w:val="23"/>
          <w:highlight w:val="none"/>
          <w:lang w:val="en-US" w:eastAsia="zh-CN"/>
        </w:rPr>
        <w:object>
          <v:shape id="_x0000_i1026" o:spt="75" type="#_x0000_t75" style="height:272.05pt;width:458.15pt;" o:ole="t" filled="f" o:preferrelative="t" stroked="f" coordsize="21600,21600">
            <v:path/>
            <v:fill on="f" focussize="0,0"/>
            <v:stroke on="f"/>
            <v:imagedata r:id="rId30" o:title=""/>
            <o:lock v:ext="edit" aspectratio="f"/>
            <w10:wrap type="none"/>
            <w10:anchorlock/>
          </v:shape>
          <o:OLEObject Type="Embed" ProgID="Visio.Drawing.15" ShapeID="_x0000_i1026" DrawAspect="Content" ObjectID="_1468075726" r:id="rId29">
            <o:LockedField>false</o:LockedField>
          </o:OLEObject>
        </w:object>
      </w:r>
      <w:r>
        <w:rPr>
          <w:rFonts w:hint="eastAsia" w:ascii="Times New Roman" w:hAnsi="Times New Roman" w:eastAsia="宋体" w:cs="Times New Roman"/>
          <w:b/>
          <w:bCs/>
          <w:snapToGrid w:val="0"/>
          <w:color w:val="auto"/>
          <w:kern w:val="0"/>
          <w:sz w:val="24"/>
          <w:szCs w:val="24"/>
          <w:highlight w:val="none"/>
          <w:lang w:val="en-US" w:eastAsia="zh-CN" w:bidi="ar-SA"/>
        </w:rPr>
        <w:t>图3.1-1 本项目水量平衡图  单位：t/d</w:t>
      </w:r>
    </w:p>
    <w:p w14:paraId="180DCE5B">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highlight w:val="none"/>
          <w:lang w:val="en-US" w:eastAsia="zh-CN"/>
        </w:rPr>
      </w:pPr>
      <w:r>
        <w:rPr>
          <w:rFonts w:hint="default" w:ascii="Times New Roman" w:hAnsi="Times New Roman" w:eastAsia="宋体" w:cs="Times New Roman"/>
          <w:b/>
          <w:bCs/>
          <w:color w:val="auto"/>
          <w:sz w:val="28"/>
          <w:szCs w:val="28"/>
          <w:highlight w:val="none"/>
          <w:lang w:val="en-US" w:eastAsia="zh-CN"/>
        </w:rPr>
        <w:t>3.1.7.</w:t>
      </w:r>
      <w:r>
        <w:rPr>
          <w:rFonts w:hint="eastAsia" w:ascii="Times New Roman" w:hAnsi="Times New Roman" w:eastAsia="宋体" w:cs="Times New Roman"/>
          <w:b/>
          <w:bCs/>
          <w:color w:val="auto"/>
          <w:sz w:val="28"/>
          <w:szCs w:val="28"/>
          <w:highlight w:val="none"/>
          <w:lang w:val="en-US" w:eastAsia="zh-CN"/>
        </w:rPr>
        <w:t>2供热</w:t>
      </w:r>
    </w:p>
    <w:p w14:paraId="59CEEAEA">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color w:val="auto"/>
          <w:lang w:val="en-US" w:eastAsia="zh-CN"/>
        </w:rPr>
      </w:pPr>
      <w:r>
        <w:rPr>
          <w:rFonts w:hint="default" w:ascii="Times New Roman" w:hAnsi="Times New Roman" w:cs="Times New Roman"/>
          <w:color w:val="auto"/>
          <w:spacing w:val="15"/>
          <w:sz w:val="24"/>
          <w:szCs w:val="23"/>
          <w:highlight w:val="none"/>
          <w:lang w:val="en-US" w:eastAsia="zh-CN"/>
        </w:rPr>
        <w:t>生产加热来自电</w:t>
      </w:r>
      <w:r>
        <w:rPr>
          <w:rFonts w:hint="eastAsia" w:ascii="Times New Roman" w:hAnsi="Times New Roman" w:cs="Times New Roman"/>
          <w:color w:val="auto"/>
          <w:spacing w:val="15"/>
          <w:sz w:val="24"/>
          <w:szCs w:val="23"/>
          <w:highlight w:val="none"/>
          <w:lang w:val="en-US" w:eastAsia="zh-CN"/>
        </w:rPr>
        <w:t>及天然气</w:t>
      </w:r>
      <w:r>
        <w:rPr>
          <w:rFonts w:hint="default" w:ascii="Times New Roman" w:hAnsi="Times New Roman" w:cs="Times New Roman"/>
          <w:color w:val="auto"/>
          <w:spacing w:val="15"/>
          <w:sz w:val="24"/>
          <w:szCs w:val="23"/>
          <w:highlight w:val="none"/>
          <w:lang w:val="en-US" w:eastAsia="zh-CN"/>
        </w:rPr>
        <w:t>加热，</w:t>
      </w:r>
      <w:r>
        <w:rPr>
          <w:rFonts w:hint="eastAsia" w:ascii="Times New Roman" w:hAnsi="Times New Roman" w:cs="Times New Roman"/>
          <w:color w:val="auto"/>
          <w:spacing w:val="15"/>
          <w:sz w:val="24"/>
          <w:szCs w:val="23"/>
          <w:highlight w:val="none"/>
          <w:lang w:val="en-US" w:eastAsia="zh-CN"/>
        </w:rPr>
        <w:t>天然气由市政天然气管道供给，</w:t>
      </w:r>
      <w:r>
        <w:rPr>
          <w:rFonts w:hint="default" w:ascii="Times New Roman" w:hAnsi="Times New Roman" w:cs="Times New Roman"/>
          <w:color w:val="auto"/>
          <w:spacing w:val="15"/>
          <w:sz w:val="24"/>
          <w:szCs w:val="23"/>
          <w:highlight w:val="none"/>
          <w:lang w:val="en-US" w:eastAsia="zh-CN"/>
        </w:rPr>
        <w:t>冬季供暖采用</w:t>
      </w:r>
      <w:r>
        <w:rPr>
          <w:rFonts w:hint="eastAsia" w:ascii="Times New Roman" w:hAnsi="Times New Roman" w:cs="Times New Roman"/>
          <w:color w:val="auto"/>
          <w:spacing w:val="15"/>
          <w:sz w:val="24"/>
          <w:szCs w:val="23"/>
          <w:highlight w:val="none"/>
          <w:lang w:val="en-US" w:eastAsia="zh-CN"/>
        </w:rPr>
        <w:t>电暖气</w:t>
      </w:r>
      <w:r>
        <w:rPr>
          <w:rFonts w:hint="default" w:ascii="Times New Roman" w:hAnsi="Times New Roman" w:cs="Times New Roman"/>
          <w:color w:val="auto"/>
          <w:spacing w:val="15"/>
          <w:sz w:val="24"/>
          <w:szCs w:val="23"/>
          <w:highlight w:val="none"/>
          <w:lang w:val="en-US" w:eastAsia="zh-CN"/>
        </w:rPr>
        <w:t>供热</w:t>
      </w:r>
      <w:r>
        <w:rPr>
          <w:rFonts w:hint="eastAsia" w:ascii="Times New Roman" w:hAnsi="Times New Roman" w:cs="Times New Roman"/>
          <w:color w:val="auto"/>
          <w:spacing w:val="15"/>
          <w:sz w:val="24"/>
          <w:szCs w:val="23"/>
          <w:highlight w:val="none"/>
          <w:lang w:val="en-US" w:eastAsia="zh-CN"/>
        </w:rPr>
        <w:t>。</w:t>
      </w:r>
    </w:p>
    <w:p w14:paraId="43DAEBFD">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3.1.7.</w:t>
      </w:r>
      <w:r>
        <w:rPr>
          <w:rFonts w:hint="eastAsia" w:ascii="Times New Roman" w:hAnsi="Times New Roman" w:eastAsia="宋体" w:cs="Times New Roman"/>
          <w:b/>
          <w:bCs/>
          <w:color w:val="auto"/>
          <w:sz w:val="28"/>
          <w:szCs w:val="28"/>
          <w:lang w:val="en-US" w:eastAsia="zh-CN"/>
        </w:rPr>
        <w:t>3供电</w:t>
      </w:r>
    </w:p>
    <w:p w14:paraId="6319A8AD">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color w:val="auto"/>
          <w:lang w:val="en-US" w:eastAsia="zh-CN"/>
        </w:rPr>
      </w:pPr>
      <w:r>
        <w:rPr>
          <w:rFonts w:hint="default" w:ascii="Times New Roman" w:hAnsi="Times New Roman" w:cs="Times New Roman"/>
          <w:color w:val="auto"/>
          <w:spacing w:val="15"/>
          <w:sz w:val="24"/>
          <w:szCs w:val="23"/>
          <w:highlight w:val="none"/>
          <w:lang w:val="en-US" w:eastAsia="zh-CN"/>
        </w:rPr>
        <w:t>本项目供电由附近电网接入。</w:t>
      </w:r>
    </w:p>
    <w:p w14:paraId="40AC1A70">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3.1.8</w:t>
      </w:r>
      <w:r>
        <w:rPr>
          <w:rFonts w:hint="default" w:ascii="Times New Roman" w:hAnsi="Times New Roman" w:eastAsia="宋体" w:cs="Times New Roman"/>
          <w:b/>
          <w:bCs/>
          <w:snapToGrid w:val="0"/>
          <w:color w:val="auto"/>
          <w:spacing w:val="0"/>
          <w:kern w:val="0"/>
          <w:position w:val="0"/>
          <w:sz w:val="30"/>
          <w:szCs w:val="30"/>
          <w:lang w:val="en-US" w:eastAsia="zh-CN" w:bidi="ar-SA"/>
        </w:rPr>
        <w:t>总平面布置</w:t>
      </w:r>
    </w:p>
    <w:p w14:paraId="357B1D0C">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本项目位于黑龙江五常经济开发区内，项目所在地交通便捷，人流、车流、货运路线清晰。本项目办公区位于厂区东南侧，生产区域位于厂房一、厂房二内部，工业厂房内部设置合理，有利于项目生产运行过程中各工序的生产协作、提高生产效率，项目厂区内平面布置见附图。</w:t>
      </w:r>
    </w:p>
    <w:p w14:paraId="378C7CDE">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Times New Roman" w:cs="Times New Roman"/>
          <w:color w:val="auto"/>
          <w:spacing w:val="6"/>
          <w:sz w:val="32"/>
          <w:szCs w:val="32"/>
          <w:lang w:val="en-US" w:eastAsia="zh-CN"/>
        </w:rPr>
      </w:pPr>
      <w:bookmarkStart w:id="21" w:name="_Toc30176"/>
      <w:r>
        <w:rPr>
          <w:rFonts w:hint="eastAsia" w:ascii="Times New Roman" w:hAnsi="Times New Roman" w:eastAsia="Times New Roman" w:cs="Times New Roman"/>
          <w:color w:val="auto"/>
          <w:spacing w:val="6"/>
          <w:sz w:val="32"/>
          <w:szCs w:val="32"/>
          <w:lang w:val="en-US" w:eastAsia="zh-CN"/>
        </w:rPr>
        <w:t>3.2 影响因素分析</w:t>
      </w:r>
      <w:bookmarkEnd w:id="21"/>
    </w:p>
    <w:p w14:paraId="3AA13DC9">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3.2.1施工期影响因素分析</w:t>
      </w:r>
    </w:p>
    <w:p w14:paraId="7CC0E498">
      <w:pPr>
        <w:spacing w:line="480" w:lineRule="exact"/>
        <w:ind w:firstLine="540" w:firstLineChars="200"/>
        <w:jc w:val="both"/>
        <w:rPr>
          <w:rFonts w:hint="eastAsia"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本项目利用厂区现有建筑建设，不涉及土建工程，施工期主要为设备安装及环保工程建设。施工噪声主要为安装设备噪声、车辆运输噪声，夜间不施工，采用低噪声施工设备；</w:t>
      </w:r>
      <w:r>
        <w:rPr>
          <w:rFonts w:hint="default" w:ascii="Times New Roman" w:hAnsi="Times New Roman" w:cs="Times New Roman"/>
          <w:color w:val="auto"/>
          <w:spacing w:val="15"/>
          <w:sz w:val="24"/>
          <w:szCs w:val="23"/>
          <w:highlight w:val="none"/>
          <w:lang w:val="en-US" w:eastAsia="zh-CN"/>
        </w:rPr>
        <w:t>施工时建筑材料及设备的装卸、运输时会产生扬尘</w:t>
      </w:r>
      <w:r>
        <w:rPr>
          <w:rFonts w:hint="eastAsia" w:ascii="Times New Roman" w:hAnsi="Times New Roman" w:cs="Times New Roman"/>
          <w:color w:val="auto"/>
          <w:spacing w:val="15"/>
          <w:sz w:val="24"/>
          <w:szCs w:val="23"/>
          <w:highlight w:val="none"/>
          <w:lang w:val="en-US" w:eastAsia="zh-CN"/>
        </w:rPr>
        <w:t>；施工期员工的生活污水排入市政管网；设备安装产生的设备包装废弃物，交由物资回收部门处理。建筑垃圾送往当地政府部门指定的场地进行处理。生活垃圾收集后由环卫部门统一清运处置。</w:t>
      </w:r>
    </w:p>
    <w:p w14:paraId="14CDAF60">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textAlignment w:val="baseline"/>
        <w:outlineLvl w:val="2"/>
        <w:rPr>
          <w:rFonts w:hint="eastAsia"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3.2.2营运期影响因素分析</w:t>
      </w:r>
    </w:p>
    <w:p w14:paraId="60B3DC9A">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eastAsia"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3.2.2.1营运期工艺流程及产污环节分析</w:t>
      </w:r>
    </w:p>
    <w:p w14:paraId="32E791F7">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1、溶剂漆汽车配件生产工艺流程简述：</w:t>
      </w:r>
    </w:p>
    <w:p w14:paraId="54E144D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FF0000"/>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1）注塑：将外购的PP、PC、PA、ABS、ABS+PC塑料粒子整袋拆除后通过集中供料系统投入到注塑机内进行注塑，本项目采用自动供料系统进行供料（本项目使用的塑料粒子为表面光滑且粒径为3mm左右的大颗粒，供料、注塑过程不考虑粉尘产生）。注塑是用注塑机的螺杆或柱塞使桶内的熔料，经注塑机喷嘴和模具的浇注系统，注入型腔而固化成型。脱模过程不涉及使用脱模剂（注塑机注塑温度在170~210℃之间，ABS粒子分解温度为250℃，PP粒子分解温度为370℃，PC粒子分解温度为230℃，PA粒子分解温度为300℃，注塑过程中不会分解，但塑料中的部分单体物质有逸出，单体物质主要为ABS中的苯乙烯、1.3-丁二烯、丙烯腈、甲苯、乙苯等）。注塑机通过循环冷却塔提供的冷却水对注塑成型的汽车零部件进行间接冷却成型，冷却塔中冷却水冷却后循环使用，定期补充，每月更换一次。此工序会产出注塑废气、噪声。注塑件不合格品收集后送入破碎机密闭破碎回用于生产，此工序产生破碎粉尘、噪声、循环冷却废水。</w:t>
      </w:r>
    </w:p>
    <w:p w14:paraId="75BAB424">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（2）人工除尘：为防止车间内灰尘附着在注塑件上，项目注塑件在涂装前需要进行除尘，利用吹气枪对注塑件进行除尘，确保产品表面洁净度。此工序产生除尘粉尘。</w:t>
      </w:r>
    </w:p>
    <w:p w14:paraId="2E4CC7BD">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3）喷漆、流平：在调漆室调漆后供料至喷漆室，设有全封闭式喷漆室，本项目采用人工持喷枪和自动喷涂两种方式对工件进行喷涂，根据不同工件要求，采用不同的喷涂方式。塑料零部件需喷涂一道底漆，底漆流平后进行中漆喷涂，中漆流平后再进行面漆喷涂，面漆流平进入烘干环节。流平工艺主要是为了使喷漆后的工件表面更为均匀光滑，为常温流平。油漆管路输送系统为密闭循环系统，定期对管路和喷枪进行清洗维护，采用溶剂型清洗剂。此过程产生噪声、漆渣、漆雾及有机废气、废油漆桶、废稀释剂桶、废固化剂桶、废清洗溶剂。</w:t>
      </w:r>
    </w:p>
    <w:p w14:paraId="4F887E66">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（4）烘干：</w:t>
      </w:r>
      <w:r>
        <w:rPr>
          <w:rFonts w:ascii="Times New Roman" w:hAnsi="Times New Roman" w:cs="Times New Roman"/>
          <w:color w:val="auto"/>
          <w:sz w:val="24"/>
        </w:rPr>
        <w:t>为了面漆更好的附着在工件表面，喷漆后的工件先通过流平室内进行流平后再进入烘干</w:t>
      </w:r>
      <w:r>
        <w:rPr>
          <w:rFonts w:hint="eastAsia" w:ascii="Times New Roman" w:hAnsi="Times New Roman" w:eastAsia="宋体" w:cs="Times New Roman"/>
          <w:color w:val="auto"/>
          <w:sz w:val="24"/>
          <w:lang w:val="en-US" w:eastAsia="zh-CN"/>
        </w:rPr>
        <w:t>炉</w:t>
      </w:r>
      <w:r>
        <w:rPr>
          <w:rFonts w:ascii="Times New Roman" w:hAnsi="Times New Roman" w:cs="Times New Roman"/>
          <w:color w:val="auto"/>
          <w:sz w:val="24"/>
        </w:rPr>
        <w:t>进行干燥，流平时间10~12min，烘干温度控制在80℃，烘干时间</w:t>
      </w:r>
      <w:r>
        <w:rPr>
          <w:rFonts w:hint="eastAsia" w:ascii="Times New Roman" w:hAnsi="Times New Roman" w:eastAsia="宋体" w:cs="Times New Roman"/>
          <w:color w:val="auto"/>
          <w:sz w:val="24"/>
          <w:lang w:val="en-US" w:eastAsia="zh-CN"/>
        </w:rPr>
        <w:t>5-10</w:t>
      </w:r>
      <w:r>
        <w:rPr>
          <w:rFonts w:ascii="Times New Roman" w:hAnsi="Times New Roman" w:cs="Times New Roman"/>
          <w:color w:val="auto"/>
          <w:sz w:val="24"/>
        </w:rPr>
        <w:t>min，烘干采用</w:t>
      </w:r>
      <w:r>
        <w:rPr>
          <w:rFonts w:hint="eastAsia" w:ascii="Times New Roman" w:hAnsi="Times New Roman" w:eastAsia="宋体" w:cs="Times New Roman"/>
          <w:color w:val="auto"/>
          <w:sz w:val="24"/>
          <w:lang w:val="en-US" w:eastAsia="zh-CN"/>
        </w:rPr>
        <w:t>天然气</w:t>
      </w:r>
      <w:r>
        <w:rPr>
          <w:rFonts w:ascii="Times New Roman" w:hAnsi="Times New Roman" w:cs="Times New Roman"/>
          <w:color w:val="auto"/>
          <w:sz w:val="24"/>
        </w:rPr>
        <w:t>加热烘干。</w:t>
      </w:r>
      <w:r>
        <w:rPr>
          <w:rFonts w:hint="eastAsia" w:ascii="Times New Roman" w:hAnsi="Times New Roman" w:cs="Times New Roman"/>
          <w:color w:val="auto"/>
          <w:spacing w:val="15"/>
          <w:sz w:val="24"/>
          <w:szCs w:val="23"/>
          <w:highlight w:val="none"/>
          <w:lang w:val="en-US" w:eastAsia="zh-CN"/>
        </w:rPr>
        <w:t>此过程产生烘干废气、天然气燃烧废气。</w:t>
      </w:r>
    </w:p>
    <w:p w14:paraId="3C3510FC">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（5）外观检查：烘干后的零部件</w:t>
      </w:r>
      <w:r>
        <w:rPr>
          <w:rFonts w:ascii="Times New Roman" w:hAnsi="Times New Roman" w:cs="Times New Roman"/>
          <w:color w:val="auto"/>
          <w:sz w:val="24"/>
        </w:rPr>
        <w:t>需进行检验，主要是针对漆面的光滑、厚薄进行检验。</w:t>
      </w:r>
      <w:r>
        <w:rPr>
          <w:rFonts w:hint="eastAsia" w:ascii="Times New Roman" w:hAnsi="Times New Roman" w:cs="Times New Roman"/>
          <w:color w:val="auto"/>
          <w:spacing w:val="15"/>
          <w:sz w:val="24"/>
          <w:szCs w:val="23"/>
          <w:highlight w:val="none"/>
          <w:lang w:val="en-US" w:eastAsia="zh-CN"/>
        </w:rPr>
        <w:t>部分经检验合格后的零部件入库，部分经检验合格后的进行丝印或镭雕。部分经检验不合格的零部件进行打磨、抛光后入库。</w:t>
      </w:r>
    </w:p>
    <w:p w14:paraId="4052E6F2">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（6）打磨、抛光：抛光打磨主要对工件局部有瑕疵部位抛光打磨，此工序会产生粉尘、噪声。</w:t>
      </w:r>
    </w:p>
    <w:p w14:paraId="5A364EA6">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（7）丝印、镭雕：丝网印刷为通过刷子将油墨扫过带有定制图案或字符的网版，油墨通过网版上的小洞漏到产品上形成图案，丝印后需进行烘干，</w:t>
      </w:r>
      <w:r>
        <w:rPr>
          <w:rFonts w:ascii="Times New Roman" w:hAnsi="Times New Roman" w:cs="Times New Roman"/>
          <w:color w:val="auto"/>
          <w:sz w:val="24"/>
        </w:rPr>
        <w:t>烘干采用</w:t>
      </w:r>
      <w:r>
        <w:rPr>
          <w:rFonts w:hint="eastAsia" w:ascii="Times New Roman" w:hAnsi="Times New Roman" w:eastAsia="宋体" w:cs="Times New Roman"/>
          <w:color w:val="auto"/>
          <w:sz w:val="24"/>
          <w:lang w:val="en-US" w:eastAsia="zh-CN"/>
        </w:rPr>
        <w:t>天然气</w:t>
      </w:r>
      <w:r>
        <w:rPr>
          <w:rFonts w:ascii="Times New Roman" w:hAnsi="Times New Roman" w:cs="Times New Roman"/>
          <w:color w:val="auto"/>
          <w:sz w:val="24"/>
        </w:rPr>
        <w:t>加热烘干</w:t>
      </w:r>
      <w:r>
        <w:rPr>
          <w:rFonts w:hint="eastAsia" w:ascii="Times New Roman" w:hAnsi="Times New Roman" w:cs="Times New Roman"/>
          <w:color w:val="auto"/>
          <w:spacing w:val="15"/>
          <w:sz w:val="24"/>
          <w:szCs w:val="23"/>
          <w:highlight w:val="none"/>
          <w:lang w:val="en-US" w:eastAsia="zh-CN"/>
        </w:rPr>
        <w:t>。镭雕为利用激光束的光能对产品表面进行处理，使产品表面形成所需的图案或文字。此工序产生烘干废气、天然气燃烧废气、丝印废气、噪声、废油墨桶。</w:t>
      </w:r>
    </w:p>
    <w:p w14:paraId="4348290C">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（8）焊接：焊接工序是将需组装处的塑料部件通过</w:t>
      </w:r>
      <w:r>
        <w:rPr>
          <w:rFonts w:hint="eastAsia" w:ascii="Times New Roman" w:hAnsi="Times New Roman" w:eastAsia="宋体" w:cs="Times New Roman"/>
          <w:color w:val="auto"/>
          <w:sz w:val="24"/>
          <w:lang w:val="en-US" w:eastAsia="zh-CN"/>
        </w:rPr>
        <w:t>超声波焊机、热熔焊接机、热板焊接机</w:t>
      </w:r>
      <w:r>
        <w:rPr>
          <w:rFonts w:hint="eastAsia" w:ascii="Times New Roman" w:hAnsi="Times New Roman" w:cs="Times New Roman"/>
          <w:color w:val="auto"/>
          <w:spacing w:val="15"/>
          <w:sz w:val="24"/>
          <w:szCs w:val="23"/>
          <w:highlight w:val="none"/>
          <w:lang w:val="en-US" w:eastAsia="zh-CN"/>
        </w:rPr>
        <w:t>加热工件表面使其软化，冷却后即完成焊接，不需要使用焊丝、焊材。在塑料表面软化的瞬间，会产生少量的有机废气，由于软化时间短，加热温度约120℃，低于塑料的分解温度，因此本环评不定量分析焊接废气。</w:t>
      </w:r>
    </w:p>
    <w:p w14:paraId="6B89E595">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ascii="Times New Roman" w:hAnsi="Times New Roman" w:cs="Times New Roman"/>
          <w:color w:val="auto"/>
          <w:spacing w:val="15"/>
          <w:sz w:val="24"/>
          <w:szCs w:val="23"/>
          <w:highlight w:val="none"/>
          <w:lang w:val="en-US" w:eastAsia="zh-CN"/>
        </w:rPr>
      </w:pPr>
    </w:p>
    <w:p w14:paraId="32A73545">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p>
    <w:p w14:paraId="41B58848">
      <w:pPr>
        <w:bidi w:val="0"/>
        <w:jc w:val="center"/>
        <w:rPr>
          <w:rFonts w:hint="eastAsia"/>
          <w:lang w:val="en-US" w:eastAsia="zh-CN"/>
        </w:rPr>
      </w:pPr>
      <w:r>
        <w:rPr>
          <w:rFonts w:hint="eastAsia"/>
          <w:lang w:val="en-US" w:eastAsia="zh-CN"/>
        </w:rPr>
        <w:object>
          <v:shape id="_x0000_i1027" o:spt="75" type="#_x0000_t75" style="height:490.5pt;width:357.75pt;" o:ole="t" filled="f" o:preferrelative="t" stroked="f" coordsize="21600,21600">
            <v:path/>
            <v:fill on="f" focussize="0,0"/>
            <v:stroke on="f"/>
            <v:imagedata r:id="rId32" o:title=""/>
            <o:lock v:ext="edit" aspectratio="f"/>
            <w10:wrap type="none"/>
            <w10:anchorlock/>
          </v:shape>
          <o:OLEObject Type="Embed" ProgID="Visio.Drawing.15" ShapeID="_x0000_i1027" DrawAspect="Content" ObjectID="_1468075727" r:id="rId31">
            <o:LockedField>false</o:LockedField>
          </o:OLEObject>
        </w:object>
      </w:r>
    </w:p>
    <w:p w14:paraId="4B932788">
      <w:pPr>
        <w:keepNext w:val="0"/>
        <w:keepLines w:val="0"/>
        <w:pageBreakBefore w:val="0"/>
        <w:widowControl/>
        <w:numPr>
          <w:ilvl w:val="0"/>
          <w:numId w:val="0"/>
        </w:numPr>
        <w:tabs>
          <w:tab w:val="left" w:pos="377"/>
        </w:tabs>
        <w:kinsoku/>
        <w:wordWrap/>
        <w:overflowPunct/>
        <w:topLinePunct w:val="0"/>
        <w:autoSpaceDE/>
        <w:autoSpaceDN/>
        <w:bidi w:val="0"/>
        <w:adjustRightInd/>
        <w:snapToGrid/>
        <w:spacing w:line="360" w:lineRule="auto"/>
        <w:ind w:right="0" w:rightChars="0"/>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图3.2-1溶剂漆汽车配件工艺流程及产污环节图</w:t>
      </w:r>
    </w:p>
    <w:p w14:paraId="1396BDEB">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2、uv漆汽车配件</w:t>
      </w:r>
      <w:r>
        <w:rPr>
          <w:rFonts w:hint="default" w:ascii="Times New Roman" w:hAnsi="Times New Roman" w:cs="Times New Roman"/>
          <w:color w:val="auto"/>
          <w:spacing w:val="15"/>
          <w:sz w:val="24"/>
          <w:szCs w:val="23"/>
          <w:highlight w:val="none"/>
          <w:lang w:val="en-US" w:eastAsia="zh-CN"/>
        </w:rPr>
        <w:t>生产工艺流程简述：</w:t>
      </w:r>
    </w:p>
    <w:p w14:paraId="6592040D">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FF0000"/>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1）注塑：将外购的PP、PC、PA、ABS、ABS+PC塑料粒子整袋拆除后通过集中供料系统投入到注塑机内进行注塑，本项目采用自动供料系统进行供料（本项目使用的塑料粒子为表面光滑且粒径为3mm左右的大颗粒，供料、注塑过程不考虑粉尘产生）。注塑是用注塑机的螺杆或柱塞使桶内的熔料，经注塑机喷嘴和模具的浇注系统，注入型腔而固化成型。脱模过程不涉及使用脱模剂（注塑机注塑温度在170~210℃之间，ABS粒子分解温度为250℃，PP粒子分解温度为370℃，PC粒子分解温度为230℃，PA粒子分解温度为300℃，注塑过程中不会分解，但塑料中的部分单体物质有逸出，单体物质主要为ABS中的苯乙烯、1.3-丁二烯、丙烯腈、甲苯、乙苯等）。注塑机通过循环冷却塔提供的冷却水对注塑成型的汽车零部件进行间接冷却成型，冷却塔中冷却水冷却后循环使用，定期补充，每月更换一次。此工序会产出注塑废气、噪声。注塑件不合格品收集后送入破碎机密闭破碎回用于生产，此工序产生破碎粉尘、噪声、循环冷却废水。</w:t>
      </w:r>
    </w:p>
    <w:p w14:paraId="109E1F20">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（2）人工除尘：为防止车间内灰尘附着在注塑件上，项目注塑件在涂装前需要进行除尘，利用吹气枪对注塑件进行除尘，确保产品表面洁净度。此工序产生除尘粉尘。</w:t>
      </w:r>
    </w:p>
    <w:p w14:paraId="74267D9D">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3）喷漆、流平、UV固化：在调漆室调漆后供料至喷漆室，设有全封闭式喷漆室，本项目采用人工持喷枪和自动喷涂两种方式对工件进行喷涂，根据不同工件要求，采用不同的喷涂方式。塑料零部件需喷涂一道底漆，底漆流平后进行中漆喷涂，中漆流平及UV固化后再进行面漆喷涂，面漆流平及UV固化后进入烘干环节。流平工艺主要是为了使喷漆后的工件表面更为均匀光滑，为常温流平。UV固化是为了提供汽车零部件的耐磨性和抗划痕性能。</w:t>
      </w:r>
      <w:r>
        <w:rPr>
          <w:rFonts w:hint="eastAsia" w:ascii="Times New Roman" w:hAnsi="Times New Roman" w:cs="Times New Roman"/>
          <w:color w:val="auto"/>
          <w:spacing w:val="15"/>
          <w:sz w:val="24"/>
          <w:szCs w:val="23"/>
          <w:highlight w:val="none"/>
          <w:lang w:val="en-US" w:eastAsia="zh-CN"/>
        </w:rPr>
        <w:t>油漆管路输送系统为密闭循环系统，定期对管路和喷枪进行清洗维护，采用溶剂型清洗剂。此过程产生噪声、漆渣、漆雾及有机废气、废油漆桶、废清洗溶剂、废UV灯管。</w:t>
      </w:r>
    </w:p>
    <w:p w14:paraId="47D496DC">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（4）PVD镀膜：喷漆固化后</w:t>
      </w:r>
      <w:r>
        <w:rPr>
          <w:rFonts w:hint="eastAsia" w:ascii="Times New Roman" w:hAnsi="Times New Roman" w:cs="Times New Roman"/>
          <w:color w:val="auto"/>
          <w:spacing w:val="15"/>
          <w:sz w:val="24"/>
          <w:szCs w:val="23"/>
          <w:highlight w:val="none"/>
          <w:lang w:val="en-US" w:eastAsia="zh-CN"/>
        </w:rPr>
        <w:t>20</w:t>
      </w:r>
      <w:r>
        <w:rPr>
          <w:rFonts w:hint="default" w:ascii="Times New Roman" w:hAnsi="Times New Roman" w:cs="Times New Roman"/>
          <w:color w:val="auto"/>
          <w:spacing w:val="15"/>
          <w:sz w:val="24"/>
          <w:szCs w:val="23"/>
          <w:highlight w:val="none"/>
          <w:lang w:val="en-US" w:eastAsia="zh-CN"/>
        </w:rPr>
        <w:t>%的汽车零部件入库，</w:t>
      </w:r>
      <w:r>
        <w:rPr>
          <w:rFonts w:hint="eastAsia" w:ascii="Times New Roman" w:hAnsi="Times New Roman" w:cs="Times New Roman"/>
          <w:color w:val="auto"/>
          <w:spacing w:val="15"/>
          <w:sz w:val="24"/>
          <w:szCs w:val="23"/>
          <w:highlight w:val="none"/>
          <w:lang w:val="en-US" w:eastAsia="zh-CN"/>
        </w:rPr>
        <w:t>80</w:t>
      </w:r>
      <w:r>
        <w:rPr>
          <w:rFonts w:hint="default" w:ascii="Times New Roman" w:hAnsi="Times New Roman" w:cs="Times New Roman"/>
          <w:color w:val="auto"/>
          <w:spacing w:val="15"/>
          <w:sz w:val="24"/>
          <w:szCs w:val="23"/>
          <w:highlight w:val="none"/>
          <w:lang w:val="en-US" w:eastAsia="zh-CN"/>
        </w:rPr>
        <w:t>%的汽车零部件进行PVD镀膜，是在真空条件下，通过将材料蒸发或溅射成气态原子或分子，并使其在基材表面凝聚形成薄膜的一种技术。PVD镀膜的结合力更强，硬度更高，耐磨性和耐腐蚀性更好。</w:t>
      </w:r>
    </w:p>
    <w:p w14:paraId="03C186B3">
      <w:pPr>
        <w:pStyle w:val="10"/>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（5）</w:t>
      </w:r>
      <w:r>
        <w:rPr>
          <w:rFonts w:hint="eastAsia" w:ascii="Times New Roman" w:hAnsi="Times New Roman" w:cs="Times New Roman"/>
          <w:color w:val="auto"/>
          <w:spacing w:val="15"/>
          <w:sz w:val="24"/>
          <w:szCs w:val="23"/>
          <w:highlight w:val="none"/>
          <w:lang w:val="en-US" w:eastAsia="zh-CN"/>
        </w:rPr>
        <w:t>成品：PVD镀膜后再进行</w:t>
      </w:r>
      <w:r>
        <w:rPr>
          <w:rFonts w:hint="default" w:ascii="Times New Roman" w:hAnsi="Times New Roman" w:cs="Times New Roman"/>
          <w:color w:val="auto"/>
          <w:spacing w:val="15"/>
          <w:sz w:val="24"/>
          <w:szCs w:val="23"/>
          <w:highlight w:val="none"/>
          <w:lang w:val="en-US" w:eastAsia="zh-CN"/>
        </w:rPr>
        <w:t>喷漆、流平、UV固化</w:t>
      </w:r>
      <w:r>
        <w:rPr>
          <w:rFonts w:hint="eastAsia" w:ascii="Times New Roman" w:hAnsi="Times New Roman" w:cs="Times New Roman"/>
          <w:color w:val="auto"/>
          <w:spacing w:val="15"/>
          <w:sz w:val="24"/>
          <w:szCs w:val="23"/>
          <w:highlight w:val="none"/>
          <w:lang w:val="en-US" w:eastAsia="zh-CN"/>
        </w:rPr>
        <w:t>。</w:t>
      </w:r>
    </w:p>
    <w:p w14:paraId="6EB665A6">
      <w:pPr>
        <w:bidi w:val="0"/>
        <w:jc w:val="center"/>
        <w:rPr>
          <w:rFonts w:hint="eastAsia"/>
          <w:lang w:val="en-US" w:eastAsia="zh-CN"/>
        </w:rPr>
      </w:pPr>
      <w:r>
        <w:rPr>
          <w:rFonts w:hint="eastAsia"/>
          <w:lang w:val="en-US" w:eastAsia="zh-CN"/>
        </w:rPr>
        <w:object>
          <v:shape id="_x0000_i1028" o:spt="75" type="#_x0000_t75" style="height:624pt;width:327.75pt;" o:ole="t" filled="f" o:preferrelative="t" stroked="f" coordsize="21600,21600">
            <v:path/>
            <v:fill on="f" focussize="0,0"/>
            <v:stroke on="f"/>
            <v:imagedata r:id="rId34" o:title=""/>
            <o:lock v:ext="edit" aspectratio="f"/>
            <w10:wrap type="none"/>
            <w10:anchorlock/>
          </v:shape>
          <o:OLEObject Type="Embed" ProgID="Visio.Drawing.15" ShapeID="_x0000_i1028" DrawAspect="Content" ObjectID="_1468075728" r:id="rId33">
            <o:LockedField>false</o:LockedField>
          </o:OLEObject>
        </w:object>
      </w:r>
    </w:p>
    <w:p w14:paraId="5EBC1BFA">
      <w:pPr>
        <w:keepNext w:val="0"/>
        <w:keepLines w:val="0"/>
        <w:pageBreakBefore w:val="0"/>
        <w:widowControl/>
        <w:numPr>
          <w:ilvl w:val="0"/>
          <w:numId w:val="0"/>
        </w:numPr>
        <w:tabs>
          <w:tab w:val="left" w:pos="377"/>
        </w:tabs>
        <w:kinsoku/>
        <w:wordWrap/>
        <w:overflowPunct/>
        <w:topLinePunct w:val="0"/>
        <w:autoSpaceDE/>
        <w:autoSpaceDN/>
        <w:bidi w:val="0"/>
        <w:adjustRightInd/>
        <w:snapToGrid/>
        <w:spacing w:line="360" w:lineRule="auto"/>
        <w:ind w:right="0" w:rightChars="0"/>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图3.2-2 uv漆汽车配件工艺流程及产污环节图</w:t>
      </w:r>
    </w:p>
    <w:p w14:paraId="2F786E6A">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3、发泡包覆产品生产工艺流程简述：</w:t>
      </w:r>
    </w:p>
    <w:p w14:paraId="423060F0">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FF0000"/>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（1）发泡：将异氰酸酯（黑料、PAPI）、聚醚多元醇（白料）放入发泡设备（用电）密闭搅拌，使颗粒膨胀和发泡。此过程产生发泡废气。</w:t>
      </w:r>
    </w:p>
    <w:p w14:paraId="1064BBFD">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（2）脱模：脱模过程不涉及使用脱模剂，冷却后取出。</w:t>
      </w:r>
    </w:p>
    <w:p w14:paraId="51C73A6B">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（3）修整</w:t>
      </w:r>
      <w:r>
        <w:rPr>
          <w:rFonts w:hint="eastAsia" w:ascii="Times New Roman" w:hAnsi="Times New Roman" w:cs="Times New Roman"/>
          <w:color w:val="auto"/>
          <w:spacing w:val="15"/>
          <w:sz w:val="24"/>
          <w:szCs w:val="23"/>
          <w:highlight w:val="none"/>
          <w:lang w:val="en-US" w:eastAsia="zh-CN"/>
        </w:rPr>
        <w:t>检验</w:t>
      </w:r>
      <w:r>
        <w:rPr>
          <w:rFonts w:hint="default" w:ascii="Times New Roman" w:hAnsi="Times New Roman" w:cs="Times New Roman"/>
          <w:color w:val="auto"/>
          <w:spacing w:val="15"/>
          <w:sz w:val="24"/>
          <w:szCs w:val="23"/>
          <w:highlight w:val="none"/>
          <w:lang w:val="en-US" w:eastAsia="zh-CN"/>
        </w:rPr>
        <w:t>：发泡件经人工修整。此过程产生废边角料、不合格品。</w:t>
      </w:r>
    </w:p>
    <w:p w14:paraId="3D5BA030">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（4）配胶、喷胶：水性胶水与固化剂按10：1.5的比例配制后使用。喷胶工序在喷胶柜内完成，此工序会产生配胶、喷胶废气、废包装桶、噪声。</w:t>
      </w:r>
    </w:p>
    <w:p w14:paraId="53090AEA">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（5）烘干：水性内饰胶，烘干过程中蒸发去除水分。经喷胶过后的工件在密闭烤炉内烘干，烘干温度控制在100℃左右，采用电加热。此过程产生烘干废气、噪声。</w:t>
      </w:r>
    </w:p>
    <w:p w14:paraId="28B4EFFE">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（6）包覆：按照产品造型，将布料利用机械刀模裁剪成固定的规格尺寸然后对烘干后的发泡工件采用人工包覆。此工序会产生废布料。</w:t>
      </w:r>
    </w:p>
    <w:p w14:paraId="191B0C07">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7）热压：为提高布料与发泡件的粘合度，热压激活胶水粘性。热压温度60℃左右，为电加热，热压时间60s左右。此过程中为包覆状态，且胶水已经过烘干，挥发性有机物在烘干阶段挥发殆尽，此过程中无废气产生。</w:t>
      </w:r>
    </w:p>
    <w:p w14:paraId="6CC8EF87">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（8）修整</w:t>
      </w:r>
      <w:r>
        <w:rPr>
          <w:rFonts w:hint="eastAsia" w:ascii="Times New Roman" w:hAnsi="Times New Roman" w:cs="Times New Roman"/>
          <w:color w:val="auto"/>
          <w:spacing w:val="15"/>
          <w:sz w:val="24"/>
          <w:szCs w:val="23"/>
          <w:highlight w:val="none"/>
          <w:lang w:val="en-US" w:eastAsia="zh-CN"/>
        </w:rPr>
        <w:t>检验</w:t>
      </w:r>
      <w:r>
        <w:rPr>
          <w:rFonts w:hint="default" w:ascii="Times New Roman" w:hAnsi="Times New Roman" w:cs="Times New Roman"/>
          <w:color w:val="auto"/>
          <w:spacing w:val="15"/>
          <w:sz w:val="24"/>
          <w:szCs w:val="23"/>
          <w:highlight w:val="none"/>
          <w:lang w:val="en-US" w:eastAsia="zh-CN"/>
        </w:rPr>
        <w:t>、入库：包覆后工件，人工修整包覆边角。修整后入库。此过程产生废边角料、不合格包覆件。</w:t>
      </w:r>
    </w:p>
    <w:p w14:paraId="0CF5E0D7">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lang w:val="en-US" w:eastAsia="zh-CN"/>
        </w:rPr>
      </w:pPr>
      <w:r>
        <w:rPr>
          <w:rFonts w:hint="eastAsia"/>
          <w:lang w:val="en-US" w:eastAsia="zh-CN"/>
        </w:rPr>
        <w:object>
          <v:shape id="_x0000_i1029" o:spt="75" type="#_x0000_t75" style="height:375pt;width:248.3pt;" o:ole="t" filled="f" o:preferrelative="t" stroked="f" coordsize="21600,21600">
            <v:path/>
            <v:fill on="f" focussize="0,0"/>
            <v:stroke on="f"/>
            <v:imagedata r:id="rId36" o:title=""/>
            <o:lock v:ext="edit" aspectratio="f"/>
            <w10:wrap type="none"/>
            <w10:anchorlock/>
          </v:shape>
          <o:OLEObject Type="Embed" ProgID="Visio.Drawing.15" ShapeID="_x0000_i1029" DrawAspect="Content" ObjectID="_1468075729" r:id="rId35">
            <o:LockedField>false</o:LockedField>
          </o:OLEObject>
        </w:object>
      </w:r>
    </w:p>
    <w:p w14:paraId="1280C075">
      <w:pPr>
        <w:keepNext w:val="0"/>
        <w:keepLines w:val="0"/>
        <w:pageBreakBefore w:val="0"/>
        <w:widowControl/>
        <w:numPr>
          <w:ilvl w:val="0"/>
          <w:numId w:val="0"/>
        </w:numPr>
        <w:tabs>
          <w:tab w:val="left" w:pos="377"/>
        </w:tabs>
        <w:kinsoku/>
        <w:wordWrap/>
        <w:overflowPunct/>
        <w:topLinePunct w:val="0"/>
        <w:autoSpaceDE/>
        <w:autoSpaceDN/>
        <w:bidi w:val="0"/>
        <w:adjustRightInd/>
        <w:snapToGrid/>
        <w:spacing w:line="360" w:lineRule="auto"/>
        <w:ind w:right="0" w:rightChars="0"/>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图3.2-3发泡包覆产品工艺流程及产污环节图</w:t>
      </w:r>
    </w:p>
    <w:p w14:paraId="1F704040">
      <w:pPr>
        <w:keepNext w:val="0"/>
        <w:keepLines w:val="0"/>
        <w:pageBreakBefore w:val="0"/>
        <w:widowControl/>
        <w:numPr>
          <w:ilvl w:val="0"/>
          <w:numId w:val="19"/>
        </w:numPr>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注塑包覆产品生产工艺流程简述：</w:t>
      </w:r>
    </w:p>
    <w:p w14:paraId="500B370F">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FF0000"/>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1）注塑：将外购的PP、PC、PA、ABS、ABS+PC塑料粒子整袋拆除后通过集中供料系统投入到注塑机内进行注塑，本项目采用自动供料系统进行供料（本项目使用的塑料粒子为表面光滑且粒径为3mm左右的大颗粒，供料、注塑过程不考虑粉尘产生）。注塑是用注塑机的螺杆或柱塞使桶内的熔料，经注塑机喷嘴和模具的浇注系统，注入型腔而固化成型。脱模过程不涉及使用脱模剂（注塑机注塑温度在170~210℃之间，ABS粒子分解温度为250℃，PP粒子分解温度为370℃，PC粒子分解温度为230℃，PA粒子分解温度为300℃，注塑过程中不会分解，但塑料中的部分单体物质有逸出，单体物质主要为ABS中的苯乙烯、1.3-丁二烯、丙烯腈、甲苯、乙苯等）。注塑机通过循环冷却塔提供的冷却水对注塑成型的汽车零部件进行间接冷却成型，冷却塔中冷却水冷却后循环使用，定期补充，每月更换一次。此工序会产出注塑废气、噪声。注塑件不合格品收集后送入破碎机密闭破碎回用于生产，此工序产生破碎粉尘、噪声、循环冷却废水。</w:t>
      </w:r>
    </w:p>
    <w:p w14:paraId="1E0EC156">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（2）</w:t>
      </w:r>
      <w:r>
        <w:rPr>
          <w:rFonts w:hint="default" w:ascii="Times New Roman" w:hAnsi="Times New Roman" w:cs="Times New Roman"/>
          <w:color w:val="auto"/>
          <w:spacing w:val="15"/>
          <w:sz w:val="24"/>
          <w:szCs w:val="23"/>
          <w:highlight w:val="none"/>
          <w:lang w:val="en-US" w:eastAsia="zh-CN"/>
        </w:rPr>
        <w:t>修整</w:t>
      </w:r>
      <w:r>
        <w:rPr>
          <w:rFonts w:hint="eastAsia" w:ascii="Times New Roman" w:hAnsi="Times New Roman" w:cs="Times New Roman"/>
          <w:color w:val="auto"/>
          <w:spacing w:val="15"/>
          <w:sz w:val="24"/>
          <w:szCs w:val="23"/>
          <w:highlight w:val="none"/>
          <w:lang w:val="en-US" w:eastAsia="zh-CN"/>
        </w:rPr>
        <w:t>检验</w:t>
      </w:r>
      <w:r>
        <w:rPr>
          <w:rFonts w:hint="default" w:ascii="Times New Roman" w:hAnsi="Times New Roman" w:cs="Times New Roman"/>
          <w:color w:val="auto"/>
          <w:spacing w:val="15"/>
          <w:sz w:val="24"/>
          <w:szCs w:val="23"/>
          <w:highlight w:val="none"/>
          <w:lang w:val="en-US" w:eastAsia="zh-CN"/>
        </w:rPr>
        <w:t>：发泡件经人工修整。此过程产生废边角料、不合格品。</w:t>
      </w:r>
    </w:p>
    <w:p w14:paraId="224E6AA5">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（3）配胶、喷胶：水性胶水与固化剂按10：1.5的比例配制后使用。喷胶工序在喷胶柜内完成，此工序会产生配胶、喷胶废气、废包装桶、噪声。</w:t>
      </w:r>
    </w:p>
    <w:p w14:paraId="45BCCE7F">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（4）烘干：水性内饰胶，烘干过程中蒸发去除水分。经喷胶过后的工件在密闭烤炉内烘干，烘干温度控制在100℃左右，采用电加热。此过程产生烘干废气、噪声。</w:t>
      </w:r>
    </w:p>
    <w:p w14:paraId="36F9F5A0">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（5）包覆：按照产品造型，将布料利用机械刀模裁剪成固定的规格尺寸然后对烘干后的发泡工件采用人工包覆。此工序会产生废布料。</w:t>
      </w:r>
    </w:p>
    <w:p w14:paraId="78B43AD3">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6）热压：为提高布料与发泡件的粘合度，热压激活胶水粘性。热压温度60℃左右，为电加热，热压时间60s左右。此过程中为包覆状态，且胶水已经过烘干，挥发性有机物在烘干阶段挥发殆尽，此过程中无废气产生。</w:t>
      </w:r>
    </w:p>
    <w:p w14:paraId="3149D9E4">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default" w:ascii="Times New Roman" w:hAnsi="Times New Roman" w:cs="Times New Roman"/>
          <w:color w:val="auto"/>
          <w:spacing w:val="15"/>
          <w:sz w:val="24"/>
          <w:szCs w:val="23"/>
          <w:highlight w:val="none"/>
          <w:lang w:val="en-US" w:eastAsia="zh-CN"/>
        </w:rPr>
        <w:t>（7）修整、入库：包覆后工件，人工修整包覆边角。修整后入库。此过程产生废边角料、不合格包覆件。</w:t>
      </w:r>
    </w:p>
    <w:p w14:paraId="7FDA58D8">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lang w:val="en-US" w:eastAsia="zh-CN"/>
        </w:rPr>
      </w:pPr>
      <w:r>
        <w:rPr>
          <w:rFonts w:hint="eastAsia"/>
          <w:lang w:val="en-US" w:eastAsia="zh-CN"/>
        </w:rPr>
        <w:object>
          <v:shape id="_x0000_i1030" o:spt="75" type="#_x0000_t75" style="height:434.25pt;width:345.75pt;" o:ole="t" filled="f" o:preferrelative="t" stroked="f" coordsize="21600,21600">
            <v:path/>
            <v:fill on="f" focussize="0,0"/>
            <v:stroke on="f"/>
            <v:imagedata r:id="rId38" o:title=""/>
            <o:lock v:ext="edit" aspectratio="f"/>
            <w10:wrap type="none"/>
            <w10:anchorlock/>
          </v:shape>
          <o:OLEObject Type="Embed" ProgID="Visio.Drawing.15" ShapeID="_x0000_i1030" DrawAspect="Content" ObjectID="_1468075730" r:id="rId37">
            <o:LockedField>false</o:LockedField>
          </o:OLEObject>
        </w:object>
      </w:r>
    </w:p>
    <w:p w14:paraId="56F45E2C">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图3.2-4 注塑包覆产品工艺流程及产污环节图</w:t>
      </w:r>
    </w:p>
    <w:p w14:paraId="46F50592">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本项目运营期主要污染工序见下表。</w:t>
      </w:r>
    </w:p>
    <w:p w14:paraId="4D8BDC09">
      <w:pPr>
        <w:bidi w:val="0"/>
        <w:jc w:val="center"/>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表3.</w:t>
      </w:r>
      <w:r>
        <w:rPr>
          <w:rFonts w:hint="eastAsia" w:ascii="Times New Roman" w:hAnsi="Times New Roman" w:cs="Times New Roman"/>
          <w:b/>
          <w:bCs/>
          <w:color w:val="auto"/>
          <w:sz w:val="24"/>
          <w:szCs w:val="24"/>
          <w:lang w:val="en-US" w:eastAsia="zh-CN"/>
        </w:rPr>
        <w:t>2</w:t>
      </w:r>
      <w:r>
        <w:rPr>
          <w:rFonts w:hint="default" w:ascii="Times New Roman" w:hAnsi="Times New Roman" w:cs="Times New Roman"/>
          <w:b/>
          <w:bCs/>
          <w:color w:val="auto"/>
          <w:sz w:val="24"/>
          <w:szCs w:val="24"/>
          <w:lang w:val="en-US" w:eastAsia="zh-CN"/>
        </w:rPr>
        <w:t>-1本项目运营期主要污染工序一览表</w:t>
      </w:r>
    </w:p>
    <w:tbl>
      <w:tblPr>
        <w:tblStyle w:val="2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5"/>
        <w:gridCol w:w="2365"/>
        <w:gridCol w:w="6098"/>
      </w:tblGrid>
      <w:tr w14:paraId="3402FD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l2br w:val="nil"/>
              <w:tr2bl w:val="nil"/>
            </w:tcBorders>
            <w:vAlign w:val="center"/>
          </w:tcPr>
          <w:p w14:paraId="6C12AF82">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污染类别</w:t>
            </w:r>
          </w:p>
        </w:tc>
        <w:tc>
          <w:tcPr>
            <w:tcW w:w="0" w:type="auto"/>
            <w:tcBorders>
              <w:tl2br w:val="nil"/>
              <w:tr2bl w:val="nil"/>
            </w:tcBorders>
            <w:vAlign w:val="center"/>
          </w:tcPr>
          <w:p w14:paraId="0DF16E89">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产生工序</w:t>
            </w:r>
          </w:p>
        </w:tc>
        <w:tc>
          <w:tcPr>
            <w:tcW w:w="0" w:type="auto"/>
            <w:tcBorders>
              <w:tl2br w:val="nil"/>
              <w:tr2bl w:val="nil"/>
            </w:tcBorders>
            <w:vAlign w:val="center"/>
          </w:tcPr>
          <w:p w14:paraId="47158790">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主要污染因子</w:t>
            </w:r>
          </w:p>
        </w:tc>
      </w:tr>
      <w:tr w14:paraId="210BE5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tcBorders>
              <w:tl2br w:val="nil"/>
              <w:tr2bl w:val="nil"/>
            </w:tcBorders>
            <w:vAlign w:val="center"/>
          </w:tcPr>
          <w:p w14:paraId="74D4D5BA">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废气</w:t>
            </w:r>
          </w:p>
        </w:tc>
        <w:tc>
          <w:tcPr>
            <w:tcW w:w="0" w:type="auto"/>
            <w:tcBorders>
              <w:tl2br w:val="nil"/>
              <w:tr2bl w:val="nil"/>
            </w:tcBorders>
            <w:vAlign w:val="center"/>
          </w:tcPr>
          <w:p w14:paraId="4A6F82DC">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注塑</w:t>
            </w:r>
          </w:p>
        </w:tc>
        <w:tc>
          <w:tcPr>
            <w:tcW w:w="0" w:type="auto"/>
            <w:tcBorders>
              <w:tl2br w:val="nil"/>
              <w:tr2bl w:val="nil"/>
            </w:tcBorders>
            <w:vAlign w:val="center"/>
          </w:tcPr>
          <w:p w14:paraId="2ABF3FB5">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color w:val="auto"/>
                <w:spacing w:val="-5"/>
                <w:sz w:val="21"/>
                <w:szCs w:val="21"/>
                <w:lang w:val="en-US" w:eastAsia="zh-CN"/>
              </w:rPr>
              <w:t>非甲烷总烃、苯乙烯、甲苯、丙烯腈、乙苯、氯苯类、二氯甲烷、1,3-丁二烯、酚类、</w:t>
            </w:r>
            <w:r>
              <w:rPr>
                <w:rFonts w:hint="default" w:ascii="Times New Roman" w:hAnsi="Times New Roman" w:eastAsia="宋体" w:cs="Times New Roman"/>
                <w:b w:val="0"/>
                <w:bCs w:val="0"/>
                <w:color w:val="auto"/>
                <w:spacing w:val="-5"/>
                <w:sz w:val="21"/>
                <w:szCs w:val="21"/>
                <w:lang w:val="en-US" w:eastAsia="zh-CN"/>
              </w:rPr>
              <w:t>NH</w:t>
            </w:r>
            <w:r>
              <w:rPr>
                <w:rFonts w:hint="default" w:ascii="Times New Roman" w:hAnsi="Times New Roman" w:eastAsia="宋体" w:cs="Times New Roman"/>
                <w:b w:val="0"/>
                <w:bCs w:val="0"/>
                <w:color w:val="auto"/>
                <w:spacing w:val="-5"/>
                <w:sz w:val="21"/>
                <w:szCs w:val="21"/>
                <w:vertAlign w:val="subscript"/>
                <w:lang w:val="en-US" w:eastAsia="zh-CN"/>
              </w:rPr>
              <w:t>3</w:t>
            </w:r>
            <w:r>
              <w:rPr>
                <w:rFonts w:hint="default" w:ascii="Times New Roman" w:hAnsi="Times New Roman" w:eastAsia="宋体" w:cs="Times New Roman"/>
                <w:b w:val="0"/>
                <w:bCs w:val="0"/>
                <w:color w:val="auto"/>
                <w:spacing w:val="-5"/>
                <w:sz w:val="21"/>
                <w:szCs w:val="21"/>
                <w:lang w:val="en-US" w:eastAsia="zh-CN"/>
              </w:rPr>
              <w:t>、臭气浓度</w:t>
            </w:r>
          </w:p>
        </w:tc>
      </w:tr>
      <w:tr w14:paraId="1E040A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4691184A">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FF0000"/>
                <w:spacing w:val="0"/>
                <w:kern w:val="0"/>
                <w:position w:val="0"/>
                <w:sz w:val="21"/>
                <w:szCs w:val="21"/>
                <w:vertAlign w:val="baseline"/>
                <w:lang w:val="en-US" w:eastAsia="zh-CN" w:bidi="ar-SA"/>
              </w:rPr>
            </w:pPr>
          </w:p>
        </w:tc>
        <w:tc>
          <w:tcPr>
            <w:tcW w:w="0" w:type="auto"/>
            <w:tcBorders>
              <w:tl2br w:val="nil"/>
              <w:tr2bl w:val="nil"/>
            </w:tcBorders>
            <w:vAlign w:val="center"/>
          </w:tcPr>
          <w:p w14:paraId="40942C90">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破碎</w:t>
            </w:r>
          </w:p>
        </w:tc>
        <w:tc>
          <w:tcPr>
            <w:tcW w:w="0" w:type="auto"/>
            <w:tcBorders>
              <w:tl2br w:val="nil"/>
              <w:tr2bl w:val="nil"/>
            </w:tcBorders>
            <w:vAlign w:val="center"/>
          </w:tcPr>
          <w:p w14:paraId="4D207DA2">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color w:val="auto"/>
                <w:spacing w:val="-5"/>
                <w:sz w:val="21"/>
                <w:szCs w:val="21"/>
                <w:lang w:val="en-US" w:eastAsia="zh-CN"/>
              </w:rPr>
              <w:t>颗粒物</w:t>
            </w:r>
          </w:p>
        </w:tc>
      </w:tr>
      <w:tr w14:paraId="584A66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21A1AA0C">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FF0000"/>
                <w:spacing w:val="0"/>
                <w:kern w:val="0"/>
                <w:position w:val="0"/>
                <w:sz w:val="21"/>
                <w:szCs w:val="21"/>
                <w:vertAlign w:val="baseline"/>
                <w:lang w:val="en-US" w:eastAsia="zh-CN" w:bidi="ar-SA"/>
              </w:rPr>
            </w:pPr>
          </w:p>
        </w:tc>
        <w:tc>
          <w:tcPr>
            <w:tcW w:w="0" w:type="auto"/>
            <w:tcBorders>
              <w:tl2br w:val="nil"/>
              <w:tr2bl w:val="nil"/>
            </w:tcBorders>
            <w:vAlign w:val="center"/>
          </w:tcPr>
          <w:p w14:paraId="3B4E1621">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人工除尘</w:t>
            </w:r>
          </w:p>
        </w:tc>
        <w:tc>
          <w:tcPr>
            <w:tcW w:w="0" w:type="auto"/>
            <w:tcBorders>
              <w:tl2br w:val="nil"/>
              <w:tr2bl w:val="nil"/>
            </w:tcBorders>
            <w:vAlign w:val="center"/>
          </w:tcPr>
          <w:p w14:paraId="31903A7F">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颗粒物</w:t>
            </w:r>
          </w:p>
        </w:tc>
      </w:tr>
      <w:tr w14:paraId="110703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475FC2BE">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FF0000"/>
                <w:spacing w:val="0"/>
                <w:kern w:val="0"/>
                <w:position w:val="0"/>
                <w:sz w:val="21"/>
                <w:szCs w:val="21"/>
                <w:vertAlign w:val="baseline"/>
                <w:lang w:val="en-US" w:eastAsia="zh-CN" w:bidi="ar-SA"/>
              </w:rPr>
            </w:pPr>
          </w:p>
        </w:tc>
        <w:tc>
          <w:tcPr>
            <w:tcW w:w="0" w:type="auto"/>
            <w:tcBorders>
              <w:tl2br w:val="nil"/>
              <w:tr2bl w:val="nil"/>
            </w:tcBorders>
            <w:vAlign w:val="center"/>
          </w:tcPr>
          <w:p w14:paraId="6D91D488">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喷涂（</w:t>
            </w:r>
            <w:r>
              <w:rPr>
                <w:rFonts w:hint="eastAsia"/>
                <w:b w:val="0"/>
                <w:bCs w:val="0"/>
                <w:color w:val="auto"/>
                <w:highlight w:val="none"/>
                <w:lang w:val="en-US" w:eastAsia="zh-CN"/>
              </w:rPr>
              <w:t>调漆、喷漆、流平、烘干）</w:t>
            </w:r>
          </w:p>
        </w:tc>
        <w:tc>
          <w:tcPr>
            <w:tcW w:w="0" w:type="auto"/>
            <w:tcBorders>
              <w:tl2br w:val="nil"/>
              <w:tr2bl w:val="nil"/>
            </w:tcBorders>
            <w:vAlign w:val="center"/>
          </w:tcPr>
          <w:p w14:paraId="3F64E8E3">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颗粒物、非甲烷总烃</w:t>
            </w:r>
          </w:p>
        </w:tc>
      </w:tr>
      <w:tr w14:paraId="56AA6F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4B4FD450">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FF0000"/>
                <w:spacing w:val="0"/>
                <w:kern w:val="0"/>
                <w:position w:val="0"/>
                <w:sz w:val="21"/>
                <w:szCs w:val="21"/>
                <w:vertAlign w:val="baseline"/>
                <w:lang w:val="en-US" w:eastAsia="zh-CN" w:bidi="ar-SA"/>
              </w:rPr>
            </w:pPr>
          </w:p>
        </w:tc>
        <w:tc>
          <w:tcPr>
            <w:tcW w:w="0" w:type="auto"/>
            <w:tcBorders>
              <w:tl2br w:val="nil"/>
              <w:tr2bl w:val="nil"/>
            </w:tcBorders>
            <w:vAlign w:val="center"/>
          </w:tcPr>
          <w:p w14:paraId="3E2E08B8">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t>管路和喷枪清洗</w:t>
            </w:r>
          </w:p>
        </w:tc>
        <w:tc>
          <w:tcPr>
            <w:tcW w:w="0" w:type="auto"/>
            <w:tcBorders>
              <w:tl2br w:val="nil"/>
              <w:tr2bl w:val="nil"/>
            </w:tcBorders>
            <w:vAlign w:val="center"/>
          </w:tcPr>
          <w:p w14:paraId="4707E4F5">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非甲烷总烃</w:t>
            </w:r>
          </w:p>
        </w:tc>
      </w:tr>
      <w:tr w14:paraId="326774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7FD5A8AD">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FF0000"/>
                <w:spacing w:val="0"/>
                <w:kern w:val="0"/>
                <w:position w:val="0"/>
                <w:sz w:val="21"/>
                <w:szCs w:val="21"/>
                <w:vertAlign w:val="baseline"/>
                <w:lang w:val="en-US" w:eastAsia="zh-CN" w:bidi="ar-SA"/>
              </w:rPr>
            </w:pPr>
          </w:p>
        </w:tc>
        <w:tc>
          <w:tcPr>
            <w:tcW w:w="0" w:type="auto"/>
            <w:tcBorders>
              <w:tl2br w:val="nil"/>
              <w:tr2bl w:val="nil"/>
            </w:tcBorders>
            <w:vAlign w:val="center"/>
          </w:tcPr>
          <w:p w14:paraId="671945FA">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天然气燃烧机烟气</w:t>
            </w:r>
          </w:p>
        </w:tc>
        <w:tc>
          <w:tcPr>
            <w:tcW w:w="0" w:type="auto"/>
            <w:tcBorders>
              <w:tl2br w:val="nil"/>
              <w:tr2bl w:val="nil"/>
            </w:tcBorders>
            <w:vAlign w:val="center"/>
          </w:tcPr>
          <w:p w14:paraId="2B299FE8">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颗粒物、SO</w:t>
            </w:r>
            <w:r>
              <w:rPr>
                <w:rFonts w:hint="eastAsia" w:ascii="Times New Roman" w:hAnsi="Times New Roman" w:eastAsia="宋体" w:cs="Times New Roman"/>
                <w:b w:val="0"/>
                <w:bCs w:val="0"/>
                <w:snapToGrid w:val="0"/>
                <w:color w:val="auto"/>
                <w:spacing w:val="0"/>
                <w:kern w:val="0"/>
                <w:position w:val="0"/>
                <w:sz w:val="21"/>
                <w:szCs w:val="21"/>
                <w:vertAlign w:val="subscript"/>
                <w:lang w:val="en-US" w:eastAsia="zh-CN" w:bidi="ar-SA"/>
              </w:rPr>
              <w:t>2</w:t>
            </w: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、NOx</w:t>
            </w:r>
          </w:p>
        </w:tc>
      </w:tr>
      <w:tr w14:paraId="1ABC25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0EA47289">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FF0000"/>
                <w:spacing w:val="0"/>
                <w:kern w:val="0"/>
                <w:position w:val="0"/>
                <w:sz w:val="21"/>
                <w:szCs w:val="21"/>
                <w:vertAlign w:val="baseline"/>
                <w:lang w:val="en-US" w:eastAsia="zh-CN" w:bidi="ar-SA"/>
              </w:rPr>
            </w:pPr>
          </w:p>
        </w:tc>
        <w:tc>
          <w:tcPr>
            <w:tcW w:w="0" w:type="auto"/>
            <w:tcBorders>
              <w:tl2br w:val="nil"/>
              <w:tr2bl w:val="nil"/>
            </w:tcBorders>
            <w:vAlign w:val="center"/>
          </w:tcPr>
          <w:p w14:paraId="79EBECAB">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打磨、抛光</w:t>
            </w:r>
          </w:p>
        </w:tc>
        <w:tc>
          <w:tcPr>
            <w:tcW w:w="0" w:type="auto"/>
            <w:tcBorders>
              <w:tl2br w:val="nil"/>
              <w:tr2bl w:val="nil"/>
            </w:tcBorders>
            <w:vAlign w:val="center"/>
          </w:tcPr>
          <w:p w14:paraId="41533B62">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颗粒物</w:t>
            </w:r>
          </w:p>
        </w:tc>
      </w:tr>
      <w:tr w14:paraId="2CAF9D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23FBF159">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FF0000"/>
                <w:spacing w:val="0"/>
                <w:kern w:val="0"/>
                <w:position w:val="0"/>
                <w:sz w:val="21"/>
                <w:szCs w:val="21"/>
                <w:vertAlign w:val="baseline"/>
                <w:lang w:val="en-US" w:eastAsia="zh-CN" w:bidi="ar-SA"/>
              </w:rPr>
            </w:pPr>
          </w:p>
        </w:tc>
        <w:tc>
          <w:tcPr>
            <w:tcW w:w="0" w:type="auto"/>
            <w:tcBorders>
              <w:tl2br w:val="nil"/>
              <w:tr2bl w:val="nil"/>
            </w:tcBorders>
            <w:vAlign w:val="center"/>
          </w:tcPr>
          <w:p w14:paraId="52A0C054">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丝印</w:t>
            </w:r>
          </w:p>
        </w:tc>
        <w:tc>
          <w:tcPr>
            <w:tcW w:w="0" w:type="auto"/>
            <w:tcBorders>
              <w:tl2br w:val="nil"/>
              <w:tr2bl w:val="nil"/>
            </w:tcBorders>
            <w:vAlign w:val="center"/>
          </w:tcPr>
          <w:p w14:paraId="5C26766E">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非甲烷总烃</w:t>
            </w:r>
          </w:p>
        </w:tc>
      </w:tr>
      <w:tr w14:paraId="265611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continue"/>
            <w:tcBorders>
              <w:tl2br w:val="nil"/>
              <w:tr2bl w:val="nil"/>
            </w:tcBorders>
            <w:vAlign w:val="center"/>
          </w:tcPr>
          <w:p w14:paraId="6BB39CA1">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FF0000"/>
                <w:spacing w:val="0"/>
                <w:kern w:val="0"/>
                <w:position w:val="0"/>
                <w:sz w:val="21"/>
                <w:szCs w:val="21"/>
                <w:vertAlign w:val="baseline"/>
                <w:lang w:val="en-US" w:eastAsia="zh-CN" w:bidi="ar-SA"/>
              </w:rPr>
            </w:pPr>
          </w:p>
        </w:tc>
        <w:tc>
          <w:tcPr>
            <w:tcW w:w="0" w:type="auto"/>
            <w:tcBorders>
              <w:tl2br w:val="nil"/>
              <w:tr2bl w:val="nil"/>
            </w:tcBorders>
            <w:vAlign w:val="center"/>
          </w:tcPr>
          <w:p w14:paraId="58596BD7">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焊接</w:t>
            </w:r>
          </w:p>
        </w:tc>
        <w:tc>
          <w:tcPr>
            <w:tcW w:w="0" w:type="auto"/>
            <w:tcBorders>
              <w:tl2br w:val="nil"/>
              <w:tr2bl w:val="nil"/>
            </w:tcBorders>
            <w:vAlign w:val="center"/>
          </w:tcPr>
          <w:p w14:paraId="7B7E7ED2">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非甲烷总烃</w:t>
            </w:r>
          </w:p>
        </w:tc>
      </w:tr>
      <w:tr w14:paraId="1D7AEF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740FBB7F">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FF0000"/>
                <w:spacing w:val="0"/>
                <w:kern w:val="0"/>
                <w:position w:val="0"/>
                <w:sz w:val="21"/>
                <w:szCs w:val="21"/>
                <w:vertAlign w:val="baseline"/>
                <w:lang w:val="en-US" w:eastAsia="zh-CN" w:bidi="ar-SA"/>
              </w:rPr>
            </w:pPr>
          </w:p>
        </w:tc>
        <w:tc>
          <w:tcPr>
            <w:tcW w:w="0" w:type="auto"/>
            <w:tcBorders>
              <w:tl2br w:val="nil"/>
              <w:tr2bl w:val="nil"/>
            </w:tcBorders>
            <w:vAlign w:val="center"/>
          </w:tcPr>
          <w:p w14:paraId="524CE414">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配胶、喷胶、烘干</w:t>
            </w:r>
          </w:p>
        </w:tc>
        <w:tc>
          <w:tcPr>
            <w:tcW w:w="0" w:type="auto"/>
            <w:tcBorders>
              <w:tl2br w:val="nil"/>
              <w:tr2bl w:val="nil"/>
            </w:tcBorders>
            <w:vAlign w:val="center"/>
          </w:tcPr>
          <w:p w14:paraId="231A0EF0">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非甲烷总烃</w:t>
            </w:r>
          </w:p>
        </w:tc>
      </w:tr>
      <w:tr w14:paraId="0C8C9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1351E43C">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FF0000"/>
                <w:spacing w:val="0"/>
                <w:kern w:val="0"/>
                <w:position w:val="0"/>
                <w:sz w:val="21"/>
                <w:szCs w:val="21"/>
                <w:vertAlign w:val="baseline"/>
                <w:lang w:val="en-US" w:eastAsia="zh-CN" w:bidi="ar-SA"/>
              </w:rPr>
            </w:pPr>
          </w:p>
        </w:tc>
        <w:tc>
          <w:tcPr>
            <w:tcW w:w="0" w:type="auto"/>
            <w:tcBorders>
              <w:tl2br w:val="nil"/>
              <w:tr2bl w:val="nil"/>
            </w:tcBorders>
            <w:vAlign w:val="center"/>
          </w:tcPr>
          <w:p w14:paraId="36CCEBD9">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发泡</w:t>
            </w:r>
          </w:p>
        </w:tc>
        <w:tc>
          <w:tcPr>
            <w:tcW w:w="0" w:type="auto"/>
            <w:tcBorders>
              <w:tl2br w:val="nil"/>
              <w:tr2bl w:val="nil"/>
            </w:tcBorders>
            <w:vAlign w:val="center"/>
          </w:tcPr>
          <w:p w14:paraId="3949DE6F">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非甲烷总烃</w:t>
            </w:r>
          </w:p>
        </w:tc>
      </w:tr>
      <w:tr w14:paraId="231CE1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tcBorders>
              <w:tl2br w:val="nil"/>
              <w:tr2bl w:val="nil"/>
            </w:tcBorders>
            <w:vAlign w:val="center"/>
          </w:tcPr>
          <w:p w14:paraId="24276147">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废水</w:t>
            </w:r>
          </w:p>
        </w:tc>
        <w:tc>
          <w:tcPr>
            <w:tcW w:w="0" w:type="auto"/>
            <w:tcBorders>
              <w:tl2br w:val="nil"/>
              <w:tr2bl w:val="nil"/>
            </w:tcBorders>
            <w:vAlign w:val="center"/>
          </w:tcPr>
          <w:p w14:paraId="089F25BC">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循环冷却废水</w:t>
            </w:r>
          </w:p>
        </w:tc>
        <w:tc>
          <w:tcPr>
            <w:tcW w:w="0" w:type="auto"/>
            <w:tcBorders>
              <w:tl2br w:val="nil"/>
              <w:tr2bl w:val="nil"/>
            </w:tcBorders>
            <w:vAlign w:val="center"/>
          </w:tcPr>
          <w:p w14:paraId="2DFB320D">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COD、SS</w:t>
            </w:r>
          </w:p>
        </w:tc>
      </w:tr>
      <w:tr w14:paraId="67AA2B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0" w:type="auto"/>
            <w:vMerge w:val="continue"/>
            <w:tcBorders>
              <w:tl2br w:val="nil"/>
              <w:tr2bl w:val="nil"/>
            </w:tcBorders>
            <w:vAlign w:val="center"/>
          </w:tcPr>
          <w:p w14:paraId="5B883D43">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pPr>
          </w:p>
        </w:tc>
        <w:tc>
          <w:tcPr>
            <w:tcW w:w="0" w:type="auto"/>
            <w:tcBorders>
              <w:tl2br w:val="nil"/>
              <w:tr2bl w:val="nil"/>
            </w:tcBorders>
            <w:vAlign w:val="center"/>
          </w:tcPr>
          <w:p w14:paraId="2396A435">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生活污水</w:t>
            </w:r>
          </w:p>
        </w:tc>
        <w:tc>
          <w:tcPr>
            <w:tcW w:w="0" w:type="auto"/>
            <w:tcBorders>
              <w:tl2br w:val="nil"/>
              <w:tr2bl w:val="nil"/>
            </w:tcBorders>
            <w:vAlign w:val="center"/>
          </w:tcPr>
          <w:p w14:paraId="53D37F09">
            <w:pPr>
              <w:keepNext w:val="0"/>
              <w:keepLines w:val="0"/>
              <w:widowControl/>
              <w:suppressLineNumbers w:val="0"/>
              <w:jc w:val="center"/>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default" w:ascii="Times New Roman" w:hAnsi="Times New Roman" w:eastAsia="宋体" w:cs="Times New Roman"/>
                <w:snapToGrid w:val="0"/>
                <w:color w:val="auto"/>
                <w:kern w:val="0"/>
                <w:sz w:val="21"/>
                <w:szCs w:val="21"/>
                <w:lang w:val="en-US" w:eastAsia="zh-CN" w:bidi="ar"/>
              </w:rPr>
              <w:t>pH</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COD</w:t>
            </w:r>
            <w:r>
              <w:rPr>
                <w:rFonts w:hint="eastAsia" w:ascii="宋体" w:hAnsi="宋体" w:eastAsia="宋体" w:cs="宋体"/>
                <w:snapToGrid w:val="0"/>
                <w:color w:val="auto"/>
                <w:kern w:val="0"/>
                <w:sz w:val="21"/>
                <w:szCs w:val="21"/>
                <w:lang w:val="en-US" w:eastAsia="zh-CN" w:bidi="ar"/>
              </w:rPr>
              <w:t>、氨氮、</w:t>
            </w:r>
            <w:r>
              <w:rPr>
                <w:rFonts w:hint="default" w:ascii="Times New Roman" w:hAnsi="Times New Roman" w:eastAsia="宋体" w:cs="Times New Roman"/>
                <w:snapToGrid w:val="0"/>
                <w:color w:val="auto"/>
                <w:kern w:val="0"/>
                <w:sz w:val="21"/>
                <w:szCs w:val="21"/>
                <w:lang w:val="en-US" w:eastAsia="zh-CN" w:bidi="ar"/>
              </w:rPr>
              <w:t>SS</w:t>
            </w:r>
            <w:r>
              <w:rPr>
                <w:rFonts w:hint="eastAsia" w:ascii="宋体" w:hAnsi="宋体" w:eastAsia="宋体" w:cs="宋体"/>
                <w:snapToGrid w:val="0"/>
                <w:color w:val="auto"/>
                <w:kern w:val="0"/>
                <w:sz w:val="21"/>
                <w:szCs w:val="21"/>
                <w:lang w:val="en-US" w:eastAsia="zh-CN" w:bidi="ar"/>
              </w:rPr>
              <w:t>、</w:t>
            </w:r>
            <w:r>
              <w:rPr>
                <w:rFonts w:hint="default" w:ascii="Times New Roman" w:hAnsi="Times New Roman" w:eastAsia="宋体" w:cs="Times New Roman"/>
                <w:snapToGrid w:val="0"/>
                <w:color w:val="auto"/>
                <w:kern w:val="0"/>
                <w:sz w:val="21"/>
                <w:szCs w:val="21"/>
                <w:lang w:val="en-US" w:eastAsia="zh-CN" w:bidi="ar"/>
              </w:rPr>
              <w:t>BOD</w:t>
            </w:r>
            <w:r>
              <w:rPr>
                <w:rFonts w:hint="default" w:ascii="Times New Roman" w:hAnsi="Times New Roman" w:eastAsia="宋体" w:cs="Times New Roman"/>
                <w:snapToGrid w:val="0"/>
                <w:color w:val="auto"/>
                <w:kern w:val="0"/>
                <w:sz w:val="21"/>
                <w:szCs w:val="21"/>
                <w:vertAlign w:val="subscript"/>
                <w:lang w:val="en-US" w:eastAsia="zh-CN" w:bidi="ar"/>
              </w:rPr>
              <w:t>5</w:t>
            </w:r>
            <w:r>
              <w:rPr>
                <w:rFonts w:hint="eastAsia" w:ascii="Times New Roman" w:hAnsi="Times New Roman" w:eastAsia="宋体" w:cs="Times New Roman"/>
                <w:snapToGrid w:val="0"/>
                <w:color w:val="auto"/>
                <w:kern w:val="0"/>
                <w:sz w:val="21"/>
                <w:szCs w:val="21"/>
                <w:vertAlign w:val="baseline"/>
                <w:lang w:val="en-US" w:eastAsia="zh-CN" w:bidi="ar"/>
              </w:rPr>
              <w:t>、动植物油</w:t>
            </w:r>
          </w:p>
        </w:tc>
      </w:tr>
      <w:tr w14:paraId="422568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l2br w:val="nil"/>
              <w:tr2bl w:val="nil"/>
            </w:tcBorders>
            <w:vAlign w:val="center"/>
          </w:tcPr>
          <w:p w14:paraId="0E7D7F83">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噪声</w:t>
            </w:r>
          </w:p>
        </w:tc>
        <w:tc>
          <w:tcPr>
            <w:tcW w:w="0" w:type="auto"/>
            <w:tcBorders>
              <w:tl2br w:val="nil"/>
              <w:tr2bl w:val="nil"/>
            </w:tcBorders>
            <w:vAlign w:val="center"/>
          </w:tcPr>
          <w:p w14:paraId="64519D81">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设备运行</w:t>
            </w:r>
          </w:p>
        </w:tc>
        <w:tc>
          <w:tcPr>
            <w:tcW w:w="0" w:type="auto"/>
            <w:tcBorders>
              <w:tl2br w:val="nil"/>
              <w:tr2bl w:val="nil"/>
            </w:tcBorders>
            <w:vAlign w:val="center"/>
          </w:tcPr>
          <w:p w14:paraId="5FC89D29">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机械噪声</w:t>
            </w:r>
          </w:p>
        </w:tc>
      </w:tr>
      <w:tr w14:paraId="6C5270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tcBorders>
              <w:tl2br w:val="nil"/>
              <w:tr2bl w:val="nil"/>
            </w:tcBorders>
            <w:vAlign w:val="center"/>
          </w:tcPr>
          <w:p w14:paraId="007A09BB">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固体废物</w:t>
            </w:r>
          </w:p>
        </w:tc>
        <w:tc>
          <w:tcPr>
            <w:tcW w:w="0" w:type="auto"/>
            <w:tcBorders>
              <w:tl2br w:val="nil"/>
              <w:tr2bl w:val="nil"/>
            </w:tcBorders>
            <w:vAlign w:val="center"/>
          </w:tcPr>
          <w:p w14:paraId="34B1B4AA">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员工生活</w:t>
            </w:r>
          </w:p>
        </w:tc>
        <w:tc>
          <w:tcPr>
            <w:tcW w:w="0" w:type="auto"/>
            <w:tcBorders>
              <w:tl2br w:val="nil"/>
              <w:tr2bl w:val="nil"/>
            </w:tcBorders>
            <w:vAlign w:val="center"/>
          </w:tcPr>
          <w:p w14:paraId="72048D1A">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生活垃圾</w:t>
            </w:r>
          </w:p>
        </w:tc>
      </w:tr>
      <w:tr w14:paraId="7D3422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2C5E576D">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pPr>
          </w:p>
        </w:tc>
        <w:tc>
          <w:tcPr>
            <w:tcW w:w="0" w:type="auto"/>
            <w:tcBorders>
              <w:tl2br w:val="nil"/>
              <w:tr2bl w:val="nil"/>
            </w:tcBorders>
            <w:vAlign w:val="center"/>
          </w:tcPr>
          <w:p w14:paraId="744B0706">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注塑</w:t>
            </w:r>
          </w:p>
        </w:tc>
        <w:tc>
          <w:tcPr>
            <w:tcW w:w="0" w:type="auto"/>
            <w:tcBorders>
              <w:tl2br w:val="nil"/>
              <w:tr2bl w:val="nil"/>
            </w:tcBorders>
            <w:vAlign w:val="center"/>
          </w:tcPr>
          <w:p w14:paraId="5B4193BF">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cs="Times New Roman"/>
                <w:color w:val="auto"/>
                <w:spacing w:val="15"/>
                <w:sz w:val="21"/>
                <w:szCs w:val="21"/>
                <w:highlight w:val="none"/>
                <w:lang w:val="en-US" w:eastAsia="zh-CN"/>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不合格品</w:t>
            </w:r>
          </w:p>
        </w:tc>
      </w:tr>
      <w:tr w14:paraId="3231DA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510463E7">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pPr>
          </w:p>
        </w:tc>
        <w:tc>
          <w:tcPr>
            <w:tcW w:w="0" w:type="auto"/>
            <w:tcBorders>
              <w:tl2br w:val="nil"/>
              <w:tr2bl w:val="nil"/>
            </w:tcBorders>
            <w:vAlign w:val="center"/>
          </w:tcPr>
          <w:p w14:paraId="62E966EC">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喷漆</w:t>
            </w:r>
          </w:p>
        </w:tc>
        <w:tc>
          <w:tcPr>
            <w:tcW w:w="0" w:type="auto"/>
            <w:tcBorders>
              <w:tl2br w:val="nil"/>
              <w:tr2bl w:val="nil"/>
            </w:tcBorders>
            <w:vAlign w:val="center"/>
          </w:tcPr>
          <w:p w14:paraId="4765A0D8">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cs="Times New Roman"/>
                <w:color w:val="auto"/>
                <w:spacing w:val="15"/>
                <w:sz w:val="21"/>
                <w:szCs w:val="21"/>
                <w:highlight w:val="none"/>
                <w:lang w:val="en-US" w:eastAsia="zh-CN"/>
              </w:rPr>
            </w:pPr>
            <w:r>
              <w:rPr>
                <w:rFonts w:hint="eastAsia" w:ascii="Times New Roman" w:hAnsi="Times New Roman" w:cs="Times New Roman"/>
                <w:color w:val="auto"/>
                <w:spacing w:val="15"/>
                <w:sz w:val="21"/>
                <w:szCs w:val="21"/>
                <w:highlight w:val="none"/>
                <w:lang w:val="en-US" w:eastAsia="zh-CN"/>
              </w:rPr>
              <w:t>漆渣、废包装桶（油漆桶、稀释剂桶、固化剂桶、清洗剂桶）、废清洗溶剂</w:t>
            </w:r>
          </w:p>
        </w:tc>
      </w:tr>
      <w:tr w14:paraId="3B495A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15532677">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pPr>
          </w:p>
        </w:tc>
        <w:tc>
          <w:tcPr>
            <w:tcW w:w="0" w:type="auto"/>
            <w:tcBorders>
              <w:tl2br w:val="nil"/>
              <w:tr2bl w:val="nil"/>
            </w:tcBorders>
            <w:vAlign w:val="center"/>
          </w:tcPr>
          <w:p w14:paraId="5402F63C">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固化</w:t>
            </w:r>
          </w:p>
        </w:tc>
        <w:tc>
          <w:tcPr>
            <w:tcW w:w="0" w:type="auto"/>
            <w:tcBorders>
              <w:tl2br w:val="nil"/>
              <w:tr2bl w:val="nil"/>
            </w:tcBorders>
            <w:vAlign w:val="center"/>
          </w:tcPr>
          <w:p w14:paraId="46422E94">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cs="Times New Roman"/>
                <w:color w:val="auto"/>
                <w:spacing w:val="15"/>
                <w:sz w:val="21"/>
                <w:szCs w:val="21"/>
                <w:highlight w:val="none"/>
                <w:lang w:val="en-US" w:eastAsia="zh-CN"/>
              </w:rPr>
            </w:pPr>
            <w:r>
              <w:rPr>
                <w:rFonts w:hint="eastAsia" w:ascii="Times New Roman" w:hAnsi="Times New Roman" w:cs="Times New Roman"/>
                <w:color w:val="auto"/>
                <w:spacing w:val="15"/>
                <w:sz w:val="21"/>
                <w:szCs w:val="21"/>
                <w:highlight w:val="none"/>
                <w:lang w:val="en-US" w:eastAsia="zh-CN"/>
              </w:rPr>
              <w:t>废UV灯管</w:t>
            </w:r>
          </w:p>
        </w:tc>
      </w:tr>
      <w:tr w14:paraId="7335EE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7F221848">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pPr>
          </w:p>
        </w:tc>
        <w:tc>
          <w:tcPr>
            <w:tcW w:w="0" w:type="auto"/>
            <w:tcBorders>
              <w:tl2br w:val="nil"/>
              <w:tr2bl w:val="nil"/>
            </w:tcBorders>
            <w:vAlign w:val="center"/>
          </w:tcPr>
          <w:p w14:paraId="2B709901">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丝印</w:t>
            </w:r>
          </w:p>
        </w:tc>
        <w:tc>
          <w:tcPr>
            <w:tcW w:w="0" w:type="auto"/>
            <w:tcBorders>
              <w:tl2br w:val="nil"/>
              <w:tr2bl w:val="nil"/>
            </w:tcBorders>
            <w:vAlign w:val="center"/>
          </w:tcPr>
          <w:p w14:paraId="447F203B">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废油墨桶</w:t>
            </w:r>
          </w:p>
        </w:tc>
      </w:tr>
      <w:tr w14:paraId="3DEA06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31D98EFC">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pPr>
          </w:p>
        </w:tc>
        <w:tc>
          <w:tcPr>
            <w:tcW w:w="0" w:type="auto"/>
            <w:tcBorders>
              <w:tl2br w:val="nil"/>
              <w:tr2bl w:val="nil"/>
            </w:tcBorders>
            <w:vAlign w:val="center"/>
          </w:tcPr>
          <w:p w14:paraId="1E5B3D33">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喷胶</w:t>
            </w:r>
          </w:p>
        </w:tc>
        <w:tc>
          <w:tcPr>
            <w:tcW w:w="0" w:type="auto"/>
            <w:tcBorders>
              <w:tl2br w:val="nil"/>
              <w:tr2bl w:val="nil"/>
            </w:tcBorders>
            <w:vAlign w:val="center"/>
          </w:tcPr>
          <w:p w14:paraId="76301B6D">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废包装桶</w:t>
            </w:r>
          </w:p>
        </w:tc>
      </w:tr>
      <w:tr w14:paraId="3D404B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2D757320">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pPr>
          </w:p>
        </w:tc>
        <w:tc>
          <w:tcPr>
            <w:tcW w:w="0" w:type="auto"/>
            <w:tcBorders>
              <w:tl2br w:val="nil"/>
              <w:tr2bl w:val="nil"/>
            </w:tcBorders>
            <w:vAlign w:val="center"/>
          </w:tcPr>
          <w:p w14:paraId="5AB8EA4A">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包覆</w:t>
            </w:r>
          </w:p>
        </w:tc>
        <w:tc>
          <w:tcPr>
            <w:tcW w:w="0" w:type="auto"/>
            <w:tcBorders>
              <w:tl2br w:val="nil"/>
              <w:tr2bl w:val="nil"/>
            </w:tcBorders>
            <w:vAlign w:val="center"/>
          </w:tcPr>
          <w:p w14:paraId="071BF39A">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废布料</w:t>
            </w:r>
          </w:p>
        </w:tc>
      </w:tr>
      <w:tr w14:paraId="3DF08E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019EB489">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pPr>
          </w:p>
        </w:tc>
        <w:tc>
          <w:tcPr>
            <w:tcW w:w="0" w:type="auto"/>
            <w:tcBorders>
              <w:tl2br w:val="nil"/>
              <w:tr2bl w:val="nil"/>
            </w:tcBorders>
            <w:vAlign w:val="center"/>
          </w:tcPr>
          <w:p w14:paraId="5C851E98">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修整检验</w:t>
            </w:r>
          </w:p>
        </w:tc>
        <w:tc>
          <w:tcPr>
            <w:tcW w:w="0" w:type="auto"/>
            <w:tcBorders>
              <w:tl2br w:val="nil"/>
              <w:tr2bl w:val="nil"/>
            </w:tcBorders>
            <w:vAlign w:val="center"/>
          </w:tcPr>
          <w:p w14:paraId="7F680AFD">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废边角料、不合格品</w:t>
            </w:r>
          </w:p>
        </w:tc>
      </w:tr>
      <w:tr w14:paraId="6F5321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314FC535">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pPr>
          </w:p>
        </w:tc>
        <w:tc>
          <w:tcPr>
            <w:tcW w:w="0" w:type="auto"/>
            <w:tcBorders>
              <w:tl2br w:val="nil"/>
              <w:tr2bl w:val="nil"/>
            </w:tcBorders>
            <w:vAlign w:val="center"/>
          </w:tcPr>
          <w:p w14:paraId="761C1A3E">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废气处理</w:t>
            </w:r>
          </w:p>
        </w:tc>
        <w:tc>
          <w:tcPr>
            <w:tcW w:w="0" w:type="auto"/>
            <w:tcBorders>
              <w:tl2br w:val="nil"/>
              <w:tr2bl w:val="nil"/>
            </w:tcBorders>
            <w:vAlign w:val="center"/>
          </w:tcPr>
          <w:p w14:paraId="1DF71213">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废活性炭、水帘废水、除尘器收集粉尘、陶瓷蓄热体、废布袋</w:t>
            </w:r>
          </w:p>
        </w:tc>
      </w:tr>
      <w:tr w14:paraId="21DB29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0631CFD7">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pPr>
          </w:p>
        </w:tc>
        <w:tc>
          <w:tcPr>
            <w:tcW w:w="0" w:type="auto"/>
            <w:tcBorders>
              <w:tl2br w:val="nil"/>
              <w:tr2bl w:val="nil"/>
            </w:tcBorders>
            <w:vAlign w:val="center"/>
          </w:tcPr>
          <w:p w14:paraId="744E5158">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原辅料</w:t>
            </w:r>
          </w:p>
        </w:tc>
        <w:tc>
          <w:tcPr>
            <w:tcW w:w="0" w:type="auto"/>
            <w:tcBorders>
              <w:tl2br w:val="nil"/>
              <w:tr2bl w:val="nil"/>
            </w:tcBorders>
            <w:vAlign w:val="center"/>
          </w:tcPr>
          <w:p w14:paraId="11A94666">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废包装材料</w:t>
            </w:r>
          </w:p>
        </w:tc>
      </w:tr>
      <w:tr w14:paraId="0886B0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2AEA2CB0">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pPr>
          </w:p>
        </w:tc>
        <w:tc>
          <w:tcPr>
            <w:tcW w:w="0" w:type="auto"/>
            <w:tcBorders>
              <w:tl2br w:val="nil"/>
              <w:tr2bl w:val="nil"/>
            </w:tcBorders>
            <w:vAlign w:val="center"/>
          </w:tcPr>
          <w:p w14:paraId="5DE053B0">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设备维修</w:t>
            </w:r>
          </w:p>
        </w:tc>
        <w:tc>
          <w:tcPr>
            <w:tcW w:w="0" w:type="auto"/>
            <w:tcBorders>
              <w:tl2br w:val="nil"/>
              <w:tr2bl w:val="nil"/>
            </w:tcBorders>
            <w:vAlign w:val="center"/>
          </w:tcPr>
          <w:p w14:paraId="09B209E4">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jc w:val="center"/>
              <w:textAlignment w:val="baseline"/>
              <w:outlineLvl w:val="2"/>
              <w:rPr>
                <w:rFonts w:hint="default" w:ascii="Times New Roman" w:hAnsi="Times New Roman" w:eastAsia="宋体" w:cs="Times New Roman"/>
                <w:b w:val="0"/>
                <w:bCs w:val="0"/>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b w:val="0"/>
                <w:bCs w:val="0"/>
                <w:snapToGrid w:val="0"/>
                <w:color w:val="auto"/>
                <w:spacing w:val="0"/>
                <w:kern w:val="0"/>
                <w:position w:val="0"/>
                <w:sz w:val="21"/>
                <w:szCs w:val="21"/>
                <w:vertAlign w:val="baseline"/>
                <w:lang w:val="en-US" w:eastAsia="zh-CN" w:bidi="ar-SA"/>
              </w:rPr>
              <w:t>废矿物油、含油抹布、含油手套</w:t>
            </w:r>
          </w:p>
        </w:tc>
      </w:tr>
    </w:tbl>
    <w:p w14:paraId="36C088E5">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6"/>
          <w:sz w:val="32"/>
          <w:szCs w:val="32"/>
          <w:lang w:val="en-US" w:eastAsia="zh-CN"/>
        </w:rPr>
      </w:pPr>
      <w:bookmarkStart w:id="22" w:name="_Toc8840"/>
      <w:r>
        <w:rPr>
          <w:rFonts w:hint="eastAsia" w:ascii="Times New Roman" w:hAnsi="Times New Roman" w:eastAsia="微软雅黑" w:cs="Times New Roman"/>
          <w:color w:val="auto"/>
          <w:spacing w:val="6"/>
          <w:sz w:val="32"/>
          <w:szCs w:val="32"/>
          <w:lang w:val="en-US" w:eastAsia="zh-CN"/>
        </w:rPr>
        <w:t>3.3 污染源源强核算</w:t>
      </w:r>
      <w:bookmarkEnd w:id="22"/>
    </w:p>
    <w:p w14:paraId="28C7DF7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eastAsia"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3.3.1施工期污染源源强核算</w:t>
      </w:r>
    </w:p>
    <w:p w14:paraId="0398FDB0">
      <w:pPr>
        <w:spacing w:line="360" w:lineRule="auto"/>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3.3.1.1废水</w:t>
      </w:r>
    </w:p>
    <w:p w14:paraId="04344D5D">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项目施工期对水环境造成的影响主要有生活污水，施工现场高峰期人数约为20人，参照《建筑给水排水设计标准》（GB50015—2019），施工人员生活用水采用30L/人•d计，废水排放系数按0.8计，则施工人员产生生活污水约为0.48t/d，施工期约3个月，施工期共产生生活污水43.2t。污染物产生情况见下表。施工场地不设置食堂。施工生活污水经市政管网排入牛家满族镇污水处理厂。</w:t>
      </w:r>
    </w:p>
    <w:p w14:paraId="63BAD25E">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b/>
          <w:bCs/>
          <w:snapToGrid w:val="0"/>
          <w:color w:val="auto"/>
          <w:kern w:val="0"/>
          <w:sz w:val="24"/>
          <w:szCs w:val="24"/>
          <w:lang w:val="en-US" w:eastAsia="zh-CN" w:bidi="ar"/>
        </w:rPr>
      </w:pPr>
      <w:r>
        <w:rPr>
          <w:rFonts w:hint="eastAsia" w:ascii="Times New Roman" w:hAnsi="Times New Roman" w:eastAsia="宋体" w:cs="Times New Roman"/>
          <w:b/>
          <w:bCs/>
          <w:snapToGrid w:val="0"/>
          <w:color w:val="auto"/>
          <w:kern w:val="0"/>
          <w:sz w:val="24"/>
          <w:szCs w:val="24"/>
          <w:lang w:val="en-US" w:eastAsia="zh-CN" w:bidi="ar"/>
        </w:rPr>
        <w:t>表3.3-1施工期生活污水排放情况表</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04"/>
        <w:gridCol w:w="2302"/>
        <w:gridCol w:w="1343"/>
        <w:gridCol w:w="1347"/>
        <w:gridCol w:w="1347"/>
        <w:gridCol w:w="1345"/>
      </w:tblGrid>
      <w:tr w14:paraId="15FD1D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 w:hRule="atLeast"/>
        </w:trPr>
        <w:tc>
          <w:tcPr>
            <w:tcW w:w="864" w:type="pct"/>
            <w:shd w:val="clear" w:color="auto" w:fill="auto"/>
            <w:vAlign w:val="center"/>
          </w:tcPr>
          <w:p w14:paraId="435C85CC">
            <w:pPr>
              <w:pStyle w:val="47"/>
              <w:spacing w:line="0" w:lineRule="atLeast"/>
              <w:rPr>
                <w:rFonts w:hint="default" w:ascii="Times New Roman" w:hAnsi="Times New Roman" w:cs="Times New Roman"/>
                <w:snapToGrid w:val="0"/>
                <w:color w:val="auto"/>
                <w:szCs w:val="22"/>
                <w:highlight w:val="none"/>
              </w:rPr>
            </w:pPr>
            <w:r>
              <w:rPr>
                <w:rFonts w:hint="default" w:ascii="Times New Roman" w:hAnsi="Times New Roman" w:cs="Times New Roman"/>
                <w:snapToGrid w:val="0"/>
                <w:color w:val="auto"/>
                <w:szCs w:val="22"/>
                <w:highlight w:val="none"/>
              </w:rPr>
              <w:t>废水量（t/d）</w:t>
            </w:r>
          </w:p>
        </w:tc>
        <w:tc>
          <w:tcPr>
            <w:tcW w:w="1239" w:type="pct"/>
            <w:shd w:val="clear" w:color="auto" w:fill="auto"/>
            <w:vAlign w:val="center"/>
          </w:tcPr>
          <w:p w14:paraId="21C4F935">
            <w:pPr>
              <w:pStyle w:val="47"/>
              <w:spacing w:line="0" w:lineRule="atLeast"/>
              <w:rPr>
                <w:rFonts w:hint="default" w:ascii="Times New Roman" w:hAnsi="Times New Roman" w:cs="Times New Roman"/>
                <w:snapToGrid w:val="0"/>
                <w:color w:val="auto"/>
                <w:szCs w:val="22"/>
                <w:highlight w:val="none"/>
              </w:rPr>
            </w:pPr>
            <w:r>
              <w:rPr>
                <w:rFonts w:hint="default" w:ascii="Times New Roman" w:hAnsi="Times New Roman" w:cs="Times New Roman"/>
                <w:snapToGrid w:val="0"/>
                <w:color w:val="auto"/>
                <w:szCs w:val="22"/>
                <w:highlight w:val="none"/>
              </w:rPr>
              <w:t>水质</w:t>
            </w:r>
          </w:p>
        </w:tc>
        <w:tc>
          <w:tcPr>
            <w:tcW w:w="723" w:type="pct"/>
            <w:shd w:val="clear" w:color="auto" w:fill="auto"/>
            <w:vAlign w:val="center"/>
          </w:tcPr>
          <w:p w14:paraId="39E9E42F">
            <w:pPr>
              <w:pStyle w:val="47"/>
              <w:spacing w:line="0" w:lineRule="atLeast"/>
              <w:rPr>
                <w:rFonts w:hint="eastAsia" w:ascii="Times New Roman" w:hAnsi="Times New Roman" w:eastAsia="宋体" w:cs="Times New Roman"/>
                <w:snapToGrid w:val="0"/>
                <w:color w:val="auto"/>
                <w:szCs w:val="22"/>
                <w:highlight w:val="none"/>
                <w:lang w:eastAsia="zh-CN"/>
              </w:rPr>
            </w:pPr>
            <w:r>
              <w:rPr>
                <w:rFonts w:hint="eastAsia" w:ascii="Times New Roman" w:hAnsi="Times New Roman" w:eastAsia="宋体" w:cs="Times New Roman"/>
                <w:snapToGrid w:val="0"/>
                <w:color w:val="auto"/>
                <w:szCs w:val="22"/>
                <w:highlight w:val="none"/>
                <w:lang w:eastAsia="zh-CN"/>
              </w:rPr>
              <w:t>COD</w:t>
            </w:r>
          </w:p>
        </w:tc>
        <w:tc>
          <w:tcPr>
            <w:tcW w:w="725" w:type="pct"/>
            <w:shd w:val="clear" w:color="auto" w:fill="auto"/>
            <w:vAlign w:val="center"/>
          </w:tcPr>
          <w:p w14:paraId="28A73945">
            <w:pPr>
              <w:pStyle w:val="47"/>
              <w:spacing w:line="0" w:lineRule="atLeast"/>
              <w:rPr>
                <w:rFonts w:hint="default" w:ascii="Times New Roman" w:hAnsi="Times New Roman" w:cs="Times New Roman"/>
                <w:snapToGrid w:val="0"/>
                <w:color w:val="auto"/>
                <w:szCs w:val="22"/>
                <w:highlight w:val="none"/>
              </w:rPr>
            </w:pPr>
            <w:r>
              <w:rPr>
                <w:rFonts w:hint="default" w:ascii="Times New Roman" w:hAnsi="Times New Roman" w:cs="Times New Roman"/>
                <w:snapToGrid w:val="0"/>
                <w:color w:val="auto"/>
                <w:szCs w:val="22"/>
                <w:highlight w:val="none"/>
              </w:rPr>
              <w:t>BOD</w:t>
            </w:r>
            <w:r>
              <w:rPr>
                <w:rFonts w:hint="default" w:ascii="Times New Roman" w:hAnsi="Times New Roman" w:cs="Times New Roman"/>
                <w:snapToGrid w:val="0"/>
                <w:color w:val="auto"/>
                <w:szCs w:val="22"/>
                <w:highlight w:val="none"/>
                <w:vertAlign w:val="subscript"/>
              </w:rPr>
              <w:t>5</w:t>
            </w:r>
          </w:p>
        </w:tc>
        <w:tc>
          <w:tcPr>
            <w:tcW w:w="725" w:type="pct"/>
            <w:shd w:val="clear" w:color="auto" w:fill="auto"/>
            <w:vAlign w:val="center"/>
          </w:tcPr>
          <w:p w14:paraId="15B5471E">
            <w:pPr>
              <w:pStyle w:val="47"/>
              <w:spacing w:line="0" w:lineRule="atLeast"/>
              <w:rPr>
                <w:rFonts w:hint="default" w:ascii="Times New Roman" w:hAnsi="Times New Roman" w:cs="Times New Roman"/>
                <w:snapToGrid w:val="0"/>
                <w:color w:val="auto"/>
                <w:szCs w:val="22"/>
                <w:highlight w:val="none"/>
              </w:rPr>
            </w:pPr>
            <w:r>
              <w:rPr>
                <w:rFonts w:hint="default" w:ascii="Times New Roman" w:hAnsi="Times New Roman" w:cs="Times New Roman"/>
                <w:snapToGrid w:val="0"/>
                <w:color w:val="auto"/>
                <w:szCs w:val="22"/>
                <w:highlight w:val="none"/>
              </w:rPr>
              <w:t>SS</w:t>
            </w:r>
          </w:p>
        </w:tc>
        <w:tc>
          <w:tcPr>
            <w:tcW w:w="724" w:type="pct"/>
            <w:shd w:val="clear" w:color="auto" w:fill="auto"/>
            <w:vAlign w:val="center"/>
          </w:tcPr>
          <w:p w14:paraId="6FD67FBE">
            <w:pPr>
              <w:pStyle w:val="47"/>
              <w:spacing w:line="0" w:lineRule="atLeast"/>
              <w:rPr>
                <w:rFonts w:hint="default" w:ascii="Times New Roman" w:hAnsi="Times New Roman" w:cs="Times New Roman"/>
                <w:snapToGrid w:val="0"/>
                <w:color w:val="auto"/>
                <w:szCs w:val="22"/>
                <w:highlight w:val="none"/>
              </w:rPr>
            </w:pPr>
            <w:r>
              <w:rPr>
                <w:rFonts w:hint="default" w:ascii="Times New Roman" w:hAnsi="Times New Roman" w:cs="Times New Roman"/>
                <w:snapToGrid w:val="0"/>
                <w:color w:val="auto"/>
                <w:szCs w:val="22"/>
                <w:highlight w:val="none"/>
              </w:rPr>
              <w:t>氨氮</w:t>
            </w:r>
          </w:p>
        </w:tc>
      </w:tr>
      <w:tr w14:paraId="2E621B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864" w:type="pct"/>
            <w:vMerge w:val="restart"/>
            <w:shd w:val="clear" w:color="auto" w:fill="auto"/>
            <w:vAlign w:val="center"/>
          </w:tcPr>
          <w:p w14:paraId="1E9C4286">
            <w:pPr>
              <w:pStyle w:val="47"/>
              <w:spacing w:line="0" w:lineRule="atLeast"/>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eastAsia="宋体" w:cs="Times New Roman"/>
                <w:snapToGrid w:val="0"/>
                <w:color w:val="auto"/>
                <w:szCs w:val="22"/>
                <w:highlight w:val="none"/>
                <w:lang w:val="en-US" w:eastAsia="zh-CN"/>
              </w:rPr>
              <w:t>0.48</w:t>
            </w:r>
          </w:p>
        </w:tc>
        <w:tc>
          <w:tcPr>
            <w:tcW w:w="1239" w:type="pct"/>
            <w:shd w:val="clear" w:color="auto" w:fill="auto"/>
            <w:vAlign w:val="center"/>
          </w:tcPr>
          <w:p w14:paraId="5C05E467">
            <w:pPr>
              <w:pStyle w:val="47"/>
              <w:spacing w:line="0" w:lineRule="atLeast"/>
              <w:rPr>
                <w:rFonts w:hint="default" w:ascii="Times New Roman" w:hAnsi="Times New Roman" w:cs="Times New Roman"/>
                <w:snapToGrid w:val="0"/>
                <w:color w:val="auto"/>
                <w:szCs w:val="22"/>
                <w:highlight w:val="none"/>
              </w:rPr>
            </w:pPr>
            <w:r>
              <w:rPr>
                <w:rFonts w:hint="default" w:ascii="Times New Roman" w:hAnsi="Times New Roman" w:cs="Times New Roman"/>
                <w:snapToGrid w:val="0"/>
                <w:color w:val="auto"/>
                <w:szCs w:val="22"/>
                <w:highlight w:val="none"/>
              </w:rPr>
              <w:t>产生浓度（mg/L）</w:t>
            </w:r>
          </w:p>
        </w:tc>
        <w:tc>
          <w:tcPr>
            <w:tcW w:w="723" w:type="pct"/>
            <w:shd w:val="clear" w:color="auto" w:fill="auto"/>
            <w:vAlign w:val="center"/>
          </w:tcPr>
          <w:p w14:paraId="7F594C64">
            <w:pPr>
              <w:pStyle w:val="47"/>
              <w:spacing w:line="0" w:lineRule="atLeast"/>
              <w:rPr>
                <w:rFonts w:hint="default" w:ascii="Times New Roman" w:hAnsi="Times New Roman" w:cs="Times New Roman"/>
                <w:snapToGrid w:val="0"/>
                <w:color w:val="auto"/>
                <w:szCs w:val="22"/>
                <w:highlight w:val="none"/>
              </w:rPr>
            </w:pPr>
            <w:r>
              <w:rPr>
                <w:rFonts w:hint="eastAsia" w:ascii="Times New Roman" w:hAnsi="Times New Roman" w:eastAsia="宋体" w:cs="Times New Roman"/>
                <w:snapToGrid w:val="0"/>
                <w:color w:val="auto"/>
                <w:szCs w:val="22"/>
                <w:highlight w:val="none"/>
                <w:lang w:val="en-US" w:eastAsia="zh-CN"/>
              </w:rPr>
              <w:t>4</w:t>
            </w:r>
            <w:r>
              <w:rPr>
                <w:rFonts w:hint="default" w:ascii="Times New Roman" w:hAnsi="Times New Roman" w:cs="Times New Roman"/>
                <w:snapToGrid w:val="0"/>
                <w:color w:val="auto"/>
                <w:szCs w:val="22"/>
                <w:highlight w:val="none"/>
              </w:rPr>
              <w:t>00</w:t>
            </w:r>
          </w:p>
        </w:tc>
        <w:tc>
          <w:tcPr>
            <w:tcW w:w="725" w:type="pct"/>
            <w:shd w:val="clear" w:color="auto" w:fill="auto"/>
            <w:vAlign w:val="center"/>
          </w:tcPr>
          <w:p w14:paraId="06D41104">
            <w:pPr>
              <w:pStyle w:val="47"/>
              <w:spacing w:line="0" w:lineRule="atLeast"/>
              <w:rPr>
                <w:rFonts w:hint="default" w:ascii="Times New Roman" w:hAnsi="Times New Roman" w:cs="Times New Roman"/>
                <w:snapToGrid w:val="0"/>
                <w:color w:val="auto"/>
                <w:szCs w:val="22"/>
                <w:highlight w:val="none"/>
              </w:rPr>
            </w:pPr>
            <w:r>
              <w:rPr>
                <w:rFonts w:hint="default" w:ascii="Times New Roman" w:hAnsi="Times New Roman" w:cs="Times New Roman"/>
                <w:snapToGrid w:val="0"/>
                <w:color w:val="auto"/>
                <w:szCs w:val="22"/>
                <w:highlight w:val="none"/>
              </w:rPr>
              <w:t>200</w:t>
            </w:r>
          </w:p>
        </w:tc>
        <w:tc>
          <w:tcPr>
            <w:tcW w:w="725" w:type="pct"/>
            <w:shd w:val="clear" w:color="auto" w:fill="auto"/>
            <w:vAlign w:val="center"/>
          </w:tcPr>
          <w:p w14:paraId="4D69F8DB">
            <w:pPr>
              <w:pStyle w:val="47"/>
              <w:spacing w:line="0" w:lineRule="atLeast"/>
              <w:rPr>
                <w:rFonts w:hint="default" w:ascii="Times New Roman" w:hAnsi="Times New Roman" w:eastAsia="宋体" w:cs="Times New Roman"/>
                <w:snapToGrid w:val="0"/>
                <w:color w:val="auto"/>
                <w:szCs w:val="22"/>
                <w:highlight w:val="none"/>
                <w:lang w:val="en-US" w:eastAsia="zh-CN"/>
              </w:rPr>
            </w:pPr>
            <w:r>
              <w:rPr>
                <w:rFonts w:hint="default" w:ascii="Times New Roman" w:hAnsi="Times New Roman" w:cs="Times New Roman"/>
                <w:snapToGrid w:val="0"/>
                <w:color w:val="auto"/>
                <w:szCs w:val="22"/>
                <w:highlight w:val="none"/>
              </w:rPr>
              <w:t>2</w:t>
            </w:r>
            <w:r>
              <w:rPr>
                <w:rFonts w:hint="eastAsia" w:ascii="Times New Roman" w:hAnsi="Times New Roman" w:eastAsia="宋体" w:cs="Times New Roman"/>
                <w:snapToGrid w:val="0"/>
                <w:color w:val="auto"/>
                <w:szCs w:val="22"/>
                <w:highlight w:val="none"/>
                <w:lang w:val="en-US" w:eastAsia="zh-CN"/>
              </w:rPr>
              <w:t>50</w:t>
            </w:r>
          </w:p>
        </w:tc>
        <w:tc>
          <w:tcPr>
            <w:tcW w:w="724" w:type="pct"/>
            <w:shd w:val="clear" w:color="auto" w:fill="auto"/>
            <w:vAlign w:val="center"/>
          </w:tcPr>
          <w:p w14:paraId="55828A9B">
            <w:pPr>
              <w:pStyle w:val="47"/>
              <w:spacing w:line="0" w:lineRule="atLeast"/>
              <w:rPr>
                <w:rFonts w:hint="eastAsia" w:ascii="Times New Roman" w:hAnsi="Times New Roman" w:eastAsia="宋体" w:cs="Times New Roman"/>
                <w:snapToGrid w:val="0"/>
                <w:color w:val="auto"/>
                <w:szCs w:val="22"/>
                <w:highlight w:val="none"/>
                <w:lang w:val="en-US" w:eastAsia="zh-CN"/>
              </w:rPr>
            </w:pPr>
            <w:r>
              <w:rPr>
                <w:rFonts w:hint="default" w:ascii="Times New Roman" w:hAnsi="Times New Roman" w:cs="Times New Roman"/>
                <w:snapToGrid w:val="0"/>
                <w:color w:val="auto"/>
                <w:szCs w:val="22"/>
                <w:highlight w:val="none"/>
              </w:rPr>
              <w:t>3</w:t>
            </w:r>
            <w:r>
              <w:rPr>
                <w:rFonts w:hint="eastAsia" w:ascii="Times New Roman" w:hAnsi="Times New Roman" w:eastAsia="宋体" w:cs="Times New Roman"/>
                <w:snapToGrid w:val="0"/>
                <w:color w:val="auto"/>
                <w:szCs w:val="22"/>
                <w:highlight w:val="none"/>
                <w:lang w:val="en-US" w:eastAsia="zh-CN"/>
              </w:rPr>
              <w:t>5</w:t>
            </w:r>
          </w:p>
        </w:tc>
      </w:tr>
      <w:tr w14:paraId="254CD8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0" w:type="auto"/>
            <w:vMerge w:val="continue"/>
            <w:shd w:val="clear" w:color="auto" w:fill="auto"/>
            <w:vAlign w:val="center"/>
          </w:tcPr>
          <w:p w14:paraId="7A699B55">
            <w:pPr>
              <w:pStyle w:val="47"/>
              <w:spacing w:line="0" w:lineRule="atLeast"/>
              <w:rPr>
                <w:rFonts w:hint="default" w:ascii="Times New Roman" w:hAnsi="Times New Roman" w:cs="Times New Roman"/>
                <w:snapToGrid w:val="0"/>
                <w:color w:val="auto"/>
                <w:highlight w:val="none"/>
              </w:rPr>
            </w:pPr>
          </w:p>
        </w:tc>
        <w:tc>
          <w:tcPr>
            <w:tcW w:w="1239" w:type="pct"/>
            <w:shd w:val="clear" w:color="auto" w:fill="auto"/>
            <w:vAlign w:val="center"/>
          </w:tcPr>
          <w:p w14:paraId="7C9B59BF">
            <w:pPr>
              <w:pStyle w:val="47"/>
              <w:spacing w:line="0" w:lineRule="atLeast"/>
              <w:rPr>
                <w:rFonts w:hint="default" w:ascii="Times New Roman" w:hAnsi="Times New Roman" w:cs="Times New Roman"/>
                <w:b/>
                <w:snapToGrid w:val="0"/>
                <w:color w:val="auto"/>
                <w:szCs w:val="22"/>
                <w:highlight w:val="none"/>
              </w:rPr>
            </w:pPr>
            <w:r>
              <w:rPr>
                <w:rFonts w:hint="default" w:ascii="Times New Roman" w:hAnsi="Times New Roman" w:cs="Times New Roman"/>
                <w:snapToGrid w:val="0"/>
                <w:color w:val="auto"/>
                <w:szCs w:val="22"/>
                <w:highlight w:val="none"/>
              </w:rPr>
              <w:t>产生量（kg/d）</w:t>
            </w:r>
          </w:p>
        </w:tc>
        <w:tc>
          <w:tcPr>
            <w:tcW w:w="723" w:type="pct"/>
            <w:shd w:val="clear" w:color="auto" w:fill="auto"/>
            <w:vAlign w:val="center"/>
          </w:tcPr>
          <w:p w14:paraId="3F5E5E8F">
            <w:pPr>
              <w:pStyle w:val="47"/>
              <w:spacing w:line="0" w:lineRule="atLeast"/>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eastAsia="宋体" w:cs="Times New Roman"/>
                <w:snapToGrid w:val="0"/>
                <w:color w:val="auto"/>
                <w:szCs w:val="22"/>
                <w:highlight w:val="none"/>
                <w:lang w:val="en-US" w:eastAsia="zh-CN"/>
              </w:rPr>
              <w:t>0.192</w:t>
            </w:r>
          </w:p>
        </w:tc>
        <w:tc>
          <w:tcPr>
            <w:tcW w:w="725" w:type="pct"/>
            <w:shd w:val="clear" w:color="auto" w:fill="auto"/>
            <w:vAlign w:val="center"/>
          </w:tcPr>
          <w:p w14:paraId="5BB31590">
            <w:pPr>
              <w:pStyle w:val="47"/>
              <w:spacing w:line="0" w:lineRule="atLeast"/>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eastAsia="宋体" w:cs="Times New Roman"/>
                <w:snapToGrid w:val="0"/>
                <w:color w:val="auto"/>
                <w:szCs w:val="22"/>
                <w:highlight w:val="none"/>
                <w:lang w:val="en-US" w:eastAsia="zh-CN"/>
              </w:rPr>
              <w:t>0.096</w:t>
            </w:r>
          </w:p>
        </w:tc>
        <w:tc>
          <w:tcPr>
            <w:tcW w:w="725" w:type="pct"/>
            <w:shd w:val="clear" w:color="auto" w:fill="auto"/>
            <w:vAlign w:val="center"/>
          </w:tcPr>
          <w:p w14:paraId="75382F39">
            <w:pPr>
              <w:pStyle w:val="47"/>
              <w:spacing w:line="0" w:lineRule="atLeast"/>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eastAsia="宋体" w:cs="Times New Roman"/>
                <w:snapToGrid w:val="0"/>
                <w:color w:val="auto"/>
                <w:szCs w:val="22"/>
                <w:highlight w:val="none"/>
                <w:lang w:val="en-US" w:eastAsia="zh-CN"/>
              </w:rPr>
              <w:t>0.12</w:t>
            </w:r>
          </w:p>
        </w:tc>
        <w:tc>
          <w:tcPr>
            <w:tcW w:w="724" w:type="pct"/>
            <w:shd w:val="clear" w:color="auto" w:fill="auto"/>
            <w:vAlign w:val="center"/>
          </w:tcPr>
          <w:p w14:paraId="65B374A2">
            <w:pPr>
              <w:pStyle w:val="47"/>
              <w:spacing w:line="0" w:lineRule="atLeast"/>
              <w:rPr>
                <w:rFonts w:hint="default" w:ascii="Times New Roman" w:hAnsi="Times New Roman" w:eastAsia="宋体" w:cs="Times New Roman"/>
                <w:snapToGrid w:val="0"/>
                <w:color w:val="auto"/>
                <w:szCs w:val="22"/>
                <w:highlight w:val="none"/>
                <w:lang w:val="en-US" w:eastAsia="zh-CN"/>
              </w:rPr>
            </w:pPr>
            <w:r>
              <w:rPr>
                <w:rFonts w:hint="eastAsia" w:ascii="Times New Roman" w:hAnsi="Times New Roman" w:eastAsia="宋体" w:cs="Times New Roman"/>
                <w:snapToGrid w:val="0"/>
                <w:color w:val="auto"/>
                <w:szCs w:val="22"/>
                <w:highlight w:val="none"/>
                <w:lang w:val="en-US" w:eastAsia="zh-CN"/>
              </w:rPr>
              <w:t>0.0168</w:t>
            </w:r>
          </w:p>
        </w:tc>
      </w:tr>
    </w:tbl>
    <w:p w14:paraId="2652590C">
      <w:pPr>
        <w:spacing w:line="360" w:lineRule="auto"/>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3.3.</w:t>
      </w:r>
      <w:r>
        <w:rPr>
          <w:rFonts w:hint="eastAsia" w:ascii="Times New Roman" w:hAnsi="Times New Roman" w:cs="Times New Roman"/>
          <w:b/>
          <w:color w:val="auto"/>
          <w:sz w:val="24"/>
          <w:highlight w:val="none"/>
        </w:rPr>
        <w:t>1</w:t>
      </w:r>
      <w:r>
        <w:rPr>
          <w:rFonts w:hint="default" w:ascii="Times New Roman" w:hAnsi="Times New Roman" w:cs="Times New Roman"/>
          <w:b/>
          <w:color w:val="auto"/>
          <w:sz w:val="24"/>
          <w:highlight w:val="none"/>
        </w:rPr>
        <w:t>.</w:t>
      </w:r>
      <w:r>
        <w:rPr>
          <w:rFonts w:hint="eastAsia" w:ascii="Times New Roman" w:hAnsi="Times New Roman" w:cs="Times New Roman"/>
          <w:b/>
          <w:color w:val="auto"/>
          <w:sz w:val="24"/>
          <w:highlight w:val="none"/>
        </w:rPr>
        <w:t>2废气</w:t>
      </w:r>
    </w:p>
    <w:p w14:paraId="619205D3">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color w:val="auto"/>
          <w:lang w:val="en-US" w:eastAsia="zh-CN"/>
        </w:rPr>
      </w:pPr>
      <w:r>
        <w:rPr>
          <w:rFonts w:hint="default" w:ascii="Times New Roman" w:hAnsi="Times New Roman" w:cs="Times New Roman"/>
          <w:color w:val="auto"/>
          <w:spacing w:val="15"/>
          <w:sz w:val="24"/>
          <w:szCs w:val="23"/>
          <w:highlight w:val="none"/>
          <w:lang w:val="en-US" w:eastAsia="zh-CN"/>
        </w:rPr>
        <w:t>本项目在施工时建筑材料及设备的装卸、运输时会产生扬尘，限制施工车辆速度和保持路面清洁是减小扬尘的有效手段，施工阶段对路面进行洒水降尘，减轻扬尘污染。</w:t>
      </w:r>
    </w:p>
    <w:p w14:paraId="12FED4ED">
      <w:pPr>
        <w:spacing w:line="360" w:lineRule="auto"/>
        <w:outlineLvl w:val="3"/>
        <w:rPr>
          <w:rFonts w:hint="eastAsia" w:ascii="Times New Roman" w:hAnsi="Times New Roman" w:cs="Times New Roman"/>
          <w:b/>
          <w:color w:val="auto"/>
          <w:sz w:val="24"/>
          <w:highlight w:val="none"/>
        </w:rPr>
      </w:pPr>
      <w:r>
        <w:rPr>
          <w:rFonts w:hint="default" w:ascii="Times New Roman" w:hAnsi="Times New Roman" w:cs="Times New Roman"/>
          <w:b/>
          <w:color w:val="auto"/>
          <w:sz w:val="24"/>
          <w:highlight w:val="none"/>
        </w:rPr>
        <w:t>3.3.</w:t>
      </w:r>
      <w:r>
        <w:rPr>
          <w:rFonts w:hint="eastAsia" w:ascii="Times New Roman" w:hAnsi="Times New Roman" w:cs="Times New Roman"/>
          <w:b/>
          <w:color w:val="auto"/>
          <w:sz w:val="24"/>
          <w:highlight w:val="none"/>
        </w:rPr>
        <w:t>1</w:t>
      </w:r>
      <w:r>
        <w:rPr>
          <w:rFonts w:hint="default" w:ascii="Times New Roman" w:hAnsi="Times New Roman" w:cs="Times New Roman"/>
          <w:b/>
          <w:color w:val="auto"/>
          <w:sz w:val="24"/>
          <w:highlight w:val="none"/>
        </w:rPr>
        <w:t>.</w:t>
      </w:r>
      <w:r>
        <w:rPr>
          <w:rFonts w:hint="eastAsia" w:ascii="Times New Roman" w:hAnsi="Times New Roman" w:cs="Times New Roman"/>
          <w:b/>
          <w:color w:val="auto"/>
          <w:sz w:val="24"/>
          <w:highlight w:val="none"/>
        </w:rPr>
        <w:t>3噪声</w:t>
      </w:r>
    </w:p>
    <w:p w14:paraId="09616A0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施工期噪声主要来自设备安装和运输设备噪声，噪声强度均在</w:t>
      </w:r>
      <w:r>
        <w:rPr>
          <w:rFonts w:hint="eastAsia" w:ascii="Times New Roman" w:hAnsi="Times New Roman" w:eastAsia="宋体" w:cs="Times New Roman"/>
          <w:color w:val="auto"/>
          <w:sz w:val="24"/>
          <w:highlight w:val="none"/>
          <w:lang w:val="en-US" w:eastAsia="zh-CN"/>
        </w:rPr>
        <w:t>60</w:t>
      </w:r>
      <w:r>
        <w:rPr>
          <w:rFonts w:hint="default" w:ascii="Times New Roman" w:hAnsi="Times New Roman" w:cs="Times New Roman"/>
          <w:color w:val="auto"/>
          <w:sz w:val="24"/>
          <w:highlight w:val="none"/>
        </w:rPr>
        <w:t>～95dB（A）</w:t>
      </w:r>
      <w:r>
        <w:rPr>
          <w:rFonts w:hint="eastAsia" w:ascii="Times New Roman" w:hAnsi="Times New Roman" w:eastAsia="宋体" w:cs="Times New Roman"/>
          <w:color w:val="auto"/>
          <w:sz w:val="24"/>
          <w:highlight w:val="none"/>
          <w:lang w:eastAsia="zh-CN"/>
        </w:rPr>
        <w:t>，</w:t>
      </w:r>
      <w:r>
        <w:rPr>
          <w:rFonts w:hint="default" w:ascii="Times New Roman" w:hAnsi="Times New Roman" w:cs="Times New Roman"/>
          <w:color w:val="auto"/>
          <w:sz w:val="24"/>
          <w:highlight w:val="none"/>
        </w:rPr>
        <w:t>但大部分在厂房内部使用，对环境影响不大。</w:t>
      </w:r>
    </w:p>
    <w:p w14:paraId="54410930">
      <w:pPr>
        <w:spacing w:line="360" w:lineRule="auto"/>
        <w:outlineLvl w:val="3"/>
        <w:rPr>
          <w:rFonts w:hint="eastAsia" w:ascii="Times New Roman" w:hAnsi="Times New Roman" w:cs="Times New Roman"/>
          <w:b/>
          <w:color w:val="auto"/>
          <w:sz w:val="24"/>
          <w:highlight w:val="none"/>
        </w:rPr>
      </w:pPr>
      <w:r>
        <w:rPr>
          <w:rFonts w:hint="default" w:ascii="Times New Roman" w:hAnsi="Times New Roman" w:cs="Times New Roman"/>
          <w:b/>
          <w:color w:val="auto"/>
          <w:sz w:val="24"/>
          <w:highlight w:val="none"/>
        </w:rPr>
        <w:t>3.3.</w:t>
      </w:r>
      <w:r>
        <w:rPr>
          <w:rFonts w:hint="eastAsia" w:ascii="Times New Roman" w:hAnsi="Times New Roman" w:cs="Times New Roman"/>
          <w:b/>
          <w:color w:val="auto"/>
          <w:sz w:val="24"/>
          <w:highlight w:val="none"/>
        </w:rPr>
        <w:t>1</w:t>
      </w:r>
      <w:r>
        <w:rPr>
          <w:rFonts w:hint="default" w:ascii="Times New Roman" w:hAnsi="Times New Roman" w:cs="Times New Roman"/>
          <w:b/>
          <w:color w:val="auto"/>
          <w:sz w:val="24"/>
          <w:highlight w:val="none"/>
        </w:rPr>
        <w:t>.</w:t>
      </w:r>
      <w:r>
        <w:rPr>
          <w:rFonts w:hint="eastAsia" w:ascii="Times New Roman" w:hAnsi="Times New Roman" w:cs="Times New Roman"/>
          <w:b/>
          <w:color w:val="auto"/>
          <w:sz w:val="24"/>
          <w:highlight w:val="none"/>
        </w:rPr>
        <w:t>4固废</w:t>
      </w:r>
    </w:p>
    <w:p w14:paraId="1E4D8CE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pPr>
      <w:r>
        <w:rPr>
          <w:rFonts w:hint="eastAsia" w:ascii="Times New Roman" w:hAnsi="Times New Roman" w:cs="Times New Roman"/>
          <w:color w:val="auto"/>
          <w:sz w:val="24"/>
          <w:highlight w:val="none"/>
          <w:lang w:val="en-US" w:eastAsia="zh-CN"/>
        </w:rPr>
        <w:t>施工期固体废物主要包括建筑垃圾和生活垃圾。</w:t>
      </w:r>
      <w:r>
        <w:rPr>
          <w:rFonts w:hint="eastAsia" w:ascii="Times New Roman" w:hAnsi="Times New Roman" w:cs="Times New Roman"/>
          <w:color w:val="auto"/>
          <w:sz w:val="24"/>
          <w:highlight w:val="none"/>
        </w:rPr>
        <w:t>对可再利用的建筑废料，应进行回收利用，以节省资源。不可回收利用外建筑垃圾应运输到环境保护管理部门指定的地点进行填埋，最大程度减小对环境的影响。施工期生活垃圾按照每天每人产生0.4kg固体废物计算，预计一天产生</w:t>
      </w:r>
      <w:r>
        <w:rPr>
          <w:rFonts w:hint="eastAsia" w:ascii="Times New Roman" w:hAnsi="Times New Roman" w:eastAsia="宋体" w:cs="Times New Roman"/>
          <w:color w:val="auto"/>
          <w:sz w:val="24"/>
          <w:highlight w:val="none"/>
          <w:lang w:val="en-US" w:eastAsia="zh-CN"/>
        </w:rPr>
        <w:t>0.008</w:t>
      </w:r>
      <w:r>
        <w:rPr>
          <w:rFonts w:hint="eastAsia" w:ascii="Times New Roman" w:hAnsi="Times New Roman" w:cs="Times New Roman"/>
          <w:color w:val="auto"/>
          <w:sz w:val="24"/>
          <w:highlight w:val="none"/>
        </w:rPr>
        <w:t>t固体废物。施工人员产生的生活垃圾集中收集后应由市政环卫部门统一清运处置。</w:t>
      </w:r>
    </w:p>
    <w:p w14:paraId="3D4CECC8">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eastAsia"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3.3.2营运期污染源源强核算</w:t>
      </w:r>
    </w:p>
    <w:p w14:paraId="3DA8F29A">
      <w:pPr>
        <w:spacing w:line="360" w:lineRule="auto"/>
        <w:outlineLvl w:val="3"/>
        <w:rPr>
          <w:b/>
          <w:color w:val="auto"/>
          <w:sz w:val="24"/>
          <w:highlight w:val="none"/>
        </w:rPr>
      </w:pPr>
      <w:r>
        <w:rPr>
          <w:b/>
          <w:color w:val="auto"/>
          <w:sz w:val="24"/>
          <w:highlight w:val="none"/>
        </w:rPr>
        <w:t>3.3.</w:t>
      </w:r>
      <w:r>
        <w:rPr>
          <w:rFonts w:hint="eastAsia" w:eastAsia="宋体"/>
          <w:b/>
          <w:color w:val="auto"/>
          <w:sz w:val="24"/>
          <w:highlight w:val="none"/>
          <w:lang w:val="en-US" w:eastAsia="zh-CN"/>
        </w:rPr>
        <w:t>2</w:t>
      </w:r>
      <w:r>
        <w:rPr>
          <w:b/>
          <w:color w:val="auto"/>
          <w:sz w:val="24"/>
          <w:highlight w:val="none"/>
        </w:rPr>
        <w:t>.1废水</w:t>
      </w:r>
    </w:p>
    <w:p w14:paraId="6E7B38C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本项目排水为生活污水及冷却塔循环冷却废水。</w:t>
      </w:r>
    </w:p>
    <w:p w14:paraId="314BA66B">
      <w:pPr>
        <w:pStyle w:val="31"/>
        <w:numPr>
          <w:ilvl w:val="0"/>
          <w:numId w:val="20"/>
        </w:numPr>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生活污水</w:t>
      </w:r>
    </w:p>
    <w:p w14:paraId="2BFB9B20">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pacing w:val="15"/>
          <w:sz w:val="24"/>
          <w:szCs w:val="23"/>
          <w:highlight w:val="none"/>
          <w:lang w:val="en-US" w:eastAsia="zh-CN"/>
        </w:rPr>
        <w:t>生活污水按照生活用水的80%计算，产生量为25.6m</w:t>
      </w:r>
      <w:r>
        <w:rPr>
          <w:rFonts w:hint="default" w:ascii="Times New Roman" w:hAnsi="Times New Roman" w:cs="Times New Roman"/>
          <w:color w:val="auto"/>
          <w:spacing w:val="15"/>
          <w:sz w:val="24"/>
          <w:szCs w:val="23"/>
          <w:highlight w:val="none"/>
          <w:vertAlign w:val="superscript"/>
          <w:lang w:val="en-US" w:eastAsia="zh-CN"/>
        </w:rPr>
        <w:t>3</w:t>
      </w:r>
      <w:r>
        <w:rPr>
          <w:rFonts w:hint="default" w:ascii="Times New Roman" w:hAnsi="Times New Roman" w:cs="Times New Roman"/>
          <w:color w:val="auto"/>
          <w:spacing w:val="15"/>
          <w:sz w:val="24"/>
          <w:szCs w:val="23"/>
          <w:highlight w:val="none"/>
          <w:lang w:val="en-US" w:eastAsia="zh-CN"/>
        </w:rPr>
        <w:t>/d、7424m</w:t>
      </w:r>
      <w:r>
        <w:rPr>
          <w:rFonts w:hint="default" w:ascii="Times New Roman" w:hAnsi="Times New Roman" w:cs="Times New Roman"/>
          <w:color w:val="auto"/>
          <w:spacing w:val="15"/>
          <w:sz w:val="24"/>
          <w:szCs w:val="23"/>
          <w:highlight w:val="none"/>
          <w:vertAlign w:val="superscript"/>
          <w:lang w:val="en-US" w:eastAsia="zh-CN"/>
        </w:rPr>
        <w:t>3</w:t>
      </w:r>
      <w:r>
        <w:rPr>
          <w:rFonts w:hint="default" w:ascii="Times New Roman" w:hAnsi="Times New Roman" w:cs="Times New Roman"/>
          <w:color w:val="auto"/>
          <w:spacing w:val="15"/>
          <w:sz w:val="24"/>
          <w:szCs w:val="23"/>
          <w:highlight w:val="none"/>
          <w:lang w:val="en-US" w:eastAsia="zh-CN"/>
        </w:rPr>
        <w:t>/a。</w:t>
      </w:r>
      <w:r>
        <w:rPr>
          <w:rFonts w:hint="default" w:ascii="Times New Roman" w:hAnsi="Times New Roman" w:cs="Times New Roman"/>
          <w:color w:val="auto"/>
          <w:sz w:val="24"/>
          <w:highlight w:val="none"/>
          <w:lang w:val="en-US" w:eastAsia="zh-CN"/>
        </w:rPr>
        <w:t>生活污水水质参照《水工业工程设计手册-建筑和小区给排水》中“12.2.2污水水量和水质”中给出的住宅、各类公共建筑污水水质平均浓度，结合项目特点，生活污水主要污染物的产生浓度取值为：COD400mg/L、BOD</w:t>
      </w:r>
      <w:r>
        <w:rPr>
          <w:rFonts w:hint="default" w:ascii="Times New Roman" w:hAnsi="Times New Roman" w:cs="Times New Roman"/>
          <w:color w:val="auto"/>
          <w:sz w:val="24"/>
          <w:highlight w:val="none"/>
          <w:vertAlign w:val="subscript"/>
          <w:lang w:val="en-US" w:eastAsia="zh-CN"/>
        </w:rPr>
        <w:t>5</w:t>
      </w:r>
      <w:r>
        <w:rPr>
          <w:rFonts w:hint="default" w:ascii="Times New Roman" w:hAnsi="Times New Roman" w:cs="Times New Roman"/>
          <w:color w:val="auto"/>
          <w:sz w:val="24"/>
          <w:highlight w:val="none"/>
          <w:lang w:val="en-US" w:eastAsia="zh-CN"/>
        </w:rPr>
        <w:t>200mg/L、SS250mg/L、氨氮35mg/L、动植物油40mg/L。</w:t>
      </w:r>
    </w:p>
    <w:p w14:paraId="08659986">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2、冷却塔循环冷却废水</w:t>
      </w:r>
    </w:p>
    <w:p w14:paraId="4A48CE07">
      <w:pPr>
        <w:pStyle w:val="31"/>
        <w:rPr>
          <w:rFonts w:hint="eastAsia"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冷却塔循环冷却废水产生量为3m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/d、870m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/a。</w:t>
      </w:r>
      <w:r>
        <w:rPr>
          <w:rFonts w:hint="eastAsia" w:ascii="Times New Roman" w:hAnsi="Times New Roman" w:eastAsia="宋体" w:cs="Times New Roman"/>
          <w:color w:val="auto"/>
          <w:sz w:val="24"/>
          <w:szCs w:val="24"/>
        </w:rPr>
        <w:t>参考《工业循环冷却水处理设计规范》(GB/T50050-2017)中指标，结合本项目的特点，本项目循环冷却水主要污染物的排放浓度取值为COD</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60</w:t>
      </w:r>
      <w:r>
        <w:rPr>
          <w:rFonts w:hint="eastAsia" w:ascii="Times New Roman" w:hAnsi="Times New Roman" w:eastAsia="宋体" w:cs="Times New Roman"/>
          <w:color w:val="auto"/>
          <w:sz w:val="24"/>
          <w:szCs w:val="28"/>
        </w:rPr>
        <w:t>mg/L</w:t>
      </w:r>
      <w:r>
        <w:rPr>
          <w:rFonts w:hint="eastAsia" w:ascii="Times New Roman" w:hAnsi="Times New Roman" w:eastAsia="宋体" w:cs="Times New Roman"/>
          <w:color w:val="auto"/>
          <w:sz w:val="24"/>
          <w:szCs w:val="24"/>
        </w:rPr>
        <w:t>、SS</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10</w:t>
      </w:r>
      <w:r>
        <w:rPr>
          <w:rFonts w:hint="eastAsia" w:ascii="Times New Roman" w:hAnsi="Times New Roman" w:eastAsia="宋体" w:cs="Times New Roman"/>
          <w:color w:val="auto"/>
          <w:sz w:val="24"/>
          <w:szCs w:val="28"/>
        </w:rPr>
        <w:t>mg/L</w:t>
      </w:r>
      <w:r>
        <w:rPr>
          <w:rFonts w:hint="eastAsia" w:ascii="Times New Roman" w:hAnsi="Times New Roman" w:eastAsia="宋体" w:cs="Times New Roman"/>
          <w:color w:val="auto"/>
          <w:sz w:val="24"/>
          <w:szCs w:val="24"/>
        </w:rPr>
        <w:t>。</w:t>
      </w:r>
    </w:p>
    <w:p w14:paraId="6F34245F">
      <w:pPr>
        <w:keepNext w:val="0"/>
        <w:keepLines w:val="0"/>
        <w:suppressLineNumbers w:val="0"/>
        <w:spacing w:before="0" w:beforeAutospacing="0" w:after="0" w:afterAutospacing="0" w:line="360" w:lineRule="auto"/>
        <w:ind w:left="0" w:right="0" w:firstLine="470" w:firstLineChars="196"/>
        <w:rPr>
          <w:rFonts w:ascii="Times New Roman" w:hAnsi="Times New Roman"/>
          <w:color w:val="auto"/>
          <w:sz w:val="24"/>
        </w:rPr>
      </w:pPr>
      <w:r>
        <w:rPr>
          <w:rFonts w:hint="eastAsia" w:ascii="Times New Roman" w:hAnsi="Times New Roman"/>
          <w:color w:val="auto"/>
          <w:sz w:val="24"/>
        </w:rPr>
        <w:t>本项目废水产生情况见下表：</w:t>
      </w:r>
    </w:p>
    <w:p w14:paraId="1DCDDB61">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eastAsia" w:ascii="Times New Roman" w:hAnsi="Times New Roman" w:eastAsia="宋体" w:cs="Times New Roman"/>
          <w:b/>
          <w:bCs/>
          <w:snapToGrid w:val="0"/>
          <w:color w:val="auto"/>
          <w:kern w:val="0"/>
          <w:sz w:val="24"/>
          <w:szCs w:val="24"/>
          <w:lang w:val="en-US" w:eastAsia="zh-CN" w:bidi="ar"/>
        </w:rPr>
      </w:pPr>
      <w:r>
        <w:rPr>
          <w:rFonts w:hint="eastAsia" w:ascii="Times New Roman" w:hAnsi="Times New Roman" w:eastAsia="宋体" w:cs="Times New Roman"/>
          <w:b/>
          <w:bCs/>
          <w:snapToGrid w:val="0"/>
          <w:color w:val="auto"/>
          <w:kern w:val="0"/>
          <w:sz w:val="24"/>
          <w:szCs w:val="24"/>
          <w:lang w:val="en-US" w:eastAsia="zh-CN" w:bidi="ar"/>
        </w:rPr>
        <w:t>表3.3-2  项目废水处理及排放情况一览表</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0"/>
        <w:gridCol w:w="843"/>
        <w:gridCol w:w="1178"/>
        <w:gridCol w:w="871"/>
        <w:gridCol w:w="388"/>
        <w:gridCol w:w="705"/>
        <w:gridCol w:w="388"/>
        <w:gridCol w:w="1178"/>
        <w:gridCol w:w="923"/>
        <w:gridCol w:w="473"/>
        <w:gridCol w:w="781"/>
      </w:tblGrid>
      <w:tr w14:paraId="7E78AE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60" w:type="dxa"/>
            <w:vMerge w:val="restart"/>
            <w:vAlign w:val="center"/>
          </w:tcPr>
          <w:p w14:paraId="6B78039F">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废水量</w:t>
            </w:r>
          </w:p>
        </w:tc>
        <w:tc>
          <w:tcPr>
            <w:tcW w:w="843" w:type="dxa"/>
            <w:vMerge w:val="restart"/>
            <w:vAlign w:val="center"/>
          </w:tcPr>
          <w:p w14:paraId="785353D2">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污染物名称</w:t>
            </w:r>
          </w:p>
        </w:tc>
        <w:tc>
          <w:tcPr>
            <w:tcW w:w="2049" w:type="dxa"/>
            <w:gridSpan w:val="2"/>
            <w:vAlign w:val="center"/>
          </w:tcPr>
          <w:p w14:paraId="1E327C40">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污染物产生情况</w:t>
            </w:r>
          </w:p>
        </w:tc>
        <w:tc>
          <w:tcPr>
            <w:tcW w:w="1481" w:type="dxa"/>
            <w:gridSpan w:val="3"/>
            <w:vAlign w:val="center"/>
          </w:tcPr>
          <w:p w14:paraId="17DFDA5D">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治理措施</w:t>
            </w:r>
          </w:p>
        </w:tc>
        <w:tc>
          <w:tcPr>
            <w:tcW w:w="2101" w:type="dxa"/>
            <w:gridSpan w:val="2"/>
            <w:vAlign w:val="center"/>
          </w:tcPr>
          <w:p w14:paraId="28FC74D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color w:val="auto"/>
                <w:sz w:val="21"/>
                <w:szCs w:val="21"/>
              </w:rPr>
              <w:t>污染物排放情况（纳管量）</w:t>
            </w:r>
          </w:p>
        </w:tc>
        <w:tc>
          <w:tcPr>
            <w:tcW w:w="473" w:type="dxa"/>
            <w:vMerge w:val="restart"/>
            <w:vAlign w:val="center"/>
          </w:tcPr>
          <w:p w14:paraId="6FA2EBA4">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排放方式</w:t>
            </w:r>
          </w:p>
        </w:tc>
        <w:tc>
          <w:tcPr>
            <w:tcW w:w="781" w:type="dxa"/>
            <w:vMerge w:val="restart"/>
            <w:vAlign w:val="center"/>
          </w:tcPr>
          <w:p w14:paraId="6B5BE19D">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排放去向</w:t>
            </w:r>
          </w:p>
        </w:tc>
      </w:tr>
      <w:tr w14:paraId="753708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60" w:type="dxa"/>
            <w:vMerge w:val="continue"/>
            <w:vAlign w:val="center"/>
          </w:tcPr>
          <w:p w14:paraId="3CC2F114">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p>
        </w:tc>
        <w:tc>
          <w:tcPr>
            <w:tcW w:w="843" w:type="dxa"/>
            <w:vMerge w:val="continue"/>
            <w:vAlign w:val="center"/>
          </w:tcPr>
          <w:p w14:paraId="0AC4D26D">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p>
        </w:tc>
        <w:tc>
          <w:tcPr>
            <w:tcW w:w="1178" w:type="dxa"/>
            <w:vAlign w:val="center"/>
          </w:tcPr>
          <w:p w14:paraId="2A164154">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产生浓度（mg/L）</w:t>
            </w:r>
          </w:p>
        </w:tc>
        <w:tc>
          <w:tcPr>
            <w:tcW w:w="871" w:type="dxa"/>
            <w:vAlign w:val="center"/>
          </w:tcPr>
          <w:p w14:paraId="1CF62EB3">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产生量</w:t>
            </w:r>
          </w:p>
          <w:p w14:paraId="0C870653">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（t/a）</w:t>
            </w:r>
          </w:p>
        </w:tc>
        <w:tc>
          <w:tcPr>
            <w:tcW w:w="388" w:type="dxa"/>
            <w:vAlign w:val="center"/>
          </w:tcPr>
          <w:p w14:paraId="72B6A533">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治理措施</w:t>
            </w:r>
          </w:p>
        </w:tc>
        <w:tc>
          <w:tcPr>
            <w:tcW w:w="705" w:type="dxa"/>
            <w:vAlign w:val="center"/>
          </w:tcPr>
          <w:p w14:paraId="1B48D477">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是否为可行性技术</w:t>
            </w:r>
          </w:p>
        </w:tc>
        <w:tc>
          <w:tcPr>
            <w:tcW w:w="388" w:type="dxa"/>
            <w:vAlign w:val="center"/>
          </w:tcPr>
          <w:p w14:paraId="50DCD46B">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处理效率</w:t>
            </w:r>
          </w:p>
        </w:tc>
        <w:tc>
          <w:tcPr>
            <w:tcW w:w="1178" w:type="dxa"/>
            <w:vAlign w:val="center"/>
          </w:tcPr>
          <w:p w14:paraId="65B203FA">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排放浓度（mg/L）</w:t>
            </w:r>
          </w:p>
        </w:tc>
        <w:tc>
          <w:tcPr>
            <w:tcW w:w="923" w:type="dxa"/>
            <w:vAlign w:val="center"/>
          </w:tcPr>
          <w:p w14:paraId="3239B21C">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排放量（t/a）</w:t>
            </w:r>
          </w:p>
        </w:tc>
        <w:tc>
          <w:tcPr>
            <w:tcW w:w="473" w:type="dxa"/>
            <w:vMerge w:val="continue"/>
            <w:vAlign w:val="center"/>
          </w:tcPr>
          <w:p w14:paraId="51345F93">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p>
        </w:tc>
        <w:tc>
          <w:tcPr>
            <w:tcW w:w="781" w:type="dxa"/>
            <w:vMerge w:val="continue"/>
            <w:vAlign w:val="center"/>
          </w:tcPr>
          <w:p w14:paraId="0AF799E4">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rPr>
            </w:pPr>
          </w:p>
        </w:tc>
      </w:tr>
      <w:tr w14:paraId="01D7A3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60" w:type="dxa"/>
            <w:vMerge w:val="restart"/>
            <w:vAlign w:val="center"/>
          </w:tcPr>
          <w:p w14:paraId="0A21C41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生活污水</w:t>
            </w:r>
            <w:r>
              <w:rPr>
                <w:rFonts w:hint="default" w:ascii="Times New Roman" w:hAnsi="Times New Roman" w:cs="Times New Roman"/>
                <w:color w:val="auto"/>
                <w:spacing w:val="15"/>
                <w:sz w:val="21"/>
                <w:szCs w:val="21"/>
                <w:highlight w:val="none"/>
                <w:lang w:val="en-US" w:eastAsia="zh-CN"/>
              </w:rPr>
              <w:t>7424m</w:t>
            </w:r>
            <w:r>
              <w:rPr>
                <w:rFonts w:hint="default" w:ascii="Times New Roman" w:hAnsi="Times New Roman" w:cs="Times New Roman"/>
                <w:color w:val="auto"/>
                <w:spacing w:val="15"/>
                <w:sz w:val="21"/>
                <w:szCs w:val="21"/>
                <w:highlight w:val="none"/>
                <w:vertAlign w:val="superscript"/>
                <w:lang w:val="en-US" w:eastAsia="zh-CN"/>
              </w:rPr>
              <w:t>3</w:t>
            </w:r>
            <w:r>
              <w:rPr>
                <w:rFonts w:hint="default" w:ascii="Times New Roman" w:hAnsi="Times New Roman" w:cs="Times New Roman"/>
                <w:color w:val="auto"/>
                <w:spacing w:val="15"/>
                <w:sz w:val="21"/>
                <w:szCs w:val="21"/>
                <w:highlight w:val="none"/>
                <w:lang w:val="en-US" w:eastAsia="zh-CN"/>
              </w:rPr>
              <w:t>/a</w:t>
            </w:r>
          </w:p>
        </w:tc>
        <w:tc>
          <w:tcPr>
            <w:tcW w:w="843" w:type="dxa"/>
            <w:vAlign w:val="center"/>
          </w:tcPr>
          <w:p w14:paraId="71B29067">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COD</w:t>
            </w:r>
          </w:p>
        </w:tc>
        <w:tc>
          <w:tcPr>
            <w:tcW w:w="1178" w:type="dxa"/>
            <w:vAlign w:val="center"/>
          </w:tcPr>
          <w:p w14:paraId="4FFDFB0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400</w:t>
            </w:r>
          </w:p>
        </w:tc>
        <w:tc>
          <w:tcPr>
            <w:tcW w:w="871" w:type="dxa"/>
            <w:vAlign w:val="center"/>
          </w:tcPr>
          <w:p w14:paraId="28CCE88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2.97</w:t>
            </w:r>
          </w:p>
        </w:tc>
        <w:tc>
          <w:tcPr>
            <w:tcW w:w="388" w:type="dxa"/>
            <w:vMerge w:val="restart"/>
            <w:vAlign w:val="center"/>
          </w:tcPr>
          <w:p w14:paraId="65B02AE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w:t>
            </w:r>
          </w:p>
        </w:tc>
        <w:tc>
          <w:tcPr>
            <w:tcW w:w="705" w:type="dxa"/>
            <w:vMerge w:val="restart"/>
            <w:vAlign w:val="center"/>
          </w:tcPr>
          <w:p w14:paraId="34A022F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w:t>
            </w:r>
          </w:p>
        </w:tc>
        <w:tc>
          <w:tcPr>
            <w:tcW w:w="388" w:type="dxa"/>
            <w:vMerge w:val="restart"/>
            <w:vAlign w:val="center"/>
          </w:tcPr>
          <w:p w14:paraId="7F017DB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78" w:type="dxa"/>
            <w:shd w:val="clear" w:color="auto" w:fill="auto"/>
            <w:vAlign w:val="center"/>
          </w:tcPr>
          <w:p w14:paraId="79878984">
            <w:pPr>
              <w:keepNext w:val="0"/>
              <w:keepLines w:val="0"/>
              <w:widowControl/>
              <w:suppressLineNumbers w:val="0"/>
              <w:spacing w:before="0" w:beforeAutospacing="0" w:after="0" w:afterAutospacing="0" w:line="276" w:lineRule="auto"/>
              <w:ind w:left="0" w:leftChars="0" w:right="0" w:rightChars="0"/>
              <w:jc w:val="center"/>
              <w:rPr>
                <w:rFonts w:hint="default" w:ascii="Times New Roman" w:hAnsi="Times New Roman" w:cs="Times New Roman" w:eastAsiaTheme="majorEastAsia"/>
                <w:color w:val="auto"/>
                <w:kern w:val="2"/>
                <w:sz w:val="21"/>
                <w:szCs w:val="21"/>
                <w:lang w:val="en-US" w:eastAsia="zh-CN" w:bidi="ar-SA"/>
              </w:rPr>
            </w:pPr>
            <w:r>
              <w:rPr>
                <w:rFonts w:ascii="Times New Roman" w:hAnsi="Times New Roman" w:cs="Times New Roman" w:eastAsiaTheme="majorEastAsia"/>
                <w:color w:val="auto"/>
                <w:sz w:val="21"/>
                <w:szCs w:val="21"/>
              </w:rPr>
              <w:t>/</w:t>
            </w:r>
          </w:p>
        </w:tc>
        <w:tc>
          <w:tcPr>
            <w:tcW w:w="923" w:type="dxa"/>
            <w:shd w:val="clear" w:color="auto" w:fill="auto"/>
            <w:vAlign w:val="center"/>
          </w:tcPr>
          <w:p w14:paraId="5C93EFC9">
            <w:pPr>
              <w:keepNext w:val="0"/>
              <w:keepLines w:val="0"/>
              <w:widowControl/>
              <w:suppressLineNumbers w:val="0"/>
              <w:spacing w:before="0" w:beforeAutospacing="0" w:after="0" w:afterAutospacing="0" w:line="276" w:lineRule="auto"/>
              <w:ind w:left="0" w:leftChars="0" w:right="0" w:rightChars="0"/>
              <w:jc w:val="center"/>
              <w:rPr>
                <w:rFonts w:hint="default" w:ascii="Times New Roman" w:hAnsi="Times New Roman" w:cs="Times New Roman" w:eastAsiaTheme="majorEastAsia"/>
                <w:color w:val="auto"/>
                <w:kern w:val="2"/>
                <w:sz w:val="21"/>
                <w:szCs w:val="21"/>
                <w:lang w:val="en-US" w:eastAsia="zh-CN" w:bidi="ar-SA"/>
              </w:rPr>
            </w:pPr>
            <w:r>
              <w:rPr>
                <w:rFonts w:ascii="Times New Roman" w:hAnsi="Times New Roman" w:cs="Times New Roman" w:eastAsiaTheme="majorEastAsia"/>
                <w:color w:val="auto"/>
                <w:sz w:val="21"/>
                <w:szCs w:val="21"/>
              </w:rPr>
              <w:t>/</w:t>
            </w:r>
          </w:p>
        </w:tc>
        <w:tc>
          <w:tcPr>
            <w:tcW w:w="473" w:type="dxa"/>
            <w:vMerge w:val="restart"/>
            <w:vAlign w:val="center"/>
          </w:tcPr>
          <w:p w14:paraId="0A8DB61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81" w:type="dxa"/>
            <w:vMerge w:val="restart"/>
            <w:vAlign w:val="center"/>
          </w:tcPr>
          <w:p w14:paraId="3198D6A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44D828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60" w:type="dxa"/>
            <w:vMerge w:val="continue"/>
            <w:vAlign w:val="center"/>
          </w:tcPr>
          <w:p w14:paraId="1EE960D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43" w:type="dxa"/>
            <w:vAlign w:val="center"/>
          </w:tcPr>
          <w:p w14:paraId="233E647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BOD</w:t>
            </w:r>
            <w:r>
              <w:rPr>
                <w:rFonts w:hint="default" w:ascii="Times New Roman" w:hAnsi="Times New Roman" w:eastAsia="宋体" w:cs="Times New Roman"/>
                <w:color w:val="auto"/>
                <w:sz w:val="21"/>
                <w:szCs w:val="21"/>
                <w:vertAlign w:val="subscript"/>
              </w:rPr>
              <w:t>5</w:t>
            </w:r>
          </w:p>
        </w:tc>
        <w:tc>
          <w:tcPr>
            <w:tcW w:w="1178" w:type="dxa"/>
            <w:vAlign w:val="center"/>
          </w:tcPr>
          <w:p w14:paraId="11AD7E1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200</w:t>
            </w:r>
          </w:p>
        </w:tc>
        <w:tc>
          <w:tcPr>
            <w:tcW w:w="871" w:type="dxa"/>
            <w:vAlign w:val="center"/>
          </w:tcPr>
          <w:p w14:paraId="583E36F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1.48</w:t>
            </w:r>
          </w:p>
        </w:tc>
        <w:tc>
          <w:tcPr>
            <w:tcW w:w="388" w:type="dxa"/>
            <w:vMerge w:val="continue"/>
            <w:vAlign w:val="center"/>
          </w:tcPr>
          <w:p w14:paraId="1C72C1D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705" w:type="dxa"/>
            <w:vMerge w:val="continue"/>
            <w:vAlign w:val="center"/>
          </w:tcPr>
          <w:p w14:paraId="355F112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388" w:type="dxa"/>
            <w:vMerge w:val="continue"/>
            <w:vAlign w:val="center"/>
          </w:tcPr>
          <w:p w14:paraId="63073A6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1178" w:type="dxa"/>
            <w:vAlign w:val="center"/>
          </w:tcPr>
          <w:p w14:paraId="6EFD7E21">
            <w:pPr>
              <w:keepNext w:val="0"/>
              <w:keepLines w:val="0"/>
              <w:widowControl/>
              <w:suppressLineNumbers w:val="0"/>
              <w:spacing w:before="0" w:beforeAutospacing="0" w:after="0" w:afterAutospacing="0" w:line="276" w:lineRule="auto"/>
              <w:ind w:left="0" w:leftChars="0" w:right="0" w:rightChars="0"/>
              <w:jc w:val="center"/>
              <w:rPr>
                <w:rFonts w:hint="default" w:ascii="Times New Roman" w:hAnsi="Times New Roman" w:eastAsia="宋体" w:cs="Times New Roman"/>
                <w:color w:val="auto"/>
                <w:sz w:val="21"/>
                <w:szCs w:val="21"/>
              </w:rPr>
            </w:pPr>
            <w:r>
              <w:rPr>
                <w:rFonts w:ascii="Times New Roman" w:hAnsi="Times New Roman" w:cs="Times New Roman" w:eastAsiaTheme="majorEastAsia"/>
                <w:color w:val="auto"/>
                <w:sz w:val="21"/>
                <w:szCs w:val="21"/>
              </w:rPr>
              <w:t>/</w:t>
            </w:r>
          </w:p>
        </w:tc>
        <w:tc>
          <w:tcPr>
            <w:tcW w:w="923" w:type="dxa"/>
            <w:vAlign w:val="center"/>
          </w:tcPr>
          <w:p w14:paraId="7E24A042">
            <w:pPr>
              <w:keepNext w:val="0"/>
              <w:keepLines w:val="0"/>
              <w:widowControl/>
              <w:suppressLineNumbers w:val="0"/>
              <w:spacing w:before="0" w:beforeAutospacing="0" w:after="0" w:afterAutospacing="0" w:line="276" w:lineRule="auto"/>
              <w:ind w:left="0" w:leftChars="0" w:right="0" w:rightChars="0"/>
              <w:jc w:val="center"/>
              <w:rPr>
                <w:rFonts w:hint="default" w:ascii="Times New Roman" w:hAnsi="Times New Roman" w:eastAsia="宋体" w:cs="Times New Roman"/>
                <w:color w:val="auto"/>
                <w:sz w:val="21"/>
                <w:szCs w:val="21"/>
              </w:rPr>
            </w:pPr>
            <w:r>
              <w:rPr>
                <w:rFonts w:ascii="Times New Roman" w:hAnsi="Times New Roman" w:cs="Times New Roman" w:eastAsiaTheme="majorEastAsia"/>
                <w:color w:val="auto"/>
                <w:sz w:val="21"/>
                <w:szCs w:val="21"/>
              </w:rPr>
              <w:t>/</w:t>
            </w:r>
          </w:p>
        </w:tc>
        <w:tc>
          <w:tcPr>
            <w:tcW w:w="473" w:type="dxa"/>
            <w:vMerge w:val="continue"/>
            <w:vAlign w:val="center"/>
          </w:tcPr>
          <w:p w14:paraId="31A39E0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81" w:type="dxa"/>
            <w:vMerge w:val="continue"/>
            <w:vAlign w:val="center"/>
          </w:tcPr>
          <w:p w14:paraId="22CC04E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14:paraId="4C1335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60" w:type="dxa"/>
            <w:vMerge w:val="continue"/>
            <w:vAlign w:val="center"/>
          </w:tcPr>
          <w:p w14:paraId="0AF1F9F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43" w:type="dxa"/>
            <w:vAlign w:val="center"/>
          </w:tcPr>
          <w:p w14:paraId="3F7C485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SS</w:t>
            </w:r>
          </w:p>
        </w:tc>
        <w:tc>
          <w:tcPr>
            <w:tcW w:w="1178" w:type="dxa"/>
            <w:vAlign w:val="center"/>
          </w:tcPr>
          <w:p w14:paraId="7F84E39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250</w:t>
            </w:r>
          </w:p>
        </w:tc>
        <w:tc>
          <w:tcPr>
            <w:tcW w:w="871" w:type="dxa"/>
            <w:vAlign w:val="center"/>
          </w:tcPr>
          <w:p w14:paraId="75F198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1.86</w:t>
            </w:r>
          </w:p>
        </w:tc>
        <w:tc>
          <w:tcPr>
            <w:tcW w:w="388" w:type="dxa"/>
            <w:vMerge w:val="continue"/>
            <w:vAlign w:val="center"/>
          </w:tcPr>
          <w:p w14:paraId="5DD552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705" w:type="dxa"/>
            <w:vMerge w:val="continue"/>
            <w:vAlign w:val="center"/>
          </w:tcPr>
          <w:p w14:paraId="579E85B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388" w:type="dxa"/>
            <w:vMerge w:val="continue"/>
            <w:vAlign w:val="center"/>
          </w:tcPr>
          <w:p w14:paraId="02D7109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1178" w:type="dxa"/>
            <w:vAlign w:val="center"/>
          </w:tcPr>
          <w:p w14:paraId="46A8C4E3">
            <w:pPr>
              <w:keepNext w:val="0"/>
              <w:keepLines w:val="0"/>
              <w:widowControl/>
              <w:suppressLineNumbers w:val="0"/>
              <w:spacing w:before="0" w:beforeAutospacing="0" w:after="0" w:afterAutospacing="0" w:line="276" w:lineRule="auto"/>
              <w:ind w:left="0" w:leftChars="0" w:right="0" w:rightChars="0"/>
              <w:jc w:val="center"/>
              <w:rPr>
                <w:rFonts w:hint="default" w:ascii="Times New Roman" w:hAnsi="Times New Roman" w:eastAsia="宋体" w:cs="Times New Roman"/>
                <w:color w:val="auto"/>
                <w:sz w:val="21"/>
                <w:szCs w:val="21"/>
              </w:rPr>
            </w:pPr>
            <w:r>
              <w:rPr>
                <w:rFonts w:ascii="Times New Roman" w:hAnsi="Times New Roman" w:cs="Times New Roman" w:eastAsiaTheme="majorEastAsia"/>
                <w:color w:val="auto"/>
                <w:sz w:val="21"/>
                <w:szCs w:val="21"/>
              </w:rPr>
              <w:t>/</w:t>
            </w:r>
          </w:p>
        </w:tc>
        <w:tc>
          <w:tcPr>
            <w:tcW w:w="923" w:type="dxa"/>
            <w:vAlign w:val="center"/>
          </w:tcPr>
          <w:p w14:paraId="3B9AC617">
            <w:pPr>
              <w:keepNext w:val="0"/>
              <w:keepLines w:val="0"/>
              <w:widowControl/>
              <w:suppressLineNumbers w:val="0"/>
              <w:spacing w:before="0" w:beforeAutospacing="0" w:after="0" w:afterAutospacing="0" w:line="276" w:lineRule="auto"/>
              <w:ind w:left="0" w:leftChars="0" w:right="0" w:rightChars="0"/>
              <w:jc w:val="center"/>
              <w:rPr>
                <w:rFonts w:hint="default" w:ascii="Times New Roman" w:hAnsi="Times New Roman" w:eastAsia="宋体" w:cs="Times New Roman"/>
                <w:color w:val="auto"/>
                <w:sz w:val="21"/>
                <w:szCs w:val="21"/>
              </w:rPr>
            </w:pPr>
            <w:r>
              <w:rPr>
                <w:rFonts w:ascii="Times New Roman" w:hAnsi="Times New Roman" w:cs="Times New Roman" w:eastAsiaTheme="majorEastAsia"/>
                <w:color w:val="auto"/>
                <w:sz w:val="21"/>
                <w:szCs w:val="21"/>
              </w:rPr>
              <w:t>/</w:t>
            </w:r>
          </w:p>
        </w:tc>
        <w:tc>
          <w:tcPr>
            <w:tcW w:w="473" w:type="dxa"/>
            <w:vMerge w:val="continue"/>
            <w:vAlign w:val="center"/>
          </w:tcPr>
          <w:p w14:paraId="63FF5BB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81" w:type="dxa"/>
            <w:vMerge w:val="continue"/>
            <w:vAlign w:val="center"/>
          </w:tcPr>
          <w:p w14:paraId="6C2BEDD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14:paraId="2B38C6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60" w:type="dxa"/>
            <w:vMerge w:val="continue"/>
            <w:vAlign w:val="center"/>
          </w:tcPr>
          <w:p w14:paraId="03F2E8E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43" w:type="dxa"/>
            <w:shd w:val="clear" w:color="auto" w:fill="auto"/>
            <w:vAlign w:val="center"/>
          </w:tcPr>
          <w:p w14:paraId="44E4821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w:t>
            </w:r>
          </w:p>
        </w:tc>
        <w:tc>
          <w:tcPr>
            <w:tcW w:w="1178" w:type="dxa"/>
            <w:shd w:val="clear" w:color="auto" w:fill="auto"/>
            <w:vAlign w:val="center"/>
          </w:tcPr>
          <w:p w14:paraId="5657F58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35</w:t>
            </w:r>
          </w:p>
        </w:tc>
        <w:tc>
          <w:tcPr>
            <w:tcW w:w="871" w:type="dxa"/>
            <w:shd w:val="clear" w:color="auto" w:fill="auto"/>
            <w:vAlign w:val="center"/>
          </w:tcPr>
          <w:p w14:paraId="528EE64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0.26</w:t>
            </w:r>
          </w:p>
        </w:tc>
        <w:tc>
          <w:tcPr>
            <w:tcW w:w="388" w:type="dxa"/>
            <w:vMerge w:val="continue"/>
            <w:vAlign w:val="center"/>
          </w:tcPr>
          <w:p w14:paraId="7C973A2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705" w:type="dxa"/>
            <w:vMerge w:val="continue"/>
            <w:vAlign w:val="center"/>
          </w:tcPr>
          <w:p w14:paraId="44D5723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388" w:type="dxa"/>
            <w:vMerge w:val="continue"/>
            <w:vAlign w:val="center"/>
          </w:tcPr>
          <w:p w14:paraId="58A179B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1178" w:type="dxa"/>
            <w:shd w:val="clear" w:color="auto" w:fill="auto"/>
            <w:vAlign w:val="center"/>
          </w:tcPr>
          <w:p w14:paraId="0FC55E32">
            <w:pPr>
              <w:keepNext w:val="0"/>
              <w:keepLines w:val="0"/>
              <w:widowControl/>
              <w:suppressLineNumbers w:val="0"/>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ascii="Times New Roman" w:hAnsi="Times New Roman" w:cs="Times New Roman" w:eastAsiaTheme="majorEastAsia"/>
                <w:color w:val="auto"/>
                <w:sz w:val="21"/>
                <w:szCs w:val="21"/>
              </w:rPr>
              <w:t>/</w:t>
            </w:r>
          </w:p>
        </w:tc>
        <w:tc>
          <w:tcPr>
            <w:tcW w:w="923" w:type="dxa"/>
            <w:shd w:val="clear" w:color="auto" w:fill="auto"/>
            <w:vAlign w:val="center"/>
          </w:tcPr>
          <w:p w14:paraId="77B6476D">
            <w:pPr>
              <w:keepNext w:val="0"/>
              <w:keepLines w:val="0"/>
              <w:widowControl/>
              <w:suppressLineNumbers w:val="0"/>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ascii="Times New Roman" w:hAnsi="Times New Roman" w:cs="Times New Roman" w:eastAsiaTheme="majorEastAsia"/>
                <w:color w:val="auto"/>
                <w:sz w:val="21"/>
                <w:szCs w:val="21"/>
              </w:rPr>
              <w:t>/</w:t>
            </w:r>
          </w:p>
        </w:tc>
        <w:tc>
          <w:tcPr>
            <w:tcW w:w="473" w:type="dxa"/>
            <w:vMerge w:val="continue"/>
            <w:vAlign w:val="center"/>
          </w:tcPr>
          <w:p w14:paraId="6C2C964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81" w:type="dxa"/>
            <w:vMerge w:val="continue"/>
            <w:vAlign w:val="center"/>
          </w:tcPr>
          <w:p w14:paraId="4434C08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14:paraId="1004B5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60" w:type="dxa"/>
            <w:vMerge w:val="continue"/>
            <w:vAlign w:val="center"/>
          </w:tcPr>
          <w:p w14:paraId="569A609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43" w:type="dxa"/>
            <w:vAlign w:val="center"/>
          </w:tcPr>
          <w:p w14:paraId="43DD164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动植物油</w:t>
            </w:r>
          </w:p>
        </w:tc>
        <w:tc>
          <w:tcPr>
            <w:tcW w:w="1178" w:type="dxa"/>
            <w:vAlign w:val="center"/>
          </w:tcPr>
          <w:p w14:paraId="0E7215C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w:t>
            </w:r>
          </w:p>
        </w:tc>
        <w:tc>
          <w:tcPr>
            <w:tcW w:w="871" w:type="dxa"/>
            <w:vAlign w:val="center"/>
          </w:tcPr>
          <w:p w14:paraId="39ACFED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0.3</w:t>
            </w:r>
          </w:p>
        </w:tc>
        <w:tc>
          <w:tcPr>
            <w:tcW w:w="388" w:type="dxa"/>
            <w:vMerge w:val="continue"/>
            <w:vAlign w:val="center"/>
          </w:tcPr>
          <w:p w14:paraId="6F58B32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705" w:type="dxa"/>
            <w:vMerge w:val="continue"/>
            <w:vAlign w:val="center"/>
          </w:tcPr>
          <w:p w14:paraId="405667E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388" w:type="dxa"/>
            <w:vMerge w:val="continue"/>
            <w:vAlign w:val="center"/>
          </w:tcPr>
          <w:p w14:paraId="4327354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1178" w:type="dxa"/>
            <w:vAlign w:val="center"/>
          </w:tcPr>
          <w:p w14:paraId="1F6015EE">
            <w:pPr>
              <w:keepNext w:val="0"/>
              <w:keepLines w:val="0"/>
              <w:widowControl/>
              <w:suppressLineNumbers w:val="0"/>
              <w:spacing w:before="0" w:beforeAutospacing="0" w:after="0" w:afterAutospacing="0" w:line="276" w:lineRule="auto"/>
              <w:ind w:left="0" w:leftChars="0" w:right="0" w:rightChars="0"/>
              <w:jc w:val="center"/>
              <w:rPr>
                <w:rFonts w:hint="default" w:ascii="Times New Roman" w:hAnsi="Times New Roman" w:eastAsia="宋体" w:cs="Times New Roman"/>
                <w:color w:val="auto"/>
                <w:sz w:val="21"/>
                <w:szCs w:val="21"/>
                <w:lang w:val="en-US" w:eastAsia="zh-CN"/>
              </w:rPr>
            </w:pPr>
            <w:r>
              <w:rPr>
                <w:rFonts w:ascii="Times New Roman" w:hAnsi="Times New Roman" w:cs="Times New Roman" w:eastAsiaTheme="majorEastAsia"/>
                <w:color w:val="auto"/>
                <w:sz w:val="21"/>
                <w:szCs w:val="21"/>
              </w:rPr>
              <w:t>/</w:t>
            </w:r>
          </w:p>
        </w:tc>
        <w:tc>
          <w:tcPr>
            <w:tcW w:w="923" w:type="dxa"/>
            <w:vAlign w:val="center"/>
          </w:tcPr>
          <w:p w14:paraId="34F7E90D">
            <w:pPr>
              <w:keepNext w:val="0"/>
              <w:keepLines w:val="0"/>
              <w:widowControl/>
              <w:suppressLineNumbers w:val="0"/>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0"/>
                <w:sz w:val="21"/>
                <w:szCs w:val="21"/>
                <w:lang w:val="en-US" w:eastAsia="zh-CN"/>
              </w:rPr>
            </w:pPr>
            <w:r>
              <w:rPr>
                <w:rFonts w:ascii="Times New Roman" w:hAnsi="Times New Roman" w:cs="Times New Roman" w:eastAsiaTheme="majorEastAsia"/>
                <w:color w:val="auto"/>
                <w:sz w:val="21"/>
                <w:szCs w:val="21"/>
              </w:rPr>
              <w:t>/</w:t>
            </w:r>
          </w:p>
        </w:tc>
        <w:tc>
          <w:tcPr>
            <w:tcW w:w="473" w:type="dxa"/>
            <w:vMerge w:val="continue"/>
            <w:vAlign w:val="center"/>
          </w:tcPr>
          <w:p w14:paraId="0D0CF5C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81" w:type="dxa"/>
            <w:vMerge w:val="continue"/>
            <w:vAlign w:val="center"/>
          </w:tcPr>
          <w:p w14:paraId="3D7568D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14:paraId="03B56C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560" w:type="dxa"/>
            <w:vMerge w:val="restart"/>
            <w:vAlign w:val="center"/>
          </w:tcPr>
          <w:p w14:paraId="10AACA8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冷却塔循环冷却废水</w:t>
            </w:r>
            <w:r>
              <w:rPr>
                <w:rFonts w:hint="eastAsia" w:ascii="Times New Roman" w:hAnsi="Times New Roman" w:cs="Times New Roman"/>
                <w:color w:val="auto"/>
                <w:spacing w:val="15"/>
                <w:sz w:val="21"/>
                <w:szCs w:val="21"/>
                <w:highlight w:val="none"/>
                <w:lang w:val="en-US" w:eastAsia="zh-CN"/>
              </w:rPr>
              <w:t>870m</w:t>
            </w:r>
            <w:r>
              <w:rPr>
                <w:rFonts w:hint="eastAsia" w:ascii="Times New Roman" w:hAnsi="Times New Roman" w:cs="Times New Roman"/>
                <w:color w:val="auto"/>
                <w:spacing w:val="15"/>
                <w:sz w:val="21"/>
                <w:szCs w:val="21"/>
                <w:highlight w:val="none"/>
                <w:vertAlign w:val="superscript"/>
                <w:lang w:val="en-US" w:eastAsia="zh-CN"/>
              </w:rPr>
              <w:t>3</w:t>
            </w:r>
            <w:r>
              <w:rPr>
                <w:rFonts w:hint="eastAsia" w:ascii="Times New Roman" w:hAnsi="Times New Roman" w:cs="Times New Roman"/>
                <w:color w:val="auto"/>
                <w:spacing w:val="15"/>
                <w:sz w:val="21"/>
                <w:szCs w:val="21"/>
                <w:highlight w:val="none"/>
                <w:lang w:val="en-US" w:eastAsia="zh-CN"/>
              </w:rPr>
              <w:t>/a</w:t>
            </w:r>
          </w:p>
        </w:tc>
        <w:tc>
          <w:tcPr>
            <w:tcW w:w="843" w:type="dxa"/>
            <w:shd w:val="clear" w:color="auto" w:fill="auto"/>
            <w:vAlign w:val="center"/>
          </w:tcPr>
          <w:p w14:paraId="388E60D9">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eastAsia="zh-CN"/>
              </w:rPr>
              <w:t>COD</w:t>
            </w:r>
          </w:p>
        </w:tc>
        <w:tc>
          <w:tcPr>
            <w:tcW w:w="1178" w:type="dxa"/>
            <w:vAlign w:val="center"/>
          </w:tcPr>
          <w:p w14:paraId="0AAF04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w:t>
            </w:r>
          </w:p>
        </w:tc>
        <w:tc>
          <w:tcPr>
            <w:tcW w:w="871" w:type="dxa"/>
            <w:vAlign w:val="center"/>
          </w:tcPr>
          <w:p w14:paraId="35E7C5A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w:t>
            </w:r>
          </w:p>
        </w:tc>
        <w:tc>
          <w:tcPr>
            <w:tcW w:w="388" w:type="dxa"/>
            <w:vMerge w:val="restart"/>
            <w:vAlign w:val="center"/>
          </w:tcPr>
          <w:p w14:paraId="16A387D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05" w:type="dxa"/>
            <w:vMerge w:val="restart"/>
            <w:vAlign w:val="center"/>
          </w:tcPr>
          <w:p w14:paraId="0D45D74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8" w:type="dxa"/>
            <w:vMerge w:val="restart"/>
            <w:vAlign w:val="center"/>
          </w:tcPr>
          <w:p w14:paraId="6580147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178" w:type="dxa"/>
            <w:vAlign w:val="center"/>
          </w:tcPr>
          <w:p w14:paraId="518E1BFD">
            <w:pPr>
              <w:keepNext w:val="0"/>
              <w:keepLines w:val="0"/>
              <w:widowControl/>
              <w:suppressLineNumbers w:val="0"/>
              <w:spacing w:before="0" w:beforeAutospacing="0" w:after="0" w:afterAutospacing="0" w:line="276" w:lineRule="auto"/>
              <w:ind w:left="0" w:leftChars="0" w:right="0" w:rightChars="0"/>
              <w:jc w:val="center"/>
              <w:rPr>
                <w:rFonts w:hint="default" w:ascii="Times New Roman" w:hAnsi="Times New Roman" w:eastAsia="宋体" w:cs="Times New Roman"/>
                <w:color w:val="auto"/>
                <w:sz w:val="21"/>
                <w:szCs w:val="21"/>
                <w:lang w:val="en-US" w:eastAsia="zh-CN"/>
              </w:rPr>
            </w:pPr>
            <w:r>
              <w:rPr>
                <w:rFonts w:ascii="Times New Roman" w:hAnsi="Times New Roman" w:cs="Times New Roman" w:eastAsiaTheme="majorEastAsia"/>
                <w:color w:val="auto"/>
                <w:sz w:val="21"/>
                <w:szCs w:val="21"/>
              </w:rPr>
              <w:t>/</w:t>
            </w:r>
          </w:p>
        </w:tc>
        <w:tc>
          <w:tcPr>
            <w:tcW w:w="923" w:type="dxa"/>
            <w:vAlign w:val="center"/>
          </w:tcPr>
          <w:p w14:paraId="5ECE9C6C">
            <w:pPr>
              <w:keepNext w:val="0"/>
              <w:keepLines w:val="0"/>
              <w:widowControl/>
              <w:suppressLineNumbers w:val="0"/>
              <w:spacing w:before="0" w:beforeAutospacing="0" w:after="0" w:afterAutospacing="0" w:line="276" w:lineRule="auto"/>
              <w:ind w:left="0" w:leftChars="0" w:right="0" w:rightChars="0"/>
              <w:jc w:val="center"/>
              <w:rPr>
                <w:rFonts w:hint="default" w:ascii="Times New Roman" w:hAnsi="Times New Roman" w:eastAsia="宋体" w:cs="Times New Roman"/>
                <w:color w:val="auto"/>
                <w:sz w:val="21"/>
                <w:szCs w:val="21"/>
                <w:lang w:val="en-US" w:eastAsia="zh-CN"/>
              </w:rPr>
            </w:pPr>
            <w:r>
              <w:rPr>
                <w:rFonts w:ascii="Times New Roman" w:hAnsi="Times New Roman" w:cs="Times New Roman" w:eastAsiaTheme="majorEastAsia"/>
                <w:color w:val="auto"/>
                <w:sz w:val="21"/>
                <w:szCs w:val="21"/>
              </w:rPr>
              <w:t>/</w:t>
            </w:r>
          </w:p>
        </w:tc>
        <w:tc>
          <w:tcPr>
            <w:tcW w:w="473" w:type="dxa"/>
            <w:vMerge w:val="restart"/>
            <w:vAlign w:val="center"/>
          </w:tcPr>
          <w:p w14:paraId="51B0A5D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81" w:type="dxa"/>
            <w:vMerge w:val="restart"/>
            <w:vAlign w:val="center"/>
          </w:tcPr>
          <w:p w14:paraId="1C9166C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19B542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60" w:type="dxa"/>
            <w:vMerge w:val="continue"/>
            <w:vAlign w:val="center"/>
          </w:tcPr>
          <w:p w14:paraId="4855F24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43" w:type="dxa"/>
            <w:shd w:val="clear" w:color="auto" w:fill="auto"/>
            <w:vAlign w:val="center"/>
          </w:tcPr>
          <w:p w14:paraId="68AB797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SS</w:t>
            </w:r>
          </w:p>
        </w:tc>
        <w:tc>
          <w:tcPr>
            <w:tcW w:w="1178" w:type="dxa"/>
            <w:vAlign w:val="center"/>
          </w:tcPr>
          <w:p w14:paraId="41795E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871" w:type="dxa"/>
            <w:vAlign w:val="center"/>
          </w:tcPr>
          <w:p w14:paraId="59A9FF1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w:t>
            </w:r>
          </w:p>
        </w:tc>
        <w:tc>
          <w:tcPr>
            <w:tcW w:w="388" w:type="dxa"/>
            <w:vMerge w:val="continue"/>
            <w:vAlign w:val="center"/>
          </w:tcPr>
          <w:p w14:paraId="30153B2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705" w:type="dxa"/>
            <w:vMerge w:val="continue"/>
            <w:vAlign w:val="center"/>
          </w:tcPr>
          <w:p w14:paraId="299AA44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388" w:type="dxa"/>
            <w:vMerge w:val="continue"/>
            <w:vAlign w:val="center"/>
          </w:tcPr>
          <w:p w14:paraId="2047D77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1178" w:type="dxa"/>
            <w:vAlign w:val="center"/>
          </w:tcPr>
          <w:p w14:paraId="5DEA32CC">
            <w:pPr>
              <w:keepNext w:val="0"/>
              <w:keepLines w:val="0"/>
              <w:widowControl/>
              <w:suppressLineNumbers w:val="0"/>
              <w:spacing w:before="0" w:beforeAutospacing="0" w:after="0" w:afterAutospacing="0" w:line="276" w:lineRule="auto"/>
              <w:ind w:left="0" w:leftChars="0" w:right="0" w:rightChars="0"/>
              <w:jc w:val="center"/>
              <w:rPr>
                <w:rFonts w:hint="default" w:ascii="Times New Roman" w:hAnsi="Times New Roman" w:eastAsia="宋体" w:cs="Times New Roman"/>
                <w:color w:val="auto"/>
                <w:sz w:val="21"/>
                <w:szCs w:val="21"/>
                <w:lang w:val="en-US" w:eastAsia="zh-CN"/>
              </w:rPr>
            </w:pPr>
            <w:r>
              <w:rPr>
                <w:rFonts w:ascii="Times New Roman" w:hAnsi="Times New Roman" w:cs="Times New Roman" w:eastAsiaTheme="majorEastAsia"/>
                <w:color w:val="auto"/>
                <w:sz w:val="21"/>
                <w:szCs w:val="21"/>
              </w:rPr>
              <w:t>/</w:t>
            </w:r>
          </w:p>
        </w:tc>
        <w:tc>
          <w:tcPr>
            <w:tcW w:w="923" w:type="dxa"/>
            <w:vAlign w:val="center"/>
          </w:tcPr>
          <w:p w14:paraId="5C203E09">
            <w:pPr>
              <w:keepNext w:val="0"/>
              <w:keepLines w:val="0"/>
              <w:widowControl/>
              <w:suppressLineNumbers w:val="0"/>
              <w:spacing w:before="0" w:beforeAutospacing="0" w:after="0" w:afterAutospacing="0" w:line="276" w:lineRule="auto"/>
              <w:ind w:left="0" w:leftChars="0" w:right="0" w:rightChars="0"/>
              <w:jc w:val="center"/>
              <w:rPr>
                <w:rFonts w:hint="default" w:ascii="Times New Roman" w:hAnsi="Times New Roman" w:eastAsia="宋体" w:cs="Times New Roman"/>
                <w:color w:val="auto"/>
                <w:sz w:val="21"/>
                <w:szCs w:val="21"/>
                <w:lang w:val="en-US" w:eastAsia="zh-CN"/>
              </w:rPr>
            </w:pPr>
            <w:r>
              <w:rPr>
                <w:rFonts w:ascii="Times New Roman" w:hAnsi="Times New Roman" w:cs="Times New Roman" w:eastAsiaTheme="majorEastAsia"/>
                <w:color w:val="auto"/>
                <w:sz w:val="21"/>
                <w:szCs w:val="21"/>
              </w:rPr>
              <w:t>/</w:t>
            </w:r>
          </w:p>
        </w:tc>
        <w:tc>
          <w:tcPr>
            <w:tcW w:w="473" w:type="dxa"/>
            <w:vMerge w:val="continue"/>
            <w:vAlign w:val="center"/>
          </w:tcPr>
          <w:p w14:paraId="3508C2E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81" w:type="dxa"/>
            <w:vMerge w:val="continue"/>
            <w:vAlign w:val="center"/>
          </w:tcPr>
          <w:p w14:paraId="4BA421E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14:paraId="74F04C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60" w:type="dxa"/>
            <w:vMerge w:val="restart"/>
            <w:vAlign w:val="center"/>
          </w:tcPr>
          <w:p w14:paraId="2F4D9DE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综合废水</w:t>
            </w:r>
            <w:r>
              <w:rPr>
                <w:rFonts w:hint="eastAsia" w:ascii="Times New Roman" w:hAnsi="Times New Roman" w:cs="Times New Roman"/>
                <w:color w:val="auto"/>
                <w:spacing w:val="15"/>
                <w:sz w:val="21"/>
                <w:szCs w:val="21"/>
                <w:highlight w:val="none"/>
                <w:lang w:val="en-US" w:eastAsia="zh-CN"/>
              </w:rPr>
              <w:t>8294m</w:t>
            </w:r>
            <w:r>
              <w:rPr>
                <w:rFonts w:hint="eastAsia" w:ascii="Times New Roman" w:hAnsi="Times New Roman" w:cs="Times New Roman"/>
                <w:color w:val="auto"/>
                <w:spacing w:val="15"/>
                <w:sz w:val="21"/>
                <w:szCs w:val="21"/>
                <w:highlight w:val="none"/>
                <w:vertAlign w:val="superscript"/>
                <w:lang w:val="en-US" w:eastAsia="zh-CN"/>
              </w:rPr>
              <w:t>3</w:t>
            </w:r>
            <w:r>
              <w:rPr>
                <w:rFonts w:hint="eastAsia" w:ascii="Times New Roman" w:hAnsi="Times New Roman" w:cs="Times New Roman"/>
                <w:color w:val="auto"/>
                <w:spacing w:val="15"/>
                <w:sz w:val="21"/>
                <w:szCs w:val="21"/>
                <w:highlight w:val="none"/>
                <w:lang w:val="en-US" w:eastAsia="zh-CN"/>
              </w:rPr>
              <w:t>/a</w:t>
            </w:r>
          </w:p>
        </w:tc>
        <w:tc>
          <w:tcPr>
            <w:tcW w:w="843" w:type="dxa"/>
            <w:shd w:val="clear" w:color="auto" w:fill="auto"/>
            <w:vAlign w:val="center"/>
          </w:tcPr>
          <w:p w14:paraId="32B5AF57">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eastAsia="zh-CN"/>
              </w:rPr>
              <w:t>COD</w:t>
            </w:r>
          </w:p>
        </w:tc>
        <w:tc>
          <w:tcPr>
            <w:tcW w:w="1178" w:type="dxa"/>
            <w:vAlign w:val="center"/>
          </w:tcPr>
          <w:p w14:paraId="7AC70E1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364</w:t>
            </w:r>
          </w:p>
        </w:tc>
        <w:tc>
          <w:tcPr>
            <w:tcW w:w="871" w:type="dxa"/>
            <w:vAlign w:val="center"/>
          </w:tcPr>
          <w:p w14:paraId="28389F0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3.02</w:t>
            </w:r>
          </w:p>
        </w:tc>
        <w:tc>
          <w:tcPr>
            <w:tcW w:w="388" w:type="dxa"/>
            <w:vMerge w:val="restart"/>
            <w:shd w:val="clear" w:color="auto" w:fill="auto"/>
            <w:vAlign w:val="center"/>
          </w:tcPr>
          <w:p w14:paraId="59152A5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705" w:type="dxa"/>
            <w:vMerge w:val="restart"/>
            <w:shd w:val="clear" w:color="auto" w:fill="auto"/>
            <w:vAlign w:val="center"/>
          </w:tcPr>
          <w:p w14:paraId="40CC292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388" w:type="dxa"/>
            <w:vMerge w:val="restart"/>
            <w:shd w:val="clear" w:color="auto" w:fill="auto"/>
            <w:vAlign w:val="center"/>
          </w:tcPr>
          <w:p w14:paraId="1F63F34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178" w:type="dxa"/>
            <w:vAlign w:val="center"/>
          </w:tcPr>
          <w:p w14:paraId="3DB1B27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364</w:t>
            </w:r>
          </w:p>
        </w:tc>
        <w:tc>
          <w:tcPr>
            <w:tcW w:w="923" w:type="dxa"/>
            <w:vAlign w:val="center"/>
          </w:tcPr>
          <w:p w14:paraId="6FB9B12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3.02</w:t>
            </w:r>
          </w:p>
        </w:tc>
        <w:tc>
          <w:tcPr>
            <w:tcW w:w="473" w:type="dxa"/>
            <w:vMerge w:val="restart"/>
            <w:shd w:val="clear" w:color="auto" w:fill="auto"/>
            <w:vAlign w:val="center"/>
          </w:tcPr>
          <w:p w14:paraId="789CC40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间接排放</w:t>
            </w:r>
          </w:p>
        </w:tc>
        <w:tc>
          <w:tcPr>
            <w:tcW w:w="781" w:type="dxa"/>
            <w:vMerge w:val="restart"/>
            <w:shd w:val="clear" w:color="auto" w:fill="auto"/>
            <w:vAlign w:val="center"/>
          </w:tcPr>
          <w:p w14:paraId="2E75B75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排入五常市牛家满族镇污水处理厂</w:t>
            </w:r>
          </w:p>
        </w:tc>
      </w:tr>
      <w:tr w14:paraId="79CD2B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60" w:type="dxa"/>
            <w:vMerge w:val="continue"/>
            <w:vAlign w:val="center"/>
          </w:tcPr>
          <w:p w14:paraId="06C9B7A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43" w:type="dxa"/>
            <w:shd w:val="clear" w:color="auto" w:fill="auto"/>
            <w:vAlign w:val="center"/>
          </w:tcPr>
          <w:p w14:paraId="032BBBA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BOD</w:t>
            </w:r>
            <w:r>
              <w:rPr>
                <w:rFonts w:hint="default" w:ascii="Times New Roman" w:hAnsi="Times New Roman" w:eastAsia="宋体" w:cs="Times New Roman"/>
                <w:color w:val="auto"/>
                <w:sz w:val="21"/>
                <w:szCs w:val="21"/>
                <w:vertAlign w:val="subscript"/>
              </w:rPr>
              <w:t>5</w:t>
            </w:r>
          </w:p>
        </w:tc>
        <w:tc>
          <w:tcPr>
            <w:tcW w:w="1178" w:type="dxa"/>
            <w:vAlign w:val="center"/>
          </w:tcPr>
          <w:p w14:paraId="7A3F848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178</w:t>
            </w:r>
          </w:p>
        </w:tc>
        <w:tc>
          <w:tcPr>
            <w:tcW w:w="871" w:type="dxa"/>
            <w:vAlign w:val="center"/>
          </w:tcPr>
          <w:p w14:paraId="72201C7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1.48</w:t>
            </w:r>
          </w:p>
        </w:tc>
        <w:tc>
          <w:tcPr>
            <w:tcW w:w="388" w:type="dxa"/>
            <w:vMerge w:val="continue"/>
            <w:vAlign w:val="center"/>
          </w:tcPr>
          <w:p w14:paraId="0CFDEE0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705" w:type="dxa"/>
            <w:vMerge w:val="continue"/>
            <w:vAlign w:val="center"/>
          </w:tcPr>
          <w:p w14:paraId="28A28EA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388" w:type="dxa"/>
            <w:vMerge w:val="continue"/>
            <w:vAlign w:val="center"/>
          </w:tcPr>
          <w:p w14:paraId="613D2D3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1178" w:type="dxa"/>
            <w:vAlign w:val="center"/>
          </w:tcPr>
          <w:p w14:paraId="4BB7DA8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178</w:t>
            </w:r>
          </w:p>
        </w:tc>
        <w:tc>
          <w:tcPr>
            <w:tcW w:w="923" w:type="dxa"/>
            <w:vAlign w:val="center"/>
          </w:tcPr>
          <w:p w14:paraId="65A69FC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1.48</w:t>
            </w:r>
          </w:p>
        </w:tc>
        <w:tc>
          <w:tcPr>
            <w:tcW w:w="473" w:type="dxa"/>
            <w:vMerge w:val="continue"/>
            <w:vAlign w:val="center"/>
          </w:tcPr>
          <w:p w14:paraId="586DE33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81" w:type="dxa"/>
            <w:vMerge w:val="continue"/>
            <w:vAlign w:val="center"/>
          </w:tcPr>
          <w:p w14:paraId="56553A1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14:paraId="7699D6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60" w:type="dxa"/>
            <w:vMerge w:val="continue"/>
            <w:vAlign w:val="center"/>
          </w:tcPr>
          <w:p w14:paraId="2FB2FD6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43" w:type="dxa"/>
            <w:shd w:val="clear" w:color="auto" w:fill="auto"/>
            <w:vAlign w:val="center"/>
          </w:tcPr>
          <w:p w14:paraId="3E6519C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SS</w:t>
            </w:r>
          </w:p>
        </w:tc>
        <w:tc>
          <w:tcPr>
            <w:tcW w:w="1178" w:type="dxa"/>
            <w:vAlign w:val="center"/>
          </w:tcPr>
          <w:p w14:paraId="372A98E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225</w:t>
            </w:r>
          </w:p>
        </w:tc>
        <w:tc>
          <w:tcPr>
            <w:tcW w:w="871" w:type="dxa"/>
            <w:vAlign w:val="center"/>
          </w:tcPr>
          <w:p w14:paraId="0F8C948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1.87</w:t>
            </w:r>
          </w:p>
        </w:tc>
        <w:tc>
          <w:tcPr>
            <w:tcW w:w="388" w:type="dxa"/>
            <w:vMerge w:val="continue"/>
            <w:vAlign w:val="center"/>
          </w:tcPr>
          <w:p w14:paraId="2C72BDC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705" w:type="dxa"/>
            <w:vMerge w:val="continue"/>
            <w:vAlign w:val="center"/>
          </w:tcPr>
          <w:p w14:paraId="46CC876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388" w:type="dxa"/>
            <w:vMerge w:val="continue"/>
            <w:vAlign w:val="center"/>
          </w:tcPr>
          <w:p w14:paraId="08A12AD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1178" w:type="dxa"/>
            <w:vAlign w:val="center"/>
          </w:tcPr>
          <w:p w14:paraId="58166EF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225</w:t>
            </w:r>
          </w:p>
        </w:tc>
        <w:tc>
          <w:tcPr>
            <w:tcW w:w="923" w:type="dxa"/>
            <w:vAlign w:val="center"/>
          </w:tcPr>
          <w:p w14:paraId="7EC73FB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1.87</w:t>
            </w:r>
          </w:p>
        </w:tc>
        <w:tc>
          <w:tcPr>
            <w:tcW w:w="473" w:type="dxa"/>
            <w:vMerge w:val="continue"/>
            <w:vAlign w:val="center"/>
          </w:tcPr>
          <w:p w14:paraId="0D0F3EC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81" w:type="dxa"/>
            <w:vMerge w:val="continue"/>
            <w:vAlign w:val="center"/>
          </w:tcPr>
          <w:p w14:paraId="1C5E7C3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14:paraId="2BDD85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60" w:type="dxa"/>
            <w:vMerge w:val="continue"/>
            <w:vAlign w:val="center"/>
          </w:tcPr>
          <w:p w14:paraId="6F039CF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43" w:type="dxa"/>
            <w:shd w:val="clear" w:color="auto" w:fill="auto"/>
            <w:vAlign w:val="center"/>
          </w:tcPr>
          <w:p w14:paraId="5312A54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w:t>
            </w:r>
          </w:p>
        </w:tc>
        <w:tc>
          <w:tcPr>
            <w:tcW w:w="1178" w:type="dxa"/>
            <w:vAlign w:val="center"/>
          </w:tcPr>
          <w:p w14:paraId="028007D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31</w:t>
            </w:r>
          </w:p>
        </w:tc>
        <w:tc>
          <w:tcPr>
            <w:tcW w:w="871" w:type="dxa"/>
            <w:vAlign w:val="center"/>
          </w:tcPr>
          <w:p w14:paraId="53A3963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0.26</w:t>
            </w:r>
          </w:p>
        </w:tc>
        <w:tc>
          <w:tcPr>
            <w:tcW w:w="388" w:type="dxa"/>
            <w:vMerge w:val="continue"/>
            <w:vAlign w:val="center"/>
          </w:tcPr>
          <w:p w14:paraId="1B89645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705" w:type="dxa"/>
            <w:vMerge w:val="continue"/>
            <w:vAlign w:val="center"/>
          </w:tcPr>
          <w:p w14:paraId="3E2670B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388" w:type="dxa"/>
            <w:vMerge w:val="continue"/>
            <w:vAlign w:val="center"/>
          </w:tcPr>
          <w:p w14:paraId="6B80639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1178" w:type="dxa"/>
            <w:vAlign w:val="center"/>
          </w:tcPr>
          <w:p w14:paraId="3608B46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31</w:t>
            </w:r>
          </w:p>
        </w:tc>
        <w:tc>
          <w:tcPr>
            <w:tcW w:w="923" w:type="dxa"/>
            <w:vAlign w:val="center"/>
          </w:tcPr>
          <w:p w14:paraId="204DCAA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0.26</w:t>
            </w:r>
          </w:p>
        </w:tc>
        <w:tc>
          <w:tcPr>
            <w:tcW w:w="473" w:type="dxa"/>
            <w:vMerge w:val="continue"/>
            <w:vAlign w:val="center"/>
          </w:tcPr>
          <w:p w14:paraId="5296DF4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81" w:type="dxa"/>
            <w:vMerge w:val="continue"/>
            <w:vAlign w:val="center"/>
          </w:tcPr>
          <w:p w14:paraId="66587D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14:paraId="6EBCB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60" w:type="dxa"/>
            <w:vMerge w:val="continue"/>
            <w:vAlign w:val="center"/>
          </w:tcPr>
          <w:p w14:paraId="6EEF024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43" w:type="dxa"/>
            <w:shd w:val="clear" w:color="auto" w:fill="auto"/>
            <w:vAlign w:val="center"/>
          </w:tcPr>
          <w:p w14:paraId="12750DE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动植物油</w:t>
            </w:r>
          </w:p>
        </w:tc>
        <w:tc>
          <w:tcPr>
            <w:tcW w:w="1178" w:type="dxa"/>
            <w:vAlign w:val="center"/>
          </w:tcPr>
          <w:p w14:paraId="117E84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36</w:t>
            </w:r>
          </w:p>
        </w:tc>
        <w:tc>
          <w:tcPr>
            <w:tcW w:w="871" w:type="dxa"/>
            <w:vAlign w:val="center"/>
          </w:tcPr>
          <w:p w14:paraId="5A6EE9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w:t>
            </w:r>
          </w:p>
        </w:tc>
        <w:tc>
          <w:tcPr>
            <w:tcW w:w="388" w:type="dxa"/>
            <w:vMerge w:val="continue"/>
            <w:vAlign w:val="center"/>
          </w:tcPr>
          <w:p w14:paraId="0A50EEF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705" w:type="dxa"/>
            <w:vMerge w:val="continue"/>
            <w:vAlign w:val="center"/>
          </w:tcPr>
          <w:p w14:paraId="6807A93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388" w:type="dxa"/>
            <w:vMerge w:val="continue"/>
            <w:vAlign w:val="center"/>
          </w:tcPr>
          <w:p w14:paraId="591F64A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yellow"/>
              </w:rPr>
            </w:pPr>
          </w:p>
        </w:tc>
        <w:tc>
          <w:tcPr>
            <w:tcW w:w="1178" w:type="dxa"/>
            <w:vAlign w:val="center"/>
          </w:tcPr>
          <w:p w14:paraId="00B21FC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36</w:t>
            </w:r>
          </w:p>
        </w:tc>
        <w:tc>
          <w:tcPr>
            <w:tcW w:w="923" w:type="dxa"/>
            <w:vAlign w:val="center"/>
          </w:tcPr>
          <w:p w14:paraId="2BA4120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w:t>
            </w:r>
          </w:p>
        </w:tc>
        <w:tc>
          <w:tcPr>
            <w:tcW w:w="473" w:type="dxa"/>
            <w:vMerge w:val="continue"/>
            <w:vAlign w:val="center"/>
          </w:tcPr>
          <w:p w14:paraId="0E770A9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81" w:type="dxa"/>
            <w:vMerge w:val="continue"/>
            <w:vAlign w:val="center"/>
          </w:tcPr>
          <w:p w14:paraId="20C0E51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bl>
    <w:p w14:paraId="3980106D">
      <w:pPr>
        <w:spacing w:line="360" w:lineRule="auto"/>
        <w:outlineLvl w:val="3"/>
        <w:rPr>
          <w:rFonts w:hint="eastAsia" w:eastAsia="宋体"/>
          <w:color w:val="auto"/>
          <w:lang w:val="en-US" w:eastAsia="zh-CN"/>
        </w:rPr>
      </w:pPr>
      <w:r>
        <w:rPr>
          <w:b/>
          <w:color w:val="auto"/>
          <w:sz w:val="24"/>
          <w:highlight w:val="none"/>
        </w:rPr>
        <w:t>3.3.</w:t>
      </w:r>
      <w:r>
        <w:rPr>
          <w:rFonts w:hint="eastAsia" w:eastAsia="宋体"/>
          <w:b/>
          <w:color w:val="auto"/>
          <w:sz w:val="24"/>
          <w:highlight w:val="none"/>
          <w:lang w:val="en-US" w:eastAsia="zh-CN"/>
        </w:rPr>
        <w:t>2</w:t>
      </w:r>
      <w:r>
        <w:rPr>
          <w:b/>
          <w:color w:val="auto"/>
          <w:sz w:val="24"/>
          <w:highlight w:val="none"/>
        </w:rPr>
        <w:t>.</w:t>
      </w:r>
      <w:r>
        <w:rPr>
          <w:rFonts w:hint="eastAsia"/>
          <w:b/>
          <w:color w:val="auto"/>
          <w:sz w:val="24"/>
          <w:highlight w:val="none"/>
        </w:rPr>
        <w:t>2废气</w:t>
      </w:r>
    </w:p>
    <w:p w14:paraId="2E948E8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本项目产生的废气主要为注塑废气、除尘废气、破碎粉尘、喷涂废气（调漆废气、喷漆废气、流平废气、烘干废气）、管道及喷枪清洗废气、丝印废气、天然气燃烧机废气、打磨及抛光粉尘、发泡废气、配胶、喷胶及烘干废气、焊接废气。</w:t>
      </w:r>
    </w:p>
    <w:p w14:paraId="29720F4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1、注塑废气</w:t>
      </w:r>
    </w:p>
    <w:p w14:paraId="77CE216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注塑生产线共设置27台注塑机，项目在每台注塑机出口设置集气罩对注塑废气进行收集，然后汇入一套“四级活性炭”装置处理后，尾气通过一根15m高排气筒(DA001)排放；集气罩收集效率为90%，风量为30000m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/h，“四级活性炭”处理有机废气效率为93.75%（苯乙烯处理效率为0，根据《挥发性有机物治理实用手册》（第二版），固定床吸附系统对酮类、苯乙烯等气体吸附较差），注塑生产线年生产时间为6960h。</w:t>
      </w:r>
    </w:p>
    <w:p w14:paraId="33AA555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1）非甲烷总烃</w:t>
      </w:r>
    </w:p>
    <w:p w14:paraId="26FEA60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非甲烷总烃产生量参照《排放源统计调查产排污核算方法和系数手册》中（C33-37，431-434）机械行业系数树脂纤维加工产污系数，注塑工序挥发性有机物的产污系数为1.20kg/t-原料，项目注塑工序的原料用量为4000t/a，因此注塑工序非甲烷总烃产生量约为4.8t/a，0.69kg/h。有组织非甲烷总烃产生量约为4.32t/a，0.621kg/h、产生浓度为20.69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，有组织非甲烷总烃排放量约为0.27t/a，0.039kg/h、排放浓度为1.293mg/m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，无组织非甲烷总烃产生量约为0.48t/a，0.069kg/h。</w:t>
      </w:r>
    </w:p>
    <w:p w14:paraId="4FC7509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2）苯乙烯、丙烯腈、乙苯</w:t>
      </w:r>
    </w:p>
    <w:p w14:paraId="0804435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项目注塑年使用</w:t>
      </w:r>
      <w:r>
        <w:rPr>
          <w:rFonts w:hint="eastAsia" w:ascii="Times New Roman" w:hAnsi="Times New Roman" w:cs="Times New Roman"/>
          <w:color w:val="auto"/>
          <w:sz w:val="24"/>
          <w:highlight w:val="none"/>
          <w:lang w:val="en-US" w:eastAsia="zh-CN"/>
        </w:rPr>
        <w:t>ABS、</w:t>
      </w:r>
      <w:r>
        <w:rPr>
          <w:rFonts w:hint="default" w:ascii="Times New Roman" w:hAnsi="Times New Roman" w:cs="Times New Roman"/>
          <w:color w:val="auto"/>
          <w:sz w:val="24"/>
          <w:highlight w:val="none"/>
          <w:lang w:val="en-US" w:eastAsia="zh-CN"/>
        </w:rPr>
        <w:t>PC+ABS塑料粒子合计</w:t>
      </w:r>
      <w:r>
        <w:rPr>
          <w:rFonts w:hint="eastAsia" w:ascii="Times New Roman" w:hAnsi="Times New Roman" w:cs="Times New Roman"/>
          <w:color w:val="auto"/>
          <w:sz w:val="24"/>
          <w:highlight w:val="none"/>
          <w:lang w:val="en-US" w:eastAsia="zh-CN"/>
        </w:rPr>
        <w:t>2000t</w:t>
      </w:r>
      <w:r>
        <w:rPr>
          <w:rFonts w:hint="default" w:ascii="Times New Roman" w:hAnsi="Times New Roman" w:cs="Times New Roman"/>
          <w:color w:val="auto"/>
          <w:sz w:val="24"/>
          <w:highlight w:val="none"/>
          <w:lang w:val="en-US" w:eastAsia="zh-CN"/>
        </w:rPr>
        <w:t>，根据《丙烯腈-丁二烯-苯乙烯塑料残留单体含量的研究》(李丽，炼油与化工，第27季)，苯乙烯单体含量为</w:t>
      </w:r>
      <w:r>
        <w:rPr>
          <w:rFonts w:hint="eastAsia"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lang w:val="en-US" w:eastAsia="zh-CN"/>
        </w:rPr>
        <w:t>5.55mg/kg</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乙苯单体含量15.34mg/kg，丙烯腈单体含量为10.63mg/kg，则苯乙烯产生量为</w:t>
      </w:r>
      <w:r>
        <w:rPr>
          <w:rFonts w:hint="eastAsia" w:ascii="Times New Roman" w:hAnsi="Times New Roman" w:cs="Times New Roman"/>
          <w:color w:val="auto"/>
          <w:sz w:val="24"/>
          <w:highlight w:val="none"/>
          <w:lang w:val="en-US" w:eastAsia="zh-CN"/>
        </w:rPr>
        <w:t>0.0511t/a，</w:t>
      </w:r>
      <w:r>
        <w:rPr>
          <w:rFonts w:hint="default" w:ascii="Times New Roman" w:hAnsi="Times New Roman" w:cs="Times New Roman"/>
          <w:color w:val="auto"/>
          <w:sz w:val="24"/>
          <w:highlight w:val="none"/>
          <w:lang w:val="en-US" w:eastAsia="zh-CN"/>
        </w:rPr>
        <w:t>丙烯腈产生量为</w:t>
      </w:r>
      <w:r>
        <w:rPr>
          <w:rFonts w:hint="eastAsia" w:ascii="Times New Roman" w:hAnsi="Times New Roman" w:cs="Times New Roman"/>
          <w:color w:val="auto"/>
          <w:sz w:val="24"/>
          <w:highlight w:val="none"/>
          <w:lang w:val="en-US" w:eastAsia="zh-CN"/>
        </w:rPr>
        <w:t>0.0213</w:t>
      </w:r>
      <w:r>
        <w:rPr>
          <w:rFonts w:hint="default" w:ascii="Times New Roman" w:hAnsi="Times New Roman" w:cs="Times New Roman"/>
          <w:color w:val="auto"/>
          <w:sz w:val="24"/>
          <w:highlight w:val="none"/>
          <w:lang w:val="en-US" w:eastAsia="zh-CN"/>
        </w:rPr>
        <w:t>t/a，乙苯产生量为</w:t>
      </w:r>
      <w:r>
        <w:rPr>
          <w:rFonts w:hint="eastAsia" w:ascii="Times New Roman" w:hAnsi="Times New Roman" w:cs="Times New Roman"/>
          <w:color w:val="auto"/>
          <w:sz w:val="24"/>
          <w:highlight w:val="none"/>
          <w:lang w:val="en-US" w:eastAsia="zh-CN"/>
        </w:rPr>
        <w:t>0.0307</w:t>
      </w:r>
      <w:r>
        <w:rPr>
          <w:rFonts w:hint="default" w:ascii="Times New Roman" w:hAnsi="Times New Roman" w:cs="Times New Roman"/>
          <w:color w:val="auto"/>
          <w:sz w:val="24"/>
          <w:highlight w:val="none"/>
          <w:lang w:val="en-US" w:eastAsia="zh-CN"/>
        </w:rPr>
        <w:t>t/a。</w:t>
      </w:r>
      <w:r>
        <w:rPr>
          <w:rFonts w:hint="eastAsia" w:ascii="Times New Roman" w:hAnsi="Times New Roman" w:cs="Times New Roman"/>
          <w:color w:val="auto"/>
          <w:sz w:val="24"/>
          <w:highlight w:val="none"/>
          <w:lang w:val="en-US" w:eastAsia="zh-CN"/>
        </w:rPr>
        <w:t>有组织苯乙烯产生量及排放量约为0.046t/a，0.007kg/h、产生及排放浓度为0.239mg/m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。无组织苯乙烯产生量约为0.005t/a，0.0007kg/h。有组织</w:t>
      </w:r>
      <w:r>
        <w:rPr>
          <w:rFonts w:hint="default" w:ascii="Times New Roman" w:hAnsi="Times New Roman" w:cs="Times New Roman"/>
          <w:color w:val="auto"/>
          <w:sz w:val="24"/>
          <w:highlight w:val="none"/>
          <w:lang w:val="en-US" w:eastAsia="zh-CN"/>
        </w:rPr>
        <w:t>丙烯腈</w:t>
      </w:r>
      <w:r>
        <w:rPr>
          <w:rFonts w:hint="eastAsia" w:ascii="Times New Roman" w:hAnsi="Times New Roman" w:cs="Times New Roman"/>
          <w:color w:val="auto"/>
          <w:sz w:val="24"/>
          <w:highlight w:val="none"/>
          <w:lang w:val="en-US" w:eastAsia="zh-CN"/>
        </w:rPr>
        <w:t>产生量约为0.019t/a，0.0027kg/h、产生浓度为0.091mg/m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，有组织</w:t>
      </w:r>
      <w:r>
        <w:rPr>
          <w:rFonts w:hint="default" w:ascii="Times New Roman" w:hAnsi="Times New Roman" w:cs="Times New Roman"/>
          <w:color w:val="auto"/>
          <w:sz w:val="24"/>
          <w:highlight w:val="none"/>
          <w:lang w:val="en-US" w:eastAsia="zh-CN"/>
        </w:rPr>
        <w:t>丙烯腈</w:t>
      </w:r>
      <w:r>
        <w:rPr>
          <w:rFonts w:hint="eastAsia" w:ascii="Times New Roman" w:hAnsi="Times New Roman" w:cs="Times New Roman"/>
          <w:color w:val="auto"/>
          <w:sz w:val="24"/>
          <w:highlight w:val="none"/>
          <w:lang w:val="en-US" w:eastAsia="zh-CN"/>
        </w:rPr>
        <w:t>排放量约为0.001t/a，0.0002kg/h、排放浓度为0.006mg/m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。无组织</w:t>
      </w:r>
      <w:r>
        <w:rPr>
          <w:rFonts w:hint="default" w:ascii="Times New Roman" w:hAnsi="Times New Roman" w:cs="Times New Roman"/>
          <w:color w:val="auto"/>
          <w:sz w:val="24"/>
          <w:highlight w:val="none"/>
          <w:lang w:val="en-US" w:eastAsia="zh-CN"/>
        </w:rPr>
        <w:t>丙烯腈</w:t>
      </w:r>
      <w:r>
        <w:rPr>
          <w:rFonts w:hint="eastAsia" w:ascii="Times New Roman" w:hAnsi="Times New Roman" w:cs="Times New Roman"/>
          <w:color w:val="auto"/>
          <w:sz w:val="24"/>
          <w:highlight w:val="none"/>
          <w:lang w:val="en-US" w:eastAsia="zh-CN"/>
        </w:rPr>
        <w:t>产生量约为0.002t/a，0.0003kg/h。有组织</w:t>
      </w:r>
      <w:r>
        <w:rPr>
          <w:rFonts w:hint="default" w:ascii="Times New Roman" w:hAnsi="Times New Roman" w:cs="Times New Roman"/>
          <w:color w:val="auto"/>
          <w:sz w:val="24"/>
          <w:highlight w:val="none"/>
          <w:lang w:val="en-US" w:eastAsia="zh-CN"/>
        </w:rPr>
        <w:t>乙苯</w:t>
      </w:r>
      <w:r>
        <w:rPr>
          <w:rFonts w:hint="eastAsia" w:ascii="Times New Roman" w:hAnsi="Times New Roman" w:cs="Times New Roman"/>
          <w:color w:val="auto"/>
          <w:sz w:val="24"/>
          <w:highlight w:val="none"/>
          <w:lang w:val="en-US" w:eastAsia="zh-CN"/>
        </w:rPr>
        <w:t>产生量约为0.028t/a，0.0036kg/h、产生浓度为0.134mg/m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，有组织</w:t>
      </w:r>
      <w:r>
        <w:rPr>
          <w:rFonts w:hint="default" w:ascii="Times New Roman" w:hAnsi="Times New Roman" w:cs="Times New Roman"/>
          <w:color w:val="auto"/>
          <w:sz w:val="24"/>
          <w:highlight w:val="none"/>
          <w:lang w:val="en-US" w:eastAsia="zh-CN"/>
        </w:rPr>
        <w:t>乙苯</w:t>
      </w:r>
      <w:r>
        <w:rPr>
          <w:rFonts w:hint="eastAsia" w:ascii="Times New Roman" w:hAnsi="Times New Roman" w:cs="Times New Roman"/>
          <w:color w:val="auto"/>
          <w:sz w:val="24"/>
          <w:highlight w:val="none"/>
          <w:lang w:val="en-US" w:eastAsia="zh-CN"/>
        </w:rPr>
        <w:t>排放量约为0.002t/a，0.0002kg/h、排放浓度为0.008mg/m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。无组织</w:t>
      </w:r>
      <w:r>
        <w:rPr>
          <w:rFonts w:hint="default" w:ascii="Times New Roman" w:hAnsi="Times New Roman" w:cs="Times New Roman"/>
          <w:color w:val="auto"/>
          <w:sz w:val="24"/>
          <w:highlight w:val="none"/>
          <w:lang w:val="en-US" w:eastAsia="zh-CN"/>
        </w:rPr>
        <w:t>乙苯</w:t>
      </w:r>
      <w:r>
        <w:rPr>
          <w:rFonts w:hint="eastAsia" w:ascii="Times New Roman" w:hAnsi="Times New Roman" w:cs="Times New Roman"/>
          <w:color w:val="auto"/>
          <w:sz w:val="24"/>
          <w:highlight w:val="none"/>
          <w:lang w:val="en-US" w:eastAsia="zh-CN"/>
        </w:rPr>
        <w:t>产生量约为0.0031t/a，0.0004kg/h。</w:t>
      </w:r>
    </w:p>
    <w:p w14:paraId="0B3A879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3</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甲苯</w:t>
      </w:r>
    </w:p>
    <w:p w14:paraId="6170956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color w:val="FF0000"/>
          <w:sz w:val="24"/>
          <w:highlight w:val="none"/>
          <w:lang w:val="en-US" w:eastAsia="zh-CN"/>
        </w:rPr>
      </w:pPr>
      <w:r>
        <w:rPr>
          <w:rFonts w:hint="default" w:ascii="Times New Roman" w:hAnsi="Times New Roman" w:cs="Times New Roman"/>
          <w:color w:val="auto"/>
          <w:sz w:val="24"/>
          <w:highlight w:val="none"/>
          <w:lang w:val="en-US" w:eastAsia="zh-CN"/>
        </w:rPr>
        <w:t>项目注塑年使用</w:t>
      </w:r>
      <w:r>
        <w:rPr>
          <w:rFonts w:hint="eastAsia" w:ascii="Times New Roman" w:hAnsi="Times New Roman" w:cs="Times New Roman"/>
          <w:color w:val="auto"/>
          <w:sz w:val="24"/>
          <w:highlight w:val="none"/>
          <w:lang w:val="en-US" w:eastAsia="zh-CN"/>
        </w:rPr>
        <w:t>ABS、</w:t>
      </w:r>
      <w:r>
        <w:rPr>
          <w:rFonts w:hint="default" w:ascii="Times New Roman" w:hAnsi="Times New Roman" w:cs="Times New Roman"/>
          <w:color w:val="auto"/>
          <w:sz w:val="24"/>
          <w:highlight w:val="none"/>
          <w:lang w:val="en-US" w:eastAsia="zh-CN"/>
        </w:rPr>
        <w:t>PC+ABS塑料粒子合计</w:t>
      </w:r>
      <w:r>
        <w:rPr>
          <w:rFonts w:hint="eastAsia" w:ascii="Times New Roman" w:hAnsi="Times New Roman" w:cs="Times New Roman"/>
          <w:color w:val="auto"/>
          <w:sz w:val="24"/>
          <w:highlight w:val="none"/>
          <w:lang w:val="en-US" w:eastAsia="zh-CN"/>
        </w:rPr>
        <w:t>2000t</w:t>
      </w:r>
      <w:r>
        <w:rPr>
          <w:rFonts w:hint="default" w:ascii="Times New Roman" w:hAnsi="Times New Roman" w:cs="Times New Roman"/>
          <w:color w:val="auto"/>
          <w:sz w:val="24"/>
          <w:highlight w:val="none"/>
          <w:lang w:val="en-US" w:eastAsia="zh-CN"/>
        </w:rPr>
        <w:t>，根据《丙烯腈-丁二烯-苯乙烯(ABS)塑料中残留单体的溶解沉淀-气相色谱法测定》袁丽凤，邬蓓蕾，崔家玲，华正江)，</w:t>
      </w:r>
      <w:r>
        <w:rPr>
          <w:rFonts w:hint="eastAsia" w:ascii="Times New Roman" w:hAnsi="Times New Roman" w:cs="Times New Roman"/>
          <w:color w:val="auto"/>
          <w:sz w:val="24"/>
          <w:highlight w:val="none"/>
          <w:lang w:val="en-US" w:eastAsia="zh-CN"/>
        </w:rPr>
        <w:t>甲苯</w:t>
      </w:r>
      <w:r>
        <w:rPr>
          <w:rFonts w:hint="default" w:ascii="Times New Roman" w:hAnsi="Times New Roman" w:cs="Times New Roman"/>
          <w:color w:val="auto"/>
          <w:sz w:val="24"/>
          <w:highlight w:val="none"/>
          <w:lang w:val="en-US" w:eastAsia="zh-CN"/>
        </w:rPr>
        <w:t>单体含量33.2mg</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kg，则甲苯产生量为</w:t>
      </w:r>
      <w:r>
        <w:rPr>
          <w:rFonts w:hint="eastAsia" w:ascii="Times New Roman" w:hAnsi="Times New Roman" w:cs="Times New Roman"/>
          <w:color w:val="auto"/>
          <w:sz w:val="24"/>
          <w:highlight w:val="none"/>
          <w:lang w:val="en-US" w:eastAsia="zh-CN"/>
        </w:rPr>
        <w:t>0.0664</w:t>
      </w:r>
      <w:r>
        <w:rPr>
          <w:rFonts w:hint="default" w:ascii="Times New Roman" w:hAnsi="Times New Roman" w:cs="Times New Roman"/>
          <w:color w:val="auto"/>
          <w:sz w:val="24"/>
          <w:highlight w:val="none"/>
          <w:lang w:val="en-US" w:eastAsia="zh-CN"/>
        </w:rPr>
        <w:t>t/a。</w:t>
      </w:r>
      <w:r>
        <w:rPr>
          <w:rFonts w:hint="eastAsia" w:ascii="Times New Roman" w:hAnsi="Times New Roman" w:cs="Times New Roman"/>
          <w:color w:val="auto"/>
          <w:sz w:val="24"/>
          <w:highlight w:val="none"/>
          <w:lang w:val="en-US" w:eastAsia="zh-CN"/>
        </w:rPr>
        <w:t>有组织甲苯产生量约为0.06t/a，0.008kg/h、产生浓度为0.287mg/m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，有组织甲苯排放量约为0.004t/a，0.0005kg/h、排放浓度为0.018mg/m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。无组织甲苯产生量约为0.0066t/a，0.0009kg/h。</w:t>
      </w:r>
    </w:p>
    <w:p w14:paraId="22A4970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lang w:val="en-US" w:eastAsia="zh-CN"/>
        </w:rPr>
        <w:t>1，3-丁二烯</w:t>
      </w:r>
    </w:p>
    <w:p w14:paraId="5ABE476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color w:val="FF0000"/>
          <w:sz w:val="24"/>
          <w:highlight w:val="none"/>
          <w:lang w:val="en-US" w:eastAsia="zh-CN"/>
        </w:rPr>
      </w:pPr>
      <w:r>
        <w:rPr>
          <w:rFonts w:hint="default" w:ascii="Times New Roman" w:hAnsi="Times New Roman" w:cs="Times New Roman"/>
          <w:color w:val="auto"/>
          <w:sz w:val="24"/>
          <w:highlight w:val="none"/>
          <w:lang w:val="en-US" w:eastAsia="zh-CN"/>
        </w:rPr>
        <w:t>项目注塑年使用</w:t>
      </w:r>
      <w:r>
        <w:rPr>
          <w:rFonts w:hint="eastAsia" w:ascii="Times New Roman" w:hAnsi="Times New Roman" w:cs="Times New Roman"/>
          <w:color w:val="auto"/>
          <w:sz w:val="24"/>
          <w:highlight w:val="none"/>
          <w:lang w:val="en-US" w:eastAsia="zh-CN"/>
        </w:rPr>
        <w:t>ABS、</w:t>
      </w:r>
      <w:r>
        <w:rPr>
          <w:rFonts w:hint="default" w:ascii="Times New Roman" w:hAnsi="Times New Roman" w:cs="Times New Roman"/>
          <w:color w:val="auto"/>
          <w:sz w:val="24"/>
          <w:highlight w:val="none"/>
          <w:lang w:val="en-US" w:eastAsia="zh-CN"/>
        </w:rPr>
        <w:t>PC+ABS塑料粒子合计</w:t>
      </w:r>
      <w:r>
        <w:rPr>
          <w:rFonts w:hint="eastAsia" w:ascii="Times New Roman" w:hAnsi="Times New Roman" w:cs="Times New Roman"/>
          <w:color w:val="auto"/>
          <w:sz w:val="24"/>
          <w:highlight w:val="none"/>
          <w:lang w:val="en-US" w:eastAsia="zh-CN"/>
        </w:rPr>
        <w:t>2000t</w:t>
      </w:r>
      <w:r>
        <w:rPr>
          <w:rFonts w:hint="default" w:ascii="Times New Roman" w:hAnsi="Times New Roman" w:cs="Times New Roman"/>
          <w:color w:val="auto"/>
          <w:sz w:val="24"/>
          <w:highlight w:val="none"/>
          <w:lang w:val="en-US" w:eastAsia="zh-CN"/>
        </w:rPr>
        <w:t>，根据《PS和ABS制品中1，3-丁二烯残留量的测定》(陈旭明，刘贵深等，塑料包装)中实验结果</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ABS树脂中1，3-丁二烯单体含量范围为2.15-4.31mg</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kg，本评价按最大值考虑取4.31mgkg，则1，3-丁二烯产生量为</w:t>
      </w:r>
      <w:r>
        <w:rPr>
          <w:rFonts w:hint="eastAsia" w:ascii="Times New Roman" w:hAnsi="Times New Roman" w:cs="Times New Roman"/>
          <w:color w:val="auto"/>
          <w:sz w:val="24"/>
          <w:highlight w:val="none"/>
          <w:lang w:val="en-US" w:eastAsia="zh-CN"/>
        </w:rPr>
        <w:t>0.0086</w:t>
      </w:r>
      <w:r>
        <w:rPr>
          <w:rFonts w:hint="default" w:ascii="Times New Roman" w:hAnsi="Times New Roman" w:cs="Times New Roman"/>
          <w:color w:val="auto"/>
          <w:sz w:val="24"/>
          <w:highlight w:val="none"/>
          <w:lang w:val="en-US" w:eastAsia="zh-CN"/>
        </w:rPr>
        <w:t>t/a。</w:t>
      </w:r>
      <w:r>
        <w:rPr>
          <w:rFonts w:hint="eastAsia" w:ascii="Times New Roman" w:hAnsi="Times New Roman" w:cs="Times New Roman"/>
          <w:color w:val="auto"/>
          <w:sz w:val="24"/>
          <w:highlight w:val="none"/>
          <w:lang w:val="en-US" w:eastAsia="zh-CN"/>
        </w:rPr>
        <w:t>有组织</w:t>
      </w:r>
      <w:r>
        <w:rPr>
          <w:rFonts w:hint="default" w:ascii="Times New Roman" w:hAnsi="Times New Roman" w:cs="Times New Roman"/>
          <w:color w:val="auto"/>
          <w:sz w:val="24"/>
          <w:highlight w:val="none"/>
          <w:lang w:val="en-US" w:eastAsia="zh-CN"/>
        </w:rPr>
        <w:t>1，3-丁二烯</w:t>
      </w:r>
      <w:r>
        <w:rPr>
          <w:rFonts w:hint="eastAsia" w:ascii="Times New Roman" w:hAnsi="Times New Roman" w:cs="Times New Roman"/>
          <w:color w:val="auto"/>
          <w:sz w:val="24"/>
          <w:highlight w:val="none"/>
          <w:lang w:val="en-US" w:eastAsia="zh-CN"/>
        </w:rPr>
        <w:t>产生量约为0.008t/a，0.0009kg/h、产生浓度为0.038mg/m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，有组织</w:t>
      </w:r>
      <w:r>
        <w:rPr>
          <w:rFonts w:hint="default" w:ascii="Times New Roman" w:hAnsi="Times New Roman" w:cs="Times New Roman"/>
          <w:color w:val="auto"/>
          <w:sz w:val="24"/>
          <w:highlight w:val="none"/>
          <w:lang w:val="en-US" w:eastAsia="zh-CN"/>
        </w:rPr>
        <w:t>1，3-丁二烯</w:t>
      </w:r>
      <w:r>
        <w:rPr>
          <w:rFonts w:hint="eastAsia" w:ascii="Times New Roman" w:hAnsi="Times New Roman" w:cs="Times New Roman"/>
          <w:color w:val="auto"/>
          <w:sz w:val="24"/>
          <w:highlight w:val="none"/>
          <w:lang w:val="en-US" w:eastAsia="zh-CN"/>
        </w:rPr>
        <w:t>排放量约为0.0005t/a，0.0001kg/h、排放浓度为0.002mg/m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。无组织</w:t>
      </w:r>
      <w:r>
        <w:rPr>
          <w:rFonts w:hint="default" w:ascii="Times New Roman" w:hAnsi="Times New Roman" w:cs="Times New Roman"/>
          <w:color w:val="auto"/>
          <w:sz w:val="24"/>
          <w:highlight w:val="none"/>
          <w:lang w:val="en-US" w:eastAsia="zh-CN"/>
        </w:rPr>
        <w:t>1，3-丁二烯</w:t>
      </w:r>
      <w:r>
        <w:rPr>
          <w:rFonts w:hint="eastAsia" w:ascii="Times New Roman" w:hAnsi="Times New Roman" w:cs="Times New Roman"/>
          <w:color w:val="auto"/>
          <w:sz w:val="24"/>
          <w:highlight w:val="none"/>
          <w:lang w:val="en-US" w:eastAsia="zh-CN"/>
        </w:rPr>
        <w:t>产生量约为0.0009t/a，0.0001kg/h。</w:t>
      </w:r>
    </w:p>
    <w:p w14:paraId="36CC2A2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5</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酚类</w:t>
      </w:r>
    </w:p>
    <w:p w14:paraId="04A0FA2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项目注塑年使用</w:t>
      </w:r>
      <w:r>
        <w:rPr>
          <w:rFonts w:hint="eastAsia" w:ascii="Times New Roman" w:hAnsi="Times New Roman" w:cs="Times New Roman"/>
          <w:color w:val="auto"/>
          <w:sz w:val="24"/>
          <w:highlight w:val="none"/>
          <w:lang w:val="en-US" w:eastAsia="zh-CN"/>
        </w:rPr>
        <w:t>PC、</w:t>
      </w:r>
      <w:r>
        <w:rPr>
          <w:rFonts w:hint="default" w:ascii="Times New Roman" w:hAnsi="Times New Roman" w:cs="Times New Roman"/>
          <w:color w:val="auto"/>
          <w:sz w:val="24"/>
          <w:highlight w:val="none"/>
          <w:lang w:val="en-US" w:eastAsia="zh-CN"/>
        </w:rPr>
        <w:t>PC+ABS塑料粒子</w:t>
      </w:r>
      <w:r>
        <w:rPr>
          <w:rFonts w:hint="eastAsia" w:ascii="Times New Roman" w:hAnsi="Times New Roman" w:cs="Times New Roman"/>
          <w:color w:val="auto"/>
          <w:sz w:val="24"/>
          <w:highlight w:val="none"/>
          <w:lang w:val="en-US" w:eastAsia="zh-CN"/>
        </w:rPr>
        <w:t>2000</w:t>
      </w:r>
      <w:r>
        <w:rPr>
          <w:rFonts w:hint="default" w:ascii="Times New Roman" w:hAnsi="Times New Roman" w:cs="Times New Roman"/>
          <w:color w:val="auto"/>
          <w:sz w:val="24"/>
          <w:highlight w:val="none"/>
          <w:lang w:val="en-US" w:eastAsia="zh-CN"/>
        </w:rPr>
        <w:t>t</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a，根据《HPLC-DAD-MS法测定塑料制品中的双酚A》(但盼)一文中的实验数据</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双酚A的平均含量为16.2~64.5mg/kg，本次评价取64.5mg/kg，则酚类产生量为</w:t>
      </w:r>
      <w:r>
        <w:rPr>
          <w:rFonts w:hint="eastAsia" w:ascii="Times New Roman" w:hAnsi="Times New Roman" w:cs="Times New Roman"/>
          <w:color w:val="auto"/>
          <w:sz w:val="24"/>
          <w:highlight w:val="none"/>
          <w:lang w:val="en-US" w:eastAsia="zh-CN"/>
        </w:rPr>
        <w:t>0.129</w:t>
      </w:r>
      <w:r>
        <w:rPr>
          <w:rFonts w:hint="default" w:ascii="Times New Roman" w:hAnsi="Times New Roman" w:cs="Times New Roman"/>
          <w:color w:val="auto"/>
          <w:sz w:val="24"/>
          <w:highlight w:val="none"/>
          <w:lang w:val="en-US" w:eastAsia="zh-CN"/>
        </w:rPr>
        <w:t>t/a。</w:t>
      </w:r>
      <w:r>
        <w:rPr>
          <w:rFonts w:hint="eastAsia" w:ascii="Times New Roman" w:hAnsi="Times New Roman" w:cs="Times New Roman"/>
          <w:color w:val="auto"/>
          <w:sz w:val="24"/>
          <w:highlight w:val="none"/>
          <w:lang w:val="en-US" w:eastAsia="zh-CN"/>
        </w:rPr>
        <w:t>有组织</w:t>
      </w:r>
      <w:r>
        <w:rPr>
          <w:rFonts w:hint="default" w:ascii="Times New Roman" w:hAnsi="Times New Roman" w:cs="Times New Roman"/>
          <w:color w:val="auto"/>
          <w:sz w:val="24"/>
          <w:highlight w:val="none"/>
          <w:lang w:val="en-US" w:eastAsia="zh-CN"/>
        </w:rPr>
        <w:t>酚类</w:t>
      </w:r>
      <w:r>
        <w:rPr>
          <w:rFonts w:hint="eastAsia" w:ascii="Times New Roman" w:hAnsi="Times New Roman" w:cs="Times New Roman"/>
          <w:color w:val="auto"/>
          <w:sz w:val="24"/>
          <w:highlight w:val="none"/>
          <w:lang w:val="en-US" w:eastAsia="zh-CN"/>
        </w:rPr>
        <w:t>产生量约为0.116t/a，0.0171kg/h、产生浓度为0.556mg/m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，有组织</w:t>
      </w:r>
      <w:r>
        <w:rPr>
          <w:rFonts w:hint="default" w:ascii="Times New Roman" w:hAnsi="Times New Roman" w:cs="Times New Roman"/>
          <w:color w:val="auto"/>
          <w:sz w:val="24"/>
          <w:highlight w:val="none"/>
          <w:lang w:val="en-US" w:eastAsia="zh-CN"/>
        </w:rPr>
        <w:t>酚类</w:t>
      </w:r>
      <w:r>
        <w:rPr>
          <w:rFonts w:hint="eastAsia" w:ascii="Times New Roman" w:hAnsi="Times New Roman" w:cs="Times New Roman"/>
          <w:color w:val="auto"/>
          <w:sz w:val="24"/>
          <w:highlight w:val="none"/>
          <w:lang w:val="en-US" w:eastAsia="zh-CN"/>
        </w:rPr>
        <w:t>排放量约为0.007t/a，0.001kg/h、排放浓度为0.035mg/m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。无组织</w:t>
      </w:r>
      <w:r>
        <w:rPr>
          <w:rFonts w:hint="default" w:ascii="Times New Roman" w:hAnsi="Times New Roman" w:cs="Times New Roman"/>
          <w:color w:val="auto"/>
          <w:sz w:val="24"/>
          <w:highlight w:val="none"/>
          <w:lang w:val="en-US" w:eastAsia="zh-CN"/>
        </w:rPr>
        <w:t>酚类</w:t>
      </w:r>
      <w:r>
        <w:rPr>
          <w:rFonts w:hint="eastAsia" w:ascii="Times New Roman" w:hAnsi="Times New Roman" w:cs="Times New Roman"/>
          <w:color w:val="auto"/>
          <w:sz w:val="24"/>
          <w:highlight w:val="none"/>
          <w:lang w:val="en-US" w:eastAsia="zh-CN"/>
        </w:rPr>
        <w:t>产生量约为0.013t/a，0.0019kg/h。</w:t>
      </w:r>
    </w:p>
    <w:p w14:paraId="7BA31DC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6</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氯苯类</w:t>
      </w:r>
    </w:p>
    <w:p w14:paraId="65B5255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项目注塑年使用</w:t>
      </w:r>
      <w:r>
        <w:rPr>
          <w:rFonts w:hint="eastAsia" w:ascii="Times New Roman" w:hAnsi="Times New Roman" w:cs="Times New Roman"/>
          <w:color w:val="auto"/>
          <w:sz w:val="24"/>
          <w:highlight w:val="none"/>
          <w:lang w:val="en-US" w:eastAsia="zh-CN"/>
        </w:rPr>
        <w:t>PC、</w:t>
      </w:r>
      <w:r>
        <w:rPr>
          <w:rFonts w:hint="default" w:ascii="Times New Roman" w:hAnsi="Times New Roman" w:cs="Times New Roman"/>
          <w:color w:val="auto"/>
          <w:sz w:val="24"/>
          <w:highlight w:val="none"/>
          <w:lang w:val="en-US" w:eastAsia="zh-CN"/>
        </w:rPr>
        <w:t>PC+ABS塑料粒子</w:t>
      </w:r>
      <w:r>
        <w:rPr>
          <w:rFonts w:hint="eastAsia" w:ascii="Times New Roman" w:hAnsi="Times New Roman" w:cs="Times New Roman"/>
          <w:color w:val="auto"/>
          <w:sz w:val="24"/>
          <w:highlight w:val="none"/>
          <w:lang w:val="en-US" w:eastAsia="zh-CN"/>
        </w:rPr>
        <w:t>2000</w:t>
      </w:r>
      <w:r>
        <w:rPr>
          <w:rFonts w:hint="default" w:ascii="Times New Roman" w:hAnsi="Times New Roman" w:cs="Times New Roman"/>
          <w:color w:val="auto"/>
          <w:sz w:val="24"/>
          <w:highlight w:val="none"/>
          <w:lang w:val="en-US" w:eastAsia="zh-CN"/>
        </w:rPr>
        <w:t>t</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a，根据《微波萃取-气相色谱法测定塑料中的氣苯类化合物》(崔立迁等)一文中的实验数据</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各种实验塑料中氯苯类化合物的最大含量为42.13mgkg，则氯苯类产生量为</w:t>
      </w:r>
      <w:r>
        <w:rPr>
          <w:rFonts w:hint="eastAsia" w:ascii="Times New Roman" w:hAnsi="Times New Roman" w:cs="Times New Roman"/>
          <w:color w:val="auto"/>
          <w:sz w:val="24"/>
          <w:highlight w:val="none"/>
          <w:lang w:val="en-US" w:eastAsia="zh-CN"/>
        </w:rPr>
        <w:t>0.0843</w:t>
      </w:r>
      <w:r>
        <w:rPr>
          <w:rFonts w:hint="default" w:ascii="Times New Roman" w:hAnsi="Times New Roman" w:cs="Times New Roman"/>
          <w:color w:val="auto"/>
          <w:sz w:val="24"/>
          <w:highlight w:val="none"/>
          <w:lang w:val="en-US" w:eastAsia="zh-CN"/>
        </w:rPr>
        <w:t>t/a。</w:t>
      </w:r>
      <w:r>
        <w:rPr>
          <w:rFonts w:hint="eastAsia" w:ascii="Times New Roman" w:hAnsi="Times New Roman" w:cs="Times New Roman"/>
          <w:color w:val="auto"/>
          <w:sz w:val="24"/>
          <w:highlight w:val="none"/>
          <w:lang w:val="en-US" w:eastAsia="zh-CN"/>
        </w:rPr>
        <w:t>有组织</w:t>
      </w:r>
      <w:r>
        <w:rPr>
          <w:rFonts w:hint="default" w:ascii="Times New Roman" w:hAnsi="Times New Roman" w:cs="Times New Roman"/>
          <w:color w:val="auto"/>
          <w:sz w:val="24"/>
          <w:highlight w:val="none"/>
          <w:lang w:val="en-US" w:eastAsia="zh-CN"/>
        </w:rPr>
        <w:t>氯苯类</w:t>
      </w:r>
      <w:r>
        <w:rPr>
          <w:rFonts w:hint="eastAsia" w:ascii="Times New Roman" w:hAnsi="Times New Roman" w:cs="Times New Roman"/>
          <w:color w:val="auto"/>
          <w:sz w:val="24"/>
          <w:highlight w:val="none"/>
          <w:lang w:val="en-US" w:eastAsia="zh-CN"/>
        </w:rPr>
        <w:t>产生量约为0.076t/a，0.0108kg/h、产生浓度为0.364mg/m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，有组织</w:t>
      </w:r>
      <w:r>
        <w:rPr>
          <w:rFonts w:hint="default" w:ascii="Times New Roman" w:hAnsi="Times New Roman" w:cs="Times New Roman"/>
          <w:color w:val="auto"/>
          <w:sz w:val="24"/>
          <w:highlight w:val="none"/>
          <w:lang w:val="en-US" w:eastAsia="zh-CN"/>
        </w:rPr>
        <w:t>氯苯类</w:t>
      </w:r>
      <w:r>
        <w:rPr>
          <w:rFonts w:hint="eastAsia" w:ascii="Times New Roman" w:hAnsi="Times New Roman" w:cs="Times New Roman"/>
          <w:color w:val="auto"/>
          <w:sz w:val="24"/>
          <w:highlight w:val="none"/>
          <w:lang w:val="en-US" w:eastAsia="zh-CN"/>
        </w:rPr>
        <w:t>排放量约为0.005t/a，0.0007kg/h、排放浓度为0.023mg/m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。无组织</w:t>
      </w:r>
      <w:r>
        <w:rPr>
          <w:rFonts w:hint="default" w:ascii="Times New Roman" w:hAnsi="Times New Roman" w:cs="Times New Roman"/>
          <w:color w:val="auto"/>
          <w:sz w:val="24"/>
          <w:highlight w:val="none"/>
          <w:lang w:val="en-US" w:eastAsia="zh-CN"/>
        </w:rPr>
        <w:t>氯苯类</w:t>
      </w:r>
      <w:r>
        <w:rPr>
          <w:rFonts w:hint="eastAsia" w:ascii="Times New Roman" w:hAnsi="Times New Roman" w:cs="Times New Roman"/>
          <w:color w:val="auto"/>
          <w:sz w:val="24"/>
          <w:highlight w:val="none"/>
          <w:lang w:val="en-US" w:eastAsia="zh-CN"/>
        </w:rPr>
        <w:t>产生量约为0.008t/a，0.0012kg/h。</w:t>
      </w:r>
    </w:p>
    <w:p w14:paraId="4938164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7</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二氯甲烷</w:t>
      </w:r>
    </w:p>
    <w:p w14:paraId="65E0629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项目注塑年使用</w:t>
      </w:r>
      <w:r>
        <w:rPr>
          <w:rFonts w:hint="eastAsia" w:ascii="Times New Roman" w:hAnsi="Times New Roman" w:cs="Times New Roman"/>
          <w:color w:val="auto"/>
          <w:sz w:val="24"/>
          <w:highlight w:val="none"/>
          <w:lang w:val="en-US" w:eastAsia="zh-CN"/>
        </w:rPr>
        <w:t>PC、</w:t>
      </w:r>
      <w:r>
        <w:rPr>
          <w:rFonts w:hint="default" w:ascii="Times New Roman" w:hAnsi="Times New Roman" w:cs="Times New Roman"/>
          <w:color w:val="auto"/>
          <w:sz w:val="24"/>
          <w:highlight w:val="none"/>
          <w:lang w:val="en-US" w:eastAsia="zh-CN"/>
        </w:rPr>
        <w:t>PC+ABS塑料粒子</w:t>
      </w:r>
      <w:r>
        <w:rPr>
          <w:rFonts w:hint="eastAsia" w:ascii="Times New Roman" w:hAnsi="Times New Roman" w:cs="Times New Roman"/>
          <w:color w:val="auto"/>
          <w:sz w:val="24"/>
          <w:highlight w:val="none"/>
          <w:lang w:val="en-US" w:eastAsia="zh-CN"/>
        </w:rPr>
        <w:t>2000</w:t>
      </w:r>
      <w:r>
        <w:rPr>
          <w:rFonts w:hint="default" w:ascii="Times New Roman" w:hAnsi="Times New Roman" w:cs="Times New Roman"/>
          <w:color w:val="auto"/>
          <w:sz w:val="24"/>
          <w:highlight w:val="none"/>
          <w:lang w:val="en-US" w:eastAsia="zh-CN"/>
        </w:rPr>
        <w:t>t</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a，根据《多次顶空萃取-气相色谱法测定PC中残留的二氯甲烷》(杨洗等)一文中的实验数据</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二氯甲烷的平均含量为446mg/kg</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则二氯甲烷产生量为</w:t>
      </w:r>
      <w:r>
        <w:rPr>
          <w:rFonts w:hint="eastAsia" w:ascii="Times New Roman" w:hAnsi="Times New Roman" w:cs="Times New Roman"/>
          <w:color w:val="auto"/>
          <w:sz w:val="24"/>
          <w:highlight w:val="none"/>
          <w:lang w:val="en-US" w:eastAsia="zh-CN"/>
        </w:rPr>
        <w:t>0.892</w:t>
      </w:r>
      <w:r>
        <w:rPr>
          <w:rFonts w:hint="default" w:ascii="Times New Roman" w:hAnsi="Times New Roman" w:cs="Times New Roman"/>
          <w:color w:val="auto"/>
          <w:sz w:val="24"/>
          <w:highlight w:val="none"/>
          <w:lang w:val="en-US" w:eastAsia="zh-CN"/>
        </w:rPr>
        <w:t>t/a。</w:t>
      </w:r>
      <w:r>
        <w:rPr>
          <w:rFonts w:hint="eastAsia" w:ascii="Times New Roman" w:hAnsi="Times New Roman" w:cs="Times New Roman"/>
          <w:color w:val="auto"/>
          <w:sz w:val="24"/>
          <w:highlight w:val="none"/>
          <w:lang w:val="en-US" w:eastAsia="zh-CN"/>
        </w:rPr>
        <w:t>有组织</w:t>
      </w:r>
      <w:r>
        <w:rPr>
          <w:rFonts w:hint="default" w:ascii="Times New Roman" w:hAnsi="Times New Roman" w:cs="Times New Roman"/>
          <w:color w:val="auto"/>
          <w:sz w:val="24"/>
          <w:highlight w:val="none"/>
          <w:lang w:val="en-US" w:eastAsia="zh-CN"/>
        </w:rPr>
        <w:t>二氯甲烷</w:t>
      </w:r>
      <w:r>
        <w:rPr>
          <w:rFonts w:hint="eastAsia" w:ascii="Times New Roman" w:hAnsi="Times New Roman" w:cs="Times New Roman"/>
          <w:color w:val="auto"/>
          <w:sz w:val="24"/>
          <w:highlight w:val="none"/>
          <w:lang w:val="en-US" w:eastAsia="zh-CN"/>
        </w:rPr>
        <w:t>产生量约为0.803t/a，0.1152kg/h、产生浓度为3.846mg/m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，有组织</w:t>
      </w:r>
      <w:r>
        <w:rPr>
          <w:rFonts w:hint="default" w:ascii="Times New Roman" w:hAnsi="Times New Roman" w:cs="Times New Roman"/>
          <w:color w:val="auto"/>
          <w:sz w:val="24"/>
          <w:highlight w:val="none"/>
          <w:lang w:val="en-US" w:eastAsia="zh-CN"/>
        </w:rPr>
        <w:t>二氯甲烷</w:t>
      </w:r>
      <w:r>
        <w:rPr>
          <w:rFonts w:hint="eastAsia" w:ascii="Times New Roman" w:hAnsi="Times New Roman" w:cs="Times New Roman"/>
          <w:color w:val="auto"/>
          <w:sz w:val="24"/>
          <w:highlight w:val="none"/>
          <w:lang w:val="en-US" w:eastAsia="zh-CN"/>
        </w:rPr>
        <w:t>排放量约为0.05t/a，0.0072kg/h、排放浓度为0.24mg/m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。无组织</w:t>
      </w:r>
      <w:r>
        <w:rPr>
          <w:rFonts w:hint="default" w:ascii="Times New Roman" w:hAnsi="Times New Roman" w:cs="Times New Roman"/>
          <w:color w:val="auto"/>
          <w:sz w:val="24"/>
          <w:highlight w:val="none"/>
          <w:lang w:val="en-US" w:eastAsia="zh-CN"/>
        </w:rPr>
        <w:t>二氯甲烷</w:t>
      </w:r>
      <w:r>
        <w:rPr>
          <w:rFonts w:hint="eastAsia" w:ascii="Times New Roman" w:hAnsi="Times New Roman" w:cs="Times New Roman"/>
          <w:color w:val="auto"/>
          <w:sz w:val="24"/>
          <w:highlight w:val="none"/>
          <w:lang w:val="en-US" w:eastAsia="zh-CN"/>
        </w:rPr>
        <w:t>产生量约为0.089t/a，0.0128kg/h。</w:t>
      </w:r>
    </w:p>
    <w:p w14:paraId="4719AD2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8）氨、</w:t>
      </w:r>
      <w:r>
        <w:rPr>
          <w:rFonts w:hint="default" w:ascii="Times New Roman" w:hAnsi="Times New Roman" w:cs="Times New Roman"/>
          <w:color w:val="auto"/>
          <w:sz w:val="24"/>
          <w:highlight w:val="none"/>
          <w:lang w:val="en-US" w:eastAsia="zh-CN"/>
        </w:rPr>
        <w:t>臭气浓度</w:t>
      </w:r>
    </w:p>
    <w:p w14:paraId="087E667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color w:val="FF0000"/>
          <w:lang w:val="en-US" w:eastAsia="zh-CN"/>
        </w:rPr>
      </w:pPr>
      <w:r>
        <w:rPr>
          <w:rFonts w:hint="default" w:ascii="Times New Roman" w:hAnsi="Times New Roman" w:cs="Times New Roman"/>
          <w:color w:val="auto"/>
          <w:sz w:val="24"/>
          <w:highlight w:val="none"/>
          <w:lang w:val="en-US" w:eastAsia="zh-CN"/>
        </w:rPr>
        <w:t>注塑过程中产生的工艺废气具有一定的气味，表现为恶臭。恶臭为人们对恶臭物质所感知的一种污染指标，其主要物质种类达上万种之多。由于各种物质之间的相互作用(相加、协同、抵消及掩饰作用等)，加之人类的觉功能和恶臭物质取样分析等因素，迄今还难以对大多数恶臭物质作出浓度标准。项目注塑工艺废气经集气罩收集后通过</w:t>
      </w:r>
      <w:r>
        <w:rPr>
          <w:rFonts w:hint="eastAsia" w:ascii="Times New Roman" w:hAnsi="Times New Roman" w:cs="Times New Roman"/>
          <w:color w:val="auto"/>
          <w:sz w:val="24"/>
          <w:highlight w:val="none"/>
          <w:lang w:val="en-US" w:eastAsia="zh-CN"/>
        </w:rPr>
        <w:t>四级</w:t>
      </w:r>
      <w:r>
        <w:rPr>
          <w:rFonts w:hint="default" w:ascii="Times New Roman" w:hAnsi="Times New Roman" w:cs="Times New Roman"/>
          <w:color w:val="auto"/>
          <w:sz w:val="24"/>
          <w:highlight w:val="none"/>
          <w:lang w:val="en-US" w:eastAsia="zh-CN"/>
        </w:rPr>
        <w:t>活性炭吸附装置处理后不低于15m高排气筒排放。</w:t>
      </w:r>
      <w:r>
        <w:rPr>
          <w:rFonts w:hint="default" w:ascii="Times New Roman" w:hAnsi="Times New Roman" w:eastAsia="宋体" w:cs="Times New Roman"/>
          <w:color w:val="auto"/>
          <w:sz w:val="24"/>
          <w:highlight w:val="none"/>
          <w:shd w:val="clear" w:color="auto" w:fill="auto"/>
          <w:lang w:val="en-US" w:eastAsia="zh-CN"/>
        </w:rPr>
        <w:t>厂界</w:t>
      </w:r>
      <w:r>
        <w:rPr>
          <w:rFonts w:hint="eastAsia" w:ascii="Times New Roman" w:hAnsi="Times New Roman" w:eastAsia="宋体" w:cs="Times New Roman"/>
          <w:color w:val="auto"/>
          <w:sz w:val="24"/>
          <w:highlight w:val="none"/>
          <w:shd w:val="clear" w:color="auto" w:fill="auto"/>
          <w:lang w:val="en-US" w:eastAsia="zh-CN"/>
        </w:rPr>
        <w:t>氨、</w:t>
      </w:r>
      <w:r>
        <w:rPr>
          <w:rFonts w:hint="default" w:ascii="Times New Roman" w:hAnsi="Times New Roman" w:eastAsia="宋体" w:cs="Times New Roman"/>
          <w:color w:val="auto"/>
          <w:sz w:val="24"/>
          <w:highlight w:val="none"/>
          <w:shd w:val="clear" w:color="auto" w:fill="auto"/>
          <w:lang w:val="en-US" w:eastAsia="zh-CN"/>
        </w:rPr>
        <w:t>臭气浓度能满足标准要求，</w:t>
      </w:r>
      <w:r>
        <w:rPr>
          <w:rFonts w:hint="default" w:ascii="Times New Roman" w:hAnsi="Times New Roman" w:cs="Times New Roman"/>
          <w:color w:val="auto"/>
          <w:sz w:val="24"/>
          <w:highlight w:val="none"/>
          <w:lang w:val="en-US" w:eastAsia="zh-CN"/>
        </w:rPr>
        <w:t>对周边环境影响较小，本次评价不做定量</w:t>
      </w:r>
      <w:r>
        <w:rPr>
          <w:rFonts w:hint="eastAsia" w:ascii="Times New Roman" w:hAnsi="Times New Roman" w:cs="Times New Roman"/>
          <w:color w:val="auto"/>
          <w:sz w:val="24"/>
          <w:highlight w:val="none"/>
          <w:lang w:val="en-US" w:eastAsia="zh-CN"/>
        </w:rPr>
        <w:t>分析。</w:t>
      </w:r>
    </w:p>
    <w:p w14:paraId="58F57578">
      <w:pPr>
        <w:pStyle w:val="10"/>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leftChars="0" w:right="0" w:rightChars="0" w:firstLine="482" w:firstLineChars="200"/>
        <w:textAlignment w:val="auto"/>
        <w:rPr>
          <w:rFonts w:hint="eastAsia" w:ascii="Times New Roman" w:hAnsi="Times New Roman" w:eastAsia="宋体" w:cs="Times New Roman"/>
          <w:b/>
          <w:bCs/>
          <w:color w:val="auto"/>
          <w:kern w:val="2"/>
          <w:sz w:val="24"/>
          <w:szCs w:val="24"/>
          <w:lang w:eastAsia="zh-CN"/>
        </w:rPr>
      </w:pPr>
      <w:r>
        <w:rPr>
          <w:rFonts w:hint="eastAsia" w:ascii="Times New Roman" w:hAnsi="Times New Roman" w:eastAsia="宋体" w:cs="Times New Roman"/>
          <w:b/>
          <w:bCs/>
          <w:color w:val="auto"/>
          <w:kern w:val="2"/>
          <w:sz w:val="24"/>
          <w:szCs w:val="24"/>
          <w:lang w:val="en-US" w:eastAsia="zh-CN"/>
        </w:rPr>
        <w:t>2、</w:t>
      </w:r>
      <w:r>
        <w:rPr>
          <w:rFonts w:hint="eastAsia" w:ascii="Times New Roman" w:hAnsi="Times New Roman" w:eastAsia="宋体" w:cs="Times New Roman"/>
          <w:b/>
          <w:bCs/>
          <w:color w:val="auto"/>
          <w:kern w:val="2"/>
          <w:sz w:val="24"/>
          <w:szCs w:val="24"/>
          <w:lang w:eastAsia="zh-CN"/>
        </w:rPr>
        <w:t>除尘废气（颗粒物）</w:t>
      </w:r>
    </w:p>
    <w:p w14:paraId="07E668E0">
      <w:pPr>
        <w:pStyle w:val="15"/>
        <w:keepNext w:val="0"/>
        <w:keepLines w:val="0"/>
        <w:pageBreakBefore w:val="0"/>
        <w:numPr>
          <w:ilvl w:val="0"/>
          <w:numId w:val="0"/>
        </w:numPr>
        <w:kinsoku/>
        <w:wordWrap/>
        <w:overflowPunct/>
        <w:topLinePunct w:val="0"/>
        <w:autoSpaceDE/>
        <w:autoSpaceDN/>
        <w:bidi w:val="0"/>
        <w:spacing w:line="360" w:lineRule="auto"/>
        <w:ind w:leftChars="0" w:firstLine="480" w:firstLineChars="200"/>
        <w:textAlignment w:val="auto"/>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项目采用除尘枪对工件表面进行除尘，工件表面含尘量很少，除尘过程废气产生量少，</w:t>
      </w:r>
      <w:r>
        <w:rPr>
          <w:rFonts w:hint="eastAsia" w:ascii="Times New Roman" w:hAnsi="Times New Roman" w:eastAsia="宋体" w:cs="Times New Roman"/>
          <w:color w:val="auto"/>
          <w:sz w:val="24"/>
          <w:lang w:val="en-US" w:eastAsia="zh-CN"/>
        </w:rPr>
        <w:t>除尘废气在车间内无组织排放。</w:t>
      </w:r>
      <w:r>
        <w:rPr>
          <w:rFonts w:hint="eastAsia" w:ascii="Times New Roman" w:hAnsi="Times New Roman" w:eastAsia="宋体" w:cs="Times New Roman"/>
          <w:color w:val="auto"/>
          <w:sz w:val="24"/>
          <w:lang w:eastAsia="zh-CN"/>
        </w:rPr>
        <w:t>考虑到该部分粉尘产生量极小，</w:t>
      </w:r>
      <w:r>
        <w:rPr>
          <w:rFonts w:hint="default" w:ascii="Times New Roman" w:hAnsi="Times New Roman" w:eastAsia="宋体" w:cs="Times New Roman"/>
          <w:color w:val="auto"/>
          <w:sz w:val="24"/>
          <w:szCs w:val="24"/>
        </w:rPr>
        <w:t>本次环评不定量分析</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仅在后期管理中考核达标排放情况。</w:t>
      </w:r>
    </w:p>
    <w:p w14:paraId="769DAEA6">
      <w:pPr>
        <w:pStyle w:val="1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2" w:firstLineChars="200"/>
        <w:textAlignment w:val="auto"/>
        <w:rPr>
          <w:rFonts w:hint="default"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3、破碎废气</w:t>
      </w:r>
    </w:p>
    <w:p w14:paraId="19C240FC">
      <w:pPr>
        <w:pStyle w:val="1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参考《排放源统计调查产排污核算方法和系数手册》(公告2021年第24号)4220非金属废料和碎屑加工处理行业系数手册中废PS/ABS干式破碎颗粒物产污系数为425克/吨-原料。根据建设单位提供资料，注塑工序产生的边角料及不合格产品产生量为原料的1%，项目注塑工序的原料用量为4000t/a，则边角料及不合格产品产生量约为40t/a，则破碎工序颗粒物产生量为0.017t/a，产生速率为0.029kg/h(破碎工序为不连续作业，全年工作290天，每天工作时长约2h，年工作时间为580h)。项目使用2台破碎机对注塑过程产生的废边角料和不合格品进行破碎。本项目采用全自动注塑工艺，不合格品产生量较少。破碎机破碎时是完全密闭的，且设有专门的密闭破碎间，破碎机使用频次低且破碎后的塑料颗粒为片状，破碎粉尘产生量较少，在车间内无组织排放。通过加强车间管理，对周边环境影响不大。</w:t>
      </w:r>
    </w:p>
    <w:p w14:paraId="7465B81B">
      <w:pPr>
        <w:pStyle w:val="49"/>
        <w:bidi w:val="0"/>
        <w:rPr>
          <w:rFonts w:hint="eastAsia"/>
          <w:b/>
          <w:bCs/>
          <w:color w:val="auto"/>
          <w:highlight w:val="magenta"/>
          <w:lang w:val="en-US" w:eastAsia="zh-CN"/>
        </w:rPr>
      </w:pPr>
      <w:r>
        <w:rPr>
          <w:rFonts w:hint="eastAsia" w:ascii="Times New Roman" w:hAnsi="Times New Roman" w:eastAsia="宋体" w:cs="Times New Roman"/>
          <w:b/>
          <w:bCs/>
          <w:color w:val="auto"/>
          <w:sz w:val="24"/>
          <w:lang w:val="en-US" w:eastAsia="zh-CN"/>
        </w:rPr>
        <w:t>4、</w:t>
      </w:r>
      <w:r>
        <w:rPr>
          <w:rFonts w:hint="eastAsia"/>
          <w:b/>
          <w:bCs/>
          <w:color w:val="auto"/>
          <w:highlight w:val="none"/>
          <w:lang w:val="en-US" w:eastAsia="zh-CN"/>
        </w:rPr>
        <w:t>喷涂废气（调漆废气、喷漆废气、流平废气、烘干废气）</w:t>
      </w:r>
    </w:p>
    <w:p w14:paraId="352FC7CE">
      <w:pPr>
        <w:pStyle w:val="49"/>
        <w:bidi w:val="0"/>
        <w:rPr>
          <w:rFonts w:hint="eastAsia"/>
          <w:color w:val="auto"/>
          <w:highlight w:val="none"/>
          <w:lang w:val="en-US" w:eastAsia="zh-CN"/>
        </w:rPr>
      </w:pPr>
      <w:r>
        <w:rPr>
          <w:rFonts w:hint="eastAsia"/>
          <w:color w:val="auto"/>
          <w:highlight w:val="none"/>
          <w:lang w:val="en-US" w:eastAsia="zh-CN"/>
        </w:rPr>
        <w:t>根据《污染源源强核算指南 汽车制造》（HJ1097-2020），调漆废气、喷漆废气、流平废气、烘干废气采用“物料衡算法”进行计算。</w:t>
      </w:r>
    </w:p>
    <w:p w14:paraId="4014D826">
      <w:pPr>
        <w:pStyle w:val="49"/>
        <w:bidi w:val="0"/>
        <w:rPr>
          <w:rFonts w:hint="eastAsia"/>
          <w:color w:val="auto"/>
          <w:highlight w:val="none"/>
          <w:lang w:val="en-US" w:eastAsia="zh-CN"/>
        </w:rPr>
      </w:pPr>
      <w:r>
        <w:rPr>
          <w:rFonts w:hint="eastAsia"/>
          <w:color w:val="auto"/>
          <w:highlight w:val="none"/>
          <w:lang w:val="en-US" w:eastAsia="zh-CN"/>
        </w:rPr>
        <w:t>①物料带入挥发性有机物量采用（1）公式计算：</w:t>
      </w:r>
    </w:p>
    <w:p w14:paraId="426C8FDB">
      <w:pPr>
        <w:pStyle w:val="51"/>
        <w:bidi w:val="0"/>
        <w:rPr>
          <w:rFonts w:hint="default" w:eastAsia="宋体"/>
          <w:color w:val="auto"/>
          <w:highlight w:val="none"/>
          <w:lang w:val="en-US" w:eastAsia="zh-CN"/>
        </w:rPr>
      </w:pPr>
      <w:r>
        <w:rPr>
          <w:color w:val="auto"/>
          <w:highlight w:val="none"/>
        </w:rPr>
        <w:drawing>
          <wp:inline distT="0" distB="0" distL="114300" distR="114300">
            <wp:extent cx="1332230" cy="360045"/>
            <wp:effectExtent l="0" t="0" r="1270" b="190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39"/>
                    <a:stretch>
                      <a:fillRect/>
                    </a:stretch>
                  </pic:blipFill>
                  <pic:spPr>
                    <a:xfrm>
                      <a:off x="0" y="0"/>
                      <a:ext cx="1332230" cy="360045"/>
                    </a:xfrm>
                    <a:prstGeom prst="rect">
                      <a:avLst/>
                    </a:prstGeom>
                    <a:noFill/>
                    <a:ln>
                      <a:noFill/>
                    </a:ln>
                  </pic:spPr>
                </pic:pic>
              </a:graphicData>
            </a:graphic>
          </wp:inline>
        </w:drawing>
      </w:r>
    </w:p>
    <w:p w14:paraId="0336BBA8">
      <w:pPr>
        <w:pStyle w:val="49"/>
        <w:bidi w:val="0"/>
        <w:rPr>
          <w:rFonts w:hint="eastAsia"/>
          <w:color w:val="auto"/>
          <w:highlight w:val="none"/>
          <w:lang w:val="en-US" w:eastAsia="zh-CN"/>
        </w:rPr>
      </w:pPr>
      <w:r>
        <w:rPr>
          <w:rFonts w:hint="eastAsia"/>
          <w:color w:val="auto"/>
          <w:highlight w:val="none"/>
          <w:lang w:val="en-US" w:eastAsia="zh-CN"/>
        </w:rPr>
        <w:t>式中：</w:t>
      </w:r>
    </w:p>
    <w:p w14:paraId="68CFCEB5">
      <w:pPr>
        <w:pStyle w:val="49"/>
        <w:bidi w:val="0"/>
        <w:rPr>
          <w:rFonts w:hint="eastAsia"/>
          <w:color w:val="auto"/>
          <w:highlight w:val="none"/>
          <w:lang w:val="en-US" w:eastAsia="zh-CN"/>
        </w:rPr>
      </w:pPr>
      <w:r>
        <w:rPr>
          <w:rFonts w:hint="eastAsia"/>
          <w:color w:val="auto"/>
          <w:highlight w:val="none"/>
          <w:lang w:val="en-US" w:eastAsia="zh-CN"/>
        </w:rPr>
        <w:t>D</w:t>
      </w:r>
      <w:r>
        <w:rPr>
          <w:rFonts w:hint="eastAsia"/>
          <w:color w:val="auto"/>
          <w:highlight w:val="none"/>
          <w:vertAlign w:val="subscript"/>
          <w:lang w:val="en-US" w:eastAsia="zh-CN"/>
        </w:rPr>
        <w:t>物料</w:t>
      </w:r>
      <w:r>
        <w:rPr>
          <w:rFonts w:hint="eastAsia"/>
          <w:color w:val="auto"/>
          <w:highlight w:val="none"/>
          <w:lang w:val="en-US" w:eastAsia="zh-CN"/>
        </w:rPr>
        <w:t>—核算时段内某物料带入挥发性有机物量，t；</w:t>
      </w:r>
    </w:p>
    <w:p w14:paraId="44ABDD91">
      <w:pPr>
        <w:pStyle w:val="49"/>
        <w:bidi w:val="0"/>
        <w:rPr>
          <w:rFonts w:hint="eastAsia"/>
          <w:color w:val="auto"/>
          <w:highlight w:val="none"/>
          <w:lang w:val="en-US" w:eastAsia="zh-CN"/>
        </w:rPr>
      </w:pPr>
      <w:r>
        <w:rPr>
          <w:rFonts w:hint="eastAsia"/>
          <w:color w:val="auto"/>
          <w:highlight w:val="none"/>
          <w:lang w:val="en-US" w:eastAsia="zh-CN"/>
        </w:rPr>
        <w:t>G—核算时段内含挥发性有机物某物料消耗量，t，汽车制造挥发性有机物来源于使用的各种原辅料，原辅料包括但不限于：涂料、稀释剂、固化剂、清洗或擦洗溶剂、密封胶、粘接剂、保护蜡等；</w:t>
      </w:r>
    </w:p>
    <w:p w14:paraId="6DF593F4">
      <w:pPr>
        <w:pStyle w:val="49"/>
        <w:bidi w:val="0"/>
        <w:rPr>
          <w:rFonts w:hint="eastAsia"/>
          <w:color w:val="auto"/>
          <w:highlight w:val="none"/>
          <w:lang w:val="en-US" w:eastAsia="zh-CN"/>
        </w:rPr>
      </w:pPr>
      <w:r>
        <w:rPr>
          <w:rFonts w:hint="eastAsia"/>
          <w:color w:val="auto"/>
          <w:highlight w:val="none"/>
          <w:lang w:val="en-US" w:eastAsia="zh-CN"/>
        </w:rPr>
        <w:t>W—核算时段内某物料中挥发性有机物含量，采用设计值，无设计值时参考附录D确定。本项目参考附录D取值。</w:t>
      </w:r>
    </w:p>
    <w:p w14:paraId="40721111">
      <w:pPr>
        <w:pStyle w:val="49"/>
        <w:bidi w:val="0"/>
        <w:rPr>
          <w:rFonts w:hint="eastAsia"/>
          <w:color w:val="auto"/>
          <w:highlight w:val="none"/>
          <w:lang w:val="en-US" w:eastAsia="zh-CN"/>
        </w:rPr>
      </w:pPr>
      <w:r>
        <w:rPr>
          <w:rFonts w:hint="eastAsia"/>
          <w:color w:val="auto"/>
          <w:highlight w:val="none"/>
          <w:lang w:val="en-US" w:eastAsia="zh-CN"/>
        </w:rPr>
        <w:t>②底漆、中漆、面漆中含挥发性有机物，通过喷涂、流平、烘干等工序全部排放，各工序挥发性有机物产生量采用以下公式计算。</w:t>
      </w:r>
    </w:p>
    <w:p w14:paraId="1BEE01EC">
      <w:pPr>
        <w:pStyle w:val="51"/>
        <w:bidi w:val="0"/>
        <w:rPr>
          <w:rFonts w:hint="eastAsia"/>
          <w:color w:val="FF0000"/>
          <w:highlight w:val="none"/>
          <w:lang w:val="en-US" w:eastAsia="zh-CN"/>
        </w:rPr>
      </w:pPr>
      <w:r>
        <w:rPr>
          <w:color w:val="FF0000"/>
          <w:highlight w:val="none"/>
        </w:rPr>
        <w:drawing>
          <wp:inline distT="0" distB="0" distL="114300" distR="114300">
            <wp:extent cx="3428365" cy="1448435"/>
            <wp:effectExtent l="0" t="0" r="635" b="18415"/>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40"/>
                    <a:stretch>
                      <a:fillRect/>
                    </a:stretch>
                  </pic:blipFill>
                  <pic:spPr>
                    <a:xfrm>
                      <a:off x="0" y="0"/>
                      <a:ext cx="3428365" cy="1448435"/>
                    </a:xfrm>
                    <a:prstGeom prst="rect">
                      <a:avLst/>
                    </a:prstGeom>
                    <a:noFill/>
                    <a:ln>
                      <a:noFill/>
                    </a:ln>
                  </pic:spPr>
                </pic:pic>
              </a:graphicData>
            </a:graphic>
          </wp:inline>
        </w:drawing>
      </w:r>
    </w:p>
    <w:p w14:paraId="16E3BE05">
      <w:pPr>
        <w:pStyle w:val="49"/>
        <w:bidi w:val="0"/>
        <w:rPr>
          <w:rFonts w:hint="eastAsia"/>
          <w:color w:val="auto"/>
          <w:highlight w:val="none"/>
          <w:lang w:val="en-US" w:eastAsia="zh-CN"/>
        </w:rPr>
      </w:pPr>
      <w:r>
        <w:rPr>
          <w:rFonts w:hint="eastAsia"/>
          <w:color w:val="auto"/>
          <w:highlight w:val="none"/>
          <w:lang w:val="en-US" w:eastAsia="zh-CN"/>
        </w:rPr>
        <w:t>式中：</w:t>
      </w:r>
    </w:p>
    <w:p w14:paraId="6A310964">
      <w:pPr>
        <w:pStyle w:val="49"/>
        <w:bidi w:val="0"/>
        <w:rPr>
          <w:rFonts w:hint="eastAsia"/>
          <w:color w:val="auto"/>
          <w:highlight w:val="none"/>
          <w:lang w:val="en-US" w:eastAsia="zh-CN"/>
        </w:rPr>
      </w:pPr>
      <w:r>
        <w:rPr>
          <w:rFonts w:hint="eastAsia"/>
          <w:color w:val="auto"/>
          <w:highlight w:val="none"/>
          <w:lang w:val="en-US" w:eastAsia="zh-CN"/>
        </w:rPr>
        <w:t>D</w:t>
      </w:r>
      <w:r>
        <w:rPr>
          <w:rFonts w:hint="eastAsia"/>
          <w:color w:val="auto"/>
          <w:highlight w:val="none"/>
          <w:vertAlign w:val="subscript"/>
          <w:lang w:val="en-US" w:eastAsia="zh-CN"/>
        </w:rPr>
        <w:t>喷涂</w:t>
      </w:r>
      <w:r>
        <w:rPr>
          <w:rFonts w:hint="eastAsia"/>
          <w:color w:val="auto"/>
          <w:highlight w:val="none"/>
          <w:lang w:val="en-US" w:eastAsia="zh-CN"/>
        </w:rPr>
        <w:t>—核算时段内喷涂工序挥发性有机物产生量，t；</w:t>
      </w:r>
    </w:p>
    <w:p w14:paraId="0978E679">
      <w:pPr>
        <w:pStyle w:val="49"/>
        <w:bidi w:val="0"/>
        <w:rPr>
          <w:rFonts w:hint="default"/>
          <w:color w:val="auto"/>
          <w:highlight w:val="none"/>
          <w:lang w:val="en-US" w:eastAsia="zh-CN"/>
        </w:rPr>
      </w:pPr>
      <w:r>
        <w:rPr>
          <w:rFonts w:hint="eastAsia"/>
          <w:color w:val="auto"/>
          <w:highlight w:val="none"/>
          <w:lang w:val="en-US" w:eastAsia="zh-CN"/>
        </w:rPr>
        <w:t>D</w:t>
      </w:r>
      <w:r>
        <w:rPr>
          <w:rFonts w:hint="eastAsia"/>
          <w:color w:val="auto"/>
          <w:highlight w:val="none"/>
          <w:vertAlign w:val="subscript"/>
          <w:lang w:val="en-US" w:eastAsia="zh-CN"/>
        </w:rPr>
        <w:t>物料</w:t>
      </w:r>
      <w:r>
        <w:rPr>
          <w:rFonts w:hint="eastAsia"/>
          <w:color w:val="auto"/>
          <w:highlight w:val="none"/>
          <w:lang w:val="en-US" w:eastAsia="zh-CN"/>
        </w:rPr>
        <w:t>—核算时段内底漆、中涂、色漆（含色漆+罩光漆）工序使用物料带入挥发性有机物量，kg，采用公式（1）核算；</w:t>
      </w:r>
    </w:p>
    <w:p w14:paraId="6866921D">
      <w:pPr>
        <w:pStyle w:val="49"/>
        <w:bidi w:val="0"/>
        <w:rPr>
          <w:rFonts w:hint="default"/>
          <w:color w:val="auto"/>
          <w:highlight w:val="none"/>
          <w:lang w:val="en-US" w:eastAsia="zh-CN"/>
        </w:rPr>
      </w:pPr>
      <w:r>
        <w:rPr>
          <w:rFonts w:hint="eastAsia"/>
          <w:color w:val="auto"/>
          <w:highlight w:val="none"/>
          <w:lang w:val="en-US" w:eastAsia="zh-CN"/>
        </w:rPr>
        <w:t>D</w:t>
      </w:r>
      <w:r>
        <w:rPr>
          <w:rFonts w:hint="eastAsia"/>
          <w:color w:val="auto"/>
          <w:highlight w:val="none"/>
          <w:vertAlign w:val="subscript"/>
          <w:lang w:val="en-US" w:eastAsia="zh-CN"/>
        </w:rPr>
        <w:t>清洗溶剂</w:t>
      </w:r>
      <w:r>
        <w:rPr>
          <w:rFonts w:hint="eastAsia"/>
          <w:color w:val="auto"/>
          <w:highlight w:val="none"/>
          <w:lang w:val="en-US" w:eastAsia="zh-CN"/>
        </w:rPr>
        <w:t>—核算时段内清洗溶剂中挥发性有机物总含量，t，采用公式（1）核算；</w:t>
      </w:r>
    </w:p>
    <w:p w14:paraId="079AF715">
      <w:pPr>
        <w:pStyle w:val="49"/>
        <w:bidi w:val="0"/>
        <w:rPr>
          <w:rFonts w:hint="default"/>
          <w:color w:val="auto"/>
          <w:highlight w:val="none"/>
          <w:lang w:val="en-US" w:eastAsia="zh-CN"/>
        </w:rPr>
      </w:pPr>
      <w:r>
        <w:rPr>
          <w:rFonts w:hint="eastAsia"/>
          <w:color w:val="auto"/>
          <w:highlight w:val="none"/>
          <w:lang w:val="en-US" w:eastAsia="zh-CN"/>
        </w:rPr>
        <w:t>K</w:t>
      </w:r>
      <w:r>
        <w:rPr>
          <w:rFonts w:hint="eastAsia"/>
          <w:color w:val="auto"/>
          <w:highlight w:val="none"/>
          <w:vertAlign w:val="subscript"/>
          <w:lang w:val="en-US" w:eastAsia="zh-CN"/>
        </w:rPr>
        <w:t>喷涂</w:t>
      </w:r>
      <w:r>
        <w:rPr>
          <w:rFonts w:hint="eastAsia"/>
          <w:color w:val="auto"/>
          <w:highlight w:val="none"/>
          <w:lang w:val="en-US" w:eastAsia="zh-CN"/>
        </w:rPr>
        <w:t>—喷涂工序挥发性有机物产生量占比，%；</w:t>
      </w:r>
    </w:p>
    <w:p w14:paraId="07EC32BD">
      <w:pPr>
        <w:pStyle w:val="49"/>
        <w:bidi w:val="0"/>
        <w:rPr>
          <w:rFonts w:hint="default"/>
          <w:color w:val="auto"/>
          <w:highlight w:val="none"/>
          <w:lang w:val="en-US" w:eastAsia="zh-CN"/>
        </w:rPr>
      </w:pPr>
      <w:r>
        <w:rPr>
          <w:rFonts w:hint="eastAsia"/>
          <w:color w:val="auto"/>
          <w:position w:val="-6"/>
          <w:highlight w:val="none"/>
          <w:lang w:val="en-US" w:eastAsia="zh-CN"/>
        </w:rPr>
        <w:object>
          <v:shape id="_x0000_i1031" o:spt="75" type="#_x0000_t75" style="height:13.95pt;width:11pt;" o:ole="t" filled="f" o:preferrelative="t" stroked="f" coordsize="21600,21600">
            <v:path/>
            <v:fill on="f" focussize="0,0"/>
            <v:stroke on="f"/>
            <v:imagedata r:id="rId42" o:title=""/>
            <o:lock v:ext="edit" aspectratio="t"/>
            <w10:wrap type="none"/>
            <w10:anchorlock/>
          </v:shape>
          <o:OLEObject Type="Embed" ProgID="Equation.KSEE3" ShapeID="_x0000_i1031" DrawAspect="Content" ObjectID="_1468075731" r:id="rId41">
            <o:LockedField>false</o:LockedField>
          </o:OLEObject>
        </w:object>
      </w:r>
      <w:r>
        <w:rPr>
          <w:rFonts w:hint="eastAsia"/>
          <w:color w:val="auto"/>
          <w:highlight w:val="none"/>
          <w:vertAlign w:val="subscript"/>
          <w:lang w:val="en-US" w:eastAsia="zh-CN"/>
        </w:rPr>
        <w:t>回收</w:t>
      </w:r>
      <w:r>
        <w:rPr>
          <w:rFonts w:hint="eastAsia"/>
          <w:color w:val="auto"/>
          <w:highlight w:val="none"/>
          <w:lang w:val="en-US" w:eastAsia="zh-CN"/>
        </w:rPr>
        <w:t>—废清洗溶剂回收率，%；</w:t>
      </w:r>
    </w:p>
    <w:p w14:paraId="6ED120C6">
      <w:pPr>
        <w:pStyle w:val="49"/>
        <w:bidi w:val="0"/>
        <w:rPr>
          <w:rFonts w:hint="eastAsia"/>
          <w:color w:val="auto"/>
          <w:highlight w:val="none"/>
          <w:lang w:val="en-US" w:eastAsia="zh-CN"/>
        </w:rPr>
      </w:pPr>
      <w:r>
        <w:rPr>
          <w:rFonts w:hint="eastAsia"/>
          <w:color w:val="auto"/>
          <w:highlight w:val="none"/>
          <w:lang w:val="en-US" w:eastAsia="zh-CN"/>
        </w:rPr>
        <w:t>D</w:t>
      </w:r>
      <w:r>
        <w:rPr>
          <w:rFonts w:hint="eastAsia"/>
          <w:color w:val="auto"/>
          <w:highlight w:val="none"/>
          <w:vertAlign w:val="subscript"/>
          <w:lang w:val="en-US" w:eastAsia="zh-CN"/>
        </w:rPr>
        <w:t>流平或热流平</w:t>
      </w:r>
      <w:r>
        <w:rPr>
          <w:rFonts w:hint="eastAsia"/>
          <w:color w:val="auto"/>
          <w:highlight w:val="none"/>
          <w:lang w:val="en-US" w:eastAsia="zh-CN"/>
        </w:rPr>
        <w:t>—核算时段内流平或热流平工序挥发性有机物产生量，t；</w:t>
      </w:r>
    </w:p>
    <w:p w14:paraId="03D96877">
      <w:pPr>
        <w:pStyle w:val="49"/>
        <w:bidi w:val="0"/>
        <w:rPr>
          <w:rFonts w:hint="default"/>
          <w:color w:val="auto"/>
          <w:highlight w:val="none"/>
          <w:lang w:val="en-US" w:eastAsia="zh-CN"/>
        </w:rPr>
      </w:pPr>
      <w:r>
        <w:rPr>
          <w:rFonts w:hint="eastAsia"/>
          <w:color w:val="auto"/>
          <w:highlight w:val="none"/>
          <w:lang w:val="en-US" w:eastAsia="zh-CN"/>
        </w:rPr>
        <w:t>K</w:t>
      </w:r>
      <w:r>
        <w:rPr>
          <w:rFonts w:hint="eastAsia"/>
          <w:color w:val="auto"/>
          <w:highlight w:val="none"/>
          <w:vertAlign w:val="subscript"/>
          <w:lang w:val="en-US" w:eastAsia="zh-CN"/>
        </w:rPr>
        <w:t>流平或热流平</w:t>
      </w:r>
      <w:r>
        <w:rPr>
          <w:rFonts w:hint="eastAsia"/>
          <w:color w:val="auto"/>
          <w:highlight w:val="none"/>
          <w:lang w:val="en-US" w:eastAsia="zh-CN"/>
        </w:rPr>
        <w:t>—流平（热流平）工序挥发性有机物产生量占比，%；</w:t>
      </w:r>
    </w:p>
    <w:p w14:paraId="4A737C87">
      <w:pPr>
        <w:pStyle w:val="49"/>
        <w:bidi w:val="0"/>
        <w:rPr>
          <w:rFonts w:hint="eastAsia"/>
          <w:color w:val="auto"/>
          <w:highlight w:val="none"/>
          <w:lang w:val="en-US" w:eastAsia="zh-CN"/>
        </w:rPr>
      </w:pPr>
      <w:r>
        <w:rPr>
          <w:rFonts w:hint="eastAsia"/>
          <w:color w:val="auto"/>
          <w:highlight w:val="none"/>
          <w:lang w:val="en-US" w:eastAsia="zh-CN"/>
        </w:rPr>
        <w:t>D</w:t>
      </w:r>
      <w:r>
        <w:rPr>
          <w:rFonts w:hint="eastAsia"/>
          <w:color w:val="auto"/>
          <w:highlight w:val="none"/>
          <w:vertAlign w:val="subscript"/>
          <w:lang w:val="en-US" w:eastAsia="zh-CN"/>
        </w:rPr>
        <w:t>烘干</w:t>
      </w:r>
      <w:r>
        <w:rPr>
          <w:rFonts w:hint="eastAsia"/>
          <w:color w:val="auto"/>
          <w:highlight w:val="none"/>
          <w:lang w:val="en-US" w:eastAsia="zh-CN"/>
        </w:rPr>
        <w:t>—核算时段内烘干工序挥发性有机物产生量，t；</w:t>
      </w:r>
    </w:p>
    <w:p w14:paraId="433BC3B2">
      <w:pPr>
        <w:pStyle w:val="49"/>
        <w:bidi w:val="0"/>
        <w:rPr>
          <w:rFonts w:hint="default"/>
          <w:color w:val="auto"/>
          <w:highlight w:val="none"/>
          <w:lang w:val="en-US" w:eastAsia="zh-CN"/>
        </w:rPr>
      </w:pPr>
      <w:r>
        <w:rPr>
          <w:rFonts w:hint="eastAsia"/>
          <w:color w:val="auto"/>
          <w:highlight w:val="none"/>
          <w:lang w:val="en-US" w:eastAsia="zh-CN"/>
        </w:rPr>
        <w:t>K</w:t>
      </w:r>
      <w:r>
        <w:rPr>
          <w:rFonts w:hint="eastAsia"/>
          <w:color w:val="auto"/>
          <w:highlight w:val="none"/>
          <w:vertAlign w:val="subscript"/>
          <w:lang w:val="en-US" w:eastAsia="zh-CN"/>
        </w:rPr>
        <w:t>烘干</w:t>
      </w:r>
      <w:r>
        <w:rPr>
          <w:rFonts w:hint="eastAsia"/>
          <w:color w:val="auto"/>
          <w:highlight w:val="none"/>
          <w:lang w:val="en-US" w:eastAsia="zh-CN"/>
        </w:rPr>
        <w:t>—烘干工序挥发性有机物产生量占比，%。</w:t>
      </w:r>
    </w:p>
    <w:p w14:paraId="7A2981EC">
      <w:pPr>
        <w:pStyle w:val="49"/>
        <w:keepNext w:val="0"/>
        <w:keepLines w:val="0"/>
        <w:pageBreakBefore w:val="0"/>
        <w:kinsoku w:val="0"/>
        <w:overflowPunct/>
        <w:autoSpaceDE w:val="0"/>
        <w:autoSpaceDN w:val="0"/>
        <w:bidi w:val="0"/>
        <w:adjustRightInd w:val="0"/>
        <w:snapToGrid w:val="0"/>
        <w:spacing w:line="360" w:lineRule="auto"/>
        <w:textAlignment w:val="baseline"/>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喷涂、流平（含热流平）、烘干工序挥发性有机物产生量占比系数以及不同清洗溶剂回收率采用设计值，无设计值时参考附录E确定。</w:t>
      </w:r>
    </w:p>
    <w:p w14:paraId="55F38EDE">
      <w:pPr>
        <w:pStyle w:val="49"/>
        <w:keepNext w:val="0"/>
        <w:keepLines w:val="0"/>
        <w:pageBreakBefore w:val="0"/>
        <w:widowControl w:val="0"/>
        <w:kinsoku w:val="0"/>
        <w:wordWrap w:val="0"/>
        <w:overflowPunct/>
        <w:topLinePunct/>
        <w:autoSpaceDE w:val="0"/>
        <w:autoSpaceDN w:val="0"/>
        <w:bidi w:val="0"/>
        <w:adjustRightInd w:val="0"/>
        <w:snapToGrid w:val="0"/>
        <w:textAlignment w:val="baseline"/>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经计算，本项目喷涂废气（调漆废气、喷漆废气、流平废气、烘干废气）非甲烷总烃产生量为</w:t>
      </w:r>
      <w:r>
        <w:rPr>
          <w:rFonts w:hint="eastAsia" w:cs="Times New Roman"/>
          <w:color w:val="auto"/>
          <w:highlight w:val="none"/>
          <w:lang w:val="en-US" w:eastAsia="zh-CN"/>
        </w:rPr>
        <w:t>376.35</w:t>
      </w:r>
      <w:r>
        <w:rPr>
          <w:rFonts w:hint="eastAsia" w:ascii="Times New Roman" w:hAnsi="Times New Roman" w:eastAsia="宋体" w:cs="Times New Roman"/>
          <w:color w:val="auto"/>
          <w:highlight w:val="none"/>
          <w:lang w:val="en-US" w:eastAsia="zh-CN"/>
        </w:rPr>
        <w:t>t/a。</w:t>
      </w:r>
    </w:p>
    <w:p w14:paraId="7E5C8E10">
      <w:pPr>
        <w:spacing w:line="14" w:lineRule="auto"/>
        <w:rPr>
          <w:rFonts w:ascii="Arial"/>
          <w:color w:val="FF0000"/>
          <w:sz w:val="2"/>
          <w:highlight w:val="none"/>
        </w:rPr>
      </w:pPr>
    </w:p>
    <w:p w14:paraId="364C7A12">
      <w:pPr>
        <w:spacing w:line="33" w:lineRule="exact"/>
        <w:rPr>
          <w:color w:val="FF0000"/>
          <w:highlight w:val="none"/>
        </w:rPr>
      </w:pPr>
    </w:p>
    <w:p w14:paraId="58968431">
      <w:pPr>
        <w:pStyle w:val="52"/>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color w:val="auto"/>
          <w:lang w:val="en-US" w:eastAsia="zh-CN"/>
        </w:rPr>
      </w:pPr>
      <w:r>
        <w:rPr>
          <w:rFonts w:hint="eastAsia"/>
          <w:color w:val="auto"/>
          <w:lang w:val="en-US" w:eastAsia="zh-CN"/>
        </w:rPr>
        <w:t>③颗粒物（漆雾）</w:t>
      </w:r>
    </w:p>
    <w:p w14:paraId="3FD56835">
      <w:pPr>
        <w:pStyle w:val="52"/>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snapToGrid w:val="0"/>
          <w:color w:val="auto"/>
          <w:kern w:val="2"/>
          <w:sz w:val="24"/>
          <w:szCs w:val="24"/>
          <w:highlight w:val="none"/>
          <w:lang w:val="en-US" w:eastAsia="zh-CN" w:bidi="ar-SA"/>
        </w:rPr>
      </w:pPr>
      <w:r>
        <w:rPr>
          <w:rFonts w:hint="default" w:ascii="Times New Roman" w:hAnsi="Times New Roman" w:eastAsia="宋体" w:cs="Times New Roman"/>
          <w:snapToGrid w:val="0"/>
          <w:color w:val="auto"/>
          <w:kern w:val="2"/>
          <w:sz w:val="24"/>
          <w:szCs w:val="24"/>
          <w:highlight w:val="none"/>
          <w:lang w:val="en-US" w:eastAsia="zh-CN" w:bidi="ar-SA"/>
        </w:rPr>
        <w:t>根据《污染源源强核算技术指南 汽车制造》（HJ1097-2020），喷涂工序颗粒物核算方法如下：</w:t>
      </w:r>
    </w:p>
    <w:p w14:paraId="7BB2D472">
      <w:pPr>
        <w:pStyle w:val="52"/>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1743075" cy="557530"/>
            <wp:effectExtent l="0" t="0" r="9525" b="1397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43"/>
                    <a:stretch>
                      <a:fillRect/>
                    </a:stretch>
                  </pic:blipFill>
                  <pic:spPr>
                    <a:xfrm>
                      <a:off x="0" y="0"/>
                      <a:ext cx="1743075" cy="557530"/>
                    </a:xfrm>
                    <a:prstGeom prst="rect">
                      <a:avLst/>
                    </a:prstGeom>
                    <a:noFill/>
                    <a:ln>
                      <a:noFill/>
                    </a:ln>
                  </pic:spPr>
                </pic:pic>
              </a:graphicData>
            </a:graphic>
          </wp:inline>
        </w:drawing>
      </w:r>
    </w:p>
    <w:p w14:paraId="2D2BC70F">
      <w:pPr>
        <w:pStyle w:val="52"/>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式中：D—核算时段内底漆、中涂漆、面漆（含色漆+罩光漆）中颗粒物（漆雾）产生量，t；</w:t>
      </w:r>
    </w:p>
    <w:p w14:paraId="46DB0838">
      <w:pPr>
        <w:pStyle w:val="52"/>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G—核算时段内底漆、中涂漆、面漆（含色漆+罩光漆）用物料消耗量，t；</w:t>
      </w:r>
    </w:p>
    <w:p w14:paraId="01B17FE7">
      <w:pPr>
        <w:pStyle w:val="52"/>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W—核算时段内底漆、中涂漆、面漆（含色漆+罩光漆）中固体分含量，%，采用设计值；</w:t>
      </w:r>
    </w:p>
    <w:p w14:paraId="7FC7938A">
      <w:pPr>
        <w:pStyle w:val="52"/>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ℷ—对应喷涂工艺固体分附着率，%，不同喷涂工艺物料固体分附着率采用设计值，无设计值时参考附录E确定。</w:t>
      </w:r>
    </w:p>
    <w:p w14:paraId="50D8CFA4">
      <w:pPr>
        <w:pStyle w:val="52"/>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经计算，本项目喷涂工序颗粒物产生量为</w:t>
      </w:r>
      <w:r>
        <w:rPr>
          <w:rFonts w:hint="eastAsia" w:ascii="Times New Roman" w:hAnsi="Times New Roman" w:cs="Times New Roman"/>
          <w:color w:val="auto"/>
          <w:lang w:val="en-US" w:eastAsia="zh-CN"/>
        </w:rPr>
        <w:t>146.232</w:t>
      </w:r>
      <w:r>
        <w:rPr>
          <w:rFonts w:hint="default" w:ascii="Times New Roman" w:hAnsi="Times New Roman" w:cs="Times New Roman"/>
          <w:color w:val="auto"/>
          <w:lang w:val="en-US" w:eastAsia="zh-CN"/>
        </w:rPr>
        <w:t>t/a</w:t>
      </w:r>
      <w:r>
        <w:rPr>
          <w:rFonts w:hint="eastAsia" w:ascii="Times New Roman" w:hAnsi="Times New Roman" w:cs="Times New Roman"/>
          <w:color w:val="auto"/>
          <w:lang w:val="en-US" w:eastAsia="zh-CN"/>
        </w:rPr>
        <w:t>。</w:t>
      </w:r>
    </w:p>
    <w:p w14:paraId="78F1E0D6">
      <w:pPr>
        <w:pStyle w:val="52"/>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cs="Times New Roman"/>
          <w:color w:val="auto"/>
        </w:rPr>
      </w:pPr>
      <w:r>
        <w:rPr>
          <w:rFonts w:hint="default" w:ascii="Times New Roman" w:hAnsi="Times New Roman" w:cs="Times New Roman"/>
          <w:color w:val="auto"/>
          <w:lang w:val="en-US" w:eastAsia="zh-CN"/>
        </w:rPr>
        <w:t>本项目喷涂工序均位于密闭的喷漆房内，</w:t>
      </w:r>
      <w:r>
        <w:rPr>
          <w:rFonts w:hint="eastAsia" w:ascii="Times New Roman" w:hAnsi="Times New Roman" w:cs="Times New Roman"/>
          <w:color w:val="auto"/>
          <w:lang w:val="en-US" w:eastAsia="zh-CN"/>
        </w:rPr>
        <w:t>且负压收集废气，</w:t>
      </w:r>
      <w:r>
        <w:rPr>
          <w:rFonts w:hint="default" w:ascii="Times New Roman" w:hAnsi="Times New Roman" w:cs="Times New Roman"/>
          <w:color w:val="auto"/>
        </w:rPr>
        <w:t>集气效率</w:t>
      </w:r>
      <w:r>
        <w:rPr>
          <w:rFonts w:hint="default" w:ascii="Times New Roman" w:hAnsi="Times New Roman" w:cs="Times New Roman"/>
          <w:color w:val="auto"/>
          <w:lang w:val="en-US" w:eastAsia="zh-CN"/>
        </w:rPr>
        <w:t>99</w:t>
      </w:r>
      <w:r>
        <w:rPr>
          <w:rFonts w:hint="default" w:ascii="Times New Roman" w:hAnsi="Times New Roman" w:cs="Times New Roman"/>
          <w:color w:val="auto"/>
        </w:rPr>
        <w:t>%，经</w:t>
      </w:r>
      <w:r>
        <w:rPr>
          <w:rFonts w:hint="default" w:ascii="Times New Roman" w:hAnsi="Times New Roman" w:eastAsia="宋体" w:cs="Times New Roman"/>
          <w:color w:val="auto"/>
          <w:lang w:val="en-US" w:eastAsia="zh-CN"/>
        </w:rPr>
        <w:t>水帘式漆雾净化（</w:t>
      </w:r>
      <w:r>
        <w:rPr>
          <w:rFonts w:hint="eastAsia" w:ascii="Times New Roman" w:hAnsi="Times New Roman" w:eastAsia="宋体" w:cs="Times New Roman"/>
          <w:color w:val="auto"/>
          <w:lang w:val="en-US" w:eastAsia="zh-CN"/>
        </w:rPr>
        <w:t>90</w:t>
      </w:r>
      <w:r>
        <w:rPr>
          <w:rFonts w:hint="default" w:ascii="Times New Roman" w:hAnsi="Times New Roman" w:eastAsia="宋体" w:cs="Times New Roman"/>
          <w:color w:val="auto"/>
          <w:lang w:val="en-US" w:eastAsia="zh-CN"/>
        </w:rPr>
        <w:t>%）+</w:t>
      </w:r>
      <w:r>
        <w:rPr>
          <w:rFonts w:hint="default" w:ascii="Times New Roman" w:hAnsi="Times New Roman" w:cs="Times New Roman"/>
          <w:color w:val="auto"/>
          <w:lang w:val="en-US" w:eastAsia="zh-CN"/>
        </w:rPr>
        <w:t>沸石转轮</w:t>
      </w:r>
      <w:r>
        <w:rPr>
          <w:rFonts w:hint="eastAsia" w:ascii="Times New Roman" w:hAnsi="Times New Roman" w:cs="Times New Roman"/>
          <w:color w:val="auto"/>
          <w:lang w:val="en-US" w:eastAsia="zh-CN"/>
        </w:rPr>
        <w:t>吸附</w:t>
      </w:r>
      <w:r>
        <w:rPr>
          <w:rFonts w:hint="default" w:ascii="Times New Roman" w:hAnsi="Times New Roman" w:cs="Times New Roman"/>
          <w:color w:val="auto"/>
          <w:lang w:val="en-US" w:eastAsia="zh-CN"/>
        </w:rPr>
        <w:t>+RTO</w:t>
      </w:r>
      <w:r>
        <w:rPr>
          <w:rFonts w:hint="eastAsia" w:ascii="Times New Roman" w:hAnsi="Times New Roman" w:cs="Times New Roman"/>
          <w:color w:val="auto"/>
          <w:lang w:val="en-US" w:eastAsia="zh-CN"/>
        </w:rPr>
        <w:t>焚烧</w:t>
      </w:r>
      <w:r>
        <w:rPr>
          <w:rFonts w:hint="default" w:ascii="Times New Roman" w:hAnsi="Times New Roman" w:cs="Times New Roman"/>
          <w:color w:val="auto"/>
          <w:lang w:val="en-US" w:eastAsia="zh-CN"/>
        </w:rPr>
        <w:t>装置</w:t>
      </w:r>
      <w:r>
        <w:rPr>
          <w:rFonts w:hint="default" w:ascii="Times New Roman" w:hAnsi="Times New Roman" w:cs="Times New Roman"/>
          <w:color w:val="auto"/>
        </w:rPr>
        <w:t>处理后</w:t>
      </w:r>
      <w:r>
        <w:rPr>
          <w:rFonts w:hint="default" w:ascii="Times New Roman" w:hAnsi="Times New Roman" w:cs="Times New Roman"/>
          <w:color w:val="auto"/>
          <w:lang w:val="en-US" w:eastAsia="zh-CN"/>
        </w:rPr>
        <w:t>经</w:t>
      </w:r>
      <w:r>
        <w:rPr>
          <w:rFonts w:hint="default" w:ascii="Times New Roman" w:hAnsi="Times New Roman" w:cs="Times New Roman"/>
          <w:color w:val="auto"/>
        </w:rPr>
        <w:t>一根</w:t>
      </w:r>
      <w:r>
        <w:rPr>
          <w:rFonts w:hint="eastAsia" w:ascii="Times New Roman" w:hAnsi="Times New Roman" w:eastAsia="宋体" w:cs="Times New Roman"/>
          <w:color w:val="auto"/>
          <w:lang w:val="en-US" w:eastAsia="zh-CN"/>
        </w:rPr>
        <w:t>22.5</w:t>
      </w:r>
      <w:r>
        <w:rPr>
          <w:rFonts w:hint="default" w:ascii="Times New Roman" w:hAnsi="Times New Roman" w:cs="Times New Roman"/>
          <w:color w:val="auto"/>
        </w:rPr>
        <w:t>m高排气筒</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DA002）</w:t>
      </w:r>
      <w:r>
        <w:rPr>
          <w:rFonts w:hint="default" w:ascii="Times New Roman" w:hAnsi="Times New Roman" w:cs="Times New Roman"/>
          <w:color w:val="auto"/>
        </w:rPr>
        <w:t>排放</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有机废气处理效率为9</w:t>
      </w:r>
      <w:r>
        <w:rPr>
          <w:rFonts w:hint="eastAsia" w:ascii="Times New Roman" w:hAnsi="Times New Roman" w:cs="Times New Roman"/>
          <w:color w:val="auto"/>
          <w:lang w:val="en-US" w:eastAsia="zh-CN"/>
        </w:rPr>
        <w:t>6</w:t>
      </w:r>
      <w:r>
        <w:rPr>
          <w:rFonts w:hint="default" w:ascii="Times New Roman" w:hAnsi="Times New Roman" w:cs="Times New Roman"/>
          <w:color w:val="auto"/>
          <w:lang w:val="en-US" w:eastAsia="zh-CN"/>
        </w:rPr>
        <w:t>%，配套风机风量</w:t>
      </w:r>
      <w:r>
        <w:rPr>
          <w:rFonts w:hint="eastAsia" w:ascii="Times New Roman" w:hAnsi="Times New Roman" w:cs="Times New Roman"/>
          <w:color w:val="auto"/>
          <w:lang w:val="en-US" w:eastAsia="zh-CN"/>
        </w:rPr>
        <w:t>20</w:t>
      </w:r>
      <w:r>
        <w:rPr>
          <w:rFonts w:hint="default" w:ascii="Times New Roman" w:hAnsi="Times New Roman" w:cs="Times New Roman"/>
          <w:color w:val="auto"/>
          <w:lang w:val="en-US" w:eastAsia="zh-CN"/>
        </w:rPr>
        <w:t>000m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/h</w:t>
      </w:r>
      <w:r>
        <w:rPr>
          <w:rFonts w:hint="default" w:ascii="Times New Roman" w:hAnsi="Times New Roman" w:cs="Times New Roman"/>
          <w:color w:val="auto"/>
        </w:rPr>
        <w:t>。</w:t>
      </w:r>
    </w:p>
    <w:p w14:paraId="23955EE6">
      <w:pPr>
        <w:pStyle w:val="52"/>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eastAsia="宋体" w:cs="Times New Roman"/>
          <w:b/>
          <w:bCs/>
          <w:snapToGrid w:val="0"/>
          <w:color w:val="auto"/>
          <w:kern w:val="2"/>
          <w:sz w:val="24"/>
          <w:szCs w:val="24"/>
          <w:lang w:val="en-US" w:eastAsia="zh-CN" w:bidi="ar-SA"/>
        </w:rPr>
      </w:pPr>
      <w:r>
        <w:rPr>
          <w:rFonts w:hint="eastAsia" w:ascii="Times New Roman" w:hAnsi="Times New Roman" w:eastAsia="宋体" w:cs="Times New Roman"/>
          <w:b/>
          <w:bCs/>
          <w:snapToGrid w:val="0"/>
          <w:color w:val="auto"/>
          <w:kern w:val="2"/>
          <w:sz w:val="24"/>
          <w:szCs w:val="24"/>
          <w:lang w:val="en-US" w:eastAsia="zh-CN" w:bidi="ar-SA"/>
        </w:rPr>
        <w:t>5、管路和喷枪清洗废气</w:t>
      </w:r>
    </w:p>
    <w:p w14:paraId="0B7020D2">
      <w:pPr>
        <w:pStyle w:val="52"/>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喷枪、管路采用清洗溶剂进行清洗，废清洗溶剂经负压回收罐收集后密闭暂存于</w:t>
      </w:r>
      <w:r>
        <w:rPr>
          <w:rFonts w:hint="eastAsia" w:ascii="Times New Roman" w:hAnsi="Times New Roman" w:cs="Times New Roman"/>
          <w:color w:val="auto"/>
          <w:lang w:val="en-US" w:eastAsia="zh-CN"/>
        </w:rPr>
        <w:t>危险废物贮存库</w:t>
      </w:r>
      <w:r>
        <w:rPr>
          <w:rFonts w:hint="default" w:ascii="Times New Roman" w:hAnsi="Times New Roman" w:cs="Times New Roman"/>
          <w:color w:val="auto"/>
          <w:lang w:val="en-US" w:eastAsia="zh-CN"/>
        </w:rPr>
        <w:t>。喷枪、管路清洗过程产生的废气经涂装废气收集系统进行收集处理。参照《污染源源强核算技术指南汽车制造》(HJ1097-2020)附录E，溶剂型涂料管路清洗采用负压回收罐回收废溶剂，废溶剂回收率70%。根据建设单位提供资料，供漆管路、喷枪清洗仅在涂料换色、放假等长时间不使用的情况下进行清洗，平时不进行清洗，全年约清洗200次，管路清洗一次约1.5h。</w:t>
      </w:r>
    </w:p>
    <w:p w14:paraId="38953916">
      <w:pPr>
        <w:pStyle w:val="52"/>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根据建设单位提供资料，本项目年消耗清洗溶剂</w:t>
      </w:r>
      <w:r>
        <w:rPr>
          <w:rFonts w:hint="eastAsia" w:ascii="Times New Roman" w:hAnsi="Times New Roman" w:cs="Times New Roman"/>
          <w:color w:val="auto"/>
          <w:lang w:val="en-US" w:eastAsia="zh-CN"/>
        </w:rPr>
        <w:t>5</w:t>
      </w:r>
      <w:r>
        <w:rPr>
          <w:rFonts w:hint="default" w:ascii="Times New Roman" w:hAnsi="Times New Roman" w:cs="Times New Roman"/>
          <w:color w:val="auto"/>
          <w:lang w:val="en-US" w:eastAsia="zh-CN"/>
        </w:rPr>
        <w:t>t</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清洗工序30%清洗剂挥发，因此清洗过程有机废气产生量</w:t>
      </w:r>
      <w:r>
        <w:rPr>
          <w:rFonts w:hint="eastAsia" w:ascii="Times New Roman" w:hAnsi="Times New Roman" w:cs="Times New Roman"/>
          <w:color w:val="auto"/>
          <w:lang w:val="en-US" w:eastAsia="zh-CN"/>
        </w:rPr>
        <w:t>为1.5</w:t>
      </w:r>
      <w:r>
        <w:rPr>
          <w:rFonts w:hint="default" w:ascii="Times New Roman" w:hAnsi="Times New Roman" w:cs="Times New Roman"/>
          <w:color w:val="auto"/>
          <w:lang w:val="en-US" w:eastAsia="zh-CN"/>
        </w:rPr>
        <w:t>t</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a。</w:t>
      </w:r>
      <w:r>
        <w:rPr>
          <w:rFonts w:hint="eastAsia" w:ascii="Times New Roman" w:hAnsi="Times New Roman" w:cs="Times New Roman"/>
          <w:color w:val="auto"/>
          <w:lang w:val="en-US" w:eastAsia="zh-CN"/>
        </w:rPr>
        <w:t>该有机废气收集（收集效率99%）后与喷涂废气一起经水帘式漆雾净化+沸石转轮吸附+RTO焚烧装置处理后排放。</w:t>
      </w:r>
    </w:p>
    <w:p w14:paraId="7636BDB2">
      <w:pPr>
        <w:pStyle w:val="49"/>
        <w:keepNext w:val="0"/>
        <w:keepLines w:val="0"/>
        <w:pageBreakBefore w:val="0"/>
        <w:widowControl w:val="0"/>
        <w:kinsoku/>
        <w:wordWrap w:val="0"/>
        <w:overflowPunct/>
        <w:topLinePunct/>
        <w:autoSpaceDE/>
        <w:autoSpaceDN/>
        <w:bidi w:val="0"/>
        <w:adjustRightInd/>
        <w:snapToGrid/>
        <w:textAlignment w:val="auto"/>
        <w:rPr>
          <w:rFonts w:hint="default" w:ascii="Times New Roman" w:hAnsi="Times New Roman" w:eastAsia="宋体" w:cs="Times New Roman"/>
          <w:b/>
          <w:bCs/>
          <w:snapToGrid w:val="0"/>
          <w:color w:val="auto"/>
          <w:kern w:val="0"/>
          <w:sz w:val="24"/>
          <w:szCs w:val="21"/>
          <w:lang w:val="en-US" w:eastAsia="zh-CN" w:bidi="ar-SA"/>
        </w:rPr>
      </w:pPr>
      <w:r>
        <w:rPr>
          <w:rFonts w:hint="eastAsia" w:ascii="Times New Roman" w:hAnsi="Times New Roman" w:eastAsia="宋体" w:cs="Times New Roman"/>
          <w:b/>
          <w:bCs/>
          <w:snapToGrid w:val="0"/>
          <w:color w:val="auto"/>
          <w:kern w:val="0"/>
          <w:sz w:val="24"/>
          <w:szCs w:val="21"/>
          <w:lang w:val="en-US" w:eastAsia="zh-CN" w:bidi="ar-SA"/>
        </w:rPr>
        <w:t>6、丝印废气</w:t>
      </w:r>
    </w:p>
    <w:p w14:paraId="360C1EE5">
      <w:pPr>
        <w:pStyle w:val="49"/>
        <w:keepNext w:val="0"/>
        <w:keepLines w:val="0"/>
        <w:pageBreakBefore w:val="0"/>
        <w:widowControl w:val="0"/>
        <w:kinsoku/>
        <w:wordWrap w:val="0"/>
        <w:overflowPunct/>
        <w:topLinePunct/>
        <w:autoSpaceDE/>
        <w:autoSpaceDN/>
        <w:bidi w:val="0"/>
        <w:adjustRightInd/>
        <w:snapToGrid/>
        <w:textAlignment w:val="auto"/>
        <w:rPr>
          <w:rFonts w:hint="eastAsia" w:ascii="Times New Roman" w:hAnsi="Times New Roman" w:cs="Times New Roman"/>
          <w:color w:val="auto"/>
          <w:lang w:val="en-US" w:eastAsia="zh-CN"/>
        </w:rPr>
      </w:pPr>
      <w:r>
        <w:rPr>
          <w:rFonts w:hint="eastAsia"/>
          <w:color w:val="auto"/>
          <w:highlight w:val="none"/>
          <w:lang w:val="en-US" w:eastAsia="zh-CN"/>
        </w:rPr>
        <w:t>项目丝印过程中油墨中会挥发出一定量的有机废气，根据《油墨中可挥发性有机化合物(VOC含量的限值》(GB38507-2020），网印油墨（能量固化油墨）挥发按5%计，项目油墨使用量为0.024t/a，则有机废气（以非甲烷总烃计）产生量为0.0012t/a。</w:t>
      </w:r>
      <w:r>
        <w:rPr>
          <w:rFonts w:hint="eastAsia" w:ascii="Times New Roman" w:hAnsi="Times New Roman" w:cs="Times New Roman"/>
          <w:color w:val="auto"/>
          <w:lang w:val="en-US" w:eastAsia="zh-CN"/>
        </w:rPr>
        <w:t>该有机废气经管道收集（收集效率</w:t>
      </w:r>
      <w:r>
        <w:rPr>
          <w:rFonts w:hint="eastAsia" w:cs="Times New Roman"/>
          <w:color w:val="auto"/>
          <w:lang w:val="en-US" w:eastAsia="zh-CN"/>
        </w:rPr>
        <w:t>90</w:t>
      </w:r>
      <w:r>
        <w:rPr>
          <w:rFonts w:hint="eastAsia" w:ascii="Times New Roman" w:hAnsi="Times New Roman" w:cs="Times New Roman"/>
          <w:color w:val="auto"/>
          <w:lang w:val="en-US" w:eastAsia="zh-CN"/>
        </w:rPr>
        <w:t>%）后，与喷涂废气一起经水帘式漆雾净化+沸石转轮吸附+RTO焚烧装置处理后排放。</w:t>
      </w:r>
    </w:p>
    <w:p w14:paraId="011C49EF">
      <w:pPr>
        <w:pStyle w:val="52"/>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喷涂废气（调漆废气、喷漆废气、流平废气、烘干废气）</w:t>
      </w:r>
      <w:r>
        <w:rPr>
          <w:rFonts w:hint="eastAsia" w:ascii="Times New Roman" w:hAnsi="Times New Roman" w:cs="Times New Roman"/>
          <w:color w:val="auto"/>
          <w:lang w:val="en-US" w:eastAsia="zh-CN"/>
        </w:rPr>
        <w:t>、管路和喷枪清洗废气与丝印废气经一套处理系统和排气筒排放。</w:t>
      </w:r>
      <w:r>
        <w:rPr>
          <w:rFonts w:hint="default" w:ascii="Times New Roman" w:hAnsi="Times New Roman" w:cs="Times New Roman"/>
          <w:color w:val="auto"/>
          <w:lang w:val="en-US" w:eastAsia="zh-CN"/>
        </w:rPr>
        <w:t>则</w:t>
      </w:r>
      <w:r>
        <w:rPr>
          <w:rFonts w:hint="eastAsia" w:ascii="Times New Roman" w:hAnsi="Times New Roman" w:cs="Times New Roman"/>
          <w:color w:val="auto"/>
          <w:sz w:val="24"/>
          <w:highlight w:val="none"/>
          <w:lang w:val="en-US" w:eastAsia="zh-CN"/>
        </w:rPr>
        <w:t>有组织非甲烷总烃产生量约为374t/a，53.74kg/h、产生浓度为2687mg/m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highlight w:val="none"/>
          <w:lang w:val="en-US" w:eastAsia="zh-CN"/>
        </w:rPr>
        <w:t>有组织非甲烷总烃排放量为</w:t>
      </w:r>
      <w:r>
        <w:rPr>
          <w:rFonts w:hint="eastAsia" w:ascii="Times New Roman" w:hAnsi="Times New Roman" w:cs="Times New Roman"/>
          <w:color w:val="auto"/>
          <w:highlight w:val="none"/>
          <w:lang w:val="en-US" w:eastAsia="zh-CN"/>
        </w:rPr>
        <w:t>14.96</w:t>
      </w:r>
      <w:r>
        <w:rPr>
          <w:rFonts w:hint="default" w:ascii="Times New Roman" w:hAnsi="Times New Roman" w:cs="Times New Roman"/>
          <w:color w:val="auto"/>
          <w:highlight w:val="none"/>
          <w:lang w:val="en-US" w:eastAsia="zh-CN"/>
        </w:rPr>
        <w:t>t/a，排放速率为</w:t>
      </w:r>
      <w:r>
        <w:rPr>
          <w:rFonts w:hint="eastAsia" w:ascii="Times New Roman" w:hAnsi="Times New Roman" w:cs="Times New Roman"/>
          <w:color w:val="auto"/>
          <w:highlight w:val="none"/>
          <w:lang w:val="en-US" w:eastAsia="zh-CN"/>
        </w:rPr>
        <w:t>2.15</w:t>
      </w:r>
      <w:r>
        <w:rPr>
          <w:rFonts w:hint="default" w:ascii="Times New Roman" w:hAnsi="Times New Roman" w:cs="Times New Roman"/>
          <w:color w:val="auto"/>
          <w:highlight w:val="none"/>
          <w:lang w:val="en-US" w:eastAsia="zh-CN"/>
        </w:rPr>
        <w:t>kg/h，排放浓度为</w:t>
      </w:r>
      <w:r>
        <w:rPr>
          <w:rFonts w:hint="eastAsia" w:ascii="Times New Roman" w:hAnsi="Times New Roman" w:cs="Times New Roman"/>
          <w:color w:val="auto"/>
          <w:highlight w:val="none"/>
          <w:lang w:val="en-US" w:eastAsia="zh-CN"/>
        </w:rPr>
        <w:t>107</w:t>
      </w:r>
      <w:r>
        <w:rPr>
          <w:rFonts w:hint="default" w:ascii="Times New Roman" w:hAnsi="Times New Roman" w:cs="Times New Roman"/>
          <w:color w:val="auto"/>
          <w:highlight w:val="none"/>
          <w:lang w:val="en-US" w:eastAsia="zh-CN"/>
        </w:rPr>
        <w:t>mg/m</w:t>
      </w:r>
      <w:r>
        <w:rPr>
          <w:rFonts w:hint="default"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val="en-US" w:eastAsia="zh-CN"/>
        </w:rPr>
        <w:t>。</w:t>
      </w:r>
      <w:r>
        <w:rPr>
          <w:rFonts w:hint="eastAsia" w:ascii="Times New Roman" w:hAnsi="Times New Roman" w:cs="Times New Roman"/>
          <w:color w:val="auto"/>
          <w:sz w:val="24"/>
          <w:highlight w:val="none"/>
          <w:lang w:val="en-US" w:eastAsia="zh-CN"/>
        </w:rPr>
        <w:t>有组织颗粒物产生量约为255t/a，36.64kg/h、产生浓度为1042mg/m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highlight w:val="none"/>
          <w:lang w:val="en-US" w:eastAsia="zh-CN"/>
        </w:rPr>
        <w:t>有组织</w:t>
      </w:r>
      <w:r>
        <w:rPr>
          <w:rFonts w:hint="eastAsia" w:ascii="Times New Roman" w:hAnsi="Times New Roman" w:cs="Times New Roman"/>
          <w:color w:val="auto"/>
          <w:highlight w:val="none"/>
          <w:lang w:val="en-US" w:eastAsia="zh-CN"/>
        </w:rPr>
        <w:t>颗粒物</w:t>
      </w:r>
      <w:r>
        <w:rPr>
          <w:rFonts w:hint="default" w:ascii="Times New Roman" w:hAnsi="Times New Roman" w:cs="Times New Roman"/>
          <w:color w:val="auto"/>
          <w:highlight w:val="none"/>
          <w:lang w:val="en-US" w:eastAsia="zh-CN"/>
        </w:rPr>
        <w:t>排放量为</w:t>
      </w:r>
      <w:r>
        <w:rPr>
          <w:rFonts w:hint="eastAsia" w:ascii="Times New Roman" w:hAnsi="Times New Roman" w:cs="Times New Roman"/>
          <w:color w:val="auto"/>
          <w:highlight w:val="none"/>
          <w:lang w:val="en-US" w:eastAsia="zh-CN"/>
        </w:rPr>
        <w:t>14.5</w:t>
      </w:r>
      <w:r>
        <w:rPr>
          <w:rFonts w:hint="default" w:ascii="Times New Roman" w:hAnsi="Times New Roman" w:cs="Times New Roman"/>
          <w:color w:val="auto"/>
          <w:highlight w:val="none"/>
          <w:lang w:val="en-US" w:eastAsia="zh-CN"/>
        </w:rPr>
        <w:t>t/a，排放速率为</w:t>
      </w:r>
      <w:r>
        <w:rPr>
          <w:rFonts w:hint="eastAsia" w:ascii="Times New Roman" w:hAnsi="Times New Roman" w:cs="Times New Roman"/>
          <w:color w:val="auto"/>
          <w:highlight w:val="none"/>
          <w:lang w:val="en-US" w:eastAsia="zh-CN"/>
        </w:rPr>
        <w:t>2.083</w:t>
      </w:r>
      <w:r>
        <w:rPr>
          <w:rFonts w:hint="default" w:ascii="Times New Roman" w:hAnsi="Times New Roman" w:cs="Times New Roman"/>
          <w:color w:val="auto"/>
          <w:highlight w:val="none"/>
          <w:lang w:val="en-US" w:eastAsia="zh-CN"/>
        </w:rPr>
        <w:t>kg/h，排放浓度为</w:t>
      </w:r>
      <w:r>
        <w:rPr>
          <w:rFonts w:hint="eastAsia" w:ascii="Times New Roman" w:hAnsi="Times New Roman" w:cs="Times New Roman"/>
          <w:color w:val="auto"/>
          <w:highlight w:val="none"/>
          <w:lang w:val="en-US" w:eastAsia="zh-CN"/>
        </w:rPr>
        <w:t>104</w:t>
      </w:r>
      <w:r>
        <w:rPr>
          <w:rFonts w:hint="default" w:ascii="Times New Roman" w:hAnsi="Times New Roman" w:cs="Times New Roman"/>
          <w:color w:val="auto"/>
          <w:highlight w:val="none"/>
          <w:lang w:val="en-US" w:eastAsia="zh-CN"/>
        </w:rPr>
        <w:t>mg/m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；无组织非甲烷总烃排放量为</w:t>
      </w:r>
      <w:r>
        <w:rPr>
          <w:rFonts w:hint="eastAsia" w:ascii="Times New Roman" w:hAnsi="Times New Roman" w:cs="Times New Roman"/>
          <w:color w:val="auto"/>
          <w:highlight w:val="none"/>
          <w:lang w:val="en-US" w:eastAsia="zh-CN"/>
        </w:rPr>
        <w:t>3.779</w:t>
      </w:r>
      <w:r>
        <w:rPr>
          <w:rFonts w:hint="default" w:ascii="Times New Roman" w:hAnsi="Times New Roman" w:cs="Times New Roman"/>
          <w:color w:val="auto"/>
          <w:highlight w:val="none"/>
          <w:lang w:val="en-US" w:eastAsia="zh-CN"/>
        </w:rPr>
        <w:t>t/a，排放速率</w:t>
      </w:r>
      <w:r>
        <w:rPr>
          <w:rFonts w:hint="default" w:ascii="Times New Roman" w:hAnsi="Times New Roman" w:cs="Times New Roman"/>
          <w:color w:val="auto"/>
          <w:lang w:val="en-US" w:eastAsia="zh-CN"/>
        </w:rPr>
        <w:t>为0.</w:t>
      </w:r>
      <w:r>
        <w:rPr>
          <w:rFonts w:hint="eastAsia" w:ascii="Times New Roman" w:hAnsi="Times New Roman" w:cs="Times New Roman"/>
          <w:color w:val="auto"/>
          <w:lang w:val="en-US" w:eastAsia="zh-CN"/>
        </w:rPr>
        <w:t>543</w:t>
      </w:r>
      <w:r>
        <w:rPr>
          <w:rFonts w:hint="default" w:ascii="Times New Roman" w:hAnsi="Times New Roman" w:cs="Times New Roman"/>
          <w:color w:val="auto"/>
          <w:lang w:val="en-US" w:eastAsia="zh-CN"/>
        </w:rPr>
        <w:t>kg/h，无组织</w:t>
      </w:r>
      <w:r>
        <w:rPr>
          <w:rFonts w:hint="eastAsia" w:ascii="Times New Roman" w:hAnsi="Times New Roman" w:cs="Times New Roman"/>
          <w:color w:val="auto"/>
          <w:lang w:val="en-US" w:eastAsia="zh-CN"/>
        </w:rPr>
        <w:t>颗粒物</w:t>
      </w:r>
      <w:r>
        <w:rPr>
          <w:rFonts w:hint="default" w:ascii="Times New Roman" w:hAnsi="Times New Roman" w:cs="Times New Roman"/>
          <w:color w:val="auto"/>
          <w:lang w:val="en-US" w:eastAsia="zh-CN"/>
        </w:rPr>
        <w:t>排放量为</w:t>
      </w:r>
      <w:r>
        <w:rPr>
          <w:rFonts w:hint="eastAsia" w:ascii="Times New Roman" w:hAnsi="Times New Roman" w:cs="Times New Roman"/>
          <w:color w:val="auto"/>
          <w:lang w:val="en-US" w:eastAsia="zh-CN"/>
        </w:rPr>
        <w:t>1.462</w:t>
      </w:r>
      <w:r>
        <w:rPr>
          <w:rFonts w:hint="default" w:ascii="Times New Roman" w:hAnsi="Times New Roman" w:cs="Times New Roman"/>
          <w:color w:val="auto"/>
          <w:lang w:val="en-US" w:eastAsia="zh-CN"/>
        </w:rPr>
        <w:t>t/a，排放速率为0.</w:t>
      </w:r>
      <w:r>
        <w:rPr>
          <w:rFonts w:hint="eastAsia" w:ascii="Times New Roman" w:hAnsi="Times New Roman" w:cs="Times New Roman"/>
          <w:color w:val="auto"/>
          <w:lang w:val="en-US" w:eastAsia="zh-CN"/>
        </w:rPr>
        <w:t>21</w:t>
      </w:r>
      <w:r>
        <w:rPr>
          <w:rFonts w:hint="default" w:ascii="Times New Roman" w:hAnsi="Times New Roman" w:cs="Times New Roman"/>
          <w:color w:val="auto"/>
          <w:lang w:val="en-US" w:eastAsia="zh-CN"/>
        </w:rPr>
        <w:t>kg/h</w:t>
      </w:r>
      <w:r>
        <w:rPr>
          <w:rFonts w:hint="default" w:ascii="Times New Roman" w:hAnsi="Times New Roman" w:cs="Times New Roman"/>
          <w:color w:val="auto"/>
        </w:rPr>
        <w:t>。</w:t>
      </w:r>
    </w:p>
    <w:p w14:paraId="2717301C">
      <w:pPr>
        <w:pStyle w:val="1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2" w:firstLineChars="200"/>
        <w:textAlignment w:val="auto"/>
        <w:rPr>
          <w:rFonts w:hint="eastAsia"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7、天然气燃烧机废气</w:t>
      </w:r>
    </w:p>
    <w:p w14:paraId="225818B6">
      <w:pPr>
        <w:pStyle w:val="1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default" w:ascii="Times New Roman" w:hAnsi="Times New Roman" w:eastAsia="宋体" w:cs="Times New Roman"/>
          <w:snapToGrid w:val="0"/>
          <w:color w:val="auto"/>
          <w:kern w:val="2"/>
          <w:sz w:val="24"/>
          <w:szCs w:val="24"/>
          <w:lang w:val="en-US" w:eastAsia="zh-CN" w:bidi="ar-SA"/>
        </w:rPr>
      </w:pPr>
      <w:r>
        <w:rPr>
          <w:rFonts w:hint="eastAsia" w:ascii="Times New Roman" w:hAnsi="Times New Roman" w:eastAsia="宋体" w:cs="Times New Roman"/>
          <w:snapToGrid w:val="0"/>
          <w:color w:val="auto"/>
          <w:kern w:val="2"/>
          <w:sz w:val="24"/>
          <w:szCs w:val="24"/>
          <w:lang w:val="en-US" w:eastAsia="zh-CN" w:bidi="ar-SA"/>
        </w:rPr>
        <w:t>本项目烘干、固化、RTO均使用天然气燃烧机提供，燃烧机自带低氮燃烧装置。</w:t>
      </w:r>
    </w:p>
    <w:p w14:paraId="2E3B11BE">
      <w:pPr>
        <w:pStyle w:val="1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snapToGrid w:val="0"/>
          <w:color w:val="auto"/>
          <w:kern w:val="2"/>
          <w:sz w:val="24"/>
          <w:szCs w:val="24"/>
          <w:lang w:val="en-US" w:eastAsia="zh-CN" w:bidi="ar-SA"/>
        </w:rPr>
      </w:pPr>
      <w:r>
        <w:rPr>
          <w:rFonts w:hint="eastAsia" w:ascii="Times New Roman" w:hAnsi="Times New Roman" w:eastAsia="宋体" w:cs="Times New Roman"/>
          <w:snapToGrid w:val="0"/>
          <w:color w:val="auto"/>
          <w:kern w:val="2"/>
          <w:sz w:val="24"/>
          <w:szCs w:val="24"/>
          <w:lang w:val="en-US" w:eastAsia="zh-CN" w:bidi="ar-SA"/>
        </w:rPr>
        <w:t>根据建设单位提供资料，本项目天然气燃烧机小时消耗量为55m</w:t>
      </w:r>
      <w:r>
        <w:rPr>
          <w:rFonts w:hint="eastAsia" w:ascii="Times New Roman" w:hAnsi="Times New Roman" w:eastAsia="宋体" w:cs="Times New Roman"/>
          <w:snapToGrid w:val="0"/>
          <w:color w:val="auto"/>
          <w:kern w:val="2"/>
          <w:sz w:val="24"/>
          <w:szCs w:val="24"/>
          <w:vertAlign w:val="superscript"/>
          <w:lang w:val="en-US" w:eastAsia="zh-CN" w:bidi="ar-SA"/>
        </w:rPr>
        <w:t>3</w:t>
      </w:r>
      <w:r>
        <w:rPr>
          <w:rFonts w:hint="eastAsia" w:ascii="Times New Roman" w:hAnsi="Times New Roman" w:eastAsia="宋体" w:cs="Times New Roman"/>
          <w:snapToGrid w:val="0"/>
          <w:color w:val="auto"/>
          <w:kern w:val="2"/>
          <w:sz w:val="24"/>
          <w:szCs w:val="24"/>
          <w:lang w:val="en-US" w:eastAsia="zh-CN" w:bidi="ar-SA"/>
        </w:rPr>
        <w:t>，运行时间为6960h，燃烧机天然气年消耗量为38万m</w:t>
      </w:r>
      <w:r>
        <w:rPr>
          <w:rFonts w:hint="eastAsia" w:ascii="Times New Roman" w:hAnsi="Times New Roman" w:eastAsia="宋体" w:cs="Times New Roman"/>
          <w:snapToGrid w:val="0"/>
          <w:color w:val="auto"/>
          <w:kern w:val="2"/>
          <w:sz w:val="24"/>
          <w:szCs w:val="24"/>
          <w:vertAlign w:val="superscript"/>
          <w:lang w:val="en-US" w:eastAsia="zh-CN" w:bidi="ar-SA"/>
        </w:rPr>
        <w:t>3</w:t>
      </w:r>
      <w:r>
        <w:rPr>
          <w:rFonts w:hint="eastAsia" w:ascii="Times New Roman" w:hAnsi="Times New Roman" w:eastAsia="宋体" w:cs="Times New Roman"/>
          <w:snapToGrid w:val="0"/>
          <w:color w:val="auto"/>
          <w:kern w:val="2"/>
          <w:sz w:val="24"/>
          <w:szCs w:val="24"/>
          <w:lang w:val="en-US" w:eastAsia="zh-CN" w:bidi="ar-SA"/>
        </w:rPr>
        <w:t>。</w:t>
      </w:r>
    </w:p>
    <w:p w14:paraId="2843470D">
      <w:pPr>
        <w:keepNext w:val="0"/>
        <w:keepLines w:val="0"/>
        <w:pageBreakBefore w:val="0"/>
        <w:widowControl w:val="0"/>
        <w:kinsoku/>
        <w:wordWrap/>
        <w:overflowPunct/>
        <w:topLinePunct w:val="0"/>
        <w:autoSpaceDE/>
        <w:autoSpaceDN/>
        <w:bidi w:val="0"/>
        <w:adjustRightInd w:val="0"/>
        <w:snapToGrid/>
        <w:spacing w:line="360" w:lineRule="auto"/>
        <w:ind w:left="0" w:leftChars="0" w:firstLine="480" w:firstLineChars="200"/>
        <w:jc w:val="both"/>
        <w:textAlignment w:val="auto"/>
        <w:rPr>
          <w:rFonts w:hint="eastAsia" w:ascii="Times New Roman" w:hAnsi="Times New Roman" w:eastAsia="宋体" w:cs="Times New Roman"/>
          <w:snapToGrid w:val="0"/>
          <w:color w:val="auto"/>
          <w:kern w:val="2"/>
          <w:sz w:val="24"/>
          <w:szCs w:val="24"/>
          <w:lang w:val="en-US" w:eastAsia="zh-CN" w:bidi="ar-SA"/>
        </w:rPr>
      </w:pPr>
      <w:r>
        <w:rPr>
          <w:rFonts w:hint="eastAsia" w:ascii="Times New Roman" w:hAnsi="Times New Roman" w:eastAsia="宋体" w:cs="Times New Roman"/>
          <w:snapToGrid w:val="0"/>
          <w:color w:val="auto"/>
          <w:kern w:val="2"/>
          <w:sz w:val="24"/>
          <w:szCs w:val="24"/>
          <w:lang w:val="en-US" w:eastAsia="zh-CN" w:bidi="ar-SA"/>
        </w:rPr>
        <w:t>工业炉窑无天然气燃料源强算法，故参照《污染源源强核算技术指南 锅炉》(HJ991-2018)，新(改、扩)建工程污染源正常工况时，有组织废气源强优先采用物料衡算法核算，其次采用类比法、产污系数法核算。本项目采用物料衡算法核算天然气废气源强。</w:t>
      </w:r>
    </w:p>
    <w:p w14:paraId="2E01B32C">
      <w:pPr>
        <w:keepNext w:val="0"/>
        <w:keepLines w:val="0"/>
        <w:pageBreakBefore w:val="0"/>
        <w:widowControl/>
        <w:numPr>
          <w:ilvl w:val="0"/>
          <w:numId w:val="21"/>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烟气量</w:t>
      </w:r>
    </w:p>
    <w:p w14:paraId="12B629AB">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本项目燃料天然气为气体燃料，干烟气排放量依据HJ991-2018 附录C中公式计算，公式如下：</w:t>
      </w:r>
    </w:p>
    <w:p w14:paraId="4EEF843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30"/>
          <w:sz w:val="24"/>
          <w:szCs w:val="24"/>
          <w:highlight w:val="none"/>
        </w:rPr>
        <w:object>
          <v:shape id="_x0000_i1032" o:spt="75" type="#_x0000_t75" style="height:36pt;width:377pt;" o:ole="t" filled="f" o:preferrelative="t" stroked="f" coordsize="21600,21600">
            <v:path/>
            <v:fill on="f" focussize="0,0"/>
            <v:stroke on="f"/>
            <v:imagedata r:id="rId45" o:title=""/>
            <o:lock v:ext="edit" aspectratio="t"/>
            <w10:wrap type="none"/>
            <w10:anchorlock/>
          </v:shape>
          <o:OLEObject Type="Embed" ProgID="Equation.KSEE3" ShapeID="_x0000_i1032" DrawAspect="Content" ObjectID="_1468075732" r:id="rId44">
            <o:LockedField>false</o:LockedField>
          </o:OLEObject>
        </w:object>
      </w:r>
    </w:p>
    <w:p w14:paraId="6D299062">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14"/>
          <w:sz w:val="24"/>
          <w:szCs w:val="24"/>
          <w:highlight w:val="none"/>
        </w:rPr>
        <w:object>
          <v:shape id="_x0000_i1033" o:spt="75" type="#_x0000_t75" style="height:20pt;width:263pt;" o:ole="t" filled="f" o:preferrelative="t" stroked="f" coordsize="21600,21600">
            <v:path/>
            <v:fill on="f" focussize="0,0"/>
            <v:stroke on="f"/>
            <v:imagedata r:id="rId47" o:title=""/>
            <o:lock v:ext="edit" aspectratio="t"/>
            <w10:wrap type="none"/>
            <w10:anchorlock/>
          </v:shape>
          <o:OLEObject Type="Embed" ProgID="Equation.KSEE3" ShapeID="_x0000_i1033" DrawAspect="Content" ObjectID="_1468075733" r:id="rId46">
            <o:LockedField>false</o:LockedField>
          </o:OLEObject>
        </w:object>
      </w:r>
    </w:p>
    <w:p w14:paraId="6DFFFA8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24"/>
          <w:sz w:val="24"/>
          <w:szCs w:val="24"/>
          <w:highlight w:val="none"/>
        </w:rPr>
        <w:object>
          <v:shape id="_x0000_i1034" o:spt="75" type="#_x0000_t75" style="height:31pt;width:105pt;" o:ole="t" filled="f" o:preferrelative="t" stroked="f" coordsize="21600,21600">
            <v:path/>
            <v:fill on="f" focussize="0,0"/>
            <v:stroke on="f"/>
            <v:imagedata r:id="rId49" o:title=""/>
            <o:lock v:ext="edit" aspectratio="t"/>
            <w10:wrap type="none"/>
            <w10:anchorlock/>
          </v:shape>
          <o:OLEObject Type="Embed" ProgID="Equation.KSEE3" ShapeID="_x0000_i1034" DrawAspect="Content" ObjectID="_1468075734" r:id="rId48">
            <o:LockedField>false</o:LockedField>
          </o:OLEObject>
        </w:object>
      </w:r>
    </w:p>
    <w:p w14:paraId="0A5190F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14"/>
          <w:sz w:val="24"/>
          <w:szCs w:val="24"/>
          <w:highlight w:val="none"/>
        </w:rPr>
        <w:object>
          <v:shape id="_x0000_i1035" o:spt="75" type="#_x0000_t75" style="height:19pt;width:124pt;" o:ole="t" filled="f" o:preferrelative="t" stroked="f" coordsize="21600,21600">
            <v:path/>
            <v:fill on="f" focussize="0,0"/>
            <v:stroke on="f"/>
            <v:imagedata r:id="rId51" o:title=""/>
            <o:lock v:ext="edit" aspectratio="t"/>
            <w10:wrap type="none"/>
            <w10:anchorlock/>
          </v:shape>
          <o:OLEObject Type="Embed" ProgID="Equation.KSEE3" ShapeID="_x0000_i1035" DrawAspect="Content" ObjectID="_1468075735" r:id="rId50">
            <o:LockedField>false</o:LockedField>
          </o:OLEObject>
        </w:object>
      </w:r>
    </w:p>
    <w:p w14:paraId="2161C011">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w:t>
      </w:r>
      <w:r>
        <w:rPr>
          <w:rFonts w:hint="default" w:ascii="Times New Roman" w:hAnsi="Times New Roman" w:eastAsia="宋体" w:cs="Times New Roman"/>
          <w:color w:val="auto"/>
          <w:position w:val="-12"/>
          <w:sz w:val="24"/>
          <w:szCs w:val="24"/>
          <w:highlight w:val="none"/>
        </w:rPr>
        <w:object>
          <v:shape id="_x0000_i1036" o:spt="75" type="#_x0000_t75" style="height:18pt;width:13pt;" o:ole="t" filled="f" o:preferrelative="t" stroked="f" coordsize="21600,21600">
            <v:path/>
            <v:fill on="f" focussize="0,0"/>
            <v:stroke on="f"/>
            <v:imagedata r:id="rId53" o:title=""/>
            <o:lock v:ext="edit" aspectratio="t"/>
            <w10:wrap type="none"/>
            <w10:anchorlock/>
          </v:shape>
          <o:OLEObject Type="Embed" ProgID="Equation.KSEE3" ShapeID="_x0000_i1036" DrawAspect="Content" ObjectID="_1468075736" r:id="rId52">
            <o:LockedField>false</o:LockedField>
          </o:OLEObject>
        </w:object>
      </w:r>
      <w:r>
        <w:rPr>
          <w:rFonts w:hint="default" w:ascii="Times New Roman" w:hAnsi="Times New Roman" w:eastAsia="宋体" w:cs="Times New Roman"/>
          <w:color w:val="auto"/>
          <w:sz w:val="24"/>
          <w:szCs w:val="24"/>
        </w:rPr>
        <w:t>--理论空气量，m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14:paraId="7B640D50">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14"/>
          <w:sz w:val="24"/>
          <w:szCs w:val="24"/>
          <w:highlight w:val="none"/>
        </w:rPr>
        <w:object>
          <v:shape id="_x0000_i1037" o:spt="75" type="#_x0000_t75" style="height:19pt;width:23pt;" o:ole="t" filled="f" o:preferrelative="t" stroked="f" coordsize="21600,21600">
            <v:path/>
            <v:fill on="f" focussize="0,0"/>
            <v:stroke on="f"/>
            <v:imagedata r:id="rId55" o:title=""/>
            <o:lock v:ext="edit" aspectratio="t"/>
            <w10:wrap type="none"/>
            <w10:anchorlock/>
          </v:shape>
          <o:OLEObject Type="Embed" ProgID="Equation.KSEE3" ShapeID="_x0000_i1037" DrawAspect="Content" ObjectID="_1468075737" r:id="rId54">
            <o:LockedField>false</o:LockedField>
          </o:OLEObject>
        </w:object>
      </w:r>
      <w:r>
        <w:rPr>
          <w:rFonts w:hint="default" w:ascii="Times New Roman" w:hAnsi="Times New Roman" w:eastAsia="宋体" w:cs="Times New Roman"/>
          <w:color w:val="auto"/>
          <w:sz w:val="24"/>
          <w:szCs w:val="24"/>
        </w:rPr>
        <w:t>--烟气中二氧化碳和二氧化硫容积之和，m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14:paraId="560A0E6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14"/>
          <w:sz w:val="24"/>
          <w:szCs w:val="24"/>
          <w:highlight w:val="none"/>
        </w:rPr>
        <w:object>
          <v:shape id="_x0000_i1038" o:spt="75" type="#_x0000_t75" style="height:19pt;width:19pt;" o:ole="t" filled="f" o:preferrelative="t" stroked="f" coordsize="21600,21600">
            <v:path/>
            <v:fill on="f" focussize="0,0"/>
            <v:stroke on="f"/>
            <v:imagedata r:id="rId57" o:title=""/>
            <o:lock v:ext="edit" aspectratio="t"/>
            <w10:wrap type="none"/>
            <w10:anchorlock/>
          </v:shape>
          <o:OLEObject Type="Embed" ProgID="Equation.KSEE3" ShapeID="_x0000_i1038" DrawAspect="Content" ObjectID="_1468075738" r:id="rId56">
            <o:LockedField>false</o:LockedField>
          </o:OLEObject>
        </w:object>
      </w:r>
      <w:r>
        <w:rPr>
          <w:rFonts w:hint="default" w:ascii="Times New Roman" w:hAnsi="Times New Roman" w:eastAsia="宋体" w:cs="Times New Roman"/>
          <w:color w:val="auto"/>
          <w:sz w:val="24"/>
          <w:szCs w:val="24"/>
        </w:rPr>
        <w:t>--烟气中氮气量，m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14:paraId="66579C81">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vertAlign w:val="superscript"/>
          <w:lang w:val="en-US" w:eastAsia="zh-CN"/>
        </w:rPr>
      </w:pPr>
      <w:r>
        <w:rPr>
          <w:rFonts w:hint="default" w:ascii="Times New Roman" w:hAnsi="Times New Roman" w:eastAsia="宋体" w:cs="Times New Roman"/>
          <w:color w:val="auto"/>
          <w:position w:val="-14"/>
          <w:sz w:val="24"/>
          <w:szCs w:val="24"/>
          <w:highlight w:val="none"/>
        </w:rPr>
        <w:object>
          <v:shape id="_x0000_i1039" o:spt="75" type="#_x0000_t75" style="height:19pt;width:13.95pt;" o:ole="t" filled="f" o:preferrelative="t" stroked="f" coordsize="21600,21600">
            <v:path/>
            <v:fill on="f" focussize="0,0"/>
            <v:stroke on="f"/>
            <v:imagedata r:id="rId59" o:title=""/>
            <o:lock v:ext="edit" aspectratio="t"/>
            <w10:wrap type="none"/>
            <w10:anchorlock/>
          </v:shape>
          <o:OLEObject Type="Embed" ProgID="Equation.KSEE3" ShapeID="_x0000_i1039" DrawAspect="Content" ObjectID="_1468075739" r:id="rId58">
            <o:LockedField>false</o:LockedField>
          </o:OLEObject>
        </w:object>
      </w:r>
      <w:r>
        <w:rPr>
          <w:rFonts w:hint="default" w:ascii="Times New Roman" w:hAnsi="Times New Roman" w:eastAsia="宋体" w:cs="Times New Roman"/>
          <w:color w:val="auto"/>
          <w:sz w:val="24"/>
          <w:szCs w:val="24"/>
        </w:rPr>
        <w:t>--干烟气排放量，m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p>
    <w:p w14:paraId="1FA4CB32">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10"/>
          <w:sz w:val="24"/>
          <w:szCs w:val="24"/>
          <w:highlight w:val="none"/>
        </w:rPr>
        <w:object>
          <v:shape id="_x0000_i1040" o:spt="75" type="#_x0000_t75" style="height:17pt;width:35pt;" o:ole="t" filled="f" o:preferrelative="t" stroked="f" coordsize="21600,21600">
            <v:path/>
            <v:fill on="f" focussize="0,0"/>
            <v:stroke on="f"/>
            <v:imagedata r:id="rId61" o:title=""/>
            <o:lock v:ext="edit" aspectratio="t"/>
            <w10:wrap type="none"/>
            <w10:anchorlock/>
          </v:shape>
          <o:OLEObject Type="Embed" ProgID="Equation.KSEE3" ShapeID="_x0000_i1040" DrawAspect="Content" ObjectID="_1468075740" r:id="rId60">
            <o:LockedField>false</o:LockedField>
          </o:OLEObject>
        </w:object>
      </w:r>
      <w:r>
        <w:rPr>
          <w:rFonts w:hint="default" w:ascii="Times New Roman" w:hAnsi="Times New Roman" w:eastAsia="宋体" w:cs="Times New Roman"/>
          <w:color w:val="auto"/>
          <w:sz w:val="24"/>
          <w:szCs w:val="24"/>
        </w:rPr>
        <w:t>--一氧化碳体积分数，%；</w:t>
      </w:r>
    </w:p>
    <w:p w14:paraId="4DC2EDF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10"/>
          <w:sz w:val="24"/>
          <w:szCs w:val="24"/>
          <w:highlight w:val="none"/>
        </w:rPr>
        <w:object>
          <v:shape id="_x0000_i1041" o:spt="75" type="#_x0000_t75" style="height:17pt;width:33pt;" o:ole="t" filled="f" o:preferrelative="t" stroked="f" coordsize="21600,21600">
            <v:path/>
            <v:fill on="f" focussize="0,0"/>
            <v:stroke on="f"/>
            <v:imagedata r:id="rId63" o:title=""/>
            <o:lock v:ext="edit" aspectratio="t"/>
            <w10:wrap type="none"/>
            <w10:anchorlock/>
          </v:shape>
          <o:OLEObject Type="Embed" ProgID="Equation.KSEE3" ShapeID="_x0000_i1041" DrawAspect="Content" ObjectID="_1468075741" r:id="rId62">
            <o:LockedField>false</o:LockedField>
          </o:OLEObject>
        </w:object>
      </w:r>
      <w:r>
        <w:rPr>
          <w:rFonts w:hint="default" w:ascii="Times New Roman" w:hAnsi="Times New Roman" w:eastAsia="宋体" w:cs="Times New Roman"/>
          <w:color w:val="auto"/>
          <w:sz w:val="24"/>
          <w:szCs w:val="24"/>
        </w:rPr>
        <w:t>--氢体积分数，%；</w:t>
      </w:r>
    </w:p>
    <w:p w14:paraId="43CF630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10"/>
          <w:sz w:val="24"/>
          <w:szCs w:val="24"/>
          <w:highlight w:val="none"/>
        </w:rPr>
        <w:object>
          <v:shape id="_x0000_i1042" o:spt="75" type="#_x0000_t75" style="height:17pt;width:40pt;" o:ole="t" filled="f" o:preferrelative="t" stroked="f" coordsize="21600,21600">
            <v:path/>
            <v:fill on="f" focussize="0,0"/>
            <v:stroke on="f"/>
            <v:imagedata r:id="rId65" o:title=""/>
            <o:lock v:ext="edit" aspectratio="t"/>
            <w10:wrap type="none"/>
            <w10:anchorlock/>
          </v:shape>
          <o:OLEObject Type="Embed" ProgID="Equation.KSEE3" ShapeID="_x0000_i1042" DrawAspect="Content" ObjectID="_1468075742" r:id="rId64">
            <o:LockedField>false</o:LockedField>
          </o:OLEObject>
        </w:object>
      </w:r>
      <w:r>
        <w:rPr>
          <w:rFonts w:hint="default" w:ascii="Times New Roman" w:hAnsi="Times New Roman" w:eastAsia="宋体" w:cs="Times New Roman"/>
          <w:color w:val="auto"/>
          <w:sz w:val="24"/>
          <w:szCs w:val="24"/>
        </w:rPr>
        <w:t>--硫化氢体积分数，%；</w:t>
      </w:r>
    </w:p>
    <w:p w14:paraId="18E81E8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12"/>
          <w:sz w:val="24"/>
          <w:szCs w:val="24"/>
          <w:highlight w:val="none"/>
        </w:rPr>
        <w:object>
          <v:shape id="_x0000_i1043" o:spt="75" type="#_x0000_t75" style="height:18pt;width:47pt;" o:ole="t" filled="f" o:preferrelative="t" stroked="f" coordsize="21600,21600">
            <v:path/>
            <v:fill on="f" focussize="0,0"/>
            <v:stroke on="f"/>
            <v:imagedata r:id="rId67" o:title=""/>
            <o:lock v:ext="edit" aspectratio="t"/>
            <w10:wrap type="none"/>
            <w10:anchorlock/>
          </v:shape>
          <o:OLEObject Type="Embed" ProgID="Equation.KSEE3" ShapeID="_x0000_i1043" DrawAspect="Content" ObjectID="_1468075743" r:id="rId66">
            <o:LockedField>false</o:LockedField>
          </o:OLEObject>
        </w:object>
      </w:r>
      <w:r>
        <w:rPr>
          <w:rFonts w:hint="default" w:ascii="Times New Roman" w:hAnsi="Times New Roman" w:eastAsia="宋体" w:cs="Times New Roman"/>
          <w:color w:val="auto"/>
          <w:sz w:val="24"/>
          <w:szCs w:val="24"/>
        </w:rPr>
        <w:t>--烃类体积分数，%，m为碳原子数，n为氢原子数；</w:t>
      </w:r>
    </w:p>
    <w:p w14:paraId="65278D4A">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10"/>
          <w:sz w:val="24"/>
          <w:szCs w:val="24"/>
          <w:highlight w:val="none"/>
        </w:rPr>
        <w:object>
          <v:shape id="_x0000_i1044" o:spt="75" type="#_x0000_t75" style="height:17pt;width:31pt;" o:ole="t" filled="f" o:preferrelative="t" stroked="f" coordsize="21600,21600">
            <v:path/>
            <v:fill on="f" focussize="0,0"/>
            <v:stroke on="f"/>
            <v:imagedata r:id="rId69" o:title=""/>
            <o:lock v:ext="edit" aspectratio="t"/>
            <w10:wrap type="none"/>
            <w10:anchorlock/>
          </v:shape>
          <o:OLEObject Type="Embed" ProgID="Equation.KSEE3" ShapeID="_x0000_i1044" DrawAspect="Content" ObjectID="_1468075744" r:id="rId68">
            <o:LockedField>false</o:LockedField>
          </o:OLEObject>
        </w:object>
      </w:r>
      <w:r>
        <w:rPr>
          <w:rFonts w:hint="default" w:ascii="Times New Roman" w:hAnsi="Times New Roman" w:eastAsia="宋体" w:cs="Times New Roman"/>
          <w:color w:val="auto"/>
          <w:sz w:val="24"/>
          <w:szCs w:val="24"/>
        </w:rPr>
        <w:t>--氧体积分数，%；</w:t>
      </w:r>
    </w:p>
    <w:p w14:paraId="3D024647">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10"/>
          <w:sz w:val="24"/>
          <w:szCs w:val="24"/>
          <w:highlight w:val="none"/>
        </w:rPr>
        <w:object>
          <v:shape id="_x0000_i1045" o:spt="75" type="#_x0000_t75" style="height:17pt;width:39pt;" o:ole="t" filled="f" o:preferrelative="t" stroked="f" coordsize="21600,21600">
            <v:path/>
            <v:fill on="f" focussize="0,0"/>
            <v:stroke on="f"/>
            <v:imagedata r:id="rId71" o:title=""/>
            <o:lock v:ext="edit" aspectratio="t"/>
            <w10:wrap type="none"/>
            <w10:anchorlock/>
          </v:shape>
          <o:OLEObject Type="Embed" ProgID="Equation.KSEE3" ShapeID="_x0000_i1045" DrawAspect="Content" ObjectID="_1468075745" r:id="rId70">
            <o:LockedField>false</o:LockedField>
          </o:OLEObject>
        </w:object>
      </w:r>
      <w:r>
        <w:rPr>
          <w:rFonts w:hint="default" w:ascii="Times New Roman" w:hAnsi="Times New Roman" w:eastAsia="宋体" w:cs="Times New Roman"/>
          <w:color w:val="auto"/>
          <w:sz w:val="24"/>
          <w:szCs w:val="24"/>
        </w:rPr>
        <w:t>--二氧化碳体积百分数，%；</w:t>
      </w:r>
    </w:p>
    <w:p w14:paraId="27470210">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10"/>
          <w:sz w:val="24"/>
          <w:szCs w:val="24"/>
          <w:highlight w:val="none"/>
        </w:rPr>
        <w:object>
          <v:shape id="_x0000_i1046" o:spt="75" type="#_x0000_t75" style="height:17pt;width:31.95pt;" o:ole="t" filled="f" o:preferrelative="t" stroked="f" coordsize="21600,21600">
            <v:path/>
            <v:fill on="f" focussize="0,0"/>
            <v:stroke on="f"/>
            <v:imagedata r:id="rId73" o:title=""/>
            <o:lock v:ext="edit" aspectratio="t"/>
            <w10:wrap type="none"/>
            <w10:anchorlock/>
          </v:shape>
          <o:OLEObject Type="Embed" ProgID="Equation.KSEE3" ShapeID="_x0000_i1046" DrawAspect="Content" ObjectID="_1468075746" r:id="rId72">
            <o:LockedField>false</o:LockedField>
          </o:OLEObject>
        </w:object>
      </w:r>
      <w:r>
        <w:rPr>
          <w:rFonts w:hint="default" w:ascii="Times New Roman" w:hAnsi="Times New Roman" w:eastAsia="宋体" w:cs="Times New Roman"/>
          <w:color w:val="auto"/>
          <w:sz w:val="24"/>
          <w:szCs w:val="24"/>
        </w:rPr>
        <w:t>--氮体积百分数，%；</w:t>
      </w:r>
    </w:p>
    <w:p w14:paraId="4126AD3B">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6"/>
          <w:sz w:val="24"/>
          <w:szCs w:val="24"/>
          <w:highlight w:val="none"/>
        </w:rPr>
        <w:object>
          <v:shape id="_x0000_i1047" o:spt="75" type="#_x0000_t75" style="height:11pt;width:12pt;" o:ole="t" filled="f" o:preferrelative="t" stroked="f" coordsize="21600,21600">
            <v:path/>
            <v:fill on="f" focussize="0,0"/>
            <v:stroke on="f"/>
            <v:imagedata r:id="rId75" o:title=""/>
            <o:lock v:ext="edit" aspectratio="t"/>
            <w10:wrap type="none"/>
            <w10:anchorlock/>
          </v:shape>
          <o:OLEObject Type="Embed" ProgID="Equation.KSEE3" ShapeID="_x0000_i1047" DrawAspect="Content" ObjectID="_1468075747" r:id="rId74">
            <o:LockedField>false</o:LockedField>
          </o:OLEObject>
        </w:object>
      </w:r>
      <w:r>
        <w:rPr>
          <w:rFonts w:hint="default" w:ascii="Times New Roman" w:hAnsi="Times New Roman" w:eastAsia="宋体" w:cs="Times New Roman"/>
          <w:color w:val="auto"/>
          <w:sz w:val="24"/>
          <w:szCs w:val="24"/>
        </w:rPr>
        <w:t>--过量空气系数，燃料燃烧时实际空气供给量与理论空气量之比值，燃气锅炉的过量空气系数为1.2，对应基准氧含量为3.5%。</w:t>
      </w:r>
    </w:p>
    <w:p w14:paraId="10E7E1D1">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auto"/>
          <w:sz w:val="24"/>
          <w:szCs w:val="24"/>
          <w:lang w:eastAsia="zh-CN"/>
        </w:rPr>
        <w:t>结合附件</w:t>
      </w:r>
      <w:r>
        <w:rPr>
          <w:rFonts w:hint="default" w:ascii="Times New Roman" w:hAnsi="Times New Roman" w:eastAsia="宋体" w:cs="Times New Roman"/>
          <w:color w:val="auto"/>
          <w:sz w:val="24"/>
          <w:szCs w:val="24"/>
          <w:lang w:val="en-US" w:eastAsia="zh-CN"/>
        </w:rPr>
        <w:t>天然气检验报告中各数据，</w:t>
      </w:r>
      <w:r>
        <w:rPr>
          <w:rFonts w:hint="default" w:ascii="Times New Roman" w:hAnsi="Times New Roman" w:eastAsia="宋体" w:cs="Times New Roman"/>
          <w:color w:val="auto"/>
          <w:sz w:val="24"/>
          <w:szCs w:val="24"/>
        </w:rPr>
        <w:t>计算</w:t>
      </w:r>
      <w:r>
        <w:rPr>
          <w:rFonts w:hint="default" w:ascii="Times New Roman" w:hAnsi="Times New Roman" w:eastAsia="宋体" w:cs="Times New Roman"/>
          <w:color w:val="auto"/>
          <w:sz w:val="24"/>
          <w:szCs w:val="24"/>
          <w:lang w:eastAsia="zh-CN"/>
        </w:rPr>
        <w:t>：</w:t>
      </w:r>
    </w:p>
    <w:p w14:paraId="48BEDC6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position w:val="-12"/>
          <w:sz w:val="24"/>
          <w:szCs w:val="24"/>
          <w:highlight w:val="none"/>
        </w:rPr>
        <w:object>
          <v:shape id="_x0000_i1048" o:spt="75" type="#_x0000_t75" style="height:18pt;width:13pt;" o:ole="t" filled="f" o:preferrelative="t" stroked="f" coordsize="21600,21600">
            <v:path/>
            <v:fill on="f" focussize="0,0"/>
            <v:stroke on="f"/>
            <v:imagedata r:id="rId53" o:title=""/>
            <o:lock v:ext="edit" aspectratio="t"/>
            <w10:wrap type="none"/>
            <w10:anchorlock/>
          </v:shape>
          <o:OLEObject Type="Embed" ProgID="Equation.KSEE3" ShapeID="_x0000_i1048" DrawAspect="Content" ObjectID="_1468075748" r:id="rId76">
            <o:LockedField>false</o:LockedField>
          </o:OLEObject>
        </w:objec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9.81</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p>
    <w:p w14:paraId="306A51D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240" w:lineRule="auto"/>
        <w:ind w:left="0" w:leftChars="0" w:firstLine="480" w:firstLineChars="200"/>
        <w:textAlignment w:val="baseline"/>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position w:val="-14"/>
          <w:sz w:val="24"/>
          <w:szCs w:val="24"/>
          <w:highlight w:val="none"/>
          <w:lang w:val="en-US" w:eastAsia="zh-CN"/>
        </w:rPr>
        <w:t>Vg</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10.8</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原料。</w:t>
      </w:r>
    </w:p>
    <w:p w14:paraId="70A59515">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故干烟气排放量为</w:t>
      </w:r>
      <w:r>
        <w:rPr>
          <w:rFonts w:hint="eastAsia" w:ascii="Times New Roman" w:hAnsi="Times New Roman" w:eastAsia="宋体" w:cs="Times New Roman"/>
          <w:color w:val="auto"/>
          <w:sz w:val="24"/>
          <w:szCs w:val="24"/>
          <w:lang w:val="en-US" w:eastAsia="zh-CN"/>
        </w:rPr>
        <w:t>108000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/万m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原料，计算干烟气排放量为</w:t>
      </w:r>
      <w:r>
        <w:rPr>
          <w:rFonts w:hint="eastAsia" w:ascii="Times New Roman" w:hAnsi="Times New Roman" w:eastAsia="宋体" w:cs="Times New Roman"/>
          <w:color w:val="auto"/>
          <w:sz w:val="24"/>
          <w:szCs w:val="24"/>
          <w:lang w:val="en-US" w:eastAsia="zh-CN"/>
        </w:rPr>
        <w:t>590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/h</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时段内标态干烟气排放量</w:t>
      </w:r>
      <w:r>
        <w:rPr>
          <w:rFonts w:hint="default" w:ascii="Times New Roman" w:hAnsi="Times New Roman" w:eastAsia="宋体" w:cs="Times New Roman"/>
          <w:color w:val="auto"/>
          <w:sz w:val="24"/>
          <w:szCs w:val="24"/>
          <w:lang w:val="en-US" w:eastAsia="zh-CN"/>
        </w:rPr>
        <w:t>为</w:t>
      </w:r>
      <w:r>
        <w:rPr>
          <w:rFonts w:hint="eastAsia" w:ascii="Times New Roman" w:hAnsi="Times New Roman" w:eastAsia="宋体" w:cs="Times New Roman"/>
          <w:color w:val="auto"/>
          <w:sz w:val="24"/>
          <w:szCs w:val="24"/>
          <w:lang w:val="en-US" w:eastAsia="zh-CN"/>
        </w:rPr>
        <w:t>4104000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a</w:t>
      </w:r>
      <w:r>
        <w:rPr>
          <w:rFonts w:hint="default" w:ascii="Times New Roman" w:hAnsi="Times New Roman" w:eastAsia="宋体" w:cs="Times New Roman"/>
          <w:color w:val="auto"/>
          <w:sz w:val="24"/>
          <w:szCs w:val="24"/>
        </w:rPr>
        <w:t>。</w:t>
      </w:r>
    </w:p>
    <w:p w14:paraId="4C0D968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烟尘</w:t>
      </w:r>
      <w:r>
        <w:rPr>
          <w:rFonts w:hint="default" w:ascii="Times New Roman" w:hAnsi="Times New Roman" w:eastAsia="宋体" w:cs="Times New Roman"/>
          <w:color w:val="auto"/>
          <w:sz w:val="24"/>
          <w:szCs w:val="24"/>
        </w:rPr>
        <w:t>排放量按下式计算：</w:t>
      </w:r>
    </w:p>
    <w:p w14:paraId="4A7B33C4">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根据《污染源源强核算技术指南 锅炉》（HJ 991-2018）</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烟尘</w:t>
      </w:r>
      <w:r>
        <w:rPr>
          <w:rFonts w:hint="default" w:ascii="Times New Roman" w:hAnsi="Times New Roman" w:eastAsia="宋体" w:cs="Times New Roman"/>
          <w:color w:val="auto"/>
          <w:sz w:val="24"/>
          <w:szCs w:val="24"/>
          <w:lang w:val="en-US" w:eastAsia="zh-CN"/>
        </w:rPr>
        <w:t>可采用类比法或产物系数法计算排放量，无相关合适可类比报告，不采用类比法，因此采用产污系数法计算颗粒物排放量。</w:t>
      </w:r>
    </w:p>
    <w:p w14:paraId="6C44D4C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drawing>
          <wp:inline distT="0" distB="0" distL="114300" distR="114300">
            <wp:extent cx="5067935" cy="1679575"/>
            <wp:effectExtent l="0" t="0" r="18415" b="15875"/>
            <wp:docPr id="2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9"/>
                    <pic:cNvPicPr>
                      <a:picLocks noChangeAspect="1"/>
                    </pic:cNvPicPr>
                  </pic:nvPicPr>
                  <pic:blipFill>
                    <a:blip r:embed="rId77"/>
                    <a:stretch>
                      <a:fillRect/>
                    </a:stretch>
                  </pic:blipFill>
                  <pic:spPr>
                    <a:xfrm>
                      <a:off x="0" y="0"/>
                      <a:ext cx="5067935" cy="1679575"/>
                    </a:xfrm>
                    <a:prstGeom prst="rect">
                      <a:avLst/>
                    </a:prstGeom>
                    <a:noFill/>
                    <a:ln>
                      <a:noFill/>
                    </a:ln>
                  </pic:spPr>
                </pic:pic>
              </a:graphicData>
            </a:graphic>
          </wp:inline>
        </w:drawing>
      </w:r>
    </w:p>
    <w:p w14:paraId="30E9649B">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燃料量取</w:t>
      </w:r>
      <w:r>
        <w:rPr>
          <w:rFonts w:hint="eastAsia" w:ascii="Times New Roman" w:hAnsi="Times New Roman" w:eastAsia="宋体" w:cs="Times New Roman"/>
          <w:color w:val="auto"/>
          <w:sz w:val="24"/>
          <w:szCs w:val="24"/>
          <w:lang w:val="en-US" w:eastAsia="zh-CN"/>
        </w:rPr>
        <w:t>38</w:t>
      </w:r>
      <w:r>
        <w:rPr>
          <w:rFonts w:hint="default" w:ascii="Times New Roman" w:hAnsi="Times New Roman" w:eastAsia="宋体" w:cs="Times New Roman"/>
          <w:color w:val="auto"/>
          <w:sz w:val="24"/>
          <w:szCs w:val="24"/>
          <w:lang w:val="en-US" w:eastAsia="zh-CN"/>
        </w:rPr>
        <w:t>万m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/a，</w:t>
      </w:r>
      <w:r>
        <w:rPr>
          <w:rFonts w:hint="default" w:ascii="Times New Roman" w:hAnsi="Times New Roman" w:eastAsia="宋体" w:cs="Times New Roman"/>
          <w:color w:val="auto"/>
          <w:sz w:val="24"/>
          <w:szCs w:val="24"/>
        </w:rPr>
        <w:t>参照《建设项目环境保护使用手册》（苏绍梅主编）计算，燃烧1万Nm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天然气产生0.8~2.4kg颗粒物，本项目取1.</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kg</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经计算，本项目</w:t>
      </w:r>
      <w:r>
        <w:rPr>
          <w:rFonts w:hint="eastAsia" w:ascii="Times New Roman" w:hAnsi="Times New Roman" w:eastAsia="宋体" w:cs="Times New Roman"/>
          <w:color w:val="auto"/>
          <w:sz w:val="24"/>
          <w:szCs w:val="24"/>
          <w:lang w:val="en-US" w:eastAsia="zh-CN"/>
        </w:rPr>
        <w:t>天然气燃烧废气烟尘</w:t>
      </w:r>
      <w:r>
        <w:rPr>
          <w:rFonts w:hint="default" w:ascii="Times New Roman" w:hAnsi="Times New Roman" w:eastAsia="宋体" w:cs="Times New Roman"/>
          <w:color w:val="auto"/>
          <w:sz w:val="24"/>
          <w:szCs w:val="24"/>
        </w:rPr>
        <w:t>产生量及排放量为</w:t>
      </w:r>
      <w:r>
        <w:rPr>
          <w:rFonts w:hint="eastAsia" w:ascii="Times New Roman" w:hAnsi="Times New Roman" w:eastAsia="宋体" w:cs="Times New Roman"/>
          <w:color w:val="auto"/>
          <w:sz w:val="24"/>
          <w:szCs w:val="24"/>
          <w:lang w:val="en-US" w:eastAsia="zh-CN"/>
        </w:rPr>
        <w:t>0.061</w:t>
      </w:r>
      <w:r>
        <w:rPr>
          <w:rFonts w:hint="default" w:ascii="Times New Roman" w:hAnsi="Times New Roman" w:eastAsia="宋体" w:cs="Times New Roman"/>
          <w:color w:val="auto"/>
          <w:sz w:val="24"/>
          <w:szCs w:val="24"/>
        </w:rPr>
        <w:t>t/a（</w:t>
      </w:r>
      <w:r>
        <w:rPr>
          <w:rFonts w:hint="eastAsia" w:ascii="Times New Roman" w:hAnsi="Times New Roman" w:eastAsia="宋体" w:cs="Times New Roman"/>
          <w:color w:val="auto"/>
          <w:sz w:val="24"/>
          <w:szCs w:val="24"/>
          <w:lang w:val="en-US" w:eastAsia="zh-CN"/>
        </w:rPr>
        <w:t>0.009</w:t>
      </w:r>
      <w:r>
        <w:rPr>
          <w:rFonts w:hint="default" w:ascii="Times New Roman" w:hAnsi="Times New Roman" w:eastAsia="宋体" w:cs="Times New Roman"/>
          <w:color w:val="auto"/>
          <w:sz w:val="24"/>
          <w:szCs w:val="24"/>
        </w:rPr>
        <w:t>kg/h）</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产生浓度及排放浓度为14.864</w:t>
      </w:r>
      <w:r>
        <w:rPr>
          <w:rFonts w:hint="eastAsia" w:ascii="Times New Roman" w:hAnsi="Times New Roman" w:cs="Times New Roman"/>
          <w:color w:val="auto"/>
          <w:sz w:val="24"/>
          <w:highlight w:val="none"/>
          <w:lang w:val="en-US" w:eastAsia="zh-CN"/>
        </w:rPr>
        <w:t>mg/m</w:t>
      </w:r>
      <w:r>
        <w:rPr>
          <w:rFonts w:hint="eastAsia" w:ascii="Times New Roman" w:hAnsi="Times New Roman" w:cs="Times New Roman"/>
          <w:color w:val="auto"/>
          <w:sz w:val="24"/>
          <w:highlight w:val="none"/>
          <w:vertAlign w:val="superscript"/>
          <w:lang w:val="en-US" w:eastAsia="zh-CN"/>
        </w:rPr>
        <w:t>3</w:t>
      </w:r>
      <w:r>
        <w:rPr>
          <w:rFonts w:hint="default" w:ascii="Times New Roman" w:hAnsi="Times New Roman" w:eastAsia="宋体" w:cs="Times New Roman"/>
          <w:color w:val="auto"/>
          <w:sz w:val="24"/>
          <w:szCs w:val="24"/>
        </w:rPr>
        <w:t>。</w:t>
      </w:r>
    </w:p>
    <w:p w14:paraId="74E4EFA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二氧化硫排放量按下式计算：</w:t>
      </w:r>
    </w:p>
    <w:p w14:paraId="3825DB7C">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根据《污染源源强核算技术指南 锅炉》（HJ 991-2018），采取</w:t>
      </w:r>
      <w:r>
        <w:rPr>
          <w:rFonts w:hint="default" w:ascii="Times New Roman" w:hAnsi="Times New Roman" w:eastAsia="宋体" w:cs="Times New Roman"/>
          <w:color w:val="auto"/>
          <w:sz w:val="24"/>
          <w:szCs w:val="24"/>
          <w:lang w:val="en-US" w:eastAsia="zh-CN"/>
        </w:rPr>
        <w:t>“物料衡算法”</w:t>
      </w:r>
      <w:r>
        <w:rPr>
          <w:rFonts w:hint="default" w:ascii="Times New Roman" w:hAnsi="Times New Roman" w:eastAsia="宋体" w:cs="Times New Roman"/>
          <w:color w:val="auto"/>
          <w:sz w:val="24"/>
          <w:szCs w:val="24"/>
        </w:rPr>
        <w:t>计算本项目</w:t>
      </w:r>
      <w:r>
        <w:rPr>
          <w:rFonts w:hint="eastAsia" w:ascii="Times New Roman" w:hAnsi="Times New Roman" w:eastAsia="宋体" w:cs="Times New Roman"/>
          <w:color w:val="auto"/>
          <w:sz w:val="24"/>
          <w:szCs w:val="24"/>
          <w:lang w:val="en-US" w:eastAsia="zh-CN"/>
        </w:rPr>
        <w:t>天然气燃烧废气</w:t>
      </w:r>
      <w:r>
        <w:rPr>
          <w:rFonts w:hint="default" w:ascii="Times New Roman" w:hAnsi="Times New Roman" w:eastAsia="宋体" w:cs="Times New Roman"/>
          <w:color w:val="auto"/>
          <w:sz w:val="24"/>
          <w:szCs w:val="24"/>
        </w:rPr>
        <w:t>中</w:t>
      </w:r>
      <w:r>
        <w:rPr>
          <w:rFonts w:hint="default" w:ascii="Times New Roman" w:hAnsi="Times New Roman" w:eastAsia="宋体" w:cs="Times New Roman"/>
          <w:color w:val="auto"/>
          <w:sz w:val="24"/>
          <w:szCs w:val="24"/>
          <w:lang w:val="en-US"/>
        </w:rPr>
        <w:t>二氧化硫</w:t>
      </w:r>
      <w:r>
        <w:rPr>
          <w:rFonts w:hint="default" w:ascii="Times New Roman" w:hAnsi="Times New Roman" w:eastAsia="宋体" w:cs="Times New Roman"/>
          <w:color w:val="auto"/>
          <w:sz w:val="24"/>
          <w:szCs w:val="24"/>
        </w:rPr>
        <w:t>排放源强。</w:t>
      </w:r>
    </w:p>
    <w:p w14:paraId="6CA308A2">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drawing>
          <wp:inline distT="0" distB="0" distL="114300" distR="114300">
            <wp:extent cx="5067935" cy="1634490"/>
            <wp:effectExtent l="0" t="0" r="18415" b="3810"/>
            <wp:docPr id="2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0"/>
                    <pic:cNvPicPr>
                      <a:picLocks noChangeAspect="1"/>
                    </pic:cNvPicPr>
                  </pic:nvPicPr>
                  <pic:blipFill>
                    <a:blip r:embed="rId78"/>
                    <a:stretch>
                      <a:fillRect/>
                    </a:stretch>
                  </pic:blipFill>
                  <pic:spPr>
                    <a:xfrm>
                      <a:off x="0" y="0"/>
                      <a:ext cx="5067935" cy="1634490"/>
                    </a:xfrm>
                    <a:prstGeom prst="rect">
                      <a:avLst/>
                    </a:prstGeom>
                    <a:noFill/>
                    <a:ln>
                      <a:noFill/>
                    </a:ln>
                  </pic:spPr>
                </pic:pic>
              </a:graphicData>
            </a:graphic>
          </wp:inline>
        </w:drawing>
      </w:r>
    </w:p>
    <w:p w14:paraId="7410F45A">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燃料量取</w:t>
      </w:r>
      <w:r>
        <w:rPr>
          <w:rFonts w:hint="eastAsia" w:ascii="Times New Roman" w:hAnsi="Times New Roman" w:eastAsia="宋体" w:cs="Times New Roman"/>
          <w:color w:val="auto"/>
          <w:sz w:val="24"/>
          <w:szCs w:val="24"/>
          <w:lang w:val="en-US" w:eastAsia="zh-CN"/>
        </w:rPr>
        <w:t>38</w:t>
      </w:r>
      <w:r>
        <w:rPr>
          <w:rFonts w:hint="default" w:ascii="Times New Roman" w:hAnsi="Times New Roman" w:eastAsia="宋体" w:cs="Times New Roman"/>
          <w:color w:val="auto"/>
          <w:sz w:val="24"/>
          <w:szCs w:val="24"/>
          <w:lang w:val="en-US" w:eastAsia="zh-CN"/>
        </w:rPr>
        <w:t>万m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/a，总硫质量浓度参照附件取</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mg/m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，脱硫效率取0，K参照</w:t>
      </w:r>
      <w:r>
        <w:rPr>
          <w:rFonts w:hint="default" w:ascii="Times New Roman" w:hAnsi="Times New Roman" w:eastAsia="宋体" w:cs="Times New Roman"/>
          <w:color w:val="auto"/>
          <w:sz w:val="24"/>
          <w:szCs w:val="24"/>
        </w:rPr>
        <w:t>《污染源源强核算技术指南 锅炉》（HJ 991-2018）</w:t>
      </w:r>
      <w:r>
        <w:rPr>
          <w:rFonts w:hint="default" w:ascii="Times New Roman" w:hAnsi="Times New Roman" w:eastAsia="宋体" w:cs="Times New Roman"/>
          <w:color w:val="auto"/>
          <w:sz w:val="24"/>
          <w:szCs w:val="24"/>
          <w:lang w:val="en-US" w:eastAsia="zh-CN"/>
        </w:rPr>
        <w:t>附录B取1。</w:t>
      </w:r>
    </w:p>
    <w:p w14:paraId="0D17DEF4">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经计算，本项目</w:t>
      </w:r>
      <w:r>
        <w:rPr>
          <w:rFonts w:hint="eastAsia" w:ascii="Times New Roman" w:hAnsi="Times New Roman" w:eastAsia="宋体" w:cs="Times New Roman"/>
          <w:color w:val="auto"/>
          <w:sz w:val="24"/>
          <w:szCs w:val="24"/>
          <w:lang w:val="en-US" w:eastAsia="zh-CN"/>
        </w:rPr>
        <w:t>天然气燃烧废气</w:t>
      </w:r>
      <w:r>
        <w:rPr>
          <w:rFonts w:hint="default" w:ascii="Times New Roman" w:hAnsi="Times New Roman" w:eastAsia="宋体" w:cs="Times New Roman"/>
          <w:color w:val="auto"/>
          <w:sz w:val="24"/>
          <w:szCs w:val="24"/>
        </w:rPr>
        <w:t>二氧化硫产生量及排放量为</w:t>
      </w:r>
      <w:r>
        <w:rPr>
          <w:rFonts w:hint="eastAsia" w:ascii="Times New Roman" w:hAnsi="Times New Roman" w:eastAsia="宋体" w:cs="Times New Roman"/>
          <w:color w:val="auto"/>
          <w:sz w:val="24"/>
          <w:szCs w:val="24"/>
          <w:lang w:val="en-US" w:eastAsia="zh-CN"/>
        </w:rPr>
        <w:t>0.003</w:t>
      </w:r>
      <w:r>
        <w:rPr>
          <w:rFonts w:hint="default" w:ascii="Times New Roman" w:hAnsi="Times New Roman" w:eastAsia="宋体" w:cs="Times New Roman"/>
          <w:color w:val="auto"/>
          <w:sz w:val="24"/>
          <w:szCs w:val="24"/>
        </w:rPr>
        <w:t>t/a（</w:t>
      </w:r>
      <w:r>
        <w:rPr>
          <w:rFonts w:hint="eastAsia" w:ascii="Times New Roman" w:hAnsi="Times New Roman" w:eastAsia="宋体" w:cs="Times New Roman"/>
          <w:color w:val="auto"/>
          <w:sz w:val="24"/>
          <w:szCs w:val="24"/>
          <w:lang w:val="en-US" w:eastAsia="zh-CN"/>
        </w:rPr>
        <w:t>0.0004</w:t>
      </w:r>
      <w:r>
        <w:rPr>
          <w:rFonts w:hint="default" w:ascii="Times New Roman" w:hAnsi="Times New Roman" w:eastAsia="宋体" w:cs="Times New Roman"/>
          <w:color w:val="auto"/>
          <w:sz w:val="24"/>
          <w:szCs w:val="24"/>
        </w:rPr>
        <w:t>kg/h）</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产生浓度及排放浓度为0.731</w:t>
      </w:r>
      <w:r>
        <w:rPr>
          <w:rFonts w:hint="eastAsia" w:ascii="Times New Roman" w:hAnsi="Times New Roman" w:cs="Times New Roman"/>
          <w:color w:val="auto"/>
          <w:sz w:val="24"/>
          <w:highlight w:val="none"/>
          <w:lang w:val="en-US" w:eastAsia="zh-CN"/>
        </w:rPr>
        <w:t>mg/m</w:t>
      </w:r>
      <w:r>
        <w:rPr>
          <w:rFonts w:hint="eastAsia" w:ascii="Times New Roman" w:hAnsi="Times New Roman" w:cs="Times New Roman"/>
          <w:color w:val="auto"/>
          <w:sz w:val="24"/>
          <w:highlight w:val="none"/>
          <w:vertAlign w:val="superscript"/>
          <w:lang w:val="en-US" w:eastAsia="zh-CN"/>
        </w:rPr>
        <w:t>3</w:t>
      </w:r>
      <w:r>
        <w:rPr>
          <w:rFonts w:hint="default" w:ascii="Times New Roman" w:hAnsi="Times New Roman" w:eastAsia="宋体" w:cs="Times New Roman"/>
          <w:color w:val="auto"/>
          <w:sz w:val="24"/>
          <w:szCs w:val="24"/>
        </w:rPr>
        <w:t>。</w:t>
      </w:r>
    </w:p>
    <w:p w14:paraId="033E455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氮氧化物排放量按下式计算：</w:t>
      </w:r>
    </w:p>
    <w:p w14:paraId="673CFB5C">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根据《污染源源强核算技术指南 锅炉》（HJ991-2018），污染物氮氧化物排放量采用“</w:t>
      </w:r>
      <w:r>
        <w:rPr>
          <w:rFonts w:hint="default" w:ascii="Times New Roman" w:hAnsi="Times New Roman" w:eastAsia="宋体" w:cs="Times New Roman"/>
          <w:color w:val="auto"/>
          <w:sz w:val="24"/>
          <w:szCs w:val="24"/>
          <w:lang w:val="en-US" w:eastAsia="zh-CN"/>
        </w:rPr>
        <w:t>物料衡算法</w:t>
      </w:r>
      <w:r>
        <w:rPr>
          <w:rFonts w:hint="default" w:ascii="Times New Roman" w:hAnsi="Times New Roman" w:eastAsia="宋体" w:cs="Times New Roman"/>
          <w:color w:val="auto"/>
          <w:sz w:val="24"/>
          <w:szCs w:val="24"/>
        </w:rPr>
        <w:t>”进行核算</w:t>
      </w:r>
    </w:p>
    <w:p w14:paraId="74CC27B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rPr>
        <w:drawing>
          <wp:inline distT="0" distB="0" distL="114300" distR="114300">
            <wp:extent cx="2094230" cy="433070"/>
            <wp:effectExtent l="0" t="0" r="1270" b="5080"/>
            <wp:docPr id="2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1"/>
                    <pic:cNvPicPr>
                      <a:picLocks noChangeAspect="1"/>
                    </pic:cNvPicPr>
                  </pic:nvPicPr>
                  <pic:blipFill>
                    <a:blip r:embed="rId79"/>
                    <a:srcRect t="15201" b="15199"/>
                    <a:stretch>
                      <a:fillRect/>
                    </a:stretch>
                  </pic:blipFill>
                  <pic:spPr>
                    <a:xfrm>
                      <a:off x="0" y="0"/>
                      <a:ext cx="2094230" cy="433070"/>
                    </a:xfrm>
                    <a:prstGeom prst="rect">
                      <a:avLst/>
                    </a:prstGeom>
                    <a:noFill/>
                    <a:ln>
                      <a:noFill/>
                    </a:ln>
                  </pic:spPr>
                </pic:pic>
              </a:graphicData>
            </a:graphic>
          </wp:inline>
        </w:drawing>
      </w:r>
    </w:p>
    <w:p w14:paraId="282B8BC2">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w:t>
      </w:r>
    </w:p>
    <w:p w14:paraId="2D6B391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E</w:t>
      </w:r>
      <w:r>
        <w:rPr>
          <w:rFonts w:hint="default" w:ascii="Times New Roman" w:hAnsi="Times New Roman" w:eastAsia="宋体" w:cs="Times New Roman"/>
          <w:color w:val="auto"/>
          <w:sz w:val="24"/>
          <w:szCs w:val="24"/>
          <w:vertAlign w:val="subscript"/>
        </w:rPr>
        <w:t>NOX</w:t>
      </w:r>
      <w:r>
        <w:rPr>
          <w:rFonts w:hint="default" w:ascii="Times New Roman" w:hAnsi="Times New Roman" w:eastAsia="宋体" w:cs="Times New Roman"/>
          <w:color w:val="auto"/>
          <w:sz w:val="24"/>
          <w:szCs w:val="24"/>
        </w:rPr>
        <w:t>——核算时段内氮氧化物排放量，t；</w:t>
      </w:r>
    </w:p>
    <w:p w14:paraId="23603CA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ρ</w:t>
      </w:r>
      <w:r>
        <w:rPr>
          <w:rFonts w:hint="default" w:ascii="Times New Roman" w:hAnsi="Times New Roman" w:eastAsia="宋体" w:cs="Times New Roman"/>
          <w:color w:val="auto"/>
          <w:sz w:val="24"/>
          <w:szCs w:val="24"/>
          <w:vertAlign w:val="subscript"/>
        </w:rPr>
        <w:t>NOX</w:t>
      </w:r>
      <w:r>
        <w:rPr>
          <w:rFonts w:hint="default" w:ascii="Times New Roman" w:hAnsi="Times New Roman" w:eastAsia="宋体" w:cs="Times New Roman"/>
          <w:color w:val="auto"/>
          <w:sz w:val="24"/>
          <w:szCs w:val="24"/>
        </w:rPr>
        <w:t>——锅炉炉膛出口氮氧化物质量浓度，mg/m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参照</w:t>
      </w:r>
      <w:r>
        <w:rPr>
          <w:rFonts w:hint="default" w:ascii="Times New Roman" w:hAnsi="Times New Roman" w:eastAsia="宋体" w:cs="Times New Roman"/>
          <w:color w:val="auto"/>
          <w:sz w:val="24"/>
          <w:szCs w:val="24"/>
        </w:rPr>
        <w:t>《污染源源强核算技术指南 锅炉》（HJ991-2018）</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取值为</w:t>
      </w:r>
      <w:r>
        <w:rPr>
          <w:rFonts w:hint="eastAsia" w:ascii="Times New Roman" w:hAnsi="Times New Roman" w:eastAsia="宋体" w:cs="Times New Roman"/>
          <w:color w:val="auto"/>
          <w:sz w:val="24"/>
          <w:szCs w:val="24"/>
          <w:lang w:val="en-US" w:eastAsia="zh-CN"/>
        </w:rPr>
        <w:t>15</w:t>
      </w:r>
      <w:r>
        <w:rPr>
          <w:rFonts w:hint="default" w:ascii="Times New Roman" w:hAnsi="Times New Roman" w:eastAsia="宋体" w:cs="Times New Roman"/>
          <w:color w:val="auto"/>
          <w:sz w:val="24"/>
          <w:szCs w:val="24"/>
          <w:lang w:val="en-US" w:eastAsia="zh-CN"/>
        </w:rPr>
        <w:t>0</w:t>
      </w:r>
      <w:r>
        <w:rPr>
          <w:rFonts w:hint="default" w:ascii="Times New Roman" w:hAnsi="Times New Roman" w:eastAsia="宋体" w:cs="Times New Roman"/>
          <w:color w:val="auto"/>
          <w:sz w:val="24"/>
          <w:szCs w:val="24"/>
        </w:rPr>
        <w:t>；</w:t>
      </w:r>
    </w:p>
    <w:p w14:paraId="2F3AADD1">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η</w:t>
      </w:r>
      <w:r>
        <w:rPr>
          <w:rFonts w:hint="default" w:ascii="Times New Roman" w:hAnsi="Times New Roman" w:eastAsia="宋体" w:cs="Times New Roman"/>
          <w:color w:val="auto"/>
          <w:sz w:val="24"/>
          <w:szCs w:val="24"/>
          <w:vertAlign w:val="subscript"/>
        </w:rPr>
        <w:t>NOX</w:t>
      </w:r>
      <w:r>
        <w:rPr>
          <w:rFonts w:hint="default" w:ascii="Times New Roman" w:hAnsi="Times New Roman" w:eastAsia="宋体" w:cs="Times New Roman"/>
          <w:color w:val="auto"/>
          <w:sz w:val="24"/>
          <w:szCs w:val="24"/>
        </w:rPr>
        <w:t>——脱硝效率，%，本项目</w:t>
      </w:r>
      <w:r>
        <w:rPr>
          <w:rFonts w:hint="default" w:ascii="Times New Roman" w:hAnsi="Times New Roman" w:eastAsia="宋体" w:cs="Times New Roman"/>
          <w:color w:val="auto"/>
          <w:sz w:val="24"/>
          <w:szCs w:val="24"/>
          <w:lang w:val="en-US" w:eastAsia="zh-CN"/>
        </w:rPr>
        <w:t>无脱硝设施取0</w:t>
      </w:r>
      <w:r>
        <w:rPr>
          <w:rFonts w:hint="default" w:ascii="Times New Roman" w:hAnsi="Times New Roman" w:eastAsia="宋体" w:cs="Times New Roman"/>
          <w:color w:val="auto"/>
          <w:sz w:val="24"/>
          <w:szCs w:val="24"/>
        </w:rPr>
        <w:t>。</w:t>
      </w:r>
    </w:p>
    <w:p w14:paraId="5E37416A">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sz w:val="24"/>
          <w:szCs w:val="24"/>
          <w:lang w:val="zh-CN"/>
        </w:rPr>
        <w:t>Q——核算时段内标态干烟气排放量，</w:t>
      </w:r>
      <w:r>
        <w:rPr>
          <w:rFonts w:hint="eastAsia" w:ascii="Times New Roman" w:hAnsi="Times New Roman" w:eastAsia="宋体" w:cs="Times New Roman"/>
          <w:color w:val="auto"/>
          <w:sz w:val="24"/>
          <w:szCs w:val="24"/>
          <w:lang w:val="zh-CN" w:eastAsia="zh-CN"/>
        </w:rPr>
        <w:t>4104000</w:t>
      </w:r>
      <w:r>
        <w:rPr>
          <w:rFonts w:hint="default" w:ascii="Times New Roman" w:hAnsi="Times New Roman" w:eastAsia="宋体" w:cs="Times New Roman"/>
          <w:color w:val="auto"/>
          <w:sz w:val="24"/>
          <w:szCs w:val="24"/>
          <w:lang w:val="zh-CN"/>
        </w:rPr>
        <w:t>m</w:t>
      </w:r>
      <w:r>
        <w:rPr>
          <w:rFonts w:hint="default" w:ascii="Times New Roman" w:hAnsi="Times New Roman" w:eastAsia="宋体" w:cs="Times New Roman"/>
          <w:color w:val="auto"/>
          <w:sz w:val="24"/>
          <w:szCs w:val="24"/>
          <w:vertAlign w:val="superscript"/>
          <w:lang w:val="zh-CN"/>
        </w:rPr>
        <w:t>3</w:t>
      </w:r>
      <w:r>
        <w:rPr>
          <w:rFonts w:hint="default" w:ascii="Times New Roman" w:hAnsi="Times New Roman" w:eastAsia="宋体" w:cs="Times New Roman"/>
          <w:color w:val="auto"/>
          <w:sz w:val="24"/>
          <w:szCs w:val="24"/>
        </w:rPr>
        <w:t>。</w:t>
      </w:r>
    </w:p>
    <w:p w14:paraId="2359D02D">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经计算，</w:t>
      </w:r>
      <w:r>
        <w:rPr>
          <w:rFonts w:hint="eastAsia" w:ascii="Times New Roman" w:hAnsi="Times New Roman" w:eastAsia="宋体" w:cs="Times New Roman"/>
          <w:color w:val="auto"/>
          <w:sz w:val="24"/>
          <w:szCs w:val="24"/>
          <w:lang w:val="en-US" w:eastAsia="zh-CN"/>
        </w:rPr>
        <w:t>天然气燃烧废气</w:t>
      </w:r>
      <w:r>
        <w:rPr>
          <w:rFonts w:hint="default" w:ascii="Times New Roman" w:hAnsi="Times New Roman" w:eastAsia="宋体" w:cs="Times New Roman"/>
          <w:color w:val="auto"/>
          <w:sz w:val="24"/>
          <w:szCs w:val="24"/>
        </w:rPr>
        <w:t>氮氧化物产生量及排放量为</w:t>
      </w:r>
      <w:r>
        <w:rPr>
          <w:rFonts w:hint="eastAsia" w:ascii="Times New Roman" w:hAnsi="Times New Roman" w:eastAsia="宋体" w:cs="Times New Roman"/>
          <w:color w:val="auto"/>
          <w:sz w:val="24"/>
          <w:szCs w:val="24"/>
          <w:lang w:val="en-US" w:eastAsia="zh-CN"/>
        </w:rPr>
        <w:t>0.616</w:t>
      </w:r>
      <w:r>
        <w:rPr>
          <w:rFonts w:hint="default" w:ascii="Times New Roman" w:hAnsi="Times New Roman" w:eastAsia="宋体" w:cs="Times New Roman"/>
          <w:color w:val="auto"/>
          <w:sz w:val="24"/>
          <w:szCs w:val="24"/>
        </w:rPr>
        <w:t>t/a</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0.089</w:t>
      </w:r>
      <w:r>
        <w:rPr>
          <w:rFonts w:hint="default" w:ascii="Times New Roman" w:hAnsi="Times New Roman" w:eastAsia="宋体" w:cs="Times New Roman"/>
          <w:color w:val="auto"/>
          <w:sz w:val="24"/>
          <w:szCs w:val="24"/>
        </w:rPr>
        <w:t>kg/h</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w:t>
      </w:r>
    </w:p>
    <w:p w14:paraId="043BC614">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天然气燃烧废气经低氮燃烧后经20.5m高烟囱（DA003）排放。</w:t>
      </w:r>
    </w:p>
    <w:p w14:paraId="108B4288">
      <w:pPr>
        <w:pStyle w:val="1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8、打磨及抛光粉尘</w:t>
      </w:r>
    </w:p>
    <w:p w14:paraId="76646C5D">
      <w:pPr>
        <w:pStyle w:val="1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项目喷涂后的产品需进行打磨抛光，于打磨抛光区进行，打磨抛光粉尘自带布袋除尘器，粉尘收集率100%、净化效率约为98%，被收集的废气经除尘后无组织排放。根据建设单位提供的资料，同时类比同类项目等工程打磨抛光粉尘产生量不大，约0.17kg/工位·h，年工作时间为6960h/a，则打磨抛光粉尘产生量为2.366t/a、0.34kg/h，处理后无组织排放量为0.047t/a、0.007kg/h。</w:t>
      </w:r>
    </w:p>
    <w:p w14:paraId="0300C249">
      <w:pPr>
        <w:pStyle w:val="1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b/>
          <w:bCs/>
          <w:snapToGrid w:val="0"/>
          <w:color w:val="auto"/>
          <w:kern w:val="2"/>
          <w:sz w:val="24"/>
          <w:szCs w:val="24"/>
          <w:lang w:val="en-US" w:eastAsia="zh-CN" w:bidi="ar-SA"/>
        </w:rPr>
      </w:pPr>
      <w:r>
        <w:rPr>
          <w:rFonts w:hint="eastAsia" w:ascii="Times New Roman" w:hAnsi="Times New Roman" w:cs="Times New Roman"/>
          <w:b/>
          <w:bCs/>
          <w:color w:val="auto"/>
          <w:sz w:val="24"/>
          <w:highlight w:val="none"/>
          <w:lang w:val="en-US" w:eastAsia="zh-CN"/>
        </w:rPr>
        <w:t>9、配胶、喷胶及烘干废气</w:t>
      </w:r>
    </w:p>
    <w:p w14:paraId="2630D025">
      <w:pPr>
        <w:pStyle w:val="1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default" w:ascii="Times New Roman" w:hAnsi="Times New Roman" w:eastAsia="宋体" w:cs="Times New Roman"/>
          <w:snapToGrid w:val="0"/>
          <w:color w:val="auto"/>
          <w:kern w:val="2"/>
          <w:sz w:val="24"/>
          <w:szCs w:val="24"/>
          <w:lang w:val="en-US" w:eastAsia="zh-CN" w:bidi="ar-SA"/>
        </w:rPr>
      </w:pPr>
      <w:r>
        <w:rPr>
          <w:rFonts w:hint="default" w:ascii="Times New Roman" w:hAnsi="Times New Roman" w:eastAsia="宋体" w:cs="Times New Roman"/>
          <w:snapToGrid w:val="0"/>
          <w:color w:val="auto"/>
          <w:kern w:val="2"/>
          <w:sz w:val="24"/>
          <w:szCs w:val="24"/>
          <w:lang w:val="en-US" w:eastAsia="zh-CN" w:bidi="ar-SA"/>
        </w:rPr>
        <w:t>项目</w:t>
      </w:r>
      <w:r>
        <w:rPr>
          <w:rFonts w:hint="eastAsia" w:ascii="Times New Roman" w:hAnsi="Times New Roman" w:eastAsia="宋体" w:cs="Times New Roman"/>
          <w:snapToGrid w:val="0"/>
          <w:color w:val="auto"/>
          <w:kern w:val="2"/>
          <w:sz w:val="24"/>
          <w:szCs w:val="24"/>
          <w:lang w:val="en-US" w:eastAsia="zh-CN" w:bidi="ar-SA"/>
        </w:rPr>
        <w:t>汽车包覆零部件</w:t>
      </w:r>
      <w:r>
        <w:rPr>
          <w:rFonts w:hint="default" w:ascii="Times New Roman" w:hAnsi="Times New Roman" w:eastAsia="宋体" w:cs="Times New Roman"/>
          <w:snapToGrid w:val="0"/>
          <w:color w:val="auto"/>
          <w:kern w:val="2"/>
          <w:sz w:val="24"/>
          <w:szCs w:val="24"/>
          <w:lang w:val="en-US" w:eastAsia="zh-CN" w:bidi="ar-SA"/>
        </w:rPr>
        <w:t>生产过程中，使用水性胶，水性胶含有60%的聚氨酯树脂和40%的水，水性胶加热熟化过程中聚氨酯树脂中少量游离的聚合物单体逸出，以VOCs计。VOCs产污系数采用美国环保局推荐数据0.35kg/t(原料)，项目水性胶年使用量约36</w:t>
      </w:r>
      <w:r>
        <w:rPr>
          <w:rFonts w:hint="eastAsia" w:ascii="Times New Roman" w:hAnsi="Times New Roman" w:eastAsia="宋体" w:cs="Times New Roman"/>
          <w:snapToGrid w:val="0"/>
          <w:color w:val="auto"/>
          <w:kern w:val="2"/>
          <w:sz w:val="24"/>
          <w:szCs w:val="24"/>
          <w:lang w:val="en-US" w:eastAsia="zh-CN" w:bidi="ar-SA"/>
        </w:rPr>
        <w:t>0</w:t>
      </w:r>
      <w:r>
        <w:rPr>
          <w:rFonts w:hint="default" w:ascii="Times New Roman" w:hAnsi="Times New Roman" w:eastAsia="宋体" w:cs="Times New Roman"/>
          <w:snapToGrid w:val="0"/>
          <w:color w:val="auto"/>
          <w:kern w:val="2"/>
          <w:sz w:val="24"/>
          <w:szCs w:val="24"/>
          <w:lang w:val="en-US" w:eastAsia="zh-CN" w:bidi="ar-SA"/>
        </w:rPr>
        <w:t>t，其中聚氨酯树脂216t，由此估算配胶、喷胶及烘干环节VOCs产生量约</w:t>
      </w:r>
      <w:r>
        <w:rPr>
          <w:rFonts w:hint="eastAsia" w:ascii="Times New Roman" w:hAnsi="Times New Roman" w:eastAsia="宋体" w:cs="Times New Roman"/>
          <w:snapToGrid w:val="0"/>
          <w:color w:val="auto"/>
          <w:kern w:val="2"/>
          <w:sz w:val="24"/>
          <w:szCs w:val="24"/>
          <w:lang w:val="en-US" w:eastAsia="zh-CN" w:bidi="ar-SA"/>
        </w:rPr>
        <w:t>0.0756</w:t>
      </w:r>
      <w:r>
        <w:rPr>
          <w:rFonts w:hint="default" w:ascii="Times New Roman" w:hAnsi="Times New Roman" w:eastAsia="宋体" w:cs="Times New Roman"/>
          <w:snapToGrid w:val="0"/>
          <w:color w:val="auto"/>
          <w:kern w:val="2"/>
          <w:sz w:val="24"/>
          <w:szCs w:val="24"/>
          <w:lang w:val="en-US" w:eastAsia="zh-CN" w:bidi="ar-SA"/>
        </w:rPr>
        <w:t>t</w:t>
      </w:r>
      <w:r>
        <w:rPr>
          <w:rFonts w:hint="eastAsia" w:ascii="Times New Roman" w:hAnsi="Times New Roman" w:eastAsia="宋体" w:cs="Times New Roman"/>
          <w:snapToGrid w:val="0"/>
          <w:color w:val="auto"/>
          <w:kern w:val="2"/>
          <w:sz w:val="24"/>
          <w:szCs w:val="24"/>
          <w:lang w:val="en-US" w:eastAsia="zh-CN" w:bidi="ar-SA"/>
        </w:rPr>
        <w:t>/</w:t>
      </w:r>
      <w:r>
        <w:rPr>
          <w:rFonts w:hint="default" w:ascii="Times New Roman" w:hAnsi="Times New Roman" w:eastAsia="宋体" w:cs="Times New Roman"/>
          <w:snapToGrid w:val="0"/>
          <w:color w:val="auto"/>
          <w:kern w:val="2"/>
          <w:sz w:val="24"/>
          <w:szCs w:val="24"/>
          <w:lang w:val="en-US" w:eastAsia="zh-CN" w:bidi="ar-SA"/>
        </w:rPr>
        <w:t>a。</w:t>
      </w:r>
    </w:p>
    <w:p w14:paraId="0AE5DF34">
      <w:pPr>
        <w:pStyle w:val="1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2" w:firstLineChars="200"/>
        <w:textAlignment w:val="auto"/>
        <w:rPr>
          <w:rFonts w:hint="default"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10、发泡废气</w:t>
      </w:r>
    </w:p>
    <w:p w14:paraId="62B1F8E3">
      <w:pPr>
        <w:pStyle w:val="1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default" w:ascii="Times New Roman" w:hAnsi="Times New Roman" w:eastAsia="宋体" w:cs="Times New Roman"/>
          <w:snapToGrid w:val="0"/>
          <w:color w:val="auto"/>
          <w:kern w:val="2"/>
          <w:sz w:val="24"/>
          <w:szCs w:val="24"/>
          <w:lang w:val="en-US" w:eastAsia="zh-CN" w:bidi="ar-SA"/>
        </w:rPr>
      </w:pPr>
      <w:r>
        <w:rPr>
          <w:rFonts w:hint="eastAsia" w:ascii="Times New Roman" w:hAnsi="Times New Roman" w:eastAsia="宋体" w:cs="Times New Roman"/>
          <w:snapToGrid w:val="0"/>
          <w:color w:val="auto"/>
          <w:kern w:val="2"/>
          <w:sz w:val="24"/>
          <w:szCs w:val="24"/>
          <w:lang w:val="en-US" w:eastAsia="zh-CN" w:bidi="ar-SA"/>
        </w:rPr>
        <w:t>参考《排放源统计调查产排污核算方法和系数手册》中发泡工艺非甲烷总烃产污系数：30千克/吨-产品，本项目发泡包覆产品为360t，则发泡废气非甲烷总烃产生量为10.8t/a。</w:t>
      </w:r>
    </w:p>
    <w:p w14:paraId="548895B7">
      <w:pPr>
        <w:pStyle w:val="1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Times New Roman" w:hAnsi="Times New Roman" w:eastAsia="宋体" w:cs="Times New Roman"/>
          <w:b/>
          <w:bCs/>
          <w:color w:val="FF0000"/>
          <w:sz w:val="24"/>
          <w:lang w:val="en-US" w:eastAsia="zh-CN"/>
        </w:rPr>
      </w:pPr>
      <w:r>
        <w:rPr>
          <w:rFonts w:hint="eastAsia" w:ascii="Times New Roman" w:hAnsi="Times New Roman" w:cs="Times New Roman"/>
          <w:b w:val="0"/>
          <w:bCs w:val="0"/>
          <w:color w:val="auto"/>
          <w:sz w:val="24"/>
          <w:highlight w:val="none"/>
          <w:lang w:val="en-US" w:eastAsia="zh-CN"/>
        </w:rPr>
        <w:t>配胶、喷胶及烘干废气、发泡</w:t>
      </w:r>
      <w:r>
        <w:rPr>
          <w:rFonts w:hint="default" w:ascii="Times New Roman" w:hAnsi="Times New Roman" w:eastAsia="宋体" w:cs="Times New Roman"/>
          <w:b w:val="0"/>
          <w:bCs w:val="0"/>
          <w:snapToGrid w:val="0"/>
          <w:color w:val="auto"/>
          <w:kern w:val="2"/>
          <w:sz w:val="24"/>
          <w:szCs w:val="24"/>
          <w:lang w:val="en-US" w:eastAsia="zh-CN" w:bidi="ar-SA"/>
        </w:rPr>
        <w:t>废</w:t>
      </w:r>
      <w:r>
        <w:rPr>
          <w:rFonts w:hint="default" w:ascii="Times New Roman" w:hAnsi="Times New Roman" w:eastAsia="宋体" w:cs="Times New Roman"/>
          <w:snapToGrid w:val="0"/>
          <w:color w:val="auto"/>
          <w:kern w:val="2"/>
          <w:sz w:val="24"/>
          <w:szCs w:val="24"/>
          <w:lang w:val="en-US" w:eastAsia="zh-CN" w:bidi="ar-SA"/>
        </w:rPr>
        <w:t>气收集</w:t>
      </w:r>
      <w:r>
        <w:rPr>
          <w:rFonts w:hint="eastAsia" w:ascii="Times New Roman" w:hAnsi="Times New Roman" w:eastAsia="宋体" w:cs="Times New Roman"/>
          <w:snapToGrid w:val="0"/>
          <w:color w:val="auto"/>
          <w:kern w:val="2"/>
          <w:sz w:val="24"/>
          <w:szCs w:val="24"/>
          <w:lang w:val="en-US" w:eastAsia="zh-CN" w:bidi="ar-SA"/>
        </w:rPr>
        <w:t>（</w:t>
      </w:r>
      <w:r>
        <w:rPr>
          <w:rFonts w:hint="default" w:ascii="Times New Roman" w:hAnsi="Times New Roman" w:eastAsia="宋体" w:cs="Times New Roman"/>
          <w:snapToGrid w:val="0"/>
          <w:color w:val="auto"/>
          <w:kern w:val="2"/>
          <w:sz w:val="24"/>
          <w:szCs w:val="24"/>
          <w:lang w:val="en-US" w:eastAsia="zh-CN" w:bidi="ar-SA"/>
        </w:rPr>
        <w:t>收集效率按90%计</w:t>
      </w:r>
      <w:r>
        <w:rPr>
          <w:rFonts w:hint="eastAsia" w:ascii="Times New Roman" w:hAnsi="Times New Roman" w:eastAsia="宋体" w:cs="Times New Roman"/>
          <w:snapToGrid w:val="0"/>
          <w:color w:val="auto"/>
          <w:kern w:val="2"/>
          <w:sz w:val="24"/>
          <w:szCs w:val="24"/>
          <w:lang w:val="en-US" w:eastAsia="zh-CN" w:bidi="ar-SA"/>
        </w:rPr>
        <w:t>）</w:t>
      </w:r>
      <w:r>
        <w:rPr>
          <w:rFonts w:hint="default" w:ascii="Times New Roman" w:hAnsi="Times New Roman" w:eastAsia="宋体" w:cs="Times New Roman"/>
          <w:snapToGrid w:val="0"/>
          <w:color w:val="auto"/>
          <w:kern w:val="2"/>
          <w:sz w:val="24"/>
          <w:szCs w:val="24"/>
          <w:lang w:val="en-US" w:eastAsia="zh-CN" w:bidi="ar-SA"/>
        </w:rPr>
        <w:t>后经</w:t>
      </w:r>
      <w:r>
        <w:rPr>
          <w:rFonts w:hint="eastAsia" w:ascii="Times New Roman" w:hAnsi="Times New Roman" w:eastAsia="宋体" w:cs="Times New Roman"/>
          <w:snapToGrid w:val="0"/>
          <w:color w:val="auto"/>
          <w:kern w:val="2"/>
          <w:sz w:val="24"/>
          <w:szCs w:val="24"/>
          <w:lang w:val="en-US" w:eastAsia="zh-CN" w:bidi="ar-SA"/>
        </w:rPr>
        <w:t>四</w:t>
      </w:r>
      <w:r>
        <w:rPr>
          <w:rFonts w:hint="default" w:ascii="Times New Roman" w:hAnsi="Times New Roman" w:eastAsia="宋体" w:cs="Times New Roman"/>
          <w:snapToGrid w:val="0"/>
          <w:color w:val="auto"/>
          <w:kern w:val="2"/>
          <w:sz w:val="24"/>
          <w:szCs w:val="24"/>
          <w:lang w:val="en-US" w:eastAsia="zh-CN" w:bidi="ar-SA"/>
        </w:rPr>
        <w:t>级活性炭吸附装置处理</w:t>
      </w:r>
      <w:r>
        <w:rPr>
          <w:rFonts w:hint="eastAsia" w:ascii="Times New Roman" w:hAnsi="Times New Roman" w:eastAsia="宋体" w:cs="Times New Roman"/>
          <w:snapToGrid w:val="0"/>
          <w:color w:val="auto"/>
          <w:kern w:val="2"/>
          <w:sz w:val="24"/>
          <w:szCs w:val="24"/>
          <w:lang w:val="en-US" w:eastAsia="zh-CN" w:bidi="ar-SA"/>
        </w:rPr>
        <w:t>（处理效率为</w:t>
      </w:r>
      <w:r>
        <w:rPr>
          <w:rFonts w:hint="eastAsia" w:ascii="Times New Roman" w:hAnsi="Times New Roman" w:cs="Times New Roman"/>
          <w:color w:val="auto"/>
          <w:sz w:val="24"/>
          <w:highlight w:val="none"/>
          <w:lang w:val="en-US" w:eastAsia="zh-CN"/>
        </w:rPr>
        <w:t>93.75%）</w:t>
      </w:r>
      <w:r>
        <w:rPr>
          <w:rFonts w:hint="default" w:ascii="Times New Roman" w:hAnsi="Times New Roman" w:eastAsia="宋体" w:cs="Times New Roman"/>
          <w:snapToGrid w:val="0"/>
          <w:color w:val="auto"/>
          <w:kern w:val="2"/>
          <w:sz w:val="24"/>
          <w:szCs w:val="24"/>
          <w:lang w:val="en-US" w:eastAsia="zh-CN" w:bidi="ar-SA"/>
        </w:rPr>
        <w:t>后于1根15m高排气筒</w:t>
      </w:r>
      <w:r>
        <w:rPr>
          <w:rFonts w:hint="eastAsia" w:ascii="Times New Roman" w:hAnsi="Times New Roman" w:eastAsia="宋体" w:cs="Times New Roman"/>
          <w:snapToGrid w:val="0"/>
          <w:color w:val="auto"/>
          <w:kern w:val="2"/>
          <w:sz w:val="24"/>
          <w:szCs w:val="24"/>
          <w:lang w:val="en-US" w:eastAsia="zh-CN" w:bidi="ar-SA"/>
        </w:rPr>
        <w:t>（DA004）</w:t>
      </w:r>
      <w:r>
        <w:rPr>
          <w:rFonts w:hint="default" w:ascii="Times New Roman" w:hAnsi="Times New Roman" w:eastAsia="宋体" w:cs="Times New Roman"/>
          <w:snapToGrid w:val="0"/>
          <w:color w:val="auto"/>
          <w:kern w:val="2"/>
          <w:sz w:val="24"/>
          <w:szCs w:val="24"/>
          <w:lang w:val="en-US" w:eastAsia="zh-CN" w:bidi="ar-SA"/>
        </w:rPr>
        <w:t>排放</w:t>
      </w:r>
      <w:r>
        <w:rPr>
          <w:rFonts w:hint="eastAsia" w:ascii="Times New Roman" w:hAnsi="Times New Roman" w:eastAsia="宋体" w:cs="Times New Roman"/>
          <w:snapToGrid w:val="0"/>
          <w:color w:val="auto"/>
          <w:kern w:val="2"/>
          <w:sz w:val="24"/>
          <w:szCs w:val="24"/>
          <w:lang w:val="en-US" w:eastAsia="zh-CN" w:bidi="ar-SA"/>
        </w:rPr>
        <w:t>，</w:t>
      </w:r>
      <w:r>
        <w:rPr>
          <w:rFonts w:hint="default" w:ascii="Times New Roman" w:hAnsi="Times New Roman" w:eastAsia="宋体" w:cs="Times New Roman"/>
          <w:snapToGrid w:val="0"/>
          <w:color w:val="auto"/>
          <w:kern w:val="2"/>
          <w:sz w:val="24"/>
          <w:szCs w:val="24"/>
          <w:lang w:val="en-US" w:eastAsia="zh-CN" w:bidi="ar-SA"/>
        </w:rPr>
        <w:t>风机风量取</w:t>
      </w:r>
      <w:r>
        <w:rPr>
          <w:rFonts w:hint="eastAsia" w:ascii="Times New Roman" w:hAnsi="Times New Roman" w:eastAsia="宋体" w:cs="Times New Roman"/>
          <w:snapToGrid w:val="0"/>
          <w:color w:val="auto"/>
          <w:kern w:val="2"/>
          <w:sz w:val="24"/>
          <w:szCs w:val="24"/>
          <w:lang w:val="en-US" w:eastAsia="zh-CN" w:bidi="ar-SA"/>
        </w:rPr>
        <w:t>5</w:t>
      </w:r>
      <w:r>
        <w:rPr>
          <w:rFonts w:hint="default" w:ascii="Times New Roman" w:hAnsi="Times New Roman" w:eastAsia="宋体" w:cs="Times New Roman"/>
          <w:snapToGrid w:val="0"/>
          <w:color w:val="auto"/>
          <w:kern w:val="2"/>
          <w:sz w:val="24"/>
          <w:szCs w:val="24"/>
          <w:lang w:val="en-US" w:eastAsia="zh-CN" w:bidi="ar-SA"/>
        </w:rPr>
        <w:t>000m</w:t>
      </w:r>
      <w:r>
        <w:rPr>
          <w:rFonts w:hint="default" w:ascii="Times New Roman" w:hAnsi="Times New Roman" w:eastAsia="宋体" w:cs="Times New Roman"/>
          <w:snapToGrid w:val="0"/>
          <w:color w:val="auto"/>
          <w:kern w:val="2"/>
          <w:sz w:val="24"/>
          <w:szCs w:val="24"/>
          <w:vertAlign w:val="superscript"/>
          <w:lang w:val="en-US" w:eastAsia="zh-CN" w:bidi="ar-SA"/>
        </w:rPr>
        <w:t>3</w:t>
      </w:r>
      <w:r>
        <w:rPr>
          <w:rFonts w:hint="default" w:ascii="Times New Roman" w:hAnsi="Times New Roman" w:eastAsia="宋体" w:cs="Times New Roman"/>
          <w:snapToGrid w:val="0"/>
          <w:color w:val="auto"/>
          <w:kern w:val="2"/>
          <w:sz w:val="24"/>
          <w:szCs w:val="24"/>
          <w:lang w:val="en-US" w:eastAsia="zh-CN" w:bidi="ar-SA"/>
        </w:rPr>
        <w:t>/h。</w:t>
      </w:r>
      <w:r>
        <w:rPr>
          <w:rFonts w:hint="eastAsia" w:ascii="Times New Roman" w:hAnsi="Times New Roman" w:eastAsia="宋体" w:cs="Times New Roman"/>
          <w:snapToGrid w:val="0"/>
          <w:color w:val="auto"/>
          <w:kern w:val="2"/>
          <w:sz w:val="24"/>
          <w:szCs w:val="24"/>
          <w:lang w:val="en-US" w:eastAsia="zh-CN" w:bidi="ar-SA"/>
        </w:rPr>
        <w:t>则</w:t>
      </w:r>
      <w:r>
        <w:rPr>
          <w:rFonts w:hint="eastAsia" w:ascii="Times New Roman" w:hAnsi="Times New Roman" w:cs="Times New Roman"/>
          <w:color w:val="auto"/>
          <w:sz w:val="24"/>
          <w:highlight w:val="none"/>
          <w:lang w:val="en-US" w:eastAsia="zh-CN"/>
        </w:rPr>
        <w:t>有组织非甲烷总烃产生量约为9.788t/a，1.406kg/h、产生浓度为281mg/m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，有组织非甲烷总烃排放量约为0.612t/a，0.088kg/h、排放浓度为18mg/m</w:t>
      </w:r>
      <w:r>
        <w:rPr>
          <w:rFonts w:hint="eastAsia" w:ascii="Times New Roman" w:hAnsi="Times New Roman" w:cs="Times New Roman"/>
          <w:color w:val="auto"/>
          <w:sz w:val="24"/>
          <w:highlight w:val="none"/>
          <w:vertAlign w:val="superscript"/>
          <w:lang w:val="en-US" w:eastAsia="zh-CN"/>
        </w:rPr>
        <w:t>3</w:t>
      </w:r>
      <w:r>
        <w:rPr>
          <w:rFonts w:hint="eastAsia" w:ascii="Times New Roman" w:hAnsi="Times New Roman" w:cs="Times New Roman"/>
          <w:color w:val="auto"/>
          <w:sz w:val="24"/>
          <w:highlight w:val="none"/>
          <w:lang w:val="en-US" w:eastAsia="zh-CN"/>
        </w:rPr>
        <w:t>，无组织非甲烷总烃产生量约为1.088t/a，0.156kg/h。</w:t>
      </w:r>
    </w:p>
    <w:p w14:paraId="21A15C4B">
      <w:pPr>
        <w:pStyle w:val="1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2" w:firstLineChars="200"/>
        <w:textAlignment w:val="auto"/>
        <w:rPr>
          <w:rFonts w:hint="eastAsia" w:ascii="Times New Roman" w:hAnsi="Times New Roman" w:eastAsia="宋体" w:cs="Times New Roman"/>
          <w:b/>
          <w:bCs/>
          <w:color w:val="auto"/>
          <w:sz w:val="24"/>
          <w:lang w:eastAsia="zh-CN"/>
        </w:rPr>
      </w:pPr>
      <w:r>
        <w:rPr>
          <w:rFonts w:hint="eastAsia" w:ascii="Times New Roman" w:hAnsi="Times New Roman" w:eastAsia="宋体" w:cs="Times New Roman"/>
          <w:b/>
          <w:bCs/>
          <w:color w:val="auto"/>
          <w:sz w:val="24"/>
          <w:lang w:val="en-US" w:eastAsia="zh-CN"/>
        </w:rPr>
        <w:t>11、</w:t>
      </w:r>
      <w:r>
        <w:rPr>
          <w:rFonts w:hint="eastAsia" w:ascii="Times New Roman" w:hAnsi="Times New Roman" w:eastAsia="宋体" w:cs="Times New Roman"/>
          <w:b/>
          <w:bCs/>
          <w:color w:val="auto"/>
          <w:sz w:val="24"/>
          <w:lang w:eastAsia="zh-CN"/>
        </w:rPr>
        <w:t>焊接废气</w:t>
      </w:r>
    </w:p>
    <w:p w14:paraId="762704CA">
      <w:pPr>
        <w:pStyle w:val="1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default"/>
          <w:color w:val="auto"/>
          <w:lang w:val="en-US" w:eastAsia="zh-CN"/>
        </w:rPr>
      </w:pPr>
      <w:r>
        <w:rPr>
          <w:rFonts w:hint="eastAsia" w:ascii="Times New Roman" w:hAnsi="Times New Roman" w:eastAsia="宋体" w:cs="Times New Roman"/>
          <w:color w:val="auto"/>
          <w:sz w:val="24"/>
          <w:lang w:val="en-US" w:eastAsia="zh-CN"/>
        </w:rPr>
        <w:t>本项目使用超声波焊机、热熔焊接机、热板焊接机对塑料工件进行焊接。加热工件表面使其软化，冷却后即完成焊接，不需要使用焊丝、焊材。焊接时塑料表面产生局部高温，使塑胶表面瞬间熔化，当塑料凝固时可使两件塑料连接在一起。在塑料表面软化的瞬间，会产生少量的有机废气，由于软化时间短，加热温度约120℃，低于塑料的分解温度，因此本环评不定量分析焊接废气。</w:t>
      </w:r>
    </w:p>
    <w:p w14:paraId="4322B99C">
      <w:pPr>
        <w:pStyle w:val="10"/>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82" w:firstLineChars="200"/>
        <w:textAlignment w:val="auto"/>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12、危废贮存废气（非甲烷总烃）</w:t>
      </w:r>
    </w:p>
    <w:p w14:paraId="1FDF4FFA">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color w:val="auto"/>
          <w:lang w:val="en-US" w:eastAsia="zh-CN"/>
        </w:rPr>
      </w:pPr>
      <w:r>
        <w:rPr>
          <w:rFonts w:ascii="Times New Roman" w:hAnsi="Times New Roman" w:eastAsia="宋体" w:cs="Times New Roman"/>
          <w:color w:val="auto"/>
          <w:kern w:val="0"/>
          <w:sz w:val="24"/>
          <w:szCs w:val="24"/>
          <w:shd w:val="clear" w:color="auto" w:fill="FFFFFF"/>
        </w:rPr>
        <w:t>本项目新建1间</w:t>
      </w:r>
      <w:r>
        <w:rPr>
          <w:rFonts w:hint="eastAsia" w:ascii="Times New Roman" w:hAnsi="Times New Roman" w:eastAsia="宋体" w:cs="Times New Roman"/>
          <w:color w:val="auto"/>
          <w:kern w:val="0"/>
          <w:sz w:val="24"/>
          <w:szCs w:val="24"/>
          <w:shd w:val="clear" w:color="auto" w:fill="FFFFFF"/>
          <w:lang w:val="en-US" w:eastAsia="zh-CN"/>
        </w:rPr>
        <w:t>200</w:t>
      </w:r>
      <w:r>
        <w:rPr>
          <w:rFonts w:ascii="Times New Roman" w:hAnsi="Times New Roman" w:eastAsia="宋体" w:cs="Times New Roman"/>
          <w:color w:val="auto"/>
          <w:kern w:val="0"/>
          <w:sz w:val="24"/>
          <w:szCs w:val="24"/>
          <w:shd w:val="clear" w:color="auto" w:fill="FFFFFF"/>
        </w:rPr>
        <w:t>m</w:t>
      </w:r>
      <w:r>
        <w:rPr>
          <w:rFonts w:ascii="Times New Roman" w:hAnsi="Times New Roman" w:eastAsia="宋体" w:cs="Times New Roman"/>
          <w:color w:val="auto"/>
          <w:kern w:val="0"/>
          <w:sz w:val="24"/>
          <w:szCs w:val="24"/>
          <w:shd w:val="clear" w:color="auto" w:fill="FFFFFF"/>
          <w:vertAlign w:val="superscript"/>
        </w:rPr>
        <w:t>2</w:t>
      </w:r>
      <w:r>
        <w:rPr>
          <w:rFonts w:ascii="Times New Roman" w:hAnsi="Times New Roman" w:eastAsia="宋体" w:cs="Times New Roman"/>
          <w:color w:val="auto"/>
          <w:kern w:val="0"/>
          <w:sz w:val="24"/>
          <w:szCs w:val="24"/>
          <w:shd w:val="clear" w:color="auto" w:fill="FFFFFF"/>
        </w:rPr>
        <w:t>的</w:t>
      </w:r>
      <w:r>
        <w:rPr>
          <w:rFonts w:hint="eastAsia" w:ascii="Times New Roman" w:hAnsi="Times New Roman" w:eastAsia="宋体" w:cs="Times New Roman"/>
          <w:color w:val="auto"/>
          <w:kern w:val="0"/>
          <w:sz w:val="24"/>
          <w:szCs w:val="24"/>
          <w:shd w:val="clear" w:color="auto" w:fill="FFFFFF"/>
          <w:lang w:eastAsia="zh-CN"/>
        </w:rPr>
        <w:t>危废贮存库</w:t>
      </w:r>
      <w:r>
        <w:rPr>
          <w:rFonts w:ascii="Times New Roman" w:hAnsi="Times New Roman" w:eastAsia="宋体" w:cs="Times New Roman"/>
          <w:color w:val="auto"/>
          <w:kern w:val="0"/>
          <w:sz w:val="24"/>
          <w:szCs w:val="24"/>
          <w:shd w:val="clear" w:color="auto" w:fill="FFFFFF"/>
        </w:rPr>
        <w:t>，本项目危险废物主要为</w:t>
      </w:r>
      <w:r>
        <w:rPr>
          <w:rFonts w:hint="default" w:ascii="Times New Roman" w:hAnsi="Times New Roman" w:eastAsia="宋体" w:cs="Times New Roman"/>
          <w:color w:val="auto"/>
          <w:kern w:val="0"/>
          <w:sz w:val="24"/>
          <w:szCs w:val="24"/>
          <w:shd w:val="clear" w:color="auto" w:fill="FFFFFF"/>
          <w:lang w:val="en-US" w:eastAsia="zh-CN"/>
        </w:rPr>
        <w:t>除尘器收集粉尘、废包装桶、漆渣、废清洗溶剂、水帘废水、废</w:t>
      </w:r>
      <w:r>
        <w:rPr>
          <w:rFonts w:hint="eastAsia" w:ascii="Times New Roman" w:hAnsi="Times New Roman" w:eastAsia="宋体" w:cs="Times New Roman"/>
          <w:color w:val="auto"/>
          <w:kern w:val="0"/>
          <w:sz w:val="24"/>
          <w:szCs w:val="24"/>
          <w:shd w:val="clear" w:color="auto" w:fill="FFFFFF"/>
          <w:lang w:val="en-US" w:eastAsia="zh-CN"/>
        </w:rPr>
        <w:t>UV</w:t>
      </w:r>
      <w:r>
        <w:rPr>
          <w:rFonts w:hint="default" w:ascii="Times New Roman" w:hAnsi="Times New Roman" w:eastAsia="宋体" w:cs="Times New Roman"/>
          <w:color w:val="auto"/>
          <w:kern w:val="0"/>
          <w:sz w:val="24"/>
          <w:szCs w:val="24"/>
          <w:shd w:val="clear" w:color="auto" w:fill="FFFFFF"/>
          <w:lang w:val="en-US" w:eastAsia="zh-CN"/>
        </w:rPr>
        <w:t>灯管、废活性炭、废润滑油、含油抹布、含油手套</w:t>
      </w:r>
      <w:r>
        <w:rPr>
          <w:rFonts w:hint="eastAsia" w:ascii="Times New Roman" w:hAnsi="Times New Roman" w:eastAsia="宋体" w:cs="Times New Roman"/>
          <w:color w:val="auto"/>
          <w:kern w:val="0"/>
          <w:sz w:val="24"/>
          <w:szCs w:val="24"/>
          <w:shd w:val="clear" w:color="auto" w:fill="FFFFFF"/>
          <w:lang w:val="en-US" w:eastAsia="zh-CN"/>
        </w:rPr>
        <w:t>。</w:t>
      </w:r>
      <w:r>
        <w:rPr>
          <w:rFonts w:ascii="Times New Roman" w:hAnsi="Times New Roman" w:eastAsia="宋体" w:cs="Times New Roman"/>
          <w:color w:val="auto"/>
          <w:kern w:val="0"/>
          <w:sz w:val="24"/>
          <w:szCs w:val="24"/>
          <w:shd w:val="clear" w:color="auto" w:fill="FFFFFF"/>
        </w:rPr>
        <w:t>其中</w:t>
      </w:r>
      <w:r>
        <w:rPr>
          <w:rFonts w:hint="default" w:ascii="Times New Roman" w:hAnsi="Times New Roman" w:eastAsia="宋体" w:cs="Times New Roman"/>
          <w:color w:val="auto"/>
          <w:kern w:val="0"/>
          <w:sz w:val="24"/>
          <w:szCs w:val="24"/>
          <w:shd w:val="clear" w:color="auto" w:fill="FFFFFF"/>
          <w:lang w:val="en-US" w:eastAsia="zh-CN"/>
        </w:rPr>
        <w:t>漆渣、废清洗溶剂</w:t>
      </w:r>
      <w:r>
        <w:rPr>
          <w:rFonts w:hint="eastAsia" w:ascii="Times New Roman" w:hAnsi="Times New Roman" w:eastAsia="宋体" w:cs="Times New Roman"/>
          <w:color w:val="auto"/>
          <w:kern w:val="0"/>
          <w:sz w:val="24"/>
          <w:szCs w:val="24"/>
          <w:shd w:val="clear" w:color="auto" w:fill="FFFFFF"/>
          <w:lang w:val="en-US" w:eastAsia="zh-CN"/>
        </w:rPr>
        <w:t>、</w:t>
      </w:r>
      <w:r>
        <w:rPr>
          <w:rFonts w:hint="default" w:ascii="Times New Roman" w:hAnsi="Times New Roman" w:eastAsia="宋体" w:cs="Times New Roman"/>
          <w:color w:val="auto"/>
          <w:kern w:val="0"/>
          <w:sz w:val="24"/>
          <w:szCs w:val="24"/>
          <w:shd w:val="clear" w:color="auto" w:fill="FFFFFF"/>
          <w:lang w:val="en-US" w:eastAsia="zh-CN"/>
        </w:rPr>
        <w:t>废活性炭、废润滑油、含油抹布、含油手套</w:t>
      </w:r>
      <w:r>
        <w:rPr>
          <w:rFonts w:ascii="Times New Roman" w:hAnsi="Times New Roman" w:eastAsia="宋体" w:cs="Times New Roman"/>
          <w:color w:val="auto"/>
          <w:sz w:val="24"/>
          <w:szCs w:val="24"/>
        </w:rPr>
        <w:t>密封袋装，</w:t>
      </w:r>
      <w:r>
        <w:rPr>
          <w:rFonts w:hint="default" w:ascii="Times New Roman" w:hAnsi="Times New Roman" w:eastAsia="宋体" w:cs="Times New Roman"/>
          <w:color w:val="auto"/>
          <w:kern w:val="0"/>
          <w:sz w:val="24"/>
          <w:szCs w:val="24"/>
          <w:shd w:val="clear" w:color="auto" w:fill="FFFFFF"/>
          <w:lang w:val="en-US" w:eastAsia="zh-CN"/>
        </w:rPr>
        <w:t>废包装桶</w:t>
      </w:r>
      <w:r>
        <w:rPr>
          <w:rFonts w:ascii="Times New Roman" w:hAnsi="Times New Roman" w:eastAsia="宋体" w:cs="Times New Roman"/>
          <w:color w:val="auto"/>
          <w:sz w:val="24"/>
          <w:szCs w:val="24"/>
        </w:rPr>
        <w:t>加盖密封</w:t>
      </w:r>
      <w:r>
        <w:rPr>
          <w:rFonts w:hint="eastAsia" w:ascii="Times New Roman" w:hAnsi="Times New Roman" w:eastAsia="宋体" w:cs="Times New Roman"/>
          <w:color w:val="auto"/>
          <w:sz w:val="24"/>
          <w:szCs w:val="24"/>
          <w:lang w:val="en-US" w:eastAsia="zh-CN"/>
        </w:rPr>
        <w:t>散装</w:t>
      </w:r>
      <w:r>
        <w:rPr>
          <w:rFonts w:ascii="Times New Roman" w:hAnsi="Times New Roman" w:eastAsia="宋体" w:cs="Times New Roman"/>
          <w:color w:val="auto"/>
          <w:sz w:val="24"/>
          <w:szCs w:val="24"/>
        </w:rPr>
        <w:t>。包装桶</w:t>
      </w:r>
      <w:r>
        <w:rPr>
          <w:rFonts w:hint="eastAsia" w:ascii="Times New Roman" w:hAnsi="Times New Roman" w:eastAsia="宋体" w:cs="Times New Roman"/>
          <w:color w:val="auto"/>
          <w:sz w:val="24"/>
          <w:szCs w:val="24"/>
          <w:lang w:val="en-US" w:eastAsia="zh-CN"/>
        </w:rPr>
        <w:t>/包装袋</w:t>
      </w:r>
      <w:r>
        <w:rPr>
          <w:rFonts w:ascii="Times New Roman" w:hAnsi="Times New Roman" w:eastAsia="宋体" w:cs="Times New Roman"/>
          <w:color w:val="auto"/>
          <w:sz w:val="24"/>
          <w:szCs w:val="24"/>
        </w:rPr>
        <w:t>在非取用状态时加盖</w:t>
      </w:r>
      <w:r>
        <w:rPr>
          <w:rFonts w:hint="eastAsia" w:ascii="Times New Roman" w:hAnsi="Times New Roman" w:eastAsia="宋体" w:cs="Times New Roman"/>
          <w:color w:val="auto"/>
          <w:sz w:val="24"/>
          <w:szCs w:val="24"/>
          <w:lang w:val="en-US" w:eastAsia="zh-CN"/>
        </w:rPr>
        <w:t>/</w:t>
      </w:r>
      <w:r>
        <w:rPr>
          <w:rFonts w:ascii="Times New Roman" w:hAnsi="Times New Roman" w:eastAsia="宋体" w:cs="Times New Roman"/>
          <w:color w:val="auto"/>
          <w:sz w:val="24"/>
          <w:szCs w:val="24"/>
        </w:rPr>
        <w:t>封口，保持密闭；包装密封好的危险废物均分区暂存于</w:t>
      </w:r>
      <w:r>
        <w:rPr>
          <w:rFonts w:hint="eastAsia" w:ascii="Times New Roman" w:hAnsi="Times New Roman" w:eastAsia="宋体" w:cs="Times New Roman"/>
          <w:color w:val="auto"/>
          <w:sz w:val="24"/>
          <w:szCs w:val="24"/>
          <w:lang w:eastAsia="zh-CN"/>
        </w:rPr>
        <w:t>危废贮存库</w:t>
      </w:r>
      <w:r>
        <w:rPr>
          <w:rFonts w:ascii="Times New Roman" w:hAnsi="Times New Roman" w:eastAsia="宋体" w:cs="Times New Roman"/>
          <w:color w:val="auto"/>
          <w:sz w:val="24"/>
          <w:szCs w:val="24"/>
        </w:rPr>
        <w:t>内；建设单位安排专人负责管理</w:t>
      </w:r>
      <w:r>
        <w:rPr>
          <w:rFonts w:hint="eastAsia" w:ascii="Times New Roman" w:hAnsi="Times New Roman" w:eastAsia="宋体" w:cs="Times New Roman"/>
          <w:color w:val="auto"/>
          <w:sz w:val="24"/>
          <w:szCs w:val="24"/>
          <w:lang w:eastAsia="zh-CN"/>
        </w:rPr>
        <w:t>危废贮存库</w:t>
      </w:r>
      <w:r>
        <w:rPr>
          <w:rFonts w:ascii="Times New Roman" w:hAnsi="Times New Roman" w:eastAsia="宋体" w:cs="Times New Roman"/>
          <w:color w:val="auto"/>
          <w:sz w:val="24"/>
          <w:szCs w:val="24"/>
        </w:rPr>
        <w:t>，采取定期巡检，确保各危险废物的包装桶或包装袋封口严密，无破损泄漏；减少危废暂存周期，及时清运</w:t>
      </w:r>
      <w:r>
        <w:rPr>
          <w:rFonts w:hint="eastAsia" w:ascii="Times New Roman" w:hAnsi="Times New Roman" w:eastAsia="宋体" w:cs="Times New Roman"/>
          <w:color w:val="auto"/>
          <w:sz w:val="24"/>
          <w:szCs w:val="24"/>
          <w:lang w:eastAsia="zh-CN"/>
        </w:rPr>
        <w:t>危废贮存库</w:t>
      </w:r>
      <w:r>
        <w:rPr>
          <w:rFonts w:ascii="Times New Roman" w:hAnsi="Times New Roman" w:eastAsia="宋体" w:cs="Times New Roman"/>
          <w:color w:val="auto"/>
          <w:sz w:val="24"/>
          <w:szCs w:val="24"/>
        </w:rPr>
        <w:t>内暂存的危废。</w:t>
      </w:r>
      <w:r>
        <w:rPr>
          <w:rFonts w:hint="default" w:ascii="Times New Roman" w:hAnsi="Times New Roman" w:eastAsia="宋体" w:cs="Times New Roman"/>
          <w:color w:val="auto"/>
          <w:sz w:val="24"/>
          <w:szCs w:val="24"/>
          <w:lang w:eastAsia="zh-CN"/>
        </w:rPr>
        <w:t>根据《危险废物贮存污染控制标准》(GB18597-2023)中的</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6.2.3</w:t>
      </w:r>
      <w:r>
        <w:rPr>
          <w:rFonts w:hint="default" w:ascii="Times New Roman" w:hAnsi="Times New Roman" w:eastAsia="宋体" w:cs="Times New Roman"/>
          <w:color w:val="auto"/>
          <w:sz w:val="24"/>
          <w:szCs w:val="24"/>
          <w:lang w:eastAsia="zh-CN"/>
        </w:rPr>
        <w:t>贮存易产生粉尘、VOCs、酸雾、有毒有害大气污染物和刺激性气味气体的危险废物贮存库，应设置气体收集装置和气体净化设施。</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本项目采取以上预防措施后正常情况下，危废暂存过程不易产生粉尘、VOCs、酸雾、有毒有害大气污染物和刺激性气味气体，仅在取用状态打开包装桶或包装袋时，挥发出极少量的有机废气，在</w:t>
      </w:r>
      <w:r>
        <w:rPr>
          <w:rFonts w:hint="eastAsia" w:ascii="Times New Roman" w:hAnsi="Times New Roman" w:eastAsia="宋体" w:cs="Times New Roman"/>
          <w:color w:val="auto"/>
          <w:sz w:val="24"/>
          <w:szCs w:val="24"/>
          <w:lang w:val="en-US" w:eastAsia="zh-CN"/>
        </w:rPr>
        <w:t>厂区</w:t>
      </w:r>
      <w:r>
        <w:rPr>
          <w:rFonts w:hint="default" w:ascii="Times New Roman" w:hAnsi="Times New Roman" w:eastAsia="宋体" w:cs="Times New Roman"/>
          <w:color w:val="auto"/>
          <w:sz w:val="24"/>
          <w:szCs w:val="24"/>
          <w:lang w:val="en-US" w:eastAsia="zh-CN"/>
        </w:rPr>
        <w:t>内无组织排放，</w:t>
      </w:r>
      <w:r>
        <w:rPr>
          <w:rFonts w:hint="default" w:ascii="Times New Roman" w:hAnsi="Times New Roman" w:eastAsia="宋体" w:cs="Times New Roman"/>
          <w:color w:val="auto"/>
          <w:sz w:val="24"/>
          <w:szCs w:val="24"/>
        </w:rPr>
        <w:t>本次环评不定量分析</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仅在后期管理中考核达标排放情况。</w:t>
      </w:r>
    </w:p>
    <w:p w14:paraId="1E3054B7">
      <w:pPr>
        <w:bidi w:val="0"/>
        <w:rPr>
          <w:rFonts w:hint="default"/>
          <w:color w:val="auto"/>
          <w:lang w:val="en-US" w:eastAsia="zh-CN"/>
        </w:rPr>
        <w:sectPr>
          <w:headerReference r:id="rId15" w:type="default"/>
          <w:footerReference r:id="rId16" w:type="default"/>
          <w:pgSz w:w="11906" w:h="16838"/>
          <w:pgMar w:top="1134" w:right="1417" w:bottom="1134" w:left="1417" w:header="850"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06FFB46C">
      <w:pPr>
        <w:pStyle w:val="10"/>
        <w:rPr>
          <w:rFonts w:hint="default"/>
          <w:lang w:val="en-US" w:eastAsia="zh-CN"/>
        </w:rPr>
      </w:pPr>
    </w:p>
    <w:p w14:paraId="56503DB3">
      <w:pPr>
        <w:bidi w:val="0"/>
        <w:jc w:val="center"/>
        <w:rPr>
          <w:rFonts w:hint="default" w:ascii="Times New Roman" w:hAnsi="Times New Roman" w:eastAsia="宋体" w:cs="Times New Roman"/>
          <w:b/>
          <w:bCs/>
          <w:snapToGrid w:val="0"/>
          <w:color w:val="auto"/>
          <w:kern w:val="0"/>
          <w:sz w:val="24"/>
          <w:szCs w:val="24"/>
          <w:lang w:val="en-US" w:eastAsia="zh-CN" w:bidi="ar"/>
        </w:rPr>
      </w:pPr>
      <w:r>
        <w:rPr>
          <w:rFonts w:hint="default" w:ascii="Times New Roman" w:hAnsi="Times New Roman" w:eastAsia="宋体" w:cs="Times New Roman"/>
          <w:b/>
          <w:bCs/>
          <w:snapToGrid w:val="0"/>
          <w:color w:val="auto"/>
          <w:kern w:val="0"/>
          <w:sz w:val="24"/>
          <w:szCs w:val="24"/>
          <w:lang w:val="en-US" w:eastAsia="zh-CN" w:bidi="ar"/>
        </w:rPr>
        <w:t>表3</w:t>
      </w:r>
      <w:r>
        <w:rPr>
          <w:rFonts w:hint="eastAsia" w:ascii="Times New Roman" w:hAnsi="Times New Roman" w:eastAsia="宋体" w:cs="Times New Roman"/>
          <w:b/>
          <w:bCs/>
          <w:snapToGrid w:val="0"/>
          <w:color w:val="auto"/>
          <w:kern w:val="0"/>
          <w:sz w:val="24"/>
          <w:szCs w:val="24"/>
          <w:lang w:val="en-US" w:eastAsia="zh-CN" w:bidi="ar"/>
        </w:rPr>
        <w:t>.3</w:t>
      </w:r>
      <w:r>
        <w:rPr>
          <w:rFonts w:hint="default" w:ascii="Times New Roman" w:hAnsi="Times New Roman" w:eastAsia="宋体" w:cs="Times New Roman"/>
          <w:b/>
          <w:bCs/>
          <w:snapToGrid w:val="0"/>
          <w:color w:val="auto"/>
          <w:kern w:val="0"/>
          <w:sz w:val="24"/>
          <w:szCs w:val="24"/>
          <w:lang w:val="en-US" w:eastAsia="zh-CN" w:bidi="ar"/>
        </w:rPr>
        <w:t>-</w:t>
      </w:r>
      <w:r>
        <w:rPr>
          <w:rFonts w:hint="eastAsia" w:ascii="Times New Roman" w:hAnsi="Times New Roman" w:eastAsia="宋体" w:cs="Times New Roman"/>
          <w:b/>
          <w:bCs/>
          <w:snapToGrid w:val="0"/>
          <w:color w:val="auto"/>
          <w:kern w:val="0"/>
          <w:sz w:val="24"/>
          <w:szCs w:val="24"/>
          <w:lang w:val="en-US" w:eastAsia="zh-CN" w:bidi="ar"/>
        </w:rPr>
        <w:t>3</w:t>
      </w:r>
      <w:r>
        <w:rPr>
          <w:rFonts w:hint="default" w:ascii="Times New Roman" w:hAnsi="Times New Roman" w:eastAsia="宋体" w:cs="Times New Roman"/>
          <w:b/>
          <w:bCs/>
          <w:snapToGrid w:val="0"/>
          <w:color w:val="auto"/>
          <w:kern w:val="0"/>
          <w:sz w:val="24"/>
          <w:szCs w:val="24"/>
          <w:lang w:val="en-US" w:eastAsia="zh-CN" w:bidi="ar"/>
        </w:rPr>
        <w:t xml:space="preserve"> 废气污染源源强核算结果及相关参数一览表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4"/>
        <w:gridCol w:w="707"/>
        <w:gridCol w:w="1474"/>
        <w:gridCol w:w="1341"/>
        <w:gridCol w:w="1092"/>
        <w:gridCol w:w="814"/>
        <w:gridCol w:w="1009"/>
        <w:gridCol w:w="1154"/>
        <w:gridCol w:w="1625"/>
        <w:gridCol w:w="864"/>
        <w:gridCol w:w="814"/>
        <w:gridCol w:w="1024"/>
        <w:gridCol w:w="1157"/>
        <w:gridCol w:w="927"/>
      </w:tblGrid>
      <w:tr w14:paraId="62D595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restart"/>
            <w:noWrap w:val="0"/>
            <w:vAlign w:val="center"/>
          </w:tcPr>
          <w:p w14:paraId="15D5A300">
            <w:pPr>
              <w:pStyle w:val="37"/>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生产线</w:t>
            </w:r>
          </w:p>
        </w:tc>
        <w:tc>
          <w:tcPr>
            <w:tcW w:w="239" w:type="pct"/>
            <w:vMerge w:val="restart"/>
            <w:noWrap w:val="0"/>
            <w:vAlign w:val="center"/>
          </w:tcPr>
          <w:p w14:paraId="6CF4D3D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装置</w:t>
            </w:r>
          </w:p>
        </w:tc>
        <w:tc>
          <w:tcPr>
            <w:tcW w:w="498" w:type="pct"/>
            <w:vMerge w:val="restart"/>
            <w:noWrap w:val="0"/>
            <w:vAlign w:val="center"/>
          </w:tcPr>
          <w:p w14:paraId="0B03A17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w:t>
            </w:r>
          </w:p>
        </w:tc>
        <w:tc>
          <w:tcPr>
            <w:tcW w:w="453" w:type="pct"/>
            <w:vMerge w:val="restart"/>
            <w:noWrap w:val="0"/>
            <w:vAlign w:val="center"/>
          </w:tcPr>
          <w:p w14:paraId="42DA4D40">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1375" w:type="pct"/>
            <w:gridSpan w:val="4"/>
            <w:noWrap w:val="0"/>
            <w:vAlign w:val="center"/>
          </w:tcPr>
          <w:p w14:paraId="1432C6C3">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污染物产生</w:t>
            </w:r>
          </w:p>
        </w:tc>
        <w:tc>
          <w:tcPr>
            <w:tcW w:w="841" w:type="pct"/>
            <w:gridSpan w:val="2"/>
            <w:noWrap w:val="0"/>
            <w:vAlign w:val="center"/>
          </w:tcPr>
          <w:p w14:paraId="3BF0C14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治理措施</w:t>
            </w:r>
          </w:p>
        </w:tc>
        <w:tc>
          <w:tcPr>
            <w:tcW w:w="1012" w:type="pct"/>
            <w:gridSpan w:val="3"/>
            <w:noWrap w:val="0"/>
            <w:vAlign w:val="center"/>
          </w:tcPr>
          <w:p w14:paraId="332549D0">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污染物排放</w:t>
            </w:r>
          </w:p>
        </w:tc>
        <w:tc>
          <w:tcPr>
            <w:tcW w:w="313" w:type="pct"/>
            <w:vMerge w:val="restart"/>
            <w:noWrap w:val="0"/>
            <w:vAlign w:val="center"/>
          </w:tcPr>
          <w:p w14:paraId="6CDB598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排放时间</w:t>
            </w:r>
          </w:p>
          <w:p w14:paraId="571DD16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h</w:t>
            </w:r>
          </w:p>
        </w:tc>
      </w:tr>
      <w:tr w14:paraId="120136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66A2CEBE">
            <w:pPr>
              <w:pStyle w:val="37"/>
              <w:bidi w:val="0"/>
              <w:rPr>
                <w:rFonts w:hint="default" w:ascii="Times New Roman" w:hAnsi="Times New Roman" w:cs="Times New Roman"/>
                <w:color w:val="auto"/>
                <w:highlight w:val="none"/>
              </w:rPr>
            </w:pPr>
          </w:p>
        </w:tc>
        <w:tc>
          <w:tcPr>
            <w:tcW w:w="239" w:type="pct"/>
            <w:vMerge w:val="continue"/>
            <w:noWrap w:val="0"/>
            <w:vAlign w:val="center"/>
          </w:tcPr>
          <w:p w14:paraId="5BDDF035">
            <w:pPr>
              <w:pStyle w:val="37"/>
              <w:bidi w:val="0"/>
              <w:rPr>
                <w:rFonts w:hint="default" w:ascii="Times New Roman" w:hAnsi="Times New Roman" w:cs="Times New Roman"/>
                <w:color w:val="auto"/>
                <w:highlight w:val="none"/>
              </w:rPr>
            </w:pPr>
          </w:p>
        </w:tc>
        <w:tc>
          <w:tcPr>
            <w:tcW w:w="498" w:type="pct"/>
            <w:vMerge w:val="continue"/>
            <w:noWrap w:val="0"/>
            <w:vAlign w:val="center"/>
          </w:tcPr>
          <w:p w14:paraId="6E04CFFA">
            <w:pPr>
              <w:pStyle w:val="37"/>
              <w:bidi w:val="0"/>
              <w:rPr>
                <w:rFonts w:hint="default" w:ascii="Times New Roman" w:hAnsi="Times New Roman" w:cs="Times New Roman"/>
                <w:color w:val="auto"/>
                <w:highlight w:val="none"/>
              </w:rPr>
            </w:pPr>
          </w:p>
        </w:tc>
        <w:tc>
          <w:tcPr>
            <w:tcW w:w="453" w:type="pct"/>
            <w:vMerge w:val="continue"/>
            <w:noWrap w:val="0"/>
            <w:vAlign w:val="center"/>
          </w:tcPr>
          <w:p w14:paraId="7AD84780">
            <w:pPr>
              <w:pStyle w:val="37"/>
              <w:bidi w:val="0"/>
              <w:rPr>
                <w:rFonts w:hint="default" w:ascii="Times New Roman" w:hAnsi="Times New Roman" w:cs="Times New Roman"/>
                <w:color w:val="auto"/>
                <w:highlight w:val="none"/>
              </w:rPr>
            </w:pPr>
          </w:p>
        </w:tc>
        <w:tc>
          <w:tcPr>
            <w:tcW w:w="369" w:type="pct"/>
            <w:noWrap w:val="0"/>
            <w:vAlign w:val="center"/>
          </w:tcPr>
          <w:p w14:paraId="1D6EE4A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核算方法</w:t>
            </w:r>
          </w:p>
        </w:tc>
        <w:tc>
          <w:tcPr>
            <w:tcW w:w="275" w:type="pct"/>
            <w:noWrap w:val="0"/>
            <w:vAlign w:val="center"/>
          </w:tcPr>
          <w:p w14:paraId="76F420B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废</w:t>
            </w:r>
            <w:r>
              <w:rPr>
                <w:rFonts w:hint="default" w:ascii="Times New Roman" w:hAnsi="Times New Roman" w:cs="Times New Roman"/>
                <w:color w:val="auto"/>
                <w:highlight w:val="none"/>
              </w:rPr>
              <w:t>气量</w:t>
            </w:r>
          </w:p>
          <w:p w14:paraId="472BB26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/h</w:t>
            </w:r>
          </w:p>
        </w:tc>
        <w:tc>
          <w:tcPr>
            <w:tcW w:w="341" w:type="pct"/>
            <w:noWrap w:val="0"/>
            <w:vAlign w:val="center"/>
          </w:tcPr>
          <w:p w14:paraId="773EA8A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质量浓度</w:t>
            </w:r>
          </w:p>
          <w:p w14:paraId="31D426B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p>
        </w:tc>
        <w:tc>
          <w:tcPr>
            <w:tcW w:w="390" w:type="pct"/>
            <w:noWrap w:val="0"/>
            <w:vAlign w:val="center"/>
          </w:tcPr>
          <w:p w14:paraId="1506900A">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产生量</w:t>
            </w:r>
          </w:p>
          <w:p w14:paraId="29B2BAE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kg/h</w:t>
            </w:r>
          </w:p>
        </w:tc>
        <w:tc>
          <w:tcPr>
            <w:tcW w:w="549" w:type="pct"/>
            <w:noWrap w:val="0"/>
            <w:vAlign w:val="center"/>
          </w:tcPr>
          <w:p w14:paraId="6DB6B278">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工艺</w:t>
            </w:r>
          </w:p>
        </w:tc>
        <w:tc>
          <w:tcPr>
            <w:tcW w:w="292" w:type="pct"/>
            <w:noWrap w:val="0"/>
            <w:vAlign w:val="center"/>
          </w:tcPr>
          <w:p w14:paraId="164F0CD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效率</w:t>
            </w:r>
          </w:p>
          <w:p w14:paraId="40147EB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75" w:type="pct"/>
            <w:shd w:val="clear" w:color="auto" w:fill="auto"/>
            <w:noWrap w:val="0"/>
            <w:vAlign w:val="center"/>
          </w:tcPr>
          <w:p w14:paraId="05C8A98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废</w:t>
            </w:r>
            <w:r>
              <w:rPr>
                <w:rFonts w:hint="default" w:ascii="Times New Roman" w:hAnsi="Times New Roman" w:cs="Times New Roman"/>
                <w:color w:val="auto"/>
                <w:highlight w:val="none"/>
              </w:rPr>
              <w:t>气量</w:t>
            </w:r>
          </w:p>
          <w:p w14:paraId="68A19E49">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/h</w:t>
            </w:r>
          </w:p>
        </w:tc>
        <w:tc>
          <w:tcPr>
            <w:tcW w:w="346" w:type="pct"/>
            <w:shd w:val="clear" w:color="auto" w:fill="auto"/>
            <w:noWrap w:val="0"/>
            <w:vAlign w:val="center"/>
          </w:tcPr>
          <w:p w14:paraId="41925FE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质量浓度</w:t>
            </w:r>
          </w:p>
          <w:p w14:paraId="2EF5459B">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p>
        </w:tc>
        <w:tc>
          <w:tcPr>
            <w:tcW w:w="391" w:type="pct"/>
            <w:shd w:val="clear" w:color="auto" w:fill="auto"/>
            <w:noWrap w:val="0"/>
            <w:vAlign w:val="center"/>
          </w:tcPr>
          <w:p w14:paraId="2422140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排放</w:t>
            </w:r>
            <w:r>
              <w:rPr>
                <w:rFonts w:hint="default" w:ascii="Times New Roman" w:hAnsi="Times New Roman" w:cs="Times New Roman"/>
                <w:color w:val="auto"/>
                <w:highlight w:val="none"/>
              </w:rPr>
              <w:t>量</w:t>
            </w:r>
          </w:p>
          <w:p w14:paraId="00EAF9B1">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rPr>
              <w:t>kg/h</w:t>
            </w:r>
          </w:p>
        </w:tc>
        <w:tc>
          <w:tcPr>
            <w:tcW w:w="313" w:type="pct"/>
            <w:vMerge w:val="continue"/>
            <w:noWrap w:val="0"/>
            <w:vAlign w:val="center"/>
          </w:tcPr>
          <w:p w14:paraId="5EA226BD">
            <w:pPr>
              <w:pStyle w:val="37"/>
              <w:bidi w:val="0"/>
              <w:rPr>
                <w:rFonts w:hint="default" w:ascii="Times New Roman" w:hAnsi="Times New Roman" w:cs="Times New Roman"/>
                <w:color w:val="auto"/>
                <w:highlight w:val="none"/>
              </w:rPr>
            </w:pPr>
          </w:p>
        </w:tc>
      </w:tr>
      <w:tr w14:paraId="3BEDAA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restart"/>
            <w:shd w:val="clear" w:color="auto" w:fill="auto"/>
            <w:noWrap w:val="0"/>
            <w:vAlign w:val="center"/>
          </w:tcPr>
          <w:p w14:paraId="2B547771">
            <w:pPr>
              <w:pStyle w:val="37"/>
              <w:bidi w:val="0"/>
              <w:ind w:firstLine="0" w:firstLineChars="0"/>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注塑</w:t>
            </w:r>
          </w:p>
        </w:tc>
        <w:tc>
          <w:tcPr>
            <w:tcW w:w="239" w:type="pct"/>
            <w:vMerge w:val="restart"/>
            <w:shd w:val="clear" w:color="auto" w:fill="auto"/>
            <w:noWrap w:val="0"/>
            <w:vAlign w:val="center"/>
          </w:tcPr>
          <w:p w14:paraId="598DB472">
            <w:pPr>
              <w:pStyle w:val="37"/>
              <w:bidi w:val="0"/>
              <w:ind w:firstLine="0" w:firstLineChars="0"/>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注塑</w:t>
            </w:r>
          </w:p>
        </w:tc>
        <w:tc>
          <w:tcPr>
            <w:tcW w:w="498" w:type="pct"/>
            <w:vMerge w:val="restart"/>
            <w:shd w:val="clear" w:color="auto" w:fill="auto"/>
            <w:noWrap w:val="0"/>
            <w:vAlign w:val="center"/>
          </w:tcPr>
          <w:p w14:paraId="386303A2">
            <w:pPr>
              <w:pStyle w:val="37"/>
              <w:bidi w:val="0"/>
              <w:ind w:firstLine="0" w:firstLineChars="0"/>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15m高排气筒DA001</w:t>
            </w:r>
          </w:p>
        </w:tc>
        <w:tc>
          <w:tcPr>
            <w:tcW w:w="453" w:type="pct"/>
            <w:noWrap w:val="0"/>
            <w:vAlign w:val="center"/>
          </w:tcPr>
          <w:p w14:paraId="6AFE24D8">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非甲烷总烃</w:t>
            </w:r>
          </w:p>
        </w:tc>
        <w:tc>
          <w:tcPr>
            <w:tcW w:w="369" w:type="pct"/>
            <w:vMerge w:val="restart"/>
            <w:noWrap w:val="0"/>
            <w:vAlign w:val="center"/>
          </w:tcPr>
          <w:p w14:paraId="17E6CDD5">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产污系数法</w:t>
            </w:r>
          </w:p>
        </w:tc>
        <w:tc>
          <w:tcPr>
            <w:tcW w:w="275" w:type="pct"/>
            <w:vMerge w:val="restart"/>
            <w:noWrap w:val="0"/>
            <w:vAlign w:val="center"/>
          </w:tcPr>
          <w:p w14:paraId="2559D8B9">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30000</w:t>
            </w:r>
          </w:p>
        </w:tc>
        <w:tc>
          <w:tcPr>
            <w:tcW w:w="341" w:type="pct"/>
            <w:noWrap w:val="0"/>
            <w:vAlign w:val="center"/>
          </w:tcPr>
          <w:p w14:paraId="593D94E5">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20.69</w:t>
            </w:r>
          </w:p>
        </w:tc>
        <w:tc>
          <w:tcPr>
            <w:tcW w:w="390" w:type="pct"/>
            <w:noWrap w:val="0"/>
            <w:vAlign w:val="center"/>
          </w:tcPr>
          <w:p w14:paraId="39C921FD">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0.621</w:t>
            </w:r>
          </w:p>
        </w:tc>
        <w:tc>
          <w:tcPr>
            <w:tcW w:w="549" w:type="pct"/>
            <w:vMerge w:val="restart"/>
            <w:noWrap w:val="0"/>
            <w:vAlign w:val="center"/>
          </w:tcPr>
          <w:p w14:paraId="68F8B279">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四级活性炭</w:t>
            </w:r>
          </w:p>
        </w:tc>
        <w:tc>
          <w:tcPr>
            <w:tcW w:w="292" w:type="pct"/>
            <w:vMerge w:val="restart"/>
            <w:noWrap w:val="0"/>
            <w:vAlign w:val="center"/>
          </w:tcPr>
          <w:p w14:paraId="20F8BC96">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93.75</w:t>
            </w:r>
          </w:p>
        </w:tc>
        <w:tc>
          <w:tcPr>
            <w:tcW w:w="275" w:type="pct"/>
            <w:vMerge w:val="restart"/>
            <w:shd w:val="clear" w:color="auto" w:fill="auto"/>
            <w:noWrap w:val="0"/>
            <w:vAlign w:val="center"/>
          </w:tcPr>
          <w:p w14:paraId="0EA7CCA7">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30000</w:t>
            </w:r>
          </w:p>
        </w:tc>
        <w:tc>
          <w:tcPr>
            <w:tcW w:w="346" w:type="pct"/>
            <w:shd w:val="clear" w:color="auto" w:fill="auto"/>
            <w:noWrap w:val="0"/>
            <w:vAlign w:val="center"/>
          </w:tcPr>
          <w:p w14:paraId="7FA0EA18">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1.293</w:t>
            </w:r>
          </w:p>
        </w:tc>
        <w:tc>
          <w:tcPr>
            <w:tcW w:w="391" w:type="pct"/>
            <w:shd w:val="clear" w:color="auto" w:fill="auto"/>
            <w:noWrap w:val="0"/>
            <w:vAlign w:val="center"/>
          </w:tcPr>
          <w:p w14:paraId="4CFB2CDC">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0.039</w:t>
            </w:r>
          </w:p>
        </w:tc>
        <w:tc>
          <w:tcPr>
            <w:tcW w:w="313" w:type="pct"/>
            <w:vMerge w:val="restart"/>
            <w:noWrap w:val="0"/>
            <w:vAlign w:val="center"/>
          </w:tcPr>
          <w:p w14:paraId="63EE2F4E">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6960</w:t>
            </w:r>
          </w:p>
        </w:tc>
      </w:tr>
      <w:tr w14:paraId="2C7393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12655038">
            <w:pPr>
              <w:pStyle w:val="37"/>
              <w:bidi w:val="0"/>
              <w:rPr>
                <w:rFonts w:hint="default" w:ascii="Times New Roman" w:hAnsi="Times New Roman" w:cs="Times New Roman"/>
                <w:color w:val="auto"/>
                <w:highlight w:val="none"/>
                <w:lang w:val="en-US" w:eastAsia="zh-CN"/>
              </w:rPr>
            </w:pPr>
          </w:p>
        </w:tc>
        <w:tc>
          <w:tcPr>
            <w:tcW w:w="239" w:type="pct"/>
            <w:vMerge w:val="continue"/>
            <w:noWrap w:val="0"/>
            <w:vAlign w:val="center"/>
          </w:tcPr>
          <w:p w14:paraId="63D1F355">
            <w:pPr>
              <w:pStyle w:val="37"/>
              <w:bidi w:val="0"/>
              <w:rPr>
                <w:rFonts w:hint="default" w:ascii="Times New Roman" w:hAnsi="Times New Roman" w:cs="Times New Roman"/>
                <w:color w:val="auto"/>
                <w:highlight w:val="none"/>
                <w:lang w:val="en-US" w:eastAsia="zh-CN"/>
              </w:rPr>
            </w:pPr>
          </w:p>
        </w:tc>
        <w:tc>
          <w:tcPr>
            <w:tcW w:w="498" w:type="pct"/>
            <w:vMerge w:val="continue"/>
            <w:noWrap w:val="0"/>
            <w:vAlign w:val="center"/>
          </w:tcPr>
          <w:p w14:paraId="1F207257">
            <w:pPr>
              <w:pStyle w:val="37"/>
              <w:bidi w:val="0"/>
              <w:rPr>
                <w:rFonts w:hint="default" w:ascii="Times New Roman" w:hAnsi="Times New Roman" w:cs="Times New Roman"/>
                <w:color w:val="auto"/>
                <w:highlight w:val="none"/>
                <w:lang w:val="en-US" w:eastAsia="zh-CN"/>
              </w:rPr>
            </w:pPr>
          </w:p>
        </w:tc>
        <w:tc>
          <w:tcPr>
            <w:tcW w:w="453" w:type="pct"/>
            <w:shd w:val="clear" w:color="auto" w:fill="auto"/>
            <w:noWrap w:val="0"/>
            <w:vAlign w:val="center"/>
          </w:tcPr>
          <w:p w14:paraId="6985CBC1">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丙烯腈</w:t>
            </w:r>
          </w:p>
        </w:tc>
        <w:tc>
          <w:tcPr>
            <w:tcW w:w="369" w:type="pct"/>
            <w:vMerge w:val="continue"/>
            <w:noWrap w:val="0"/>
            <w:vAlign w:val="center"/>
          </w:tcPr>
          <w:p w14:paraId="38D1E219">
            <w:pPr>
              <w:pStyle w:val="37"/>
              <w:bidi w:val="0"/>
              <w:rPr>
                <w:rFonts w:hint="default" w:ascii="Times New Roman" w:hAnsi="Times New Roman" w:cs="Times New Roman"/>
                <w:color w:val="FF0000"/>
                <w:highlight w:val="none"/>
                <w:lang w:val="en-US" w:eastAsia="zh-CN"/>
              </w:rPr>
            </w:pPr>
          </w:p>
        </w:tc>
        <w:tc>
          <w:tcPr>
            <w:tcW w:w="275" w:type="pct"/>
            <w:vMerge w:val="continue"/>
            <w:noWrap w:val="0"/>
            <w:vAlign w:val="center"/>
          </w:tcPr>
          <w:p w14:paraId="7ECE9538">
            <w:pPr>
              <w:pStyle w:val="37"/>
              <w:bidi w:val="0"/>
              <w:rPr>
                <w:rFonts w:hint="default" w:ascii="Times New Roman" w:hAnsi="Times New Roman" w:cs="Times New Roman"/>
                <w:color w:val="FF0000"/>
                <w:highlight w:val="none"/>
                <w:lang w:val="en-US" w:eastAsia="zh-CN"/>
              </w:rPr>
            </w:pPr>
          </w:p>
        </w:tc>
        <w:tc>
          <w:tcPr>
            <w:tcW w:w="341" w:type="pct"/>
            <w:shd w:val="clear" w:color="auto" w:fill="auto"/>
            <w:noWrap w:val="0"/>
            <w:vAlign w:val="center"/>
          </w:tcPr>
          <w:p w14:paraId="19CB7B21">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0.091</w:t>
            </w:r>
          </w:p>
        </w:tc>
        <w:tc>
          <w:tcPr>
            <w:tcW w:w="390" w:type="pct"/>
            <w:shd w:val="clear" w:color="auto" w:fill="auto"/>
            <w:noWrap w:val="0"/>
            <w:vAlign w:val="center"/>
          </w:tcPr>
          <w:p w14:paraId="754FFB93">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0.0027</w:t>
            </w:r>
          </w:p>
        </w:tc>
        <w:tc>
          <w:tcPr>
            <w:tcW w:w="549" w:type="pct"/>
            <w:vMerge w:val="continue"/>
            <w:noWrap w:val="0"/>
            <w:vAlign w:val="center"/>
          </w:tcPr>
          <w:p w14:paraId="59699240">
            <w:pPr>
              <w:pStyle w:val="37"/>
              <w:bidi w:val="0"/>
              <w:rPr>
                <w:rFonts w:hint="default" w:ascii="Times New Roman" w:hAnsi="Times New Roman" w:cs="Times New Roman"/>
                <w:color w:val="auto"/>
                <w:highlight w:val="none"/>
                <w:lang w:val="en-US" w:eastAsia="zh-CN"/>
              </w:rPr>
            </w:pPr>
          </w:p>
        </w:tc>
        <w:tc>
          <w:tcPr>
            <w:tcW w:w="292" w:type="pct"/>
            <w:vMerge w:val="continue"/>
            <w:noWrap w:val="0"/>
            <w:vAlign w:val="center"/>
          </w:tcPr>
          <w:p w14:paraId="0B1BE1EB">
            <w:pPr>
              <w:pStyle w:val="37"/>
              <w:bidi w:val="0"/>
              <w:rPr>
                <w:rFonts w:hint="default" w:ascii="Times New Roman" w:hAnsi="Times New Roman" w:cs="Times New Roman"/>
                <w:color w:val="auto"/>
                <w:highlight w:val="none"/>
                <w:lang w:val="en-US" w:eastAsia="zh-CN"/>
              </w:rPr>
            </w:pPr>
          </w:p>
        </w:tc>
        <w:tc>
          <w:tcPr>
            <w:tcW w:w="275" w:type="pct"/>
            <w:vMerge w:val="continue"/>
            <w:shd w:val="clear" w:color="auto" w:fill="auto"/>
            <w:noWrap w:val="0"/>
            <w:vAlign w:val="center"/>
          </w:tcPr>
          <w:p w14:paraId="25434914">
            <w:pPr>
              <w:pStyle w:val="37"/>
              <w:bidi w:val="0"/>
              <w:ind w:firstLine="0" w:firstLineChars="0"/>
              <w:rPr>
                <w:rFonts w:hint="default" w:ascii="Times New Roman" w:hAnsi="Times New Roman" w:cs="Times New Roman"/>
                <w:color w:val="auto"/>
                <w:highlight w:val="none"/>
                <w:lang w:val="en-US" w:eastAsia="zh-CN"/>
              </w:rPr>
            </w:pPr>
          </w:p>
        </w:tc>
        <w:tc>
          <w:tcPr>
            <w:tcW w:w="346" w:type="pct"/>
            <w:shd w:val="clear" w:color="auto" w:fill="auto"/>
            <w:noWrap w:val="0"/>
            <w:vAlign w:val="center"/>
          </w:tcPr>
          <w:p w14:paraId="072D1DDE">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0.006</w:t>
            </w:r>
          </w:p>
        </w:tc>
        <w:tc>
          <w:tcPr>
            <w:tcW w:w="391" w:type="pct"/>
            <w:shd w:val="clear" w:color="auto" w:fill="auto"/>
            <w:noWrap w:val="0"/>
            <w:vAlign w:val="center"/>
          </w:tcPr>
          <w:p w14:paraId="759306E8">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0.0002</w:t>
            </w:r>
          </w:p>
        </w:tc>
        <w:tc>
          <w:tcPr>
            <w:tcW w:w="313" w:type="pct"/>
            <w:vMerge w:val="continue"/>
            <w:noWrap w:val="0"/>
            <w:vAlign w:val="center"/>
          </w:tcPr>
          <w:p w14:paraId="7B97D155">
            <w:pPr>
              <w:pStyle w:val="37"/>
              <w:bidi w:val="0"/>
              <w:rPr>
                <w:rFonts w:hint="default" w:ascii="Times New Roman" w:hAnsi="Times New Roman" w:cs="Times New Roman"/>
                <w:color w:val="FF0000"/>
                <w:highlight w:val="none"/>
                <w:lang w:val="en-US" w:eastAsia="zh-CN"/>
              </w:rPr>
            </w:pPr>
          </w:p>
        </w:tc>
      </w:tr>
      <w:tr w14:paraId="697826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3C2254F9">
            <w:pPr>
              <w:pStyle w:val="37"/>
              <w:bidi w:val="0"/>
              <w:rPr>
                <w:rFonts w:hint="default" w:ascii="Times New Roman" w:hAnsi="Times New Roman" w:cs="Times New Roman"/>
                <w:color w:val="auto"/>
                <w:highlight w:val="none"/>
                <w:lang w:val="en-US" w:eastAsia="zh-CN"/>
              </w:rPr>
            </w:pPr>
          </w:p>
        </w:tc>
        <w:tc>
          <w:tcPr>
            <w:tcW w:w="239" w:type="pct"/>
            <w:vMerge w:val="continue"/>
            <w:noWrap w:val="0"/>
            <w:vAlign w:val="center"/>
          </w:tcPr>
          <w:p w14:paraId="7A40C7E9">
            <w:pPr>
              <w:pStyle w:val="37"/>
              <w:bidi w:val="0"/>
              <w:rPr>
                <w:rFonts w:hint="default" w:ascii="Times New Roman" w:hAnsi="Times New Roman" w:cs="Times New Roman"/>
                <w:color w:val="auto"/>
                <w:highlight w:val="none"/>
                <w:lang w:val="en-US" w:eastAsia="zh-CN"/>
              </w:rPr>
            </w:pPr>
          </w:p>
        </w:tc>
        <w:tc>
          <w:tcPr>
            <w:tcW w:w="498" w:type="pct"/>
            <w:vMerge w:val="continue"/>
            <w:noWrap w:val="0"/>
            <w:vAlign w:val="center"/>
          </w:tcPr>
          <w:p w14:paraId="0BC6BCB1">
            <w:pPr>
              <w:pStyle w:val="37"/>
              <w:bidi w:val="0"/>
              <w:rPr>
                <w:rFonts w:hint="default" w:ascii="Times New Roman" w:hAnsi="Times New Roman" w:cs="Times New Roman"/>
                <w:color w:val="auto"/>
                <w:highlight w:val="none"/>
                <w:lang w:val="en-US" w:eastAsia="zh-CN"/>
              </w:rPr>
            </w:pPr>
          </w:p>
        </w:tc>
        <w:tc>
          <w:tcPr>
            <w:tcW w:w="453" w:type="pct"/>
            <w:shd w:val="clear" w:color="auto" w:fill="auto"/>
            <w:noWrap w:val="0"/>
            <w:vAlign w:val="center"/>
          </w:tcPr>
          <w:p w14:paraId="1775D3A4">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乙苯</w:t>
            </w:r>
          </w:p>
        </w:tc>
        <w:tc>
          <w:tcPr>
            <w:tcW w:w="369" w:type="pct"/>
            <w:vMerge w:val="continue"/>
            <w:noWrap w:val="0"/>
            <w:vAlign w:val="center"/>
          </w:tcPr>
          <w:p w14:paraId="01B84377">
            <w:pPr>
              <w:pStyle w:val="37"/>
              <w:bidi w:val="0"/>
              <w:rPr>
                <w:rFonts w:hint="default" w:ascii="Times New Roman" w:hAnsi="Times New Roman" w:cs="Times New Roman"/>
                <w:color w:val="auto"/>
                <w:highlight w:val="none"/>
                <w:lang w:val="en-US" w:eastAsia="zh-CN"/>
              </w:rPr>
            </w:pPr>
          </w:p>
        </w:tc>
        <w:tc>
          <w:tcPr>
            <w:tcW w:w="275" w:type="pct"/>
            <w:vMerge w:val="continue"/>
            <w:noWrap w:val="0"/>
            <w:vAlign w:val="center"/>
          </w:tcPr>
          <w:p w14:paraId="6C09F9EB">
            <w:pPr>
              <w:pStyle w:val="37"/>
              <w:bidi w:val="0"/>
              <w:rPr>
                <w:rFonts w:hint="default" w:ascii="Times New Roman" w:hAnsi="Times New Roman" w:cs="Times New Roman"/>
                <w:color w:val="auto"/>
                <w:highlight w:val="none"/>
                <w:lang w:val="en-US" w:eastAsia="zh-CN"/>
              </w:rPr>
            </w:pPr>
          </w:p>
        </w:tc>
        <w:tc>
          <w:tcPr>
            <w:tcW w:w="341" w:type="pct"/>
            <w:shd w:val="clear" w:color="auto" w:fill="auto"/>
            <w:noWrap w:val="0"/>
            <w:vAlign w:val="center"/>
          </w:tcPr>
          <w:p w14:paraId="5F4DEA4B">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0.134</w:t>
            </w:r>
          </w:p>
        </w:tc>
        <w:tc>
          <w:tcPr>
            <w:tcW w:w="390" w:type="pct"/>
            <w:shd w:val="clear" w:color="auto" w:fill="auto"/>
            <w:noWrap w:val="0"/>
            <w:vAlign w:val="center"/>
          </w:tcPr>
          <w:p w14:paraId="33D05D15">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0.0002</w:t>
            </w:r>
          </w:p>
        </w:tc>
        <w:tc>
          <w:tcPr>
            <w:tcW w:w="549" w:type="pct"/>
            <w:vMerge w:val="continue"/>
            <w:noWrap w:val="0"/>
            <w:vAlign w:val="center"/>
          </w:tcPr>
          <w:p w14:paraId="325E50D1">
            <w:pPr>
              <w:pStyle w:val="37"/>
              <w:bidi w:val="0"/>
              <w:rPr>
                <w:rFonts w:hint="default" w:ascii="Times New Roman" w:hAnsi="Times New Roman" w:cs="Times New Roman"/>
                <w:color w:val="auto"/>
                <w:highlight w:val="none"/>
                <w:lang w:val="en-US" w:eastAsia="zh-CN"/>
              </w:rPr>
            </w:pPr>
          </w:p>
        </w:tc>
        <w:tc>
          <w:tcPr>
            <w:tcW w:w="292" w:type="pct"/>
            <w:vMerge w:val="continue"/>
            <w:noWrap w:val="0"/>
            <w:vAlign w:val="center"/>
          </w:tcPr>
          <w:p w14:paraId="6FCAAD1C">
            <w:pPr>
              <w:pStyle w:val="37"/>
              <w:bidi w:val="0"/>
              <w:rPr>
                <w:rFonts w:hint="default" w:ascii="Times New Roman" w:hAnsi="Times New Roman" w:cs="Times New Roman"/>
                <w:color w:val="auto"/>
                <w:highlight w:val="none"/>
                <w:lang w:val="en-US" w:eastAsia="zh-CN"/>
              </w:rPr>
            </w:pPr>
          </w:p>
        </w:tc>
        <w:tc>
          <w:tcPr>
            <w:tcW w:w="275" w:type="pct"/>
            <w:vMerge w:val="continue"/>
            <w:shd w:val="clear" w:color="auto" w:fill="auto"/>
            <w:noWrap w:val="0"/>
            <w:vAlign w:val="center"/>
          </w:tcPr>
          <w:p w14:paraId="0089AEE9">
            <w:pPr>
              <w:pStyle w:val="37"/>
              <w:bidi w:val="0"/>
              <w:ind w:firstLine="0" w:firstLineChars="0"/>
              <w:rPr>
                <w:rFonts w:hint="default" w:ascii="Times New Roman" w:hAnsi="Times New Roman" w:cs="Times New Roman"/>
                <w:color w:val="auto"/>
                <w:highlight w:val="none"/>
                <w:lang w:val="en-US" w:eastAsia="zh-CN"/>
              </w:rPr>
            </w:pPr>
          </w:p>
        </w:tc>
        <w:tc>
          <w:tcPr>
            <w:tcW w:w="346" w:type="pct"/>
            <w:shd w:val="clear" w:color="auto" w:fill="auto"/>
            <w:noWrap w:val="0"/>
            <w:vAlign w:val="center"/>
          </w:tcPr>
          <w:p w14:paraId="010C91D2">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0.008</w:t>
            </w:r>
          </w:p>
        </w:tc>
        <w:tc>
          <w:tcPr>
            <w:tcW w:w="391" w:type="pct"/>
            <w:shd w:val="clear" w:color="auto" w:fill="auto"/>
            <w:noWrap w:val="0"/>
            <w:vAlign w:val="center"/>
          </w:tcPr>
          <w:p w14:paraId="7C761B38">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0.0002</w:t>
            </w:r>
          </w:p>
        </w:tc>
        <w:tc>
          <w:tcPr>
            <w:tcW w:w="313" w:type="pct"/>
            <w:vMerge w:val="continue"/>
            <w:noWrap w:val="0"/>
            <w:vAlign w:val="center"/>
          </w:tcPr>
          <w:p w14:paraId="136B0600">
            <w:pPr>
              <w:pStyle w:val="37"/>
              <w:bidi w:val="0"/>
              <w:rPr>
                <w:rFonts w:hint="default" w:ascii="Times New Roman" w:hAnsi="Times New Roman" w:cs="Times New Roman"/>
                <w:color w:val="FF0000"/>
                <w:highlight w:val="none"/>
                <w:lang w:val="en-US" w:eastAsia="zh-CN"/>
              </w:rPr>
            </w:pPr>
          </w:p>
        </w:tc>
      </w:tr>
      <w:tr w14:paraId="1259FF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71107BA7">
            <w:pPr>
              <w:pStyle w:val="37"/>
              <w:bidi w:val="0"/>
              <w:rPr>
                <w:rFonts w:hint="default" w:ascii="Times New Roman" w:hAnsi="Times New Roman" w:cs="Times New Roman"/>
                <w:color w:val="auto"/>
                <w:highlight w:val="none"/>
                <w:lang w:val="en-US" w:eastAsia="zh-CN"/>
              </w:rPr>
            </w:pPr>
          </w:p>
        </w:tc>
        <w:tc>
          <w:tcPr>
            <w:tcW w:w="239" w:type="pct"/>
            <w:vMerge w:val="continue"/>
            <w:noWrap w:val="0"/>
            <w:vAlign w:val="center"/>
          </w:tcPr>
          <w:p w14:paraId="5E2CF6E2">
            <w:pPr>
              <w:pStyle w:val="37"/>
              <w:bidi w:val="0"/>
              <w:rPr>
                <w:rFonts w:hint="default" w:ascii="Times New Roman" w:hAnsi="Times New Roman" w:cs="Times New Roman"/>
                <w:color w:val="auto"/>
                <w:highlight w:val="none"/>
                <w:lang w:val="en-US" w:eastAsia="zh-CN"/>
              </w:rPr>
            </w:pPr>
          </w:p>
        </w:tc>
        <w:tc>
          <w:tcPr>
            <w:tcW w:w="498" w:type="pct"/>
            <w:vMerge w:val="continue"/>
            <w:noWrap w:val="0"/>
            <w:vAlign w:val="center"/>
          </w:tcPr>
          <w:p w14:paraId="312F2DF4">
            <w:pPr>
              <w:pStyle w:val="37"/>
              <w:bidi w:val="0"/>
              <w:rPr>
                <w:rFonts w:hint="default" w:ascii="Times New Roman" w:hAnsi="Times New Roman" w:cs="Times New Roman"/>
                <w:color w:val="auto"/>
                <w:highlight w:val="none"/>
                <w:lang w:val="en-US" w:eastAsia="zh-CN"/>
              </w:rPr>
            </w:pPr>
          </w:p>
        </w:tc>
        <w:tc>
          <w:tcPr>
            <w:tcW w:w="453" w:type="pct"/>
            <w:shd w:val="clear" w:color="auto" w:fill="auto"/>
            <w:noWrap w:val="0"/>
            <w:vAlign w:val="center"/>
          </w:tcPr>
          <w:p w14:paraId="06F8CE2F">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甲苯</w:t>
            </w:r>
          </w:p>
        </w:tc>
        <w:tc>
          <w:tcPr>
            <w:tcW w:w="369" w:type="pct"/>
            <w:vMerge w:val="continue"/>
            <w:noWrap w:val="0"/>
            <w:vAlign w:val="center"/>
          </w:tcPr>
          <w:p w14:paraId="51CDC2AF">
            <w:pPr>
              <w:pStyle w:val="37"/>
              <w:bidi w:val="0"/>
              <w:rPr>
                <w:rFonts w:hint="default" w:ascii="Times New Roman" w:hAnsi="Times New Roman" w:cs="Times New Roman"/>
                <w:color w:val="FF0000"/>
                <w:highlight w:val="none"/>
                <w:lang w:val="en-US" w:eastAsia="zh-CN"/>
              </w:rPr>
            </w:pPr>
          </w:p>
        </w:tc>
        <w:tc>
          <w:tcPr>
            <w:tcW w:w="275" w:type="pct"/>
            <w:vMerge w:val="continue"/>
            <w:noWrap w:val="0"/>
            <w:vAlign w:val="center"/>
          </w:tcPr>
          <w:p w14:paraId="23C23F11">
            <w:pPr>
              <w:pStyle w:val="37"/>
              <w:bidi w:val="0"/>
              <w:rPr>
                <w:rFonts w:hint="default" w:ascii="Times New Roman" w:hAnsi="Times New Roman" w:cs="Times New Roman"/>
                <w:color w:val="FF0000"/>
                <w:highlight w:val="none"/>
                <w:lang w:val="en-US" w:eastAsia="zh-CN"/>
              </w:rPr>
            </w:pPr>
          </w:p>
        </w:tc>
        <w:tc>
          <w:tcPr>
            <w:tcW w:w="341" w:type="pct"/>
            <w:shd w:val="clear" w:color="auto" w:fill="auto"/>
            <w:noWrap w:val="0"/>
            <w:vAlign w:val="center"/>
          </w:tcPr>
          <w:p w14:paraId="0DAEE24E">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0.287</w:t>
            </w:r>
          </w:p>
        </w:tc>
        <w:tc>
          <w:tcPr>
            <w:tcW w:w="390" w:type="pct"/>
            <w:shd w:val="clear" w:color="auto" w:fill="auto"/>
            <w:noWrap w:val="0"/>
            <w:vAlign w:val="center"/>
          </w:tcPr>
          <w:p w14:paraId="7951CB3E">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0.008</w:t>
            </w:r>
          </w:p>
        </w:tc>
        <w:tc>
          <w:tcPr>
            <w:tcW w:w="549" w:type="pct"/>
            <w:vMerge w:val="continue"/>
            <w:noWrap w:val="0"/>
            <w:vAlign w:val="center"/>
          </w:tcPr>
          <w:p w14:paraId="551A2D3A">
            <w:pPr>
              <w:pStyle w:val="37"/>
              <w:bidi w:val="0"/>
              <w:rPr>
                <w:rFonts w:hint="default" w:ascii="Times New Roman" w:hAnsi="Times New Roman" w:cs="Times New Roman"/>
                <w:color w:val="auto"/>
                <w:highlight w:val="none"/>
                <w:lang w:val="en-US" w:eastAsia="zh-CN"/>
              </w:rPr>
            </w:pPr>
          </w:p>
        </w:tc>
        <w:tc>
          <w:tcPr>
            <w:tcW w:w="292" w:type="pct"/>
            <w:vMerge w:val="continue"/>
            <w:noWrap w:val="0"/>
            <w:vAlign w:val="center"/>
          </w:tcPr>
          <w:p w14:paraId="7979FF72">
            <w:pPr>
              <w:pStyle w:val="37"/>
              <w:bidi w:val="0"/>
              <w:rPr>
                <w:rFonts w:hint="default" w:ascii="Times New Roman" w:hAnsi="Times New Roman" w:cs="Times New Roman"/>
                <w:color w:val="auto"/>
                <w:highlight w:val="none"/>
                <w:lang w:val="en-US" w:eastAsia="zh-CN"/>
              </w:rPr>
            </w:pPr>
          </w:p>
        </w:tc>
        <w:tc>
          <w:tcPr>
            <w:tcW w:w="275" w:type="pct"/>
            <w:vMerge w:val="continue"/>
            <w:shd w:val="clear" w:color="auto" w:fill="auto"/>
            <w:noWrap w:val="0"/>
            <w:vAlign w:val="center"/>
          </w:tcPr>
          <w:p w14:paraId="64281394">
            <w:pPr>
              <w:pStyle w:val="37"/>
              <w:bidi w:val="0"/>
              <w:ind w:firstLine="0" w:firstLineChars="0"/>
              <w:rPr>
                <w:rFonts w:hint="default" w:ascii="Times New Roman" w:hAnsi="Times New Roman" w:cs="Times New Roman"/>
                <w:color w:val="auto"/>
                <w:highlight w:val="none"/>
                <w:lang w:val="en-US" w:eastAsia="zh-CN"/>
              </w:rPr>
            </w:pPr>
          </w:p>
        </w:tc>
        <w:tc>
          <w:tcPr>
            <w:tcW w:w="346" w:type="pct"/>
            <w:shd w:val="clear" w:color="auto" w:fill="auto"/>
            <w:noWrap w:val="0"/>
            <w:vAlign w:val="center"/>
          </w:tcPr>
          <w:p w14:paraId="1DC3A5C6">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0.018</w:t>
            </w:r>
          </w:p>
        </w:tc>
        <w:tc>
          <w:tcPr>
            <w:tcW w:w="391" w:type="pct"/>
            <w:shd w:val="clear" w:color="auto" w:fill="auto"/>
            <w:noWrap w:val="0"/>
            <w:vAlign w:val="center"/>
          </w:tcPr>
          <w:p w14:paraId="1ACE61AA">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0.0005</w:t>
            </w:r>
          </w:p>
        </w:tc>
        <w:tc>
          <w:tcPr>
            <w:tcW w:w="313" w:type="pct"/>
            <w:vMerge w:val="continue"/>
            <w:noWrap w:val="0"/>
            <w:vAlign w:val="center"/>
          </w:tcPr>
          <w:p w14:paraId="2BBE8482">
            <w:pPr>
              <w:pStyle w:val="37"/>
              <w:bidi w:val="0"/>
              <w:rPr>
                <w:rFonts w:hint="default" w:ascii="Times New Roman" w:hAnsi="Times New Roman" w:cs="Times New Roman"/>
                <w:color w:val="FF0000"/>
                <w:highlight w:val="none"/>
                <w:lang w:val="en-US" w:eastAsia="zh-CN"/>
              </w:rPr>
            </w:pPr>
          </w:p>
        </w:tc>
      </w:tr>
      <w:tr w14:paraId="0B3FFF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39811E31">
            <w:pPr>
              <w:pStyle w:val="37"/>
              <w:bidi w:val="0"/>
              <w:rPr>
                <w:rFonts w:hint="default" w:ascii="Times New Roman" w:hAnsi="Times New Roman" w:cs="Times New Roman"/>
                <w:color w:val="auto"/>
                <w:highlight w:val="none"/>
                <w:lang w:val="en-US" w:eastAsia="zh-CN"/>
              </w:rPr>
            </w:pPr>
          </w:p>
        </w:tc>
        <w:tc>
          <w:tcPr>
            <w:tcW w:w="239" w:type="pct"/>
            <w:vMerge w:val="continue"/>
            <w:noWrap w:val="0"/>
            <w:vAlign w:val="center"/>
          </w:tcPr>
          <w:p w14:paraId="79FEC2B4">
            <w:pPr>
              <w:pStyle w:val="37"/>
              <w:bidi w:val="0"/>
              <w:rPr>
                <w:rFonts w:hint="default" w:ascii="Times New Roman" w:hAnsi="Times New Roman" w:cs="Times New Roman"/>
                <w:color w:val="auto"/>
                <w:highlight w:val="none"/>
                <w:lang w:val="en-US" w:eastAsia="zh-CN"/>
              </w:rPr>
            </w:pPr>
          </w:p>
        </w:tc>
        <w:tc>
          <w:tcPr>
            <w:tcW w:w="498" w:type="pct"/>
            <w:vMerge w:val="continue"/>
            <w:noWrap w:val="0"/>
            <w:vAlign w:val="center"/>
          </w:tcPr>
          <w:p w14:paraId="29312C96">
            <w:pPr>
              <w:pStyle w:val="37"/>
              <w:bidi w:val="0"/>
              <w:rPr>
                <w:rFonts w:hint="default" w:ascii="Times New Roman" w:hAnsi="Times New Roman" w:cs="Times New Roman"/>
                <w:color w:val="auto"/>
                <w:highlight w:val="none"/>
                <w:lang w:val="en-US" w:eastAsia="zh-CN"/>
              </w:rPr>
            </w:pPr>
          </w:p>
        </w:tc>
        <w:tc>
          <w:tcPr>
            <w:tcW w:w="453" w:type="pct"/>
            <w:shd w:val="clear" w:color="auto" w:fill="auto"/>
            <w:noWrap w:val="0"/>
            <w:vAlign w:val="center"/>
          </w:tcPr>
          <w:p w14:paraId="3D781BFA">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1,3-丁二烯</w:t>
            </w:r>
          </w:p>
        </w:tc>
        <w:tc>
          <w:tcPr>
            <w:tcW w:w="369" w:type="pct"/>
            <w:vMerge w:val="continue"/>
            <w:noWrap w:val="0"/>
            <w:vAlign w:val="center"/>
          </w:tcPr>
          <w:p w14:paraId="1178BD2A">
            <w:pPr>
              <w:pStyle w:val="37"/>
              <w:bidi w:val="0"/>
              <w:rPr>
                <w:rFonts w:hint="default" w:ascii="Times New Roman" w:hAnsi="Times New Roman" w:cs="Times New Roman"/>
                <w:color w:val="FF0000"/>
                <w:highlight w:val="none"/>
                <w:lang w:val="en-US" w:eastAsia="zh-CN"/>
              </w:rPr>
            </w:pPr>
          </w:p>
        </w:tc>
        <w:tc>
          <w:tcPr>
            <w:tcW w:w="275" w:type="pct"/>
            <w:vMerge w:val="continue"/>
            <w:noWrap w:val="0"/>
            <w:vAlign w:val="center"/>
          </w:tcPr>
          <w:p w14:paraId="594E61AB">
            <w:pPr>
              <w:pStyle w:val="37"/>
              <w:bidi w:val="0"/>
              <w:rPr>
                <w:rFonts w:hint="default" w:ascii="Times New Roman" w:hAnsi="Times New Roman" w:cs="Times New Roman"/>
                <w:color w:val="FF0000"/>
                <w:highlight w:val="none"/>
                <w:lang w:val="en-US" w:eastAsia="zh-CN"/>
              </w:rPr>
            </w:pPr>
          </w:p>
        </w:tc>
        <w:tc>
          <w:tcPr>
            <w:tcW w:w="341" w:type="pct"/>
            <w:shd w:val="clear" w:color="auto" w:fill="auto"/>
            <w:noWrap w:val="0"/>
            <w:vAlign w:val="center"/>
          </w:tcPr>
          <w:p w14:paraId="7BCD3469">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0.038</w:t>
            </w:r>
          </w:p>
        </w:tc>
        <w:tc>
          <w:tcPr>
            <w:tcW w:w="390" w:type="pct"/>
            <w:shd w:val="clear" w:color="auto" w:fill="auto"/>
            <w:noWrap w:val="0"/>
            <w:vAlign w:val="center"/>
          </w:tcPr>
          <w:p w14:paraId="7093275B">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0.0009</w:t>
            </w:r>
          </w:p>
        </w:tc>
        <w:tc>
          <w:tcPr>
            <w:tcW w:w="549" w:type="pct"/>
            <w:vMerge w:val="continue"/>
            <w:noWrap w:val="0"/>
            <w:vAlign w:val="center"/>
          </w:tcPr>
          <w:p w14:paraId="69DDB7B3">
            <w:pPr>
              <w:pStyle w:val="37"/>
              <w:bidi w:val="0"/>
              <w:rPr>
                <w:rFonts w:hint="default" w:ascii="Times New Roman" w:hAnsi="Times New Roman" w:cs="Times New Roman"/>
                <w:color w:val="FF0000"/>
                <w:highlight w:val="none"/>
                <w:lang w:val="en-US" w:eastAsia="zh-CN"/>
              </w:rPr>
            </w:pPr>
          </w:p>
        </w:tc>
        <w:tc>
          <w:tcPr>
            <w:tcW w:w="292" w:type="pct"/>
            <w:vMerge w:val="continue"/>
            <w:noWrap w:val="0"/>
            <w:vAlign w:val="center"/>
          </w:tcPr>
          <w:p w14:paraId="746EA52E">
            <w:pPr>
              <w:pStyle w:val="37"/>
              <w:bidi w:val="0"/>
              <w:rPr>
                <w:rFonts w:hint="default" w:ascii="Times New Roman" w:hAnsi="Times New Roman" w:cs="Times New Roman"/>
                <w:color w:val="FF0000"/>
                <w:highlight w:val="none"/>
                <w:lang w:val="en-US" w:eastAsia="zh-CN"/>
              </w:rPr>
            </w:pPr>
          </w:p>
        </w:tc>
        <w:tc>
          <w:tcPr>
            <w:tcW w:w="275" w:type="pct"/>
            <w:vMerge w:val="continue"/>
            <w:shd w:val="clear" w:color="auto" w:fill="auto"/>
            <w:noWrap w:val="0"/>
            <w:vAlign w:val="center"/>
          </w:tcPr>
          <w:p w14:paraId="06E1D0E0">
            <w:pPr>
              <w:pStyle w:val="37"/>
              <w:bidi w:val="0"/>
              <w:ind w:firstLine="0" w:firstLineChars="0"/>
              <w:rPr>
                <w:rFonts w:hint="default" w:ascii="Times New Roman" w:hAnsi="Times New Roman" w:cs="Times New Roman"/>
                <w:color w:val="FF0000"/>
                <w:highlight w:val="none"/>
                <w:lang w:val="en-US" w:eastAsia="zh-CN"/>
              </w:rPr>
            </w:pPr>
          </w:p>
        </w:tc>
        <w:tc>
          <w:tcPr>
            <w:tcW w:w="346" w:type="pct"/>
            <w:shd w:val="clear" w:color="auto" w:fill="auto"/>
            <w:noWrap w:val="0"/>
            <w:vAlign w:val="center"/>
          </w:tcPr>
          <w:p w14:paraId="5B1496F6">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0.002</w:t>
            </w:r>
          </w:p>
        </w:tc>
        <w:tc>
          <w:tcPr>
            <w:tcW w:w="391" w:type="pct"/>
            <w:shd w:val="clear" w:color="auto" w:fill="auto"/>
            <w:noWrap w:val="0"/>
            <w:vAlign w:val="center"/>
          </w:tcPr>
          <w:p w14:paraId="067EE04C">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0.0001</w:t>
            </w:r>
          </w:p>
        </w:tc>
        <w:tc>
          <w:tcPr>
            <w:tcW w:w="313" w:type="pct"/>
            <w:vMerge w:val="continue"/>
            <w:noWrap w:val="0"/>
            <w:vAlign w:val="center"/>
          </w:tcPr>
          <w:p w14:paraId="391A65C2">
            <w:pPr>
              <w:pStyle w:val="37"/>
              <w:bidi w:val="0"/>
              <w:rPr>
                <w:rFonts w:hint="default" w:ascii="Times New Roman" w:hAnsi="Times New Roman" w:cs="Times New Roman"/>
                <w:color w:val="FF0000"/>
                <w:highlight w:val="none"/>
                <w:lang w:val="en-US" w:eastAsia="zh-CN"/>
              </w:rPr>
            </w:pPr>
          </w:p>
        </w:tc>
      </w:tr>
      <w:tr w14:paraId="7278C9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62054570">
            <w:pPr>
              <w:pStyle w:val="37"/>
              <w:bidi w:val="0"/>
              <w:rPr>
                <w:rFonts w:hint="default" w:ascii="Times New Roman" w:hAnsi="Times New Roman" w:cs="Times New Roman"/>
                <w:color w:val="auto"/>
                <w:highlight w:val="none"/>
                <w:lang w:val="en-US" w:eastAsia="zh-CN"/>
              </w:rPr>
            </w:pPr>
          </w:p>
        </w:tc>
        <w:tc>
          <w:tcPr>
            <w:tcW w:w="239" w:type="pct"/>
            <w:vMerge w:val="continue"/>
            <w:noWrap w:val="0"/>
            <w:vAlign w:val="center"/>
          </w:tcPr>
          <w:p w14:paraId="01C04F04">
            <w:pPr>
              <w:pStyle w:val="37"/>
              <w:bidi w:val="0"/>
              <w:rPr>
                <w:rFonts w:hint="default" w:ascii="Times New Roman" w:hAnsi="Times New Roman" w:cs="Times New Roman"/>
                <w:color w:val="auto"/>
                <w:highlight w:val="none"/>
                <w:lang w:val="en-US" w:eastAsia="zh-CN"/>
              </w:rPr>
            </w:pPr>
          </w:p>
        </w:tc>
        <w:tc>
          <w:tcPr>
            <w:tcW w:w="498" w:type="pct"/>
            <w:vMerge w:val="continue"/>
            <w:noWrap w:val="0"/>
            <w:vAlign w:val="center"/>
          </w:tcPr>
          <w:p w14:paraId="4EDC3428">
            <w:pPr>
              <w:pStyle w:val="37"/>
              <w:bidi w:val="0"/>
              <w:rPr>
                <w:rFonts w:hint="default" w:ascii="Times New Roman" w:hAnsi="Times New Roman" w:cs="Times New Roman"/>
                <w:color w:val="auto"/>
                <w:highlight w:val="none"/>
                <w:lang w:val="en-US" w:eastAsia="zh-CN"/>
              </w:rPr>
            </w:pPr>
          </w:p>
        </w:tc>
        <w:tc>
          <w:tcPr>
            <w:tcW w:w="453" w:type="pct"/>
            <w:shd w:val="clear" w:color="auto" w:fill="auto"/>
            <w:noWrap w:val="0"/>
            <w:vAlign w:val="center"/>
          </w:tcPr>
          <w:p w14:paraId="05D0C681">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酚类</w:t>
            </w:r>
          </w:p>
        </w:tc>
        <w:tc>
          <w:tcPr>
            <w:tcW w:w="369" w:type="pct"/>
            <w:vMerge w:val="continue"/>
            <w:noWrap w:val="0"/>
            <w:vAlign w:val="center"/>
          </w:tcPr>
          <w:p w14:paraId="6D0F26AE">
            <w:pPr>
              <w:pStyle w:val="37"/>
              <w:bidi w:val="0"/>
              <w:rPr>
                <w:rFonts w:hint="default" w:ascii="Times New Roman" w:hAnsi="Times New Roman" w:cs="Times New Roman"/>
                <w:color w:val="FF0000"/>
                <w:highlight w:val="none"/>
                <w:lang w:val="en-US" w:eastAsia="zh-CN"/>
              </w:rPr>
            </w:pPr>
          </w:p>
        </w:tc>
        <w:tc>
          <w:tcPr>
            <w:tcW w:w="275" w:type="pct"/>
            <w:vMerge w:val="continue"/>
            <w:noWrap w:val="0"/>
            <w:vAlign w:val="center"/>
          </w:tcPr>
          <w:p w14:paraId="4FC1D04D">
            <w:pPr>
              <w:pStyle w:val="37"/>
              <w:bidi w:val="0"/>
              <w:rPr>
                <w:rFonts w:hint="default" w:ascii="Times New Roman" w:hAnsi="Times New Roman" w:cs="Times New Roman"/>
                <w:color w:val="FF0000"/>
                <w:highlight w:val="none"/>
                <w:lang w:val="en-US" w:eastAsia="zh-CN"/>
              </w:rPr>
            </w:pPr>
          </w:p>
        </w:tc>
        <w:tc>
          <w:tcPr>
            <w:tcW w:w="341" w:type="pct"/>
            <w:shd w:val="clear" w:color="auto" w:fill="auto"/>
            <w:noWrap w:val="0"/>
            <w:vAlign w:val="center"/>
          </w:tcPr>
          <w:p w14:paraId="6352B863">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0.556</w:t>
            </w:r>
          </w:p>
        </w:tc>
        <w:tc>
          <w:tcPr>
            <w:tcW w:w="390" w:type="pct"/>
            <w:shd w:val="clear" w:color="auto" w:fill="auto"/>
            <w:noWrap w:val="0"/>
            <w:vAlign w:val="center"/>
          </w:tcPr>
          <w:p w14:paraId="473F7113">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0.0171</w:t>
            </w:r>
          </w:p>
        </w:tc>
        <w:tc>
          <w:tcPr>
            <w:tcW w:w="549" w:type="pct"/>
            <w:vMerge w:val="continue"/>
            <w:noWrap w:val="0"/>
            <w:vAlign w:val="center"/>
          </w:tcPr>
          <w:p w14:paraId="46D30D99">
            <w:pPr>
              <w:pStyle w:val="37"/>
              <w:bidi w:val="0"/>
              <w:rPr>
                <w:rFonts w:hint="default" w:ascii="Times New Roman" w:hAnsi="Times New Roman" w:cs="Times New Roman"/>
                <w:color w:val="FF0000"/>
                <w:highlight w:val="none"/>
                <w:lang w:val="en-US" w:eastAsia="zh-CN"/>
              </w:rPr>
            </w:pPr>
          </w:p>
        </w:tc>
        <w:tc>
          <w:tcPr>
            <w:tcW w:w="292" w:type="pct"/>
            <w:vMerge w:val="continue"/>
            <w:noWrap w:val="0"/>
            <w:vAlign w:val="center"/>
          </w:tcPr>
          <w:p w14:paraId="1646D724">
            <w:pPr>
              <w:pStyle w:val="37"/>
              <w:bidi w:val="0"/>
              <w:rPr>
                <w:rFonts w:hint="default" w:ascii="Times New Roman" w:hAnsi="Times New Roman" w:cs="Times New Roman"/>
                <w:color w:val="FF0000"/>
                <w:highlight w:val="none"/>
                <w:lang w:val="en-US" w:eastAsia="zh-CN"/>
              </w:rPr>
            </w:pPr>
          </w:p>
        </w:tc>
        <w:tc>
          <w:tcPr>
            <w:tcW w:w="275" w:type="pct"/>
            <w:vMerge w:val="continue"/>
            <w:shd w:val="clear" w:color="auto" w:fill="auto"/>
            <w:noWrap w:val="0"/>
            <w:vAlign w:val="center"/>
          </w:tcPr>
          <w:p w14:paraId="6AD59AD5">
            <w:pPr>
              <w:pStyle w:val="37"/>
              <w:bidi w:val="0"/>
              <w:ind w:firstLine="0" w:firstLineChars="0"/>
              <w:rPr>
                <w:rFonts w:hint="default" w:ascii="Times New Roman" w:hAnsi="Times New Roman" w:cs="Times New Roman"/>
                <w:color w:val="FF0000"/>
                <w:highlight w:val="none"/>
                <w:lang w:val="en-US" w:eastAsia="zh-CN"/>
              </w:rPr>
            </w:pPr>
          </w:p>
        </w:tc>
        <w:tc>
          <w:tcPr>
            <w:tcW w:w="346" w:type="pct"/>
            <w:shd w:val="clear" w:color="auto" w:fill="auto"/>
            <w:noWrap w:val="0"/>
            <w:vAlign w:val="center"/>
          </w:tcPr>
          <w:p w14:paraId="12FBEB25">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0.035</w:t>
            </w:r>
          </w:p>
        </w:tc>
        <w:tc>
          <w:tcPr>
            <w:tcW w:w="391" w:type="pct"/>
            <w:shd w:val="clear" w:color="auto" w:fill="auto"/>
            <w:noWrap w:val="0"/>
            <w:vAlign w:val="center"/>
          </w:tcPr>
          <w:p w14:paraId="23CA2E29">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0.001</w:t>
            </w:r>
          </w:p>
        </w:tc>
        <w:tc>
          <w:tcPr>
            <w:tcW w:w="313" w:type="pct"/>
            <w:vMerge w:val="continue"/>
            <w:noWrap w:val="0"/>
            <w:vAlign w:val="center"/>
          </w:tcPr>
          <w:p w14:paraId="1F4D2A65">
            <w:pPr>
              <w:pStyle w:val="37"/>
              <w:bidi w:val="0"/>
              <w:rPr>
                <w:rFonts w:hint="default" w:ascii="Times New Roman" w:hAnsi="Times New Roman" w:cs="Times New Roman"/>
                <w:color w:val="FF0000"/>
                <w:highlight w:val="none"/>
                <w:lang w:val="en-US" w:eastAsia="zh-CN"/>
              </w:rPr>
            </w:pPr>
          </w:p>
        </w:tc>
      </w:tr>
      <w:tr w14:paraId="15542F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1C2E33A7">
            <w:pPr>
              <w:pStyle w:val="37"/>
              <w:bidi w:val="0"/>
              <w:rPr>
                <w:rFonts w:hint="default" w:ascii="Times New Roman" w:hAnsi="Times New Roman" w:cs="Times New Roman"/>
                <w:color w:val="auto"/>
                <w:highlight w:val="none"/>
                <w:lang w:val="en-US" w:eastAsia="zh-CN"/>
              </w:rPr>
            </w:pPr>
          </w:p>
        </w:tc>
        <w:tc>
          <w:tcPr>
            <w:tcW w:w="239" w:type="pct"/>
            <w:vMerge w:val="continue"/>
            <w:noWrap w:val="0"/>
            <w:vAlign w:val="center"/>
          </w:tcPr>
          <w:p w14:paraId="762ACB64">
            <w:pPr>
              <w:pStyle w:val="37"/>
              <w:bidi w:val="0"/>
              <w:rPr>
                <w:rFonts w:hint="default" w:ascii="Times New Roman" w:hAnsi="Times New Roman" w:cs="Times New Roman"/>
                <w:color w:val="auto"/>
                <w:highlight w:val="none"/>
                <w:lang w:val="en-US" w:eastAsia="zh-CN"/>
              </w:rPr>
            </w:pPr>
          </w:p>
        </w:tc>
        <w:tc>
          <w:tcPr>
            <w:tcW w:w="498" w:type="pct"/>
            <w:vMerge w:val="continue"/>
            <w:noWrap w:val="0"/>
            <w:vAlign w:val="center"/>
          </w:tcPr>
          <w:p w14:paraId="6FEB6CAB">
            <w:pPr>
              <w:pStyle w:val="37"/>
              <w:bidi w:val="0"/>
              <w:rPr>
                <w:rFonts w:hint="default" w:ascii="Times New Roman" w:hAnsi="Times New Roman" w:cs="Times New Roman"/>
                <w:color w:val="auto"/>
                <w:highlight w:val="none"/>
                <w:lang w:val="en-US" w:eastAsia="zh-CN"/>
              </w:rPr>
            </w:pPr>
          </w:p>
        </w:tc>
        <w:tc>
          <w:tcPr>
            <w:tcW w:w="453" w:type="pct"/>
            <w:shd w:val="clear" w:color="auto" w:fill="auto"/>
            <w:noWrap w:val="0"/>
            <w:vAlign w:val="center"/>
          </w:tcPr>
          <w:p w14:paraId="3E5A4ED8">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氯苯类</w:t>
            </w:r>
          </w:p>
        </w:tc>
        <w:tc>
          <w:tcPr>
            <w:tcW w:w="369" w:type="pct"/>
            <w:vMerge w:val="continue"/>
            <w:noWrap w:val="0"/>
            <w:vAlign w:val="center"/>
          </w:tcPr>
          <w:p w14:paraId="7AF847F1">
            <w:pPr>
              <w:pStyle w:val="37"/>
              <w:bidi w:val="0"/>
              <w:rPr>
                <w:rFonts w:hint="default" w:ascii="Times New Roman" w:hAnsi="Times New Roman" w:cs="Times New Roman"/>
                <w:color w:val="FF0000"/>
                <w:highlight w:val="none"/>
                <w:lang w:val="en-US" w:eastAsia="zh-CN"/>
              </w:rPr>
            </w:pPr>
          </w:p>
        </w:tc>
        <w:tc>
          <w:tcPr>
            <w:tcW w:w="275" w:type="pct"/>
            <w:vMerge w:val="continue"/>
            <w:noWrap w:val="0"/>
            <w:vAlign w:val="center"/>
          </w:tcPr>
          <w:p w14:paraId="271C6516">
            <w:pPr>
              <w:pStyle w:val="37"/>
              <w:bidi w:val="0"/>
              <w:rPr>
                <w:rFonts w:hint="default" w:ascii="Times New Roman" w:hAnsi="Times New Roman" w:cs="Times New Roman"/>
                <w:color w:val="FF0000"/>
                <w:highlight w:val="none"/>
                <w:lang w:val="en-US" w:eastAsia="zh-CN"/>
              </w:rPr>
            </w:pPr>
          </w:p>
        </w:tc>
        <w:tc>
          <w:tcPr>
            <w:tcW w:w="341" w:type="pct"/>
            <w:shd w:val="clear" w:color="auto" w:fill="auto"/>
            <w:noWrap w:val="0"/>
            <w:vAlign w:val="center"/>
          </w:tcPr>
          <w:p w14:paraId="7F48C06D">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0.364</w:t>
            </w:r>
          </w:p>
        </w:tc>
        <w:tc>
          <w:tcPr>
            <w:tcW w:w="390" w:type="pct"/>
            <w:shd w:val="clear" w:color="auto" w:fill="auto"/>
            <w:noWrap w:val="0"/>
            <w:vAlign w:val="center"/>
          </w:tcPr>
          <w:p w14:paraId="09F8D8B1">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0.0108</w:t>
            </w:r>
          </w:p>
        </w:tc>
        <w:tc>
          <w:tcPr>
            <w:tcW w:w="549" w:type="pct"/>
            <w:vMerge w:val="continue"/>
            <w:noWrap w:val="0"/>
            <w:vAlign w:val="center"/>
          </w:tcPr>
          <w:p w14:paraId="19F5A37C">
            <w:pPr>
              <w:pStyle w:val="37"/>
              <w:bidi w:val="0"/>
              <w:rPr>
                <w:rFonts w:hint="default" w:ascii="Times New Roman" w:hAnsi="Times New Roman" w:cs="Times New Roman"/>
                <w:color w:val="auto"/>
                <w:highlight w:val="none"/>
                <w:lang w:val="en-US" w:eastAsia="zh-CN"/>
              </w:rPr>
            </w:pPr>
          </w:p>
        </w:tc>
        <w:tc>
          <w:tcPr>
            <w:tcW w:w="292" w:type="pct"/>
            <w:vMerge w:val="continue"/>
            <w:noWrap w:val="0"/>
            <w:vAlign w:val="center"/>
          </w:tcPr>
          <w:p w14:paraId="3B2F1729">
            <w:pPr>
              <w:pStyle w:val="37"/>
              <w:bidi w:val="0"/>
              <w:rPr>
                <w:rFonts w:hint="default" w:ascii="Times New Roman" w:hAnsi="Times New Roman" w:cs="Times New Roman"/>
                <w:color w:val="auto"/>
                <w:highlight w:val="none"/>
                <w:lang w:val="en-US" w:eastAsia="zh-CN"/>
              </w:rPr>
            </w:pPr>
          </w:p>
        </w:tc>
        <w:tc>
          <w:tcPr>
            <w:tcW w:w="275" w:type="pct"/>
            <w:vMerge w:val="continue"/>
            <w:shd w:val="clear" w:color="auto" w:fill="auto"/>
            <w:noWrap w:val="0"/>
            <w:vAlign w:val="center"/>
          </w:tcPr>
          <w:p w14:paraId="79267207">
            <w:pPr>
              <w:pStyle w:val="37"/>
              <w:bidi w:val="0"/>
              <w:ind w:firstLine="0" w:firstLineChars="0"/>
              <w:rPr>
                <w:rFonts w:hint="default" w:ascii="Times New Roman" w:hAnsi="Times New Roman" w:cs="Times New Roman"/>
                <w:color w:val="auto"/>
                <w:highlight w:val="none"/>
                <w:lang w:val="en-US" w:eastAsia="zh-CN"/>
              </w:rPr>
            </w:pPr>
          </w:p>
        </w:tc>
        <w:tc>
          <w:tcPr>
            <w:tcW w:w="346" w:type="pct"/>
            <w:shd w:val="clear" w:color="auto" w:fill="auto"/>
            <w:noWrap w:val="0"/>
            <w:vAlign w:val="center"/>
          </w:tcPr>
          <w:p w14:paraId="23AE8FF8">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0.023</w:t>
            </w:r>
          </w:p>
        </w:tc>
        <w:tc>
          <w:tcPr>
            <w:tcW w:w="391" w:type="pct"/>
            <w:shd w:val="clear" w:color="auto" w:fill="auto"/>
            <w:noWrap w:val="0"/>
            <w:vAlign w:val="center"/>
          </w:tcPr>
          <w:p w14:paraId="5F011CE6">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0.0007</w:t>
            </w:r>
          </w:p>
        </w:tc>
        <w:tc>
          <w:tcPr>
            <w:tcW w:w="313" w:type="pct"/>
            <w:vMerge w:val="continue"/>
            <w:noWrap w:val="0"/>
            <w:vAlign w:val="center"/>
          </w:tcPr>
          <w:p w14:paraId="369A3EAD">
            <w:pPr>
              <w:pStyle w:val="37"/>
              <w:bidi w:val="0"/>
              <w:rPr>
                <w:rFonts w:hint="default" w:ascii="Times New Roman" w:hAnsi="Times New Roman" w:cs="Times New Roman"/>
                <w:color w:val="FF0000"/>
                <w:highlight w:val="none"/>
                <w:lang w:val="en-US" w:eastAsia="zh-CN"/>
              </w:rPr>
            </w:pPr>
          </w:p>
        </w:tc>
      </w:tr>
      <w:tr w14:paraId="28FA63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3E2C9481">
            <w:pPr>
              <w:pStyle w:val="37"/>
              <w:bidi w:val="0"/>
              <w:rPr>
                <w:rFonts w:hint="default" w:ascii="Times New Roman" w:hAnsi="Times New Roman" w:cs="Times New Roman"/>
                <w:color w:val="auto"/>
                <w:highlight w:val="none"/>
                <w:lang w:val="en-US" w:eastAsia="zh-CN"/>
              </w:rPr>
            </w:pPr>
          </w:p>
        </w:tc>
        <w:tc>
          <w:tcPr>
            <w:tcW w:w="239" w:type="pct"/>
            <w:vMerge w:val="continue"/>
            <w:noWrap w:val="0"/>
            <w:vAlign w:val="center"/>
          </w:tcPr>
          <w:p w14:paraId="7E30697D">
            <w:pPr>
              <w:pStyle w:val="37"/>
              <w:bidi w:val="0"/>
              <w:rPr>
                <w:rFonts w:hint="default" w:ascii="Times New Roman" w:hAnsi="Times New Roman" w:cs="Times New Roman"/>
                <w:color w:val="auto"/>
                <w:highlight w:val="none"/>
                <w:lang w:val="en-US" w:eastAsia="zh-CN"/>
              </w:rPr>
            </w:pPr>
          </w:p>
        </w:tc>
        <w:tc>
          <w:tcPr>
            <w:tcW w:w="498" w:type="pct"/>
            <w:vMerge w:val="continue"/>
            <w:noWrap w:val="0"/>
            <w:vAlign w:val="center"/>
          </w:tcPr>
          <w:p w14:paraId="2035613D">
            <w:pPr>
              <w:pStyle w:val="37"/>
              <w:bidi w:val="0"/>
              <w:rPr>
                <w:rFonts w:hint="default" w:ascii="Times New Roman" w:hAnsi="Times New Roman" w:cs="Times New Roman"/>
                <w:color w:val="auto"/>
                <w:highlight w:val="none"/>
                <w:lang w:val="en-US" w:eastAsia="zh-CN"/>
              </w:rPr>
            </w:pPr>
          </w:p>
        </w:tc>
        <w:tc>
          <w:tcPr>
            <w:tcW w:w="453" w:type="pct"/>
            <w:shd w:val="clear" w:color="auto" w:fill="auto"/>
            <w:noWrap w:val="0"/>
            <w:vAlign w:val="center"/>
          </w:tcPr>
          <w:p w14:paraId="09125B20">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二氯甲烷</w:t>
            </w:r>
          </w:p>
        </w:tc>
        <w:tc>
          <w:tcPr>
            <w:tcW w:w="369" w:type="pct"/>
            <w:vMerge w:val="continue"/>
            <w:noWrap w:val="0"/>
            <w:vAlign w:val="center"/>
          </w:tcPr>
          <w:p w14:paraId="3EF6B92C">
            <w:pPr>
              <w:pStyle w:val="37"/>
              <w:bidi w:val="0"/>
              <w:rPr>
                <w:rFonts w:hint="default" w:ascii="Times New Roman" w:hAnsi="Times New Roman" w:cs="Times New Roman"/>
                <w:color w:val="FF0000"/>
                <w:highlight w:val="none"/>
                <w:lang w:val="en-US" w:eastAsia="zh-CN"/>
              </w:rPr>
            </w:pPr>
          </w:p>
        </w:tc>
        <w:tc>
          <w:tcPr>
            <w:tcW w:w="275" w:type="pct"/>
            <w:vMerge w:val="continue"/>
            <w:noWrap w:val="0"/>
            <w:vAlign w:val="center"/>
          </w:tcPr>
          <w:p w14:paraId="247B0B98">
            <w:pPr>
              <w:pStyle w:val="37"/>
              <w:bidi w:val="0"/>
              <w:rPr>
                <w:rFonts w:hint="default" w:ascii="Times New Roman" w:hAnsi="Times New Roman" w:cs="Times New Roman"/>
                <w:color w:val="FF0000"/>
                <w:highlight w:val="none"/>
                <w:lang w:val="en-US" w:eastAsia="zh-CN"/>
              </w:rPr>
            </w:pPr>
          </w:p>
        </w:tc>
        <w:tc>
          <w:tcPr>
            <w:tcW w:w="341" w:type="pct"/>
            <w:shd w:val="clear" w:color="auto" w:fill="auto"/>
            <w:noWrap w:val="0"/>
            <w:vAlign w:val="center"/>
          </w:tcPr>
          <w:p w14:paraId="34DB0364">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3.846</w:t>
            </w:r>
          </w:p>
        </w:tc>
        <w:tc>
          <w:tcPr>
            <w:tcW w:w="390" w:type="pct"/>
            <w:shd w:val="clear" w:color="auto" w:fill="auto"/>
            <w:noWrap w:val="0"/>
            <w:vAlign w:val="center"/>
          </w:tcPr>
          <w:p w14:paraId="5558F253">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0.1152</w:t>
            </w:r>
          </w:p>
        </w:tc>
        <w:tc>
          <w:tcPr>
            <w:tcW w:w="549" w:type="pct"/>
            <w:vMerge w:val="continue"/>
            <w:noWrap w:val="0"/>
            <w:vAlign w:val="center"/>
          </w:tcPr>
          <w:p w14:paraId="75147D07">
            <w:pPr>
              <w:pStyle w:val="37"/>
              <w:bidi w:val="0"/>
              <w:rPr>
                <w:rFonts w:hint="default" w:ascii="Times New Roman" w:hAnsi="Times New Roman" w:cs="Times New Roman"/>
                <w:color w:val="auto"/>
                <w:highlight w:val="none"/>
                <w:lang w:val="en-US" w:eastAsia="zh-CN"/>
              </w:rPr>
            </w:pPr>
          </w:p>
        </w:tc>
        <w:tc>
          <w:tcPr>
            <w:tcW w:w="292" w:type="pct"/>
            <w:vMerge w:val="continue"/>
            <w:tcBorders>
              <w:bottom w:val="single" w:color="000000" w:sz="4" w:space="0"/>
            </w:tcBorders>
            <w:noWrap w:val="0"/>
            <w:vAlign w:val="center"/>
          </w:tcPr>
          <w:p w14:paraId="017F62B4">
            <w:pPr>
              <w:pStyle w:val="37"/>
              <w:bidi w:val="0"/>
              <w:rPr>
                <w:rFonts w:hint="default" w:ascii="Times New Roman" w:hAnsi="Times New Roman" w:cs="Times New Roman"/>
                <w:color w:val="auto"/>
                <w:highlight w:val="none"/>
                <w:lang w:val="en-US" w:eastAsia="zh-CN"/>
              </w:rPr>
            </w:pPr>
          </w:p>
        </w:tc>
        <w:tc>
          <w:tcPr>
            <w:tcW w:w="275" w:type="pct"/>
            <w:vMerge w:val="continue"/>
            <w:shd w:val="clear" w:color="auto" w:fill="auto"/>
            <w:noWrap w:val="0"/>
            <w:vAlign w:val="center"/>
          </w:tcPr>
          <w:p w14:paraId="1723A91B">
            <w:pPr>
              <w:pStyle w:val="37"/>
              <w:bidi w:val="0"/>
              <w:ind w:firstLine="0" w:firstLineChars="0"/>
              <w:rPr>
                <w:rFonts w:hint="default" w:ascii="Times New Roman" w:hAnsi="Times New Roman" w:cs="Times New Roman"/>
                <w:color w:val="auto"/>
                <w:highlight w:val="none"/>
                <w:lang w:val="en-US" w:eastAsia="zh-CN"/>
              </w:rPr>
            </w:pPr>
          </w:p>
        </w:tc>
        <w:tc>
          <w:tcPr>
            <w:tcW w:w="346" w:type="pct"/>
            <w:shd w:val="clear" w:color="auto" w:fill="auto"/>
            <w:noWrap w:val="0"/>
            <w:vAlign w:val="center"/>
          </w:tcPr>
          <w:p w14:paraId="3267B7D1">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0.24</w:t>
            </w:r>
          </w:p>
        </w:tc>
        <w:tc>
          <w:tcPr>
            <w:tcW w:w="391" w:type="pct"/>
            <w:shd w:val="clear" w:color="auto" w:fill="auto"/>
            <w:noWrap w:val="0"/>
            <w:vAlign w:val="center"/>
          </w:tcPr>
          <w:p w14:paraId="74BEAA4B">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0.0072</w:t>
            </w:r>
          </w:p>
        </w:tc>
        <w:tc>
          <w:tcPr>
            <w:tcW w:w="313" w:type="pct"/>
            <w:vMerge w:val="continue"/>
            <w:noWrap w:val="0"/>
            <w:vAlign w:val="center"/>
          </w:tcPr>
          <w:p w14:paraId="3C736322">
            <w:pPr>
              <w:pStyle w:val="37"/>
              <w:bidi w:val="0"/>
              <w:rPr>
                <w:rFonts w:hint="default" w:ascii="Times New Roman" w:hAnsi="Times New Roman" w:cs="Times New Roman"/>
                <w:color w:val="FF0000"/>
                <w:highlight w:val="none"/>
                <w:lang w:val="en-US" w:eastAsia="zh-CN"/>
              </w:rPr>
            </w:pPr>
          </w:p>
        </w:tc>
      </w:tr>
      <w:tr w14:paraId="5EB882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65AD90F9">
            <w:pPr>
              <w:pStyle w:val="37"/>
              <w:bidi w:val="0"/>
              <w:rPr>
                <w:rFonts w:hint="default" w:ascii="Times New Roman" w:hAnsi="Times New Roman" w:cs="Times New Roman"/>
                <w:color w:val="auto"/>
                <w:highlight w:val="none"/>
                <w:lang w:val="en-US" w:eastAsia="zh-CN"/>
              </w:rPr>
            </w:pPr>
          </w:p>
        </w:tc>
        <w:tc>
          <w:tcPr>
            <w:tcW w:w="239" w:type="pct"/>
            <w:vMerge w:val="continue"/>
            <w:noWrap w:val="0"/>
            <w:vAlign w:val="center"/>
          </w:tcPr>
          <w:p w14:paraId="09E40EBC">
            <w:pPr>
              <w:pStyle w:val="37"/>
              <w:bidi w:val="0"/>
              <w:rPr>
                <w:rFonts w:hint="default" w:ascii="Times New Roman" w:hAnsi="Times New Roman" w:cs="Times New Roman"/>
                <w:color w:val="auto"/>
                <w:highlight w:val="none"/>
                <w:lang w:val="en-US" w:eastAsia="zh-CN"/>
              </w:rPr>
            </w:pPr>
          </w:p>
        </w:tc>
        <w:tc>
          <w:tcPr>
            <w:tcW w:w="498" w:type="pct"/>
            <w:vMerge w:val="continue"/>
            <w:noWrap w:val="0"/>
            <w:vAlign w:val="center"/>
          </w:tcPr>
          <w:p w14:paraId="57263493">
            <w:pPr>
              <w:pStyle w:val="37"/>
              <w:bidi w:val="0"/>
              <w:rPr>
                <w:rFonts w:hint="default" w:ascii="Times New Roman" w:hAnsi="Times New Roman" w:cs="Times New Roman"/>
                <w:color w:val="auto"/>
                <w:highlight w:val="none"/>
                <w:lang w:val="en-US" w:eastAsia="zh-CN"/>
              </w:rPr>
            </w:pPr>
          </w:p>
        </w:tc>
        <w:tc>
          <w:tcPr>
            <w:tcW w:w="453" w:type="pct"/>
            <w:noWrap w:val="0"/>
            <w:vAlign w:val="center"/>
          </w:tcPr>
          <w:p w14:paraId="014E0DE5">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苯乙烯</w:t>
            </w:r>
          </w:p>
        </w:tc>
        <w:tc>
          <w:tcPr>
            <w:tcW w:w="369" w:type="pct"/>
            <w:vMerge w:val="continue"/>
            <w:noWrap w:val="0"/>
            <w:vAlign w:val="center"/>
          </w:tcPr>
          <w:p w14:paraId="42934AC1">
            <w:pPr>
              <w:pStyle w:val="37"/>
              <w:bidi w:val="0"/>
              <w:rPr>
                <w:rFonts w:hint="default" w:ascii="Times New Roman" w:hAnsi="Times New Roman" w:cs="Times New Roman"/>
                <w:color w:val="auto"/>
                <w:highlight w:val="none"/>
                <w:lang w:val="en-US" w:eastAsia="zh-CN"/>
              </w:rPr>
            </w:pPr>
          </w:p>
        </w:tc>
        <w:tc>
          <w:tcPr>
            <w:tcW w:w="275" w:type="pct"/>
            <w:vMerge w:val="continue"/>
            <w:noWrap w:val="0"/>
            <w:vAlign w:val="center"/>
          </w:tcPr>
          <w:p w14:paraId="36DE14CA">
            <w:pPr>
              <w:pStyle w:val="37"/>
              <w:bidi w:val="0"/>
              <w:rPr>
                <w:rFonts w:hint="default" w:ascii="Times New Roman" w:hAnsi="Times New Roman" w:cs="Times New Roman"/>
                <w:color w:val="auto"/>
                <w:highlight w:val="none"/>
                <w:lang w:val="en-US" w:eastAsia="zh-CN"/>
              </w:rPr>
            </w:pPr>
          </w:p>
        </w:tc>
        <w:tc>
          <w:tcPr>
            <w:tcW w:w="341" w:type="pct"/>
            <w:shd w:val="clear" w:color="auto" w:fill="auto"/>
            <w:noWrap w:val="0"/>
            <w:vAlign w:val="center"/>
          </w:tcPr>
          <w:p w14:paraId="613B07DA">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0.239</w:t>
            </w:r>
          </w:p>
        </w:tc>
        <w:tc>
          <w:tcPr>
            <w:tcW w:w="390" w:type="pct"/>
            <w:shd w:val="clear" w:color="auto" w:fill="auto"/>
            <w:noWrap w:val="0"/>
            <w:vAlign w:val="center"/>
          </w:tcPr>
          <w:p w14:paraId="142FC65A">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0.00</w:t>
            </w:r>
            <w:r>
              <w:rPr>
                <w:rFonts w:hint="eastAsia" w:ascii="Times New Roman" w:hAnsi="Times New Roman" w:cs="Times New Roman"/>
                <w:color w:val="auto"/>
                <w:highlight w:val="none"/>
                <w:lang w:val="en-US" w:eastAsia="zh-CN"/>
              </w:rPr>
              <w:t>7</w:t>
            </w:r>
          </w:p>
        </w:tc>
        <w:tc>
          <w:tcPr>
            <w:tcW w:w="549" w:type="pct"/>
            <w:vMerge w:val="continue"/>
            <w:noWrap w:val="0"/>
            <w:vAlign w:val="center"/>
          </w:tcPr>
          <w:p w14:paraId="092D1810">
            <w:pPr>
              <w:pStyle w:val="37"/>
              <w:bidi w:val="0"/>
              <w:rPr>
                <w:rFonts w:hint="default" w:ascii="Times New Roman" w:hAnsi="Times New Roman" w:cs="Times New Roman"/>
                <w:color w:val="auto"/>
                <w:highlight w:val="none"/>
                <w:lang w:val="en-US" w:eastAsia="zh-CN"/>
              </w:rPr>
            </w:pPr>
          </w:p>
        </w:tc>
        <w:tc>
          <w:tcPr>
            <w:tcW w:w="292" w:type="pct"/>
            <w:tcBorders>
              <w:top w:val="single" w:color="000000" w:sz="4" w:space="0"/>
            </w:tcBorders>
            <w:noWrap w:val="0"/>
            <w:vAlign w:val="center"/>
          </w:tcPr>
          <w:p w14:paraId="655326A1">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w:t>
            </w:r>
          </w:p>
        </w:tc>
        <w:tc>
          <w:tcPr>
            <w:tcW w:w="275" w:type="pct"/>
            <w:vMerge w:val="continue"/>
            <w:shd w:val="clear" w:color="auto" w:fill="auto"/>
            <w:noWrap w:val="0"/>
            <w:vAlign w:val="center"/>
          </w:tcPr>
          <w:p w14:paraId="3E19F713">
            <w:pPr>
              <w:pStyle w:val="37"/>
              <w:bidi w:val="0"/>
              <w:ind w:firstLine="0" w:firstLineChars="0"/>
              <w:rPr>
                <w:rFonts w:hint="default" w:ascii="Times New Roman" w:hAnsi="Times New Roman" w:cs="Times New Roman"/>
                <w:color w:val="auto"/>
                <w:highlight w:val="none"/>
                <w:lang w:val="en-US" w:eastAsia="zh-CN"/>
              </w:rPr>
            </w:pPr>
          </w:p>
        </w:tc>
        <w:tc>
          <w:tcPr>
            <w:tcW w:w="346" w:type="pct"/>
            <w:shd w:val="clear" w:color="auto" w:fill="auto"/>
            <w:noWrap w:val="0"/>
            <w:vAlign w:val="center"/>
          </w:tcPr>
          <w:p w14:paraId="3AD82495">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0.239</w:t>
            </w:r>
          </w:p>
        </w:tc>
        <w:tc>
          <w:tcPr>
            <w:tcW w:w="391" w:type="pct"/>
            <w:shd w:val="clear" w:color="auto" w:fill="auto"/>
            <w:noWrap w:val="0"/>
            <w:vAlign w:val="center"/>
          </w:tcPr>
          <w:p w14:paraId="0F5617C7">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0.007</w:t>
            </w:r>
          </w:p>
        </w:tc>
        <w:tc>
          <w:tcPr>
            <w:tcW w:w="313" w:type="pct"/>
            <w:vMerge w:val="continue"/>
            <w:noWrap w:val="0"/>
            <w:vAlign w:val="center"/>
          </w:tcPr>
          <w:p w14:paraId="0F3A717B">
            <w:pPr>
              <w:pStyle w:val="37"/>
              <w:bidi w:val="0"/>
              <w:rPr>
                <w:rFonts w:hint="default" w:ascii="Times New Roman" w:hAnsi="Times New Roman" w:cs="Times New Roman"/>
                <w:color w:val="FF0000"/>
                <w:highlight w:val="none"/>
                <w:lang w:val="en-US" w:eastAsia="zh-CN"/>
              </w:rPr>
            </w:pPr>
          </w:p>
        </w:tc>
      </w:tr>
      <w:tr w14:paraId="724D3A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1D9B44E1">
            <w:pPr>
              <w:pStyle w:val="37"/>
              <w:bidi w:val="0"/>
              <w:rPr>
                <w:rFonts w:hint="default" w:ascii="Times New Roman" w:hAnsi="Times New Roman" w:cs="Times New Roman"/>
                <w:color w:val="FF0000"/>
                <w:highlight w:val="none"/>
                <w:lang w:val="en-US" w:eastAsia="zh-CN"/>
              </w:rPr>
            </w:pPr>
          </w:p>
        </w:tc>
        <w:tc>
          <w:tcPr>
            <w:tcW w:w="239" w:type="pct"/>
            <w:vMerge w:val="continue"/>
            <w:noWrap w:val="0"/>
            <w:vAlign w:val="center"/>
          </w:tcPr>
          <w:p w14:paraId="72521350">
            <w:pPr>
              <w:pStyle w:val="37"/>
              <w:bidi w:val="0"/>
              <w:rPr>
                <w:rFonts w:hint="default" w:ascii="Times New Roman" w:hAnsi="Times New Roman" w:cs="Times New Roman"/>
                <w:color w:val="FF0000"/>
                <w:highlight w:val="none"/>
                <w:lang w:val="en-US" w:eastAsia="zh-CN"/>
              </w:rPr>
            </w:pPr>
          </w:p>
        </w:tc>
        <w:tc>
          <w:tcPr>
            <w:tcW w:w="498" w:type="pct"/>
            <w:vMerge w:val="restart"/>
            <w:noWrap w:val="0"/>
            <w:vAlign w:val="center"/>
          </w:tcPr>
          <w:p w14:paraId="4E3BCBE0">
            <w:pPr>
              <w:pStyle w:val="37"/>
              <w:bidi w:val="0"/>
              <w:rPr>
                <w:rFonts w:hint="default" w:ascii="Times New Roman" w:hAnsi="Times New Roman" w:cs="Times New Roman"/>
                <w:color w:val="FF0000"/>
                <w:highlight w:val="none"/>
                <w:lang w:val="en-US" w:eastAsia="zh-CN"/>
              </w:rPr>
            </w:pPr>
            <w:r>
              <w:rPr>
                <w:rFonts w:hint="eastAsia" w:ascii="Times New Roman" w:hAnsi="Times New Roman" w:cs="Times New Roman"/>
                <w:color w:val="auto"/>
                <w:highlight w:val="none"/>
                <w:lang w:val="en-US" w:eastAsia="zh-CN"/>
              </w:rPr>
              <w:t>无组织排放</w:t>
            </w:r>
          </w:p>
        </w:tc>
        <w:tc>
          <w:tcPr>
            <w:tcW w:w="453" w:type="pct"/>
            <w:noWrap w:val="0"/>
            <w:vAlign w:val="center"/>
          </w:tcPr>
          <w:p w14:paraId="276545F7">
            <w:pPr>
              <w:pStyle w:val="37"/>
              <w:bidi w:val="0"/>
              <w:ind w:firstLine="0" w:firstLineChars="0"/>
              <w:rPr>
                <w:rFonts w:hint="default" w:ascii="Times New Roman" w:hAnsi="Times New Roman" w:cs="Times New Roman"/>
                <w:color w:val="FF0000"/>
                <w:highlight w:val="none"/>
                <w:lang w:val="en-US" w:eastAsia="zh-CN"/>
              </w:rPr>
            </w:pPr>
            <w:r>
              <w:rPr>
                <w:rFonts w:hint="default" w:ascii="Times New Roman" w:hAnsi="Times New Roman" w:cs="Times New Roman"/>
                <w:color w:val="auto"/>
                <w:highlight w:val="none"/>
                <w:lang w:val="en-US" w:eastAsia="zh-CN"/>
              </w:rPr>
              <w:t>非甲烷总烃</w:t>
            </w:r>
          </w:p>
        </w:tc>
        <w:tc>
          <w:tcPr>
            <w:tcW w:w="369" w:type="pct"/>
            <w:vMerge w:val="restart"/>
            <w:noWrap w:val="0"/>
            <w:vAlign w:val="center"/>
          </w:tcPr>
          <w:p w14:paraId="3520B971">
            <w:pPr>
              <w:pStyle w:val="37"/>
              <w:bidi w:val="0"/>
              <w:rPr>
                <w:rFonts w:hint="default" w:ascii="Times New Roman" w:hAnsi="Times New Roman" w:cs="Times New Roman"/>
                <w:color w:val="FF0000"/>
                <w:highlight w:val="none"/>
                <w:lang w:val="en-US" w:eastAsia="zh-CN"/>
              </w:rPr>
            </w:pPr>
            <w:r>
              <w:rPr>
                <w:rFonts w:hint="default" w:ascii="Times New Roman" w:hAnsi="Times New Roman" w:cs="Times New Roman"/>
                <w:color w:val="auto"/>
                <w:highlight w:val="none"/>
                <w:lang w:val="en-US" w:eastAsia="zh-CN"/>
              </w:rPr>
              <w:t>产污系数法</w:t>
            </w:r>
          </w:p>
        </w:tc>
        <w:tc>
          <w:tcPr>
            <w:tcW w:w="275" w:type="pct"/>
            <w:vMerge w:val="restart"/>
            <w:noWrap w:val="0"/>
            <w:vAlign w:val="center"/>
          </w:tcPr>
          <w:p w14:paraId="1F4D459F">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341" w:type="pct"/>
            <w:vMerge w:val="restart"/>
            <w:noWrap w:val="0"/>
            <w:vAlign w:val="center"/>
          </w:tcPr>
          <w:p w14:paraId="49058AD9">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390" w:type="pct"/>
            <w:noWrap w:val="0"/>
            <w:vAlign w:val="center"/>
          </w:tcPr>
          <w:p w14:paraId="21D217C3">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0.069</w:t>
            </w:r>
          </w:p>
        </w:tc>
        <w:tc>
          <w:tcPr>
            <w:tcW w:w="549" w:type="pct"/>
            <w:vMerge w:val="restart"/>
            <w:noWrap w:val="0"/>
            <w:vAlign w:val="center"/>
          </w:tcPr>
          <w:p w14:paraId="2565E813">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292" w:type="pct"/>
            <w:vMerge w:val="restart"/>
            <w:noWrap w:val="0"/>
            <w:vAlign w:val="center"/>
          </w:tcPr>
          <w:p w14:paraId="3CE715A0">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275" w:type="pct"/>
            <w:vMerge w:val="restart"/>
            <w:shd w:val="clear" w:color="auto" w:fill="auto"/>
            <w:noWrap w:val="0"/>
            <w:vAlign w:val="center"/>
          </w:tcPr>
          <w:p w14:paraId="28C836C4">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346" w:type="pct"/>
            <w:vMerge w:val="restart"/>
            <w:shd w:val="clear" w:color="auto" w:fill="auto"/>
            <w:noWrap w:val="0"/>
            <w:vAlign w:val="center"/>
          </w:tcPr>
          <w:p w14:paraId="6591D647">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391" w:type="pct"/>
            <w:shd w:val="clear" w:color="auto" w:fill="auto"/>
            <w:noWrap w:val="0"/>
            <w:vAlign w:val="center"/>
          </w:tcPr>
          <w:p w14:paraId="2E711FB5">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0.069</w:t>
            </w:r>
          </w:p>
        </w:tc>
        <w:tc>
          <w:tcPr>
            <w:tcW w:w="313" w:type="pct"/>
            <w:vMerge w:val="restart"/>
            <w:noWrap w:val="0"/>
            <w:vAlign w:val="center"/>
          </w:tcPr>
          <w:p w14:paraId="02D76C4D">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6960</w:t>
            </w:r>
          </w:p>
        </w:tc>
      </w:tr>
      <w:tr w14:paraId="17B8F0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7FB52212">
            <w:pPr>
              <w:pStyle w:val="37"/>
              <w:bidi w:val="0"/>
              <w:rPr>
                <w:rFonts w:hint="default" w:ascii="Times New Roman" w:hAnsi="Times New Roman" w:cs="Times New Roman"/>
                <w:color w:val="FF0000"/>
                <w:highlight w:val="none"/>
                <w:lang w:val="en-US" w:eastAsia="zh-CN"/>
              </w:rPr>
            </w:pPr>
          </w:p>
        </w:tc>
        <w:tc>
          <w:tcPr>
            <w:tcW w:w="239" w:type="pct"/>
            <w:vMerge w:val="continue"/>
            <w:noWrap w:val="0"/>
            <w:vAlign w:val="center"/>
          </w:tcPr>
          <w:p w14:paraId="4EE8A83A">
            <w:pPr>
              <w:pStyle w:val="37"/>
              <w:bidi w:val="0"/>
              <w:rPr>
                <w:rFonts w:hint="default" w:ascii="Times New Roman" w:hAnsi="Times New Roman" w:cs="Times New Roman"/>
                <w:color w:val="FF0000"/>
                <w:highlight w:val="none"/>
                <w:lang w:val="en-US" w:eastAsia="zh-CN"/>
              </w:rPr>
            </w:pPr>
          </w:p>
        </w:tc>
        <w:tc>
          <w:tcPr>
            <w:tcW w:w="498" w:type="pct"/>
            <w:vMerge w:val="continue"/>
            <w:noWrap w:val="0"/>
            <w:vAlign w:val="center"/>
          </w:tcPr>
          <w:p w14:paraId="069E207D">
            <w:pPr>
              <w:pStyle w:val="37"/>
              <w:bidi w:val="0"/>
              <w:rPr>
                <w:rFonts w:hint="default" w:ascii="Times New Roman" w:hAnsi="Times New Roman" w:cs="Times New Roman"/>
                <w:color w:val="FF0000"/>
                <w:highlight w:val="none"/>
                <w:lang w:val="en-US" w:eastAsia="zh-CN"/>
              </w:rPr>
            </w:pPr>
          </w:p>
        </w:tc>
        <w:tc>
          <w:tcPr>
            <w:tcW w:w="453" w:type="pct"/>
            <w:noWrap w:val="0"/>
            <w:vAlign w:val="center"/>
          </w:tcPr>
          <w:p w14:paraId="6EBBC9B2">
            <w:pPr>
              <w:pStyle w:val="37"/>
              <w:bidi w:val="0"/>
              <w:ind w:firstLine="0" w:firstLineChars="0"/>
              <w:rPr>
                <w:rFonts w:hint="default" w:ascii="Times New Roman" w:hAnsi="Times New Roman" w:cs="Times New Roman"/>
                <w:color w:val="FF0000"/>
                <w:highlight w:val="none"/>
                <w:lang w:val="en-US" w:eastAsia="zh-CN"/>
              </w:rPr>
            </w:pPr>
            <w:r>
              <w:rPr>
                <w:rFonts w:hint="eastAsia" w:ascii="Times New Roman" w:hAnsi="Times New Roman" w:cs="Times New Roman"/>
                <w:color w:val="auto"/>
                <w:highlight w:val="none"/>
                <w:lang w:val="en-US" w:eastAsia="zh-CN"/>
              </w:rPr>
              <w:t>苯乙烯</w:t>
            </w:r>
          </w:p>
        </w:tc>
        <w:tc>
          <w:tcPr>
            <w:tcW w:w="369" w:type="pct"/>
            <w:vMerge w:val="continue"/>
            <w:noWrap w:val="0"/>
            <w:vAlign w:val="center"/>
          </w:tcPr>
          <w:p w14:paraId="0F8E84AB">
            <w:pPr>
              <w:pStyle w:val="37"/>
              <w:bidi w:val="0"/>
              <w:rPr>
                <w:rFonts w:hint="default" w:ascii="Times New Roman" w:hAnsi="Times New Roman" w:cs="Times New Roman"/>
                <w:color w:val="FF0000"/>
                <w:highlight w:val="none"/>
                <w:lang w:val="en-US" w:eastAsia="zh-CN"/>
              </w:rPr>
            </w:pPr>
          </w:p>
        </w:tc>
        <w:tc>
          <w:tcPr>
            <w:tcW w:w="275" w:type="pct"/>
            <w:vMerge w:val="continue"/>
            <w:noWrap w:val="0"/>
            <w:vAlign w:val="center"/>
          </w:tcPr>
          <w:p w14:paraId="47AF6CB3">
            <w:pPr>
              <w:pStyle w:val="37"/>
              <w:bidi w:val="0"/>
              <w:rPr>
                <w:rFonts w:hint="default" w:ascii="Times New Roman" w:hAnsi="Times New Roman" w:cs="Times New Roman"/>
                <w:color w:val="FF0000"/>
                <w:highlight w:val="none"/>
                <w:lang w:val="en-US" w:eastAsia="zh-CN"/>
              </w:rPr>
            </w:pPr>
          </w:p>
        </w:tc>
        <w:tc>
          <w:tcPr>
            <w:tcW w:w="341" w:type="pct"/>
            <w:vMerge w:val="continue"/>
            <w:noWrap w:val="0"/>
            <w:vAlign w:val="center"/>
          </w:tcPr>
          <w:p w14:paraId="63269279">
            <w:pPr>
              <w:pStyle w:val="37"/>
              <w:bidi w:val="0"/>
              <w:rPr>
                <w:rFonts w:hint="default" w:ascii="Times New Roman" w:hAnsi="Times New Roman" w:cs="Times New Roman"/>
                <w:color w:val="FF0000"/>
                <w:highlight w:val="none"/>
                <w:lang w:val="en-US" w:eastAsia="zh-CN"/>
              </w:rPr>
            </w:pPr>
          </w:p>
        </w:tc>
        <w:tc>
          <w:tcPr>
            <w:tcW w:w="390" w:type="pct"/>
            <w:noWrap w:val="0"/>
            <w:vAlign w:val="center"/>
          </w:tcPr>
          <w:p w14:paraId="7C84B710">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0.0007</w:t>
            </w:r>
          </w:p>
        </w:tc>
        <w:tc>
          <w:tcPr>
            <w:tcW w:w="549" w:type="pct"/>
            <w:vMerge w:val="continue"/>
            <w:noWrap w:val="0"/>
            <w:vAlign w:val="center"/>
          </w:tcPr>
          <w:p w14:paraId="362C191D">
            <w:pPr>
              <w:pStyle w:val="37"/>
              <w:bidi w:val="0"/>
              <w:rPr>
                <w:rFonts w:hint="default" w:ascii="Times New Roman" w:hAnsi="Times New Roman" w:cs="Times New Roman"/>
                <w:color w:val="auto"/>
                <w:highlight w:val="none"/>
                <w:lang w:val="en-US" w:eastAsia="zh-CN"/>
              </w:rPr>
            </w:pPr>
          </w:p>
        </w:tc>
        <w:tc>
          <w:tcPr>
            <w:tcW w:w="292" w:type="pct"/>
            <w:vMerge w:val="continue"/>
            <w:noWrap w:val="0"/>
            <w:vAlign w:val="center"/>
          </w:tcPr>
          <w:p w14:paraId="16C9EBBC">
            <w:pPr>
              <w:pStyle w:val="37"/>
              <w:bidi w:val="0"/>
              <w:rPr>
                <w:rFonts w:hint="default" w:ascii="Times New Roman" w:hAnsi="Times New Roman" w:cs="Times New Roman"/>
                <w:color w:val="auto"/>
                <w:highlight w:val="none"/>
                <w:lang w:val="en-US" w:eastAsia="zh-CN"/>
              </w:rPr>
            </w:pPr>
          </w:p>
        </w:tc>
        <w:tc>
          <w:tcPr>
            <w:tcW w:w="275" w:type="pct"/>
            <w:vMerge w:val="continue"/>
            <w:shd w:val="clear" w:color="auto" w:fill="auto"/>
            <w:noWrap w:val="0"/>
            <w:vAlign w:val="center"/>
          </w:tcPr>
          <w:p w14:paraId="7347128C">
            <w:pPr>
              <w:pStyle w:val="37"/>
              <w:bidi w:val="0"/>
              <w:ind w:firstLine="0" w:firstLineChars="0"/>
              <w:rPr>
                <w:rFonts w:hint="default" w:ascii="Times New Roman" w:hAnsi="Times New Roman" w:cs="Times New Roman"/>
                <w:color w:val="auto"/>
                <w:highlight w:val="none"/>
                <w:lang w:val="en-US" w:eastAsia="zh-CN"/>
              </w:rPr>
            </w:pPr>
          </w:p>
        </w:tc>
        <w:tc>
          <w:tcPr>
            <w:tcW w:w="346" w:type="pct"/>
            <w:vMerge w:val="continue"/>
            <w:shd w:val="clear" w:color="auto" w:fill="auto"/>
            <w:noWrap w:val="0"/>
            <w:vAlign w:val="center"/>
          </w:tcPr>
          <w:p w14:paraId="583530D8">
            <w:pPr>
              <w:pStyle w:val="37"/>
              <w:bidi w:val="0"/>
              <w:ind w:firstLine="0" w:firstLineChars="0"/>
              <w:rPr>
                <w:rFonts w:hint="default" w:ascii="Times New Roman" w:hAnsi="Times New Roman" w:cs="Times New Roman"/>
                <w:color w:val="auto"/>
                <w:highlight w:val="none"/>
                <w:lang w:val="en-US" w:eastAsia="zh-CN"/>
              </w:rPr>
            </w:pPr>
          </w:p>
        </w:tc>
        <w:tc>
          <w:tcPr>
            <w:tcW w:w="391" w:type="pct"/>
            <w:shd w:val="clear" w:color="auto" w:fill="auto"/>
            <w:noWrap w:val="0"/>
            <w:vAlign w:val="center"/>
          </w:tcPr>
          <w:p w14:paraId="54E25C30">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0.0007</w:t>
            </w:r>
          </w:p>
        </w:tc>
        <w:tc>
          <w:tcPr>
            <w:tcW w:w="313" w:type="pct"/>
            <w:vMerge w:val="continue"/>
            <w:noWrap w:val="0"/>
            <w:vAlign w:val="center"/>
          </w:tcPr>
          <w:p w14:paraId="164E114E">
            <w:pPr>
              <w:pStyle w:val="37"/>
              <w:bidi w:val="0"/>
              <w:rPr>
                <w:rFonts w:hint="default" w:ascii="Times New Roman" w:hAnsi="Times New Roman" w:cs="Times New Roman"/>
                <w:color w:val="auto"/>
                <w:highlight w:val="none"/>
                <w:lang w:val="en-US" w:eastAsia="zh-CN"/>
              </w:rPr>
            </w:pPr>
          </w:p>
        </w:tc>
      </w:tr>
      <w:tr w14:paraId="0EEAA8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20D5C85F">
            <w:pPr>
              <w:pStyle w:val="37"/>
              <w:bidi w:val="0"/>
              <w:rPr>
                <w:rFonts w:hint="default" w:ascii="Times New Roman" w:hAnsi="Times New Roman" w:eastAsia="宋体" w:cs="Times New Roman"/>
                <w:color w:val="FF0000"/>
                <w:highlight w:val="none"/>
                <w:lang w:val="en-US" w:eastAsia="zh-CN"/>
              </w:rPr>
            </w:pPr>
          </w:p>
        </w:tc>
        <w:tc>
          <w:tcPr>
            <w:tcW w:w="239" w:type="pct"/>
            <w:vMerge w:val="continue"/>
            <w:noWrap w:val="0"/>
            <w:vAlign w:val="center"/>
          </w:tcPr>
          <w:p w14:paraId="29DD81B0">
            <w:pPr>
              <w:pStyle w:val="37"/>
              <w:bidi w:val="0"/>
              <w:rPr>
                <w:rFonts w:hint="default" w:ascii="Times New Roman" w:hAnsi="Times New Roman" w:eastAsia="宋体" w:cs="Times New Roman"/>
                <w:color w:val="FF0000"/>
                <w:highlight w:val="none"/>
                <w:lang w:val="en-US" w:eastAsia="zh-CN"/>
              </w:rPr>
            </w:pPr>
          </w:p>
        </w:tc>
        <w:tc>
          <w:tcPr>
            <w:tcW w:w="498" w:type="pct"/>
            <w:vMerge w:val="continue"/>
            <w:noWrap w:val="0"/>
            <w:vAlign w:val="center"/>
          </w:tcPr>
          <w:p w14:paraId="1F87AA48">
            <w:pPr>
              <w:pStyle w:val="37"/>
              <w:bidi w:val="0"/>
              <w:rPr>
                <w:rFonts w:hint="default" w:ascii="Times New Roman" w:hAnsi="Times New Roman" w:eastAsia="宋体" w:cs="Times New Roman"/>
                <w:color w:val="FF0000"/>
                <w:highlight w:val="none"/>
                <w:lang w:val="en-US" w:eastAsia="zh-CN"/>
              </w:rPr>
            </w:pPr>
          </w:p>
        </w:tc>
        <w:tc>
          <w:tcPr>
            <w:tcW w:w="453" w:type="pct"/>
            <w:noWrap w:val="0"/>
            <w:vAlign w:val="center"/>
          </w:tcPr>
          <w:p w14:paraId="4FFB2343">
            <w:pPr>
              <w:pStyle w:val="37"/>
              <w:bidi w:val="0"/>
              <w:ind w:firstLine="0" w:firstLineChars="0"/>
              <w:rPr>
                <w:rFonts w:hint="default" w:ascii="Times New Roman" w:hAnsi="Times New Roman" w:eastAsia="宋体" w:cs="Times New Roman"/>
                <w:color w:val="FF0000"/>
                <w:highlight w:val="none"/>
                <w:lang w:val="en-US" w:eastAsia="zh-CN"/>
              </w:rPr>
            </w:pPr>
            <w:r>
              <w:rPr>
                <w:rFonts w:hint="eastAsia" w:ascii="Times New Roman" w:hAnsi="Times New Roman" w:cs="Times New Roman"/>
                <w:color w:val="auto"/>
                <w:highlight w:val="none"/>
                <w:lang w:val="en-US" w:eastAsia="zh-CN"/>
              </w:rPr>
              <w:t>丙烯腈</w:t>
            </w:r>
          </w:p>
        </w:tc>
        <w:tc>
          <w:tcPr>
            <w:tcW w:w="369" w:type="pct"/>
            <w:vMerge w:val="continue"/>
            <w:noWrap w:val="0"/>
            <w:vAlign w:val="center"/>
          </w:tcPr>
          <w:p w14:paraId="65162B65">
            <w:pPr>
              <w:pStyle w:val="37"/>
              <w:bidi w:val="0"/>
              <w:rPr>
                <w:rFonts w:hint="default" w:ascii="Times New Roman" w:hAnsi="Times New Roman" w:eastAsia="宋体" w:cs="Times New Roman"/>
                <w:color w:val="FF0000"/>
                <w:highlight w:val="none"/>
                <w:lang w:val="en-US" w:eastAsia="zh-CN"/>
              </w:rPr>
            </w:pPr>
          </w:p>
        </w:tc>
        <w:tc>
          <w:tcPr>
            <w:tcW w:w="275" w:type="pct"/>
            <w:vMerge w:val="continue"/>
            <w:noWrap w:val="0"/>
            <w:vAlign w:val="center"/>
          </w:tcPr>
          <w:p w14:paraId="79F66181">
            <w:pPr>
              <w:pStyle w:val="37"/>
              <w:bidi w:val="0"/>
              <w:rPr>
                <w:rFonts w:hint="default" w:ascii="Times New Roman" w:hAnsi="Times New Roman" w:eastAsia="宋体" w:cs="Times New Roman"/>
                <w:color w:val="FF0000"/>
                <w:highlight w:val="none"/>
                <w:lang w:val="en-US" w:eastAsia="zh-CN"/>
              </w:rPr>
            </w:pPr>
          </w:p>
        </w:tc>
        <w:tc>
          <w:tcPr>
            <w:tcW w:w="341" w:type="pct"/>
            <w:vMerge w:val="continue"/>
            <w:noWrap w:val="0"/>
            <w:vAlign w:val="center"/>
          </w:tcPr>
          <w:p w14:paraId="7593A2AA">
            <w:pPr>
              <w:pStyle w:val="37"/>
              <w:bidi w:val="0"/>
              <w:rPr>
                <w:rFonts w:hint="default" w:ascii="Times New Roman" w:hAnsi="Times New Roman" w:eastAsia="宋体" w:cs="Times New Roman"/>
                <w:color w:val="FF0000"/>
                <w:highlight w:val="none"/>
                <w:lang w:val="en-US" w:eastAsia="zh-CN"/>
              </w:rPr>
            </w:pPr>
          </w:p>
        </w:tc>
        <w:tc>
          <w:tcPr>
            <w:tcW w:w="390" w:type="pct"/>
            <w:noWrap w:val="0"/>
            <w:vAlign w:val="center"/>
          </w:tcPr>
          <w:p w14:paraId="5FD95D57">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0.0003</w:t>
            </w:r>
          </w:p>
        </w:tc>
        <w:tc>
          <w:tcPr>
            <w:tcW w:w="549" w:type="pct"/>
            <w:vMerge w:val="continue"/>
            <w:noWrap w:val="0"/>
            <w:vAlign w:val="center"/>
          </w:tcPr>
          <w:p w14:paraId="3E6B79FA">
            <w:pPr>
              <w:pStyle w:val="37"/>
              <w:bidi w:val="0"/>
              <w:rPr>
                <w:rFonts w:hint="default" w:ascii="Times New Roman" w:hAnsi="Times New Roman" w:eastAsia="宋体" w:cs="Times New Roman"/>
                <w:color w:val="FF0000"/>
                <w:highlight w:val="none"/>
                <w:lang w:eastAsia="zh-CN"/>
              </w:rPr>
            </w:pPr>
          </w:p>
        </w:tc>
        <w:tc>
          <w:tcPr>
            <w:tcW w:w="292" w:type="pct"/>
            <w:vMerge w:val="continue"/>
            <w:noWrap w:val="0"/>
            <w:vAlign w:val="center"/>
          </w:tcPr>
          <w:p w14:paraId="3346AB02">
            <w:pPr>
              <w:pStyle w:val="37"/>
              <w:bidi w:val="0"/>
              <w:rPr>
                <w:rFonts w:hint="default" w:ascii="Times New Roman" w:hAnsi="Times New Roman" w:eastAsia="宋体" w:cs="Times New Roman"/>
                <w:color w:val="FF0000"/>
                <w:highlight w:val="none"/>
                <w:lang w:val="en-US" w:eastAsia="zh-CN"/>
              </w:rPr>
            </w:pPr>
          </w:p>
        </w:tc>
        <w:tc>
          <w:tcPr>
            <w:tcW w:w="275" w:type="pct"/>
            <w:vMerge w:val="continue"/>
            <w:shd w:val="clear" w:color="auto" w:fill="auto"/>
            <w:noWrap w:val="0"/>
            <w:vAlign w:val="center"/>
          </w:tcPr>
          <w:p w14:paraId="262624E1">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p>
        </w:tc>
        <w:tc>
          <w:tcPr>
            <w:tcW w:w="346" w:type="pct"/>
            <w:vMerge w:val="continue"/>
            <w:shd w:val="clear" w:color="auto" w:fill="auto"/>
            <w:noWrap w:val="0"/>
            <w:vAlign w:val="center"/>
          </w:tcPr>
          <w:p w14:paraId="332C792E">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p>
        </w:tc>
        <w:tc>
          <w:tcPr>
            <w:tcW w:w="391" w:type="pct"/>
            <w:shd w:val="clear" w:color="auto" w:fill="auto"/>
            <w:noWrap w:val="0"/>
            <w:vAlign w:val="center"/>
          </w:tcPr>
          <w:p w14:paraId="4D8430E3">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eastAsia" w:ascii="Times New Roman" w:hAnsi="Times New Roman" w:eastAsia="宋体" w:cs="Times New Roman"/>
                <w:color w:val="auto"/>
                <w:highlight w:val="none"/>
                <w:lang w:val="en-US" w:eastAsia="zh-CN"/>
              </w:rPr>
              <w:t>0.0003</w:t>
            </w:r>
          </w:p>
        </w:tc>
        <w:tc>
          <w:tcPr>
            <w:tcW w:w="313" w:type="pct"/>
            <w:vMerge w:val="continue"/>
            <w:noWrap w:val="0"/>
            <w:vAlign w:val="center"/>
          </w:tcPr>
          <w:p w14:paraId="4ED4860E">
            <w:pPr>
              <w:pStyle w:val="37"/>
              <w:bidi w:val="0"/>
              <w:rPr>
                <w:rFonts w:hint="default" w:ascii="Times New Roman" w:hAnsi="Times New Roman" w:eastAsia="宋体" w:cs="Times New Roman"/>
                <w:color w:val="FF0000"/>
                <w:highlight w:val="none"/>
                <w:lang w:val="en-US" w:eastAsia="zh-CN"/>
              </w:rPr>
            </w:pPr>
          </w:p>
        </w:tc>
      </w:tr>
      <w:tr w14:paraId="10662B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59538E78">
            <w:pPr>
              <w:pStyle w:val="37"/>
              <w:bidi w:val="0"/>
              <w:rPr>
                <w:rFonts w:hint="default" w:ascii="Times New Roman" w:hAnsi="Times New Roman" w:eastAsia="宋体" w:cs="Times New Roman"/>
                <w:color w:val="FF0000"/>
                <w:highlight w:val="none"/>
                <w:lang w:val="en-US" w:eastAsia="zh-CN"/>
              </w:rPr>
            </w:pPr>
          </w:p>
        </w:tc>
        <w:tc>
          <w:tcPr>
            <w:tcW w:w="239" w:type="pct"/>
            <w:vMerge w:val="continue"/>
            <w:noWrap w:val="0"/>
            <w:vAlign w:val="center"/>
          </w:tcPr>
          <w:p w14:paraId="3945DDFD">
            <w:pPr>
              <w:pStyle w:val="37"/>
              <w:bidi w:val="0"/>
              <w:rPr>
                <w:rFonts w:hint="default" w:ascii="Times New Roman" w:hAnsi="Times New Roman" w:eastAsia="宋体" w:cs="Times New Roman"/>
                <w:color w:val="FF0000"/>
                <w:highlight w:val="none"/>
                <w:lang w:val="en-US" w:eastAsia="zh-CN"/>
              </w:rPr>
            </w:pPr>
          </w:p>
        </w:tc>
        <w:tc>
          <w:tcPr>
            <w:tcW w:w="498" w:type="pct"/>
            <w:vMerge w:val="continue"/>
            <w:noWrap w:val="0"/>
            <w:vAlign w:val="center"/>
          </w:tcPr>
          <w:p w14:paraId="7CEACFAE">
            <w:pPr>
              <w:pStyle w:val="37"/>
              <w:bidi w:val="0"/>
              <w:rPr>
                <w:rFonts w:hint="default" w:ascii="Times New Roman" w:hAnsi="Times New Roman" w:eastAsia="宋体" w:cs="Times New Roman"/>
                <w:color w:val="FF0000"/>
                <w:highlight w:val="none"/>
                <w:lang w:val="en-US" w:eastAsia="zh-CN"/>
              </w:rPr>
            </w:pPr>
          </w:p>
        </w:tc>
        <w:tc>
          <w:tcPr>
            <w:tcW w:w="453" w:type="pct"/>
            <w:noWrap w:val="0"/>
            <w:vAlign w:val="center"/>
          </w:tcPr>
          <w:p w14:paraId="326DF86A">
            <w:pPr>
              <w:pStyle w:val="37"/>
              <w:bidi w:val="0"/>
              <w:ind w:firstLine="0" w:firstLineChars="0"/>
              <w:rPr>
                <w:rFonts w:hint="default" w:ascii="Times New Roman" w:hAnsi="Times New Roman" w:eastAsia="宋体" w:cs="Times New Roman"/>
                <w:color w:val="FF0000"/>
                <w:highlight w:val="none"/>
                <w:lang w:val="en-US" w:eastAsia="zh-CN"/>
              </w:rPr>
            </w:pPr>
            <w:r>
              <w:rPr>
                <w:rFonts w:hint="eastAsia" w:ascii="Times New Roman" w:hAnsi="Times New Roman" w:cs="Times New Roman"/>
                <w:color w:val="auto"/>
                <w:highlight w:val="none"/>
                <w:lang w:val="en-US" w:eastAsia="zh-CN"/>
              </w:rPr>
              <w:t>乙苯</w:t>
            </w:r>
          </w:p>
        </w:tc>
        <w:tc>
          <w:tcPr>
            <w:tcW w:w="369" w:type="pct"/>
            <w:vMerge w:val="continue"/>
            <w:noWrap w:val="0"/>
            <w:vAlign w:val="center"/>
          </w:tcPr>
          <w:p w14:paraId="54000307">
            <w:pPr>
              <w:pStyle w:val="37"/>
              <w:bidi w:val="0"/>
              <w:rPr>
                <w:rFonts w:hint="default" w:ascii="Times New Roman" w:hAnsi="Times New Roman" w:eastAsia="宋体" w:cs="Times New Roman"/>
                <w:color w:val="FF0000"/>
                <w:highlight w:val="none"/>
                <w:lang w:val="en-US" w:eastAsia="zh-CN"/>
              </w:rPr>
            </w:pPr>
          </w:p>
        </w:tc>
        <w:tc>
          <w:tcPr>
            <w:tcW w:w="275" w:type="pct"/>
            <w:vMerge w:val="continue"/>
            <w:noWrap w:val="0"/>
            <w:vAlign w:val="center"/>
          </w:tcPr>
          <w:p w14:paraId="5209134A">
            <w:pPr>
              <w:pStyle w:val="37"/>
              <w:bidi w:val="0"/>
              <w:rPr>
                <w:rFonts w:hint="default" w:ascii="Times New Roman" w:hAnsi="Times New Roman" w:cs="Times New Roman"/>
                <w:color w:val="FF0000"/>
                <w:highlight w:val="none"/>
                <w:lang w:val="en-US" w:eastAsia="zh-CN"/>
              </w:rPr>
            </w:pPr>
          </w:p>
        </w:tc>
        <w:tc>
          <w:tcPr>
            <w:tcW w:w="341" w:type="pct"/>
            <w:vMerge w:val="continue"/>
            <w:noWrap w:val="0"/>
            <w:vAlign w:val="center"/>
          </w:tcPr>
          <w:p w14:paraId="40AA9A7A">
            <w:pPr>
              <w:pStyle w:val="37"/>
              <w:bidi w:val="0"/>
              <w:rPr>
                <w:rFonts w:hint="default" w:ascii="Times New Roman" w:hAnsi="Times New Roman" w:cs="Times New Roman"/>
                <w:color w:val="FF0000"/>
                <w:highlight w:val="none"/>
                <w:lang w:val="en-US" w:eastAsia="zh-CN"/>
              </w:rPr>
            </w:pPr>
          </w:p>
        </w:tc>
        <w:tc>
          <w:tcPr>
            <w:tcW w:w="390" w:type="pct"/>
            <w:noWrap w:val="0"/>
            <w:vAlign w:val="center"/>
          </w:tcPr>
          <w:p w14:paraId="69FBFF91">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0.0004</w:t>
            </w:r>
          </w:p>
        </w:tc>
        <w:tc>
          <w:tcPr>
            <w:tcW w:w="549" w:type="pct"/>
            <w:vMerge w:val="continue"/>
            <w:noWrap w:val="0"/>
            <w:vAlign w:val="center"/>
          </w:tcPr>
          <w:p w14:paraId="7822C6DE">
            <w:pPr>
              <w:pStyle w:val="37"/>
              <w:bidi w:val="0"/>
              <w:rPr>
                <w:rFonts w:hint="default" w:ascii="Times New Roman" w:hAnsi="Times New Roman" w:cs="Times New Roman"/>
                <w:color w:val="FF0000"/>
                <w:highlight w:val="none"/>
                <w:lang w:val="en-US" w:eastAsia="zh-CN"/>
              </w:rPr>
            </w:pPr>
          </w:p>
        </w:tc>
        <w:tc>
          <w:tcPr>
            <w:tcW w:w="292" w:type="pct"/>
            <w:vMerge w:val="continue"/>
            <w:noWrap w:val="0"/>
            <w:vAlign w:val="center"/>
          </w:tcPr>
          <w:p w14:paraId="3A4E0ADF">
            <w:pPr>
              <w:pStyle w:val="37"/>
              <w:bidi w:val="0"/>
              <w:rPr>
                <w:rFonts w:hint="default" w:ascii="Times New Roman" w:hAnsi="Times New Roman" w:cs="Times New Roman"/>
                <w:color w:val="FF0000"/>
                <w:highlight w:val="none"/>
                <w:lang w:val="en-US" w:eastAsia="zh-CN"/>
              </w:rPr>
            </w:pPr>
          </w:p>
        </w:tc>
        <w:tc>
          <w:tcPr>
            <w:tcW w:w="275" w:type="pct"/>
            <w:vMerge w:val="continue"/>
            <w:shd w:val="clear" w:color="auto" w:fill="auto"/>
            <w:noWrap w:val="0"/>
            <w:vAlign w:val="center"/>
          </w:tcPr>
          <w:p w14:paraId="14EB0367">
            <w:pPr>
              <w:pStyle w:val="37"/>
              <w:bidi w:val="0"/>
              <w:ind w:firstLine="0" w:firstLineChars="0"/>
              <w:rPr>
                <w:rFonts w:hint="default" w:ascii="Times New Roman" w:hAnsi="Times New Roman" w:cs="Times New Roman"/>
                <w:color w:val="FF0000"/>
                <w:highlight w:val="none"/>
                <w:lang w:val="en-US" w:eastAsia="zh-CN"/>
              </w:rPr>
            </w:pPr>
          </w:p>
        </w:tc>
        <w:tc>
          <w:tcPr>
            <w:tcW w:w="346" w:type="pct"/>
            <w:vMerge w:val="continue"/>
            <w:shd w:val="clear" w:color="auto" w:fill="auto"/>
            <w:noWrap w:val="0"/>
            <w:vAlign w:val="center"/>
          </w:tcPr>
          <w:p w14:paraId="2BAE707A">
            <w:pPr>
              <w:pStyle w:val="37"/>
              <w:bidi w:val="0"/>
              <w:ind w:firstLine="0" w:firstLineChars="0"/>
              <w:rPr>
                <w:rFonts w:hint="default" w:ascii="Times New Roman" w:hAnsi="Times New Roman" w:cs="Times New Roman"/>
                <w:color w:val="FF0000"/>
                <w:highlight w:val="none"/>
                <w:lang w:val="en-US" w:eastAsia="zh-CN"/>
              </w:rPr>
            </w:pPr>
          </w:p>
        </w:tc>
        <w:tc>
          <w:tcPr>
            <w:tcW w:w="391" w:type="pct"/>
            <w:shd w:val="clear" w:color="auto" w:fill="auto"/>
            <w:noWrap w:val="0"/>
            <w:vAlign w:val="center"/>
          </w:tcPr>
          <w:p w14:paraId="0FF5E92B">
            <w:pPr>
              <w:pStyle w:val="37"/>
              <w:bidi w:val="0"/>
              <w:ind w:firstLine="0" w:firstLineChars="0"/>
              <w:rPr>
                <w:rFonts w:hint="default" w:ascii="Times New Roman" w:hAnsi="Times New Roman" w:cs="Times New Roman"/>
                <w:color w:val="FF0000"/>
                <w:highlight w:val="none"/>
                <w:lang w:val="en-US" w:eastAsia="zh-CN"/>
              </w:rPr>
            </w:pPr>
            <w:r>
              <w:rPr>
                <w:rFonts w:hint="eastAsia" w:ascii="Times New Roman" w:hAnsi="Times New Roman" w:cs="Times New Roman"/>
                <w:color w:val="auto"/>
                <w:highlight w:val="none"/>
                <w:lang w:val="en-US" w:eastAsia="zh-CN"/>
              </w:rPr>
              <w:t>0.0004</w:t>
            </w:r>
          </w:p>
        </w:tc>
        <w:tc>
          <w:tcPr>
            <w:tcW w:w="313" w:type="pct"/>
            <w:vMerge w:val="continue"/>
            <w:noWrap w:val="0"/>
            <w:vAlign w:val="center"/>
          </w:tcPr>
          <w:p w14:paraId="25C48C70">
            <w:pPr>
              <w:pStyle w:val="37"/>
              <w:bidi w:val="0"/>
              <w:rPr>
                <w:rFonts w:hint="eastAsia" w:ascii="Times New Roman" w:hAnsi="Times New Roman" w:eastAsia="宋体" w:cs="Times New Roman"/>
                <w:color w:val="FF0000"/>
                <w:highlight w:val="none"/>
                <w:lang w:val="en-US" w:eastAsia="zh-CN"/>
              </w:rPr>
            </w:pPr>
          </w:p>
        </w:tc>
      </w:tr>
      <w:tr w14:paraId="275099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4AD36F7B">
            <w:pPr>
              <w:pStyle w:val="37"/>
              <w:bidi w:val="0"/>
              <w:rPr>
                <w:rFonts w:hint="default" w:ascii="Times New Roman" w:hAnsi="Times New Roman" w:eastAsia="宋体" w:cs="Times New Roman"/>
                <w:color w:val="FF0000"/>
                <w:highlight w:val="none"/>
                <w:lang w:val="en-US" w:eastAsia="zh-CN"/>
              </w:rPr>
            </w:pPr>
          </w:p>
        </w:tc>
        <w:tc>
          <w:tcPr>
            <w:tcW w:w="239" w:type="pct"/>
            <w:vMerge w:val="continue"/>
            <w:noWrap w:val="0"/>
            <w:vAlign w:val="center"/>
          </w:tcPr>
          <w:p w14:paraId="0975FCC8">
            <w:pPr>
              <w:pStyle w:val="37"/>
              <w:bidi w:val="0"/>
              <w:rPr>
                <w:rFonts w:hint="default" w:ascii="Times New Roman" w:hAnsi="Times New Roman" w:eastAsia="宋体" w:cs="Times New Roman"/>
                <w:color w:val="FF0000"/>
                <w:highlight w:val="none"/>
                <w:lang w:val="en-US" w:eastAsia="zh-CN"/>
              </w:rPr>
            </w:pPr>
          </w:p>
        </w:tc>
        <w:tc>
          <w:tcPr>
            <w:tcW w:w="498" w:type="pct"/>
            <w:vMerge w:val="continue"/>
            <w:noWrap w:val="0"/>
            <w:vAlign w:val="center"/>
          </w:tcPr>
          <w:p w14:paraId="03B00353">
            <w:pPr>
              <w:pStyle w:val="37"/>
              <w:bidi w:val="0"/>
              <w:rPr>
                <w:rFonts w:hint="default" w:ascii="Times New Roman" w:hAnsi="Times New Roman" w:eastAsia="宋体" w:cs="Times New Roman"/>
                <w:color w:val="FF0000"/>
                <w:highlight w:val="none"/>
                <w:lang w:val="en-US" w:eastAsia="zh-CN"/>
              </w:rPr>
            </w:pPr>
          </w:p>
        </w:tc>
        <w:tc>
          <w:tcPr>
            <w:tcW w:w="453" w:type="pct"/>
            <w:noWrap w:val="0"/>
            <w:vAlign w:val="center"/>
          </w:tcPr>
          <w:p w14:paraId="6BDF8018">
            <w:pPr>
              <w:pStyle w:val="37"/>
              <w:bidi w:val="0"/>
              <w:ind w:firstLine="0" w:firstLineChars="0"/>
              <w:rPr>
                <w:rFonts w:hint="default" w:ascii="Times New Roman" w:hAnsi="Times New Roman" w:eastAsia="宋体" w:cs="Times New Roman"/>
                <w:color w:val="FF0000"/>
                <w:highlight w:val="none"/>
                <w:lang w:val="en-US" w:eastAsia="zh-CN"/>
              </w:rPr>
            </w:pPr>
            <w:r>
              <w:rPr>
                <w:rFonts w:hint="eastAsia" w:ascii="Times New Roman" w:hAnsi="Times New Roman" w:cs="Times New Roman"/>
                <w:color w:val="auto"/>
                <w:highlight w:val="none"/>
                <w:lang w:val="en-US" w:eastAsia="zh-CN"/>
              </w:rPr>
              <w:t>甲苯</w:t>
            </w:r>
          </w:p>
        </w:tc>
        <w:tc>
          <w:tcPr>
            <w:tcW w:w="369" w:type="pct"/>
            <w:vMerge w:val="continue"/>
            <w:noWrap w:val="0"/>
            <w:vAlign w:val="center"/>
          </w:tcPr>
          <w:p w14:paraId="6DDFF00D">
            <w:pPr>
              <w:pStyle w:val="37"/>
              <w:bidi w:val="0"/>
              <w:rPr>
                <w:rFonts w:hint="default" w:ascii="Times New Roman" w:hAnsi="Times New Roman" w:eastAsia="宋体" w:cs="Times New Roman"/>
                <w:color w:val="FF0000"/>
                <w:highlight w:val="none"/>
                <w:lang w:val="en-US" w:eastAsia="zh-CN"/>
              </w:rPr>
            </w:pPr>
          </w:p>
        </w:tc>
        <w:tc>
          <w:tcPr>
            <w:tcW w:w="275" w:type="pct"/>
            <w:vMerge w:val="continue"/>
            <w:noWrap w:val="0"/>
            <w:vAlign w:val="center"/>
          </w:tcPr>
          <w:p w14:paraId="0BA6F41F">
            <w:pPr>
              <w:pStyle w:val="37"/>
              <w:bidi w:val="0"/>
              <w:rPr>
                <w:rFonts w:hint="default" w:ascii="Times New Roman" w:hAnsi="Times New Roman" w:cs="Times New Roman"/>
                <w:color w:val="FF0000"/>
                <w:highlight w:val="none"/>
                <w:lang w:val="en-US" w:eastAsia="zh-CN"/>
              </w:rPr>
            </w:pPr>
          </w:p>
        </w:tc>
        <w:tc>
          <w:tcPr>
            <w:tcW w:w="341" w:type="pct"/>
            <w:vMerge w:val="continue"/>
            <w:noWrap w:val="0"/>
            <w:vAlign w:val="center"/>
          </w:tcPr>
          <w:p w14:paraId="75D35A56">
            <w:pPr>
              <w:pStyle w:val="37"/>
              <w:bidi w:val="0"/>
              <w:rPr>
                <w:rFonts w:hint="default" w:ascii="Times New Roman" w:hAnsi="Times New Roman" w:cs="Times New Roman"/>
                <w:color w:val="FF0000"/>
                <w:highlight w:val="none"/>
                <w:lang w:val="en-US" w:eastAsia="zh-CN"/>
              </w:rPr>
            </w:pPr>
          </w:p>
        </w:tc>
        <w:tc>
          <w:tcPr>
            <w:tcW w:w="390" w:type="pct"/>
            <w:noWrap w:val="0"/>
            <w:vAlign w:val="center"/>
          </w:tcPr>
          <w:p w14:paraId="149B63D8">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0.0009</w:t>
            </w:r>
          </w:p>
        </w:tc>
        <w:tc>
          <w:tcPr>
            <w:tcW w:w="549" w:type="pct"/>
            <w:vMerge w:val="continue"/>
            <w:noWrap w:val="0"/>
            <w:vAlign w:val="center"/>
          </w:tcPr>
          <w:p w14:paraId="168D2100">
            <w:pPr>
              <w:pStyle w:val="37"/>
              <w:bidi w:val="0"/>
              <w:rPr>
                <w:rFonts w:hint="default" w:ascii="Times New Roman" w:hAnsi="Times New Roman" w:cs="Times New Roman"/>
                <w:color w:val="FF0000"/>
                <w:highlight w:val="none"/>
                <w:lang w:val="en-US" w:eastAsia="zh-CN"/>
              </w:rPr>
            </w:pPr>
          </w:p>
        </w:tc>
        <w:tc>
          <w:tcPr>
            <w:tcW w:w="292" w:type="pct"/>
            <w:vMerge w:val="continue"/>
            <w:noWrap w:val="0"/>
            <w:vAlign w:val="center"/>
          </w:tcPr>
          <w:p w14:paraId="1B2C965E">
            <w:pPr>
              <w:pStyle w:val="37"/>
              <w:bidi w:val="0"/>
              <w:rPr>
                <w:rFonts w:hint="default" w:ascii="Times New Roman" w:hAnsi="Times New Roman" w:cs="Times New Roman"/>
                <w:color w:val="FF0000"/>
                <w:highlight w:val="none"/>
                <w:lang w:val="en-US" w:eastAsia="zh-CN"/>
              </w:rPr>
            </w:pPr>
          </w:p>
        </w:tc>
        <w:tc>
          <w:tcPr>
            <w:tcW w:w="275" w:type="pct"/>
            <w:vMerge w:val="continue"/>
            <w:shd w:val="clear" w:color="auto" w:fill="auto"/>
            <w:noWrap w:val="0"/>
            <w:vAlign w:val="center"/>
          </w:tcPr>
          <w:p w14:paraId="0E2BDC5C">
            <w:pPr>
              <w:pStyle w:val="37"/>
              <w:bidi w:val="0"/>
              <w:ind w:firstLine="0" w:firstLineChars="0"/>
              <w:rPr>
                <w:rFonts w:hint="default" w:ascii="Times New Roman" w:hAnsi="Times New Roman" w:cs="Times New Roman"/>
                <w:color w:val="FF0000"/>
                <w:highlight w:val="none"/>
                <w:lang w:val="en-US" w:eastAsia="zh-CN"/>
              </w:rPr>
            </w:pPr>
          </w:p>
        </w:tc>
        <w:tc>
          <w:tcPr>
            <w:tcW w:w="346" w:type="pct"/>
            <w:vMerge w:val="continue"/>
            <w:shd w:val="clear" w:color="auto" w:fill="auto"/>
            <w:noWrap w:val="0"/>
            <w:vAlign w:val="center"/>
          </w:tcPr>
          <w:p w14:paraId="4D08499C">
            <w:pPr>
              <w:pStyle w:val="37"/>
              <w:bidi w:val="0"/>
              <w:ind w:firstLine="0" w:firstLineChars="0"/>
              <w:rPr>
                <w:rFonts w:hint="default" w:ascii="Times New Roman" w:hAnsi="Times New Roman" w:cs="Times New Roman"/>
                <w:color w:val="FF0000"/>
                <w:highlight w:val="none"/>
                <w:lang w:val="en-US" w:eastAsia="zh-CN"/>
              </w:rPr>
            </w:pPr>
          </w:p>
        </w:tc>
        <w:tc>
          <w:tcPr>
            <w:tcW w:w="391" w:type="pct"/>
            <w:shd w:val="clear" w:color="auto" w:fill="auto"/>
            <w:noWrap w:val="0"/>
            <w:vAlign w:val="center"/>
          </w:tcPr>
          <w:p w14:paraId="695FD3D3">
            <w:pPr>
              <w:pStyle w:val="37"/>
              <w:bidi w:val="0"/>
              <w:ind w:firstLine="0" w:firstLineChars="0"/>
              <w:rPr>
                <w:rFonts w:hint="default" w:ascii="Times New Roman" w:hAnsi="Times New Roman" w:cs="Times New Roman"/>
                <w:color w:val="FF0000"/>
                <w:highlight w:val="none"/>
                <w:lang w:val="en-US" w:eastAsia="zh-CN"/>
              </w:rPr>
            </w:pPr>
            <w:r>
              <w:rPr>
                <w:rFonts w:hint="eastAsia" w:ascii="Times New Roman" w:hAnsi="Times New Roman" w:cs="Times New Roman"/>
                <w:color w:val="auto"/>
                <w:highlight w:val="none"/>
                <w:lang w:val="en-US" w:eastAsia="zh-CN"/>
              </w:rPr>
              <w:t>0.0009</w:t>
            </w:r>
          </w:p>
        </w:tc>
        <w:tc>
          <w:tcPr>
            <w:tcW w:w="313" w:type="pct"/>
            <w:vMerge w:val="continue"/>
            <w:noWrap w:val="0"/>
            <w:vAlign w:val="center"/>
          </w:tcPr>
          <w:p w14:paraId="3C7B226B">
            <w:pPr>
              <w:pStyle w:val="37"/>
              <w:bidi w:val="0"/>
              <w:rPr>
                <w:rFonts w:hint="eastAsia" w:ascii="Times New Roman" w:hAnsi="Times New Roman" w:eastAsia="宋体" w:cs="Times New Roman"/>
                <w:color w:val="FF0000"/>
                <w:highlight w:val="none"/>
                <w:lang w:val="en-US" w:eastAsia="zh-CN"/>
              </w:rPr>
            </w:pPr>
          </w:p>
        </w:tc>
      </w:tr>
      <w:tr w14:paraId="16D0CA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78EE5DA4">
            <w:pPr>
              <w:pStyle w:val="37"/>
              <w:bidi w:val="0"/>
              <w:rPr>
                <w:rFonts w:hint="default" w:ascii="Times New Roman" w:hAnsi="Times New Roman" w:eastAsia="宋体" w:cs="Times New Roman"/>
                <w:color w:val="FF0000"/>
                <w:highlight w:val="none"/>
                <w:lang w:val="en-US" w:eastAsia="zh-CN"/>
              </w:rPr>
            </w:pPr>
          </w:p>
        </w:tc>
        <w:tc>
          <w:tcPr>
            <w:tcW w:w="239" w:type="pct"/>
            <w:vMerge w:val="continue"/>
            <w:noWrap w:val="0"/>
            <w:vAlign w:val="center"/>
          </w:tcPr>
          <w:p w14:paraId="4CAE3B14">
            <w:pPr>
              <w:pStyle w:val="37"/>
              <w:bidi w:val="0"/>
              <w:rPr>
                <w:rFonts w:hint="default" w:ascii="Times New Roman" w:hAnsi="Times New Roman" w:eastAsia="宋体" w:cs="Times New Roman"/>
                <w:color w:val="FF0000"/>
                <w:highlight w:val="none"/>
                <w:lang w:val="en-US" w:eastAsia="zh-CN"/>
              </w:rPr>
            </w:pPr>
          </w:p>
        </w:tc>
        <w:tc>
          <w:tcPr>
            <w:tcW w:w="498" w:type="pct"/>
            <w:vMerge w:val="continue"/>
            <w:noWrap w:val="0"/>
            <w:vAlign w:val="center"/>
          </w:tcPr>
          <w:p w14:paraId="31E6954E">
            <w:pPr>
              <w:pStyle w:val="37"/>
              <w:bidi w:val="0"/>
              <w:rPr>
                <w:rFonts w:hint="default" w:ascii="Times New Roman" w:hAnsi="Times New Roman" w:eastAsia="宋体" w:cs="Times New Roman"/>
                <w:color w:val="FF0000"/>
                <w:highlight w:val="none"/>
                <w:lang w:val="en-US" w:eastAsia="zh-CN"/>
              </w:rPr>
            </w:pPr>
          </w:p>
        </w:tc>
        <w:tc>
          <w:tcPr>
            <w:tcW w:w="453" w:type="pct"/>
            <w:noWrap w:val="0"/>
            <w:vAlign w:val="center"/>
          </w:tcPr>
          <w:p w14:paraId="3E853A06">
            <w:pPr>
              <w:pStyle w:val="37"/>
              <w:bidi w:val="0"/>
              <w:ind w:firstLine="0" w:firstLineChars="0"/>
              <w:rPr>
                <w:rFonts w:hint="default" w:ascii="Times New Roman" w:hAnsi="Times New Roman" w:eastAsia="宋体" w:cs="Times New Roman"/>
                <w:color w:val="FF0000"/>
                <w:highlight w:val="none"/>
                <w:lang w:val="en-US" w:eastAsia="zh-CN"/>
              </w:rPr>
            </w:pPr>
            <w:r>
              <w:rPr>
                <w:rFonts w:hint="eastAsia" w:ascii="Times New Roman" w:hAnsi="Times New Roman" w:cs="Times New Roman"/>
                <w:color w:val="auto"/>
                <w:highlight w:val="none"/>
                <w:lang w:val="en-US" w:eastAsia="zh-CN"/>
              </w:rPr>
              <w:t>1,3-丁二烯</w:t>
            </w:r>
          </w:p>
        </w:tc>
        <w:tc>
          <w:tcPr>
            <w:tcW w:w="369" w:type="pct"/>
            <w:vMerge w:val="continue"/>
            <w:noWrap w:val="0"/>
            <w:vAlign w:val="center"/>
          </w:tcPr>
          <w:p w14:paraId="307B7BEF">
            <w:pPr>
              <w:pStyle w:val="37"/>
              <w:bidi w:val="0"/>
              <w:rPr>
                <w:rFonts w:hint="default" w:ascii="Times New Roman" w:hAnsi="Times New Roman" w:eastAsia="宋体" w:cs="Times New Roman"/>
                <w:color w:val="FF0000"/>
                <w:highlight w:val="none"/>
                <w:lang w:val="en-US" w:eastAsia="zh-CN"/>
              </w:rPr>
            </w:pPr>
          </w:p>
        </w:tc>
        <w:tc>
          <w:tcPr>
            <w:tcW w:w="275" w:type="pct"/>
            <w:vMerge w:val="continue"/>
            <w:noWrap w:val="0"/>
            <w:vAlign w:val="center"/>
          </w:tcPr>
          <w:p w14:paraId="2507F84D">
            <w:pPr>
              <w:pStyle w:val="37"/>
              <w:bidi w:val="0"/>
              <w:rPr>
                <w:rFonts w:hint="default" w:ascii="Times New Roman" w:hAnsi="Times New Roman" w:cs="Times New Roman"/>
                <w:color w:val="FF0000"/>
                <w:highlight w:val="none"/>
                <w:lang w:val="en-US" w:eastAsia="zh-CN"/>
              </w:rPr>
            </w:pPr>
          </w:p>
        </w:tc>
        <w:tc>
          <w:tcPr>
            <w:tcW w:w="341" w:type="pct"/>
            <w:vMerge w:val="continue"/>
            <w:noWrap w:val="0"/>
            <w:vAlign w:val="center"/>
          </w:tcPr>
          <w:p w14:paraId="5F8B79E0">
            <w:pPr>
              <w:pStyle w:val="37"/>
              <w:bidi w:val="0"/>
              <w:rPr>
                <w:rFonts w:hint="default" w:ascii="Times New Roman" w:hAnsi="Times New Roman" w:cs="Times New Roman"/>
                <w:color w:val="FF0000"/>
                <w:highlight w:val="none"/>
                <w:lang w:val="en-US" w:eastAsia="zh-CN"/>
              </w:rPr>
            </w:pPr>
          </w:p>
        </w:tc>
        <w:tc>
          <w:tcPr>
            <w:tcW w:w="390" w:type="pct"/>
            <w:noWrap w:val="0"/>
            <w:vAlign w:val="center"/>
          </w:tcPr>
          <w:p w14:paraId="0F190D4F">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0.0001</w:t>
            </w:r>
          </w:p>
        </w:tc>
        <w:tc>
          <w:tcPr>
            <w:tcW w:w="549" w:type="pct"/>
            <w:vMerge w:val="continue"/>
            <w:noWrap w:val="0"/>
            <w:vAlign w:val="center"/>
          </w:tcPr>
          <w:p w14:paraId="186176ED">
            <w:pPr>
              <w:pStyle w:val="37"/>
              <w:bidi w:val="0"/>
              <w:rPr>
                <w:rFonts w:hint="default" w:ascii="Times New Roman" w:hAnsi="Times New Roman" w:cs="Times New Roman"/>
                <w:color w:val="FF0000"/>
                <w:highlight w:val="none"/>
                <w:lang w:val="en-US" w:eastAsia="zh-CN"/>
              </w:rPr>
            </w:pPr>
          </w:p>
        </w:tc>
        <w:tc>
          <w:tcPr>
            <w:tcW w:w="292" w:type="pct"/>
            <w:vMerge w:val="continue"/>
            <w:noWrap w:val="0"/>
            <w:vAlign w:val="center"/>
          </w:tcPr>
          <w:p w14:paraId="0F3B89F9">
            <w:pPr>
              <w:pStyle w:val="37"/>
              <w:bidi w:val="0"/>
              <w:rPr>
                <w:rFonts w:hint="default" w:ascii="Times New Roman" w:hAnsi="Times New Roman" w:cs="Times New Roman"/>
                <w:color w:val="FF0000"/>
                <w:highlight w:val="none"/>
                <w:lang w:val="en-US" w:eastAsia="zh-CN"/>
              </w:rPr>
            </w:pPr>
          </w:p>
        </w:tc>
        <w:tc>
          <w:tcPr>
            <w:tcW w:w="275" w:type="pct"/>
            <w:vMerge w:val="continue"/>
            <w:shd w:val="clear" w:color="auto" w:fill="auto"/>
            <w:noWrap w:val="0"/>
            <w:vAlign w:val="center"/>
          </w:tcPr>
          <w:p w14:paraId="3791032F">
            <w:pPr>
              <w:pStyle w:val="37"/>
              <w:bidi w:val="0"/>
              <w:ind w:firstLine="0" w:firstLineChars="0"/>
              <w:rPr>
                <w:rFonts w:hint="default" w:ascii="Times New Roman" w:hAnsi="Times New Roman" w:cs="Times New Roman"/>
                <w:color w:val="FF0000"/>
                <w:highlight w:val="none"/>
                <w:lang w:val="en-US" w:eastAsia="zh-CN"/>
              </w:rPr>
            </w:pPr>
          </w:p>
        </w:tc>
        <w:tc>
          <w:tcPr>
            <w:tcW w:w="346" w:type="pct"/>
            <w:vMerge w:val="continue"/>
            <w:shd w:val="clear" w:color="auto" w:fill="auto"/>
            <w:noWrap w:val="0"/>
            <w:vAlign w:val="center"/>
          </w:tcPr>
          <w:p w14:paraId="2231B023">
            <w:pPr>
              <w:pStyle w:val="37"/>
              <w:bidi w:val="0"/>
              <w:ind w:firstLine="0" w:firstLineChars="0"/>
              <w:rPr>
                <w:rFonts w:hint="default" w:ascii="Times New Roman" w:hAnsi="Times New Roman" w:cs="Times New Roman"/>
                <w:color w:val="FF0000"/>
                <w:highlight w:val="none"/>
                <w:lang w:val="en-US" w:eastAsia="zh-CN"/>
              </w:rPr>
            </w:pPr>
          </w:p>
        </w:tc>
        <w:tc>
          <w:tcPr>
            <w:tcW w:w="391" w:type="pct"/>
            <w:shd w:val="clear" w:color="auto" w:fill="auto"/>
            <w:noWrap w:val="0"/>
            <w:vAlign w:val="center"/>
          </w:tcPr>
          <w:p w14:paraId="6885742B">
            <w:pPr>
              <w:pStyle w:val="37"/>
              <w:bidi w:val="0"/>
              <w:ind w:firstLine="0" w:firstLineChars="0"/>
              <w:rPr>
                <w:rFonts w:hint="default" w:ascii="Times New Roman" w:hAnsi="Times New Roman" w:cs="Times New Roman"/>
                <w:color w:val="FF0000"/>
                <w:highlight w:val="none"/>
                <w:lang w:val="en-US" w:eastAsia="zh-CN"/>
              </w:rPr>
            </w:pPr>
            <w:r>
              <w:rPr>
                <w:rFonts w:hint="eastAsia" w:ascii="Times New Roman" w:hAnsi="Times New Roman" w:cs="Times New Roman"/>
                <w:color w:val="auto"/>
                <w:highlight w:val="none"/>
                <w:lang w:val="en-US" w:eastAsia="zh-CN"/>
              </w:rPr>
              <w:t>0.0001</w:t>
            </w:r>
          </w:p>
        </w:tc>
        <w:tc>
          <w:tcPr>
            <w:tcW w:w="313" w:type="pct"/>
            <w:vMerge w:val="continue"/>
            <w:noWrap w:val="0"/>
            <w:vAlign w:val="center"/>
          </w:tcPr>
          <w:p w14:paraId="2CF616BC">
            <w:pPr>
              <w:pStyle w:val="37"/>
              <w:bidi w:val="0"/>
              <w:rPr>
                <w:rFonts w:hint="eastAsia" w:ascii="Times New Roman" w:hAnsi="Times New Roman" w:eastAsia="宋体" w:cs="Times New Roman"/>
                <w:color w:val="FF0000"/>
                <w:highlight w:val="none"/>
                <w:lang w:val="en-US" w:eastAsia="zh-CN"/>
              </w:rPr>
            </w:pPr>
          </w:p>
        </w:tc>
      </w:tr>
      <w:tr w14:paraId="1F4942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0B2C6F2C">
            <w:pPr>
              <w:pStyle w:val="37"/>
              <w:bidi w:val="0"/>
              <w:rPr>
                <w:rFonts w:hint="default" w:ascii="Times New Roman" w:hAnsi="Times New Roman" w:eastAsia="宋体" w:cs="Times New Roman"/>
                <w:color w:val="FF0000"/>
                <w:highlight w:val="none"/>
                <w:lang w:val="en-US" w:eastAsia="zh-CN"/>
              </w:rPr>
            </w:pPr>
          </w:p>
        </w:tc>
        <w:tc>
          <w:tcPr>
            <w:tcW w:w="239" w:type="pct"/>
            <w:vMerge w:val="continue"/>
            <w:noWrap w:val="0"/>
            <w:vAlign w:val="center"/>
          </w:tcPr>
          <w:p w14:paraId="0B5599B8">
            <w:pPr>
              <w:pStyle w:val="37"/>
              <w:bidi w:val="0"/>
              <w:rPr>
                <w:rFonts w:hint="default" w:ascii="Times New Roman" w:hAnsi="Times New Roman" w:eastAsia="宋体" w:cs="Times New Roman"/>
                <w:color w:val="FF0000"/>
                <w:highlight w:val="none"/>
                <w:lang w:val="en-US" w:eastAsia="zh-CN"/>
              </w:rPr>
            </w:pPr>
          </w:p>
        </w:tc>
        <w:tc>
          <w:tcPr>
            <w:tcW w:w="498" w:type="pct"/>
            <w:vMerge w:val="continue"/>
            <w:noWrap w:val="0"/>
            <w:vAlign w:val="center"/>
          </w:tcPr>
          <w:p w14:paraId="61CE32DF">
            <w:pPr>
              <w:pStyle w:val="37"/>
              <w:bidi w:val="0"/>
              <w:rPr>
                <w:rFonts w:hint="default" w:ascii="Times New Roman" w:hAnsi="Times New Roman" w:eastAsia="宋体" w:cs="Times New Roman"/>
                <w:color w:val="FF0000"/>
                <w:highlight w:val="none"/>
                <w:lang w:val="en-US" w:eastAsia="zh-CN"/>
              </w:rPr>
            </w:pPr>
          </w:p>
        </w:tc>
        <w:tc>
          <w:tcPr>
            <w:tcW w:w="453" w:type="pct"/>
            <w:noWrap w:val="0"/>
            <w:vAlign w:val="center"/>
          </w:tcPr>
          <w:p w14:paraId="07CB9445">
            <w:pPr>
              <w:pStyle w:val="37"/>
              <w:bidi w:val="0"/>
              <w:ind w:firstLine="0" w:firstLineChars="0"/>
              <w:rPr>
                <w:rFonts w:hint="default" w:ascii="Times New Roman" w:hAnsi="Times New Roman" w:eastAsia="宋体" w:cs="Times New Roman"/>
                <w:color w:val="FF0000"/>
                <w:highlight w:val="none"/>
                <w:lang w:val="en-US" w:eastAsia="zh-CN"/>
              </w:rPr>
            </w:pPr>
            <w:r>
              <w:rPr>
                <w:rFonts w:hint="eastAsia" w:ascii="Times New Roman" w:hAnsi="Times New Roman" w:cs="Times New Roman"/>
                <w:color w:val="auto"/>
                <w:highlight w:val="none"/>
                <w:lang w:val="en-US" w:eastAsia="zh-CN"/>
              </w:rPr>
              <w:t>酚类</w:t>
            </w:r>
          </w:p>
        </w:tc>
        <w:tc>
          <w:tcPr>
            <w:tcW w:w="369" w:type="pct"/>
            <w:vMerge w:val="continue"/>
            <w:noWrap w:val="0"/>
            <w:vAlign w:val="center"/>
          </w:tcPr>
          <w:p w14:paraId="3372D28E">
            <w:pPr>
              <w:pStyle w:val="37"/>
              <w:bidi w:val="0"/>
              <w:rPr>
                <w:rFonts w:hint="default" w:ascii="Times New Roman" w:hAnsi="Times New Roman" w:eastAsia="宋体" w:cs="Times New Roman"/>
                <w:color w:val="FF0000"/>
                <w:highlight w:val="none"/>
                <w:lang w:val="en-US" w:eastAsia="zh-CN"/>
              </w:rPr>
            </w:pPr>
          </w:p>
        </w:tc>
        <w:tc>
          <w:tcPr>
            <w:tcW w:w="275" w:type="pct"/>
            <w:vMerge w:val="continue"/>
            <w:noWrap w:val="0"/>
            <w:vAlign w:val="center"/>
          </w:tcPr>
          <w:p w14:paraId="4BF313C9">
            <w:pPr>
              <w:pStyle w:val="37"/>
              <w:bidi w:val="0"/>
              <w:rPr>
                <w:rFonts w:hint="default" w:ascii="Times New Roman" w:hAnsi="Times New Roman" w:cs="Times New Roman"/>
                <w:color w:val="FF0000"/>
                <w:highlight w:val="none"/>
                <w:lang w:val="en-US" w:eastAsia="zh-CN"/>
              </w:rPr>
            </w:pPr>
          </w:p>
        </w:tc>
        <w:tc>
          <w:tcPr>
            <w:tcW w:w="341" w:type="pct"/>
            <w:vMerge w:val="continue"/>
            <w:noWrap w:val="0"/>
            <w:vAlign w:val="center"/>
          </w:tcPr>
          <w:p w14:paraId="50786C69">
            <w:pPr>
              <w:pStyle w:val="37"/>
              <w:bidi w:val="0"/>
              <w:rPr>
                <w:rFonts w:hint="default" w:ascii="Times New Roman" w:hAnsi="Times New Roman" w:cs="Times New Roman"/>
                <w:color w:val="FF0000"/>
                <w:highlight w:val="none"/>
                <w:lang w:val="en-US" w:eastAsia="zh-CN"/>
              </w:rPr>
            </w:pPr>
          </w:p>
        </w:tc>
        <w:tc>
          <w:tcPr>
            <w:tcW w:w="390" w:type="pct"/>
            <w:noWrap w:val="0"/>
            <w:vAlign w:val="center"/>
          </w:tcPr>
          <w:p w14:paraId="7E16EA5D">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0.0019</w:t>
            </w:r>
          </w:p>
        </w:tc>
        <w:tc>
          <w:tcPr>
            <w:tcW w:w="549" w:type="pct"/>
            <w:vMerge w:val="continue"/>
            <w:noWrap w:val="0"/>
            <w:vAlign w:val="center"/>
          </w:tcPr>
          <w:p w14:paraId="67421680">
            <w:pPr>
              <w:pStyle w:val="37"/>
              <w:bidi w:val="0"/>
              <w:rPr>
                <w:rFonts w:hint="default" w:ascii="Times New Roman" w:hAnsi="Times New Roman" w:cs="Times New Roman"/>
                <w:color w:val="FF0000"/>
                <w:highlight w:val="none"/>
                <w:lang w:val="en-US" w:eastAsia="zh-CN"/>
              </w:rPr>
            </w:pPr>
          </w:p>
        </w:tc>
        <w:tc>
          <w:tcPr>
            <w:tcW w:w="292" w:type="pct"/>
            <w:vMerge w:val="continue"/>
            <w:noWrap w:val="0"/>
            <w:vAlign w:val="center"/>
          </w:tcPr>
          <w:p w14:paraId="0764420F">
            <w:pPr>
              <w:pStyle w:val="37"/>
              <w:bidi w:val="0"/>
              <w:rPr>
                <w:rFonts w:hint="default" w:ascii="Times New Roman" w:hAnsi="Times New Roman" w:cs="Times New Roman"/>
                <w:color w:val="FF0000"/>
                <w:highlight w:val="none"/>
                <w:lang w:val="en-US" w:eastAsia="zh-CN"/>
              </w:rPr>
            </w:pPr>
          </w:p>
        </w:tc>
        <w:tc>
          <w:tcPr>
            <w:tcW w:w="275" w:type="pct"/>
            <w:vMerge w:val="continue"/>
            <w:shd w:val="clear" w:color="auto" w:fill="auto"/>
            <w:noWrap w:val="0"/>
            <w:vAlign w:val="center"/>
          </w:tcPr>
          <w:p w14:paraId="3BCA8711">
            <w:pPr>
              <w:pStyle w:val="37"/>
              <w:bidi w:val="0"/>
              <w:ind w:firstLine="0" w:firstLineChars="0"/>
              <w:rPr>
                <w:rFonts w:hint="default" w:ascii="Times New Roman" w:hAnsi="Times New Roman" w:cs="Times New Roman"/>
                <w:color w:val="FF0000"/>
                <w:highlight w:val="none"/>
                <w:lang w:val="en-US" w:eastAsia="zh-CN"/>
              </w:rPr>
            </w:pPr>
          </w:p>
        </w:tc>
        <w:tc>
          <w:tcPr>
            <w:tcW w:w="346" w:type="pct"/>
            <w:vMerge w:val="continue"/>
            <w:shd w:val="clear" w:color="auto" w:fill="auto"/>
            <w:noWrap w:val="0"/>
            <w:vAlign w:val="center"/>
          </w:tcPr>
          <w:p w14:paraId="62407D29">
            <w:pPr>
              <w:pStyle w:val="37"/>
              <w:bidi w:val="0"/>
              <w:ind w:firstLine="0" w:firstLineChars="0"/>
              <w:rPr>
                <w:rFonts w:hint="default" w:ascii="Times New Roman" w:hAnsi="Times New Roman" w:cs="Times New Roman"/>
                <w:color w:val="FF0000"/>
                <w:highlight w:val="none"/>
                <w:lang w:val="en-US" w:eastAsia="zh-CN"/>
              </w:rPr>
            </w:pPr>
          </w:p>
        </w:tc>
        <w:tc>
          <w:tcPr>
            <w:tcW w:w="391" w:type="pct"/>
            <w:shd w:val="clear" w:color="auto" w:fill="auto"/>
            <w:noWrap w:val="0"/>
            <w:vAlign w:val="center"/>
          </w:tcPr>
          <w:p w14:paraId="74A0D9EE">
            <w:pPr>
              <w:pStyle w:val="37"/>
              <w:bidi w:val="0"/>
              <w:ind w:firstLine="0" w:firstLineChars="0"/>
              <w:rPr>
                <w:rFonts w:hint="default" w:ascii="Times New Roman" w:hAnsi="Times New Roman" w:cs="Times New Roman"/>
                <w:color w:val="FF0000"/>
                <w:highlight w:val="none"/>
                <w:lang w:val="en-US" w:eastAsia="zh-CN"/>
              </w:rPr>
            </w:pPr>
            <w:r>
              <w:rPr>
                <w:rFonts w:hint="eastAsia" w:ascii="Times New Roman" w:hAnsi="Times New Roman" w:cs="Times New Roman"/>
                <w:color w:val="auto"/>
                <w:highlight w:val="none"/>
                <w:lang w:val="en-US" w:eastAsia="zh-CN"/>
              </w:rPr>
              <w:t>0.0019</w:t>
            </w:r>
          </w:p>
        </w:tc>
        <w:tc>
          <w:tcPr>
            <w:tcW w:w="313" w:type="pct"/>
            <w:vMerge w:val="continue"/>
            <w:noWrap w:val="0"/>
            <w:vAlign w:val="center"/>
          </w:tcPr>
          <w:p w14:paraId="4E0AF188">
            <w:pPr>
              <w:pStyle w:val="37"/>
              <w:bidi w:val="0"/>
              <w:rPr>
                <w:rFonts w:hint="eastAsia" w:ascii="Times New Roman" w:hAnsi="Times New Roman" w:eastAsia="宋体" w:cs="Times New Roman"/>
                <w:color w:val="FF0000"/>
                <w:highlight w:val="none"/>
                <w:lang w:val="en-US" w:eastAsia="zh-CN"/>
              </w:rPr>
            </w:pPr>
          </w:p>
        </w:tc>
      </w:tr>
      <w:tr w14:paraId="3F21B5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1ADC499A">
            <w:pPr>
              <w:pStyle w:val="37"/>
              <w:bidi w:val="0"/>
              <w:rPr>
                <w:rFonts w:hint="default" w:ascii="Times New Roman" w:hAnsi="Times New Roman" w:eastAsia="宋体" w:cs="Times New Roman"/>
                <w:color w:val="FF0000"/>
                <w:highlight w:val="none"/>
                <w:lang w:val="en-US" w:eastAsia="zh-CN"/>
              </w:rPr>
            </w:pPr>
          </w:p>
        </w:tc>
        <w:tc>
          <w:tcPr>
            <w:tcW w:w="239" w:type="pct"/>
            <w:vMerge w:val="continue"/>
            <w:noWrap w:val="0"/>
            <w:vAlign w:val="center"/>
          </w:tcPr>
          <w:p w14:paraId="300CA3EC">
            <w:pPr>
              <w:pStyle w:val="37"/>
              <w:bidi w:val="0"/>
              <w:rPr>
                <w:rFonts w:hint="default" w:ascii="Times New Roman" w:hAnsi="Times New Roman" w:eastAsia="宋体" w:cs="Times New Roman"/>
                <w:color w:val="FF0000"/>
                <w:highlight w:val="none"/>
                <w:lang w:val="en-US" w:eastAsia="zh-CN"/>
              </w:rPr>
            </w:pPr>
          </w:p>
        </w:tc>
        <w:tc>
          <w:tcPr>
            <w:tcW w:w="498" w:type="pct"/>
            <w:vMerge w:val="continue"/>
            <w:noWrap w:val="0"/>
            <w:vAlign w:val="center"/>
          </w:tcPr>
          <w:p w14:paraId="1E698693">
            <w:pPr>
              <w:pStyle w:val="37"/>
              <w:bidi w:val="0"/>
              <w:rPr>
                <w:rFonts w:hint="default" w:ascii="Times New Roman" w:hAnsi="Times New Roman" w:eastAsia="宋体" w:cs="Times New Roman"/>
                <w:color w:val="FF0000"/>
                <w:highlight w:val="none"/>
                <w:lang w:val="en-US" w:eastAsia="zh-CN"/>
              </w:rPr>
            </w:pPr>
          </w:p>
        </w:tc>
        <w:tc>
          <w:tcPr>
            <w:tcW w:w="453" w:type="pct"/>
            <w:noWrap w:val="0"/>
            <w:vAlign w:val="center"/>
          </w:tcPr>
          <w:p w14:paraId="2098E261">
            <w:pPr>
              <w:pStyle w:val="37"/>
              <w:bidi w:val="0"/>
              <w:ind w:firstLine="0" w:firstLineChars="0"/>
              <w:rPr>
                <w:rFonts w:hint="default" w:ascii="Times New Roman" w:hAnsi="Times New Roman" w:eastAsia="宋体" w:cs="Times New Roman"/>
                <w:color w:val="FF0000"/>
                <w:highlight w:val="none"/>
                <w:lang w:val="en-US" w:eastAsia="zh-CN"/>
              </w:rPr>
            </w:pPr>
            <w:r>
              <w:rPr>
                <w:rFonts w:hint="eastAsia" w:ascii="Times New Roman" w:hAnsi="Times New Roman" w:cs="Times New Roman"/>
                <w:color w:val="auto"/>
                <w:highlight w:val="none"/>
                <w:lang w:val="en-US" w:eastAsia="zh-CN"/>
              </w:rPr>
              <w:t>氯苯类</w:t>
            </w:r>
          </w:p>
        </w:tc>
        <w:tc>
          <w:tcPr>
            <w:tcW w:w="369" w:type="pct"/>
            <w:vMerge w:val="continue"/>
            <w:noWrap w:val="0"/>
            <w:vAlign w:val="center"/>
          </w:tcPr>
          <w:p w14:paraId="4AA796D4">
            <w:pPr>
              <w:pStyle w:val="37"/>
              <w:bidi w:val="0"/>
              <w:rPr>
                <w:rFonts w:hint="default" w:ascii="Times New Roman" w:hAnsi="Times New Roman" w:eastAsia="宋体" w:cs="Times New Roman"/>
                <w:color w:val="FF0000"/>
                <w:highlight w:val="none"/>
                <w:lang w:val="en-US" w:eastAsia="zh-CN"/>
              </w:rPr>
            </w:pPr>
          </w:p>
        </w:tc>
        <w:tc>
          <w:tcPr>
            <w:tcW w:w="275" w:type="pct"/>
            <w:vMerge w:val="continue"/>
            <w:noWrap w:val="0"/>
            <w:vAlign w:val="center"/>
          </w:tcPr>
          <w:p w14:paraId="12BA08DE">
            <w:pPr>
              <w:pStyle w:val="37"/>
              <w:bidi w:val="0"/>
              <w:rPr>
                <w:rFonts w:hint="default" w:ascii="Times New Roman" w:hAnsi="Times New Roman" w:cs="Times New Roman"/>
                <w:color w:val="FF0000"/>
                <w:highlight w:val="none"/>
                <w:lang w:val="en-US" w:eastAsia="zh-CN"/>
              </w:rPr>
            </w:pPr>
          </w:p>
        </w:tc>
        <w:tc>
          <w:tcPr>
            <w:tcW w:w="341" w:type="pct"/>
            <w:vMerge w:val="continue"/>
            <w:noWrap w:val="0"/>
            <w:vAlign w:val="center"/>
          </w:tcPr>
          <w:p w14:paraId="37F0941E">
            <w:pPr>
              <w:pStyle w:val="37"/>
              <w:bidi w:val="0"/>
              <w:rPr>
                <w:rFonts w:hint="default" w:ascii="Times New Roman" w:hAnsi="Times New Roman" w:cs="Times New Roman"/>
                <w:color w:val="FF0000"/>
                <w:highlight w:val="none"/>
                <w:lang w:val="en-US" w:eastAsia="zh-CN"/>
              </w:rPr>
            </w:pPr>
          </w:p>
        </w:tc>
        <w:tc>
          <w:tcPr>
            <w:tcW w:w="390" w:type="pct"/>
            <w:noWrap w:val="0"/>
            <w:vAlign w:val="center"/>
          </w:tcPr>
          <w:p w14:paraId="4889D9D2">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0.0012</w:t>
            </w:r>
          </w:p>
        </w:tc>
        <w:tc>
          <w:tcPr>
            <w:tcW w:w="549" w:type="pct"/>
            <w:vMerge w:val="continue"/>
            <w:noWrap w:val="0"/>
            <w:vAlign w:val="center"/>
          </w:tcPr>
          <w:p w14:paraId="1CF769F2">
            <w:pPr>
              <w:pStyle w:val="37"/>
              <w:bidi w:val="0"/>
              <w:rPr>
                <w:rFonts w:hint="default" w:ascii="Times New Roman" w:hAnsi="Times New Roman" w:cs="Times New Roman"/>
                <w:color w:val="FF0000"/>
                <w:highlight w:val="none"/>
                <w:lang w:val="en-US" w:eastAsia="zh-CN"/>
              </w:rPr>
            </w:pPr>
          </w:p>
        </w:tc>
        <w:tc>
          <w:tcPr>
            <w:tcW w:w="292" w:type="pct"/>
            <w:vMerge w:val="continue"/>
            <w:noWrap w:val="0"/>
            <w:vAlign w:val="center"/>
          </w:tcPr>
          <w:p w14:paraId="0A4F6E2E">
            <w:pPr>
              <w:pStyle w:val="37"/>
              <w:bidi w:val="0"/>
              <w:rPr>
                <w:rFonts w:hint="default" w:ascii="Times New Roman" w:hAnsi="Times New Roman" w:cs="Times New Roman"/>
                <w:color w:val="FF0000"/>
                <w:highlight w:val="none"/>
                <w:lang w:val="en-US" w:eastAsia="zh-CN"/>
              </w:rPr>
            </w:pPr>
          </w:p>
        </w:tc>
        <w:tc>
          <w:tcPr>
            <w:tcW w:w="275" w:type="pct"/>
            <w:vMerge w:val="continue"/>
            <w:shd w:val="clear" w:color="auto" w:fill="auto"/>
            <w:noWrap w:val="0"/>
            <w:vAlign w:val="center"/>
          </w:tcPr>
          <w:p w14:paraId="1F2AFEA9">
            <w:pPr>
              <w:pStyle w:val="37"/>
              <w:bidi w:val="0"/>
              <w:ind w:firstLine="0" w:firstLineChars="0"/>
              <w:rPr>
                <w:rFonts w:hint="default" w:ascii="Times New Roman" w:hAnsi="Times New Roman" w:cs="Times New Roman"/>
                <w:color w:val="FF0000"/>
                <w:highlight w:val="none"/>
                <w:lang w:val="en-US" w:eastAsia="zh-CN"/>
              </w:rPr>
            </w:pPr>
          </w:p>
        </w:tc>
        <w:tc>
          <w:tcPr>
            <w:tcW w:w="346" w:type="pct"/>
            <w:vMerge w:val="continue"/>
            <w:shd w:val="clear" w:color="auto" w:fill="auto"/>
            <w:noWrap w:val="0"/>
            <w:vAlign w:val="center"/>
          </w:tcPr>
          <w:p w14:paraId="135BA96D">
            <w:pPr>
              <w:pStyle w:val="37"/>
              <w:bidi w:val="0"/>
              <w:ind w:firstLine="0" w:firstLineChars="0"/>
              <w:rPr>
                <w:rFonts w:hint="default" w:ascii="Times New Roman" w:hAnsi="Times New Roman" w:cs="Times New Roman"/>
                <w:color w:val="FF0000"/>
                <w:highlight w:val="none"/>
                <w:lang w:val="en-US" w:eastAsia="zh-CN"/>
              </w:rPr>
            </w:pPr>
          </w:p>
        </w:tc>
        <w:tc>
          <w:tcPr>
            <w:tcW w:w="391" w:type="pct"/>
            <w:shd w:val="clear" w:color="auto" w:fill="auto"/>
            <w:noWrap w:val="0"/>
            <w:vAlign w:val="center"/>
          </w:tcPr>
          <w:p w14:paraId="135F0199">
            <w:pPr>
              <w:pStyle w:val="37"/>
              <w:bidi w:val="0"/>
              <w:ind w:firstLine="0" w:firstLineChars="0"/>
              <w:rPr>
                <w:rFonts w:hint="default" w:ascii="Times New Roman" w:hAnsi="Times New Roman" w:cs="Times New Roman"/>
                <w:color w:val="FF0000"/>
                <w:highlight w:val="none"/>
                <w:lang w:val="en-US" w:eastAsia="zh-CN"/>
              </w:rPr>
            </w:pPr>
            <w:r>
              <w:rPr>
                <w:rFonts w:hint="eastAsia" w:ascii="Times New Roman" w:hAnsi="Times New Roman" w:cs="Times New Roman"/>
                <w:color w:val="auto"/>
                <w:highlight w:val="none"/>
                <w:lang w:val="en-US" w:eastAsia="zh-CN"/>
              </w:rPr>
              <w:t>0.0012</w:t>
            </w:r>
          </w:p>
        </w:tc>
        <w:tc>
          <w:tcPr>
            <w:tcW w:w="313" w:type="pct"/>
            <w:vMerge w:val="continue"/>
            <w:noWrap w:val="0"/>
            <w:vAlign w:val="center"/>
          </w:tcPr>
          <w:p w14:paraId="3D3FBD5B">
            <w:pPr>
              <w:pStyle w:val="37"/>
              <w:bidi w:val="0"/>
              <w:rPr>
                <w:rFonts w:hint="eastAsia" w:ascii="Times New Roman" w:hAnsi="Times New Roman" w:eastAsia="宋体" w:cs="Times New Roman"/>
                <w:color w:val="FF0000"/>
                <w:highlight w:val="none"/>
                <w:lang w:val="en-US" w:eastAsia="zh-CN"/>
              </w:rPr>
            </w:pPr>
          </w:p>
        </w:tc>
      </w:tr>
      <w:tr w14:paraId="3439D2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4077B7A2">
            <w:pPr>
              <w:pStyle w:val="37"/>
              <w:bidi w:val="0"/>
              <w:rPr>
                <w:rFonts w:hint="default" w:ascii="Times New Roman" w:hAnsi="Times New Roman" w:eastAsia="宋体" w:cs="Times New Roman"/>
                <w:color w:val="FF0000"/>
                <w:highlight w:val="none"/>
                <w:lang w:val="en-US" w:eastAsia="zh-CN"/>
              </w:rPr>
            </w:pPr>
          </w:p>
        </w:tc>
        <w:tc>
          <w:tcPr>
            <w:tcW w:w="239" w:type="pct"/>
            <w:vMerge w:val="continue"/>
            <w:noWrap w:val="0"/>
            <w:vAlign w:val="center"/>
          </w:tcPr>
          <w:p w14:paraId="07D9B30F">
            <w:pPr>
              <w:pStyle w:val="37"/>
              <w:bidi w:val="0"/>
              <w:rPr>
                <w:rFonts w:hint="default" w:ascii="Times New Roman" w:hAnsi="Times New Roman" w:eastAsia="宋体" w:cs="Times New Roman"/>
                <w:color w:val="FF0000"/>
                <w:highlight w:val="none"/>
                <w:lang w:val="en-US" w:eastAsia="zh-CN"/>
              </w:rPr>
            </w:pPr>
          </w:p>
        </w:tc>
        <w:tc>
          <w:tcPr>
            <w:tcW w:w="498" w:type="pct"/>
            <w:vMerge w:val="continue"/>
            <w:noWrap w:val="0"/>
            <w:vAlign w:val="center"/>
          </w:tcPr>
          <w:p w14:paraId="36866CFC">
            <w:pPr>
              <w:pStyle w:val="37"/>
              <w:bidi w:val="0"/>
              <w:rPr>
                <w:rFonts w:hint="default" w:ascii="Times New Roman" w:hAnsi="Times New Roman" w:eastAsia="宋体" w:cs="Times New Roman"/>
                <w:color w:val="FF0000"/>
                <w:highlight w:val="none"/>
                <w:lang w:val="en-US" w:eastAsia="zh-CN"/>
              </w:rPr>
            </w:pPr>
          </w:p>
        </w:tc>
        <w:tc>
          <w:tcPr>
            <w:tcW w:w="453" w:type="pct"/>
            <w:noWrap w:val="0"/>
            <w:vAlign w:val="center"/>
          </w:tcPr>
          <w:p w14:paraId="61DA4070">
            <w:pPr>
              <w:pStyle w:val="37"/>
              <w:bidi w:val="0"/>
              <w:ind w:firstLine="0" w:firstLineChars="0"/>
              <w:rPr>
                <w:rFonts w:hint="default" w:ascii="Times New Roman" w:hAnsi="Times New Roman" w:eastAsia="宋体" w:cs="Times New Roman"/>
                <w:color w:val="FF0000"/>
                <w:highlight w:val="none"/>
                <w:lang w:val="en-US" w:eastAsia="zh-CN"/>
              </w:rPr>
            </w:pPr>
            <w:r>
              <w:rPr>
                <w:rFonts w:hint="eastAsia" w:ascii="Times New Roman" w:hAnsi="Times New Roman" w:cs="Times New Roman"/>
                <w:color w:val="auto"/>
                <w:highlight w:val="none"/>
                <w:lang w:val="en-US" w:eastAsia="zh-CN"/>
              </w:rPr>
              <w:t>二氯甲烷</w:t>
            </w:r>
          </w:p>
        </w:tc>
        <w:tc>
          <w:tcPr>
            <w:tcW w:w="369" w:type="pct"/>
            <w:vMerge w:val="continue"/>
            <w:noWrap w:val="0"/>
            <w:vAlign w:val="center"/>
          </w:tcPr>
          <w:p w14:paraId="70C6A7B9">
            <w:pPr>
              <w:pStyle w:val="37"/>
              <w:bidi w:val="0"/>
              <w:rPr>
                <w:rFonts w:hint="default" w:ascii="Times New Roman" w:hAnsi="Times New Roman" w:eastAsia="宋体" w:cs="Times New Roman"/>
                <w:color w:val="FF0000"/>
                <w:highlight w:val="none"/>
                <w:lang w:val="en-US" w:eastAsia="zh-CN"/>
              </w:rPr>
            </w:pPr>
          </w:p>
        </w:tc>
        <w:tc>
          <w:tcPr>
            <w:tcW w:w="275" w:type="pct"/>
            <w:vMerge w:val="continue"/>
            <w:noWrap w:val="0"/>
            <w:vAlign w:val="center"/>
          </w:tcPr>
          <w:p w14:paraId="10E72589">
            <w:pPr>
              <w:pStyle w:val="37"/>
              <w:bidi w:val="0"/>
              <w:rPr>
                <w:rFonts w:hint="default" w:ascii="Times New Roman" w:hAnsi="Times New Roman" w:cs="Times New Roman"/>
                <w:color w:val="FF0000"/>
                <w:highlight w:val="none"/>
                <w:lang w:val="en-US" w:eastAsia="zh-CN"/>
              </w:rPr>
            </w:pPr>
          </w:p>
        </w:tc>
        <w:tc>
          <w:tcPr>
            <w:tcW w:w="341" w:type="pct"/>
            <w:vMerge w:val="continue"/>
            <w:noWrap w:val="0"/>
            <w:vAlign w:val="center"/>
          </w:tcPr>
          <w:p w14:paraId="25EFCEDF">
            <w:pPr>
              <w:pStyle w:val="37"/>
              <w:bidi w:val="0"/>
              <w:rPr>
                <w:rFonts w:hint="default" w:ascii="Times New Roman" w:hAnsi="Times New Roman" w:cs="Times New Roman"/>
                <w:color w:val="FF0000"/>
                <w:highlight w:val="none"/>
                <w:lang w:val="en-US" w:eastAsia="zh-CN"/>
              </w:rPr>
            </w:pPr>
          </w:p>
        </w:tc>
        <w:tc>
          <w:tcPr>
            <w:tcW w:w="390" w:type="pct"/>
            <w:noWrap w:val="0"/>
            <w:vAlign w:val="center"/>
          </w:tcPr>
          <w:p w14:paraId="478DD33C">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0.0128</w:t>
            </w:r>
          </w:p>
        </w:tc>
        <w:tc>
          <w:tcPr>
            <w:tcW w:w="549" w:type="pct"/>
            <w:vMerge w:val="continue"/>
            <w:noWrap w:val="0"/>
            <w:vAlign w:val="center"/>
          </w:tcPr>
          <w:p w14:paraId="3A49D04B">
            <w:pPr>
              <w:pStyle w:val="37"/>
              <w:bidi w:val="0"/>
              <w:rPr>
                <w:rFonts w:hint="default" w:ascii="Times New Roman" w:hAnsi="Times New Roman" w:cs="Times New Roman"/>
                <w:color w:val="FF0000"/>
                <w:highlight w:val="none"/>
                <w:lang w:val="en-US" w:eastAsia="zh-CN"/>
              </w:rPr>
            </w:pPr>
          </w:p>
        </w:tc>
        <w:tc>
          <w:tcPr>
            <w:tcW w:w="292" w:type="pct"/>
            <w:vMerge w:val="continue"/>
            <w:noWrap w:val="0"/>
            <w:vAlign w:val="center"/>
          </w:tcPr>
          <w:p w14:paraId="022A9334">
            <w:pPr>
              <w:pStyle w:val="37"/>
              <w:bidi w:val="0"/>
              <w:rPr>
                <w:rFonts w:hint="default" w:ascii="Times New Roman" w:hAnsi="Times New Roman" w:cs="Times New Roman"/>
                <w:color w:val="FF0000"/>
                <w:highlight w:val="none"/>
                <w:lang w:val="en-US" w:eastAsia="zh-CN"/>
              </w:rPr>
            </w:pPr>
          </w:p>
        </w:tc>
        <w:tc>
          <w:tcPr>
            <w:tcW w:w="275" w:type="pct"/>
            <w:vMerge w:val="continue"/>
            <w:shd w:val="clear" w:color="auto" w:fill="auto"/>
            <w:noWrap w:val="0"/>
            <w:vAlign w:val="center"/>
          </w:tcPr>
          <w:p w14:paraId="58A18699">
            <w:pPr>
              <w:pStyle w:val="37"/>
              <w:bidi w:val="0"/>
              <w:ind w:firstLine="0" w:firstLineChars="0"/>
              <w:rPr>
                <w:rFonts w:hint="default" w:ascii="Times New Roman" w:hAnsi="Times New Roman" w:cs="Times New Roman"/>
                <w:color w:val="FF0000"/>
                <w:highlight w:val="none"/>
                <w:lang w:val="en-US" w:eastAsia="zh-CN"/>
              </w:rPr>
            </w:pPr>
          </w:p>
        </w:tc>
        <w:tc>
          <w:tcPr>
            <w:tcW w:w="346" w:type="pct"/>
            <w:vMerge w:val="continue"/>
            <w:shd w:val="clear" w:color="auto" w:fill="auto"/>
            <w:noWrap w:val="0"/>
            <w:vAlign w:val="center"/>
          </w:tcPr>
          <w:p w14:paraId="30426D51">
            <w:pPr>
              <w:pStyle w:val="37"/>
              <w:bidi w:val="0"/>
              <w:ind w:firstLine="0" w:firstLineChars="0"/>
              <w:rPr>
                <w:rFonts w:hint="default" w:ascii="Times New Roman" w:hAnsi="Times New Roman" w:cs="Times New Roman"/>
                <w:color w:val="FF0000"/>
                <w:highlight w:val="none"/>
                <w:lang w:val="en-US" w:eastAsia="zh-CN"/>
              </w:rPr>
            </w:pPr>
          </w:p>
        </w:tc>
        <w:tc>
          <w:tcPr>
            <w:tcW w:w="391" w:type="pct"/>
            <w:shd w:val="clear" w:color="auto" w:fill="auto"/>
            <w:noWrap w:val="0"/>
            <w:vAlign w:val="center"/>
          </w:tcPr>
          <w:p w14:paraId="0A0D08C1">
            <w:pPr>
              <w:pStyle w:val="37"/>
              <w:bidi w:val="0"/>
              <w:ind w:firstLine="0" w:firstLineChars="0"/>
              <w:rPr>
                <w:rFonts w:hint="default" w:ascii="Times New Roman" w:hAnsi="Times New Roman" w:cs="Times New Roman"/>
                <w:color w:val="FF0000"/>
                <w:highlight w:val="none"/>
                <w:lang w:val="en-US" w:eastAsia="zh-CN"/>
              </w:rPr>
            </w:pPr>
            <w:r>
              <w:rPr>
                <w:rFonts w:hint="eastAsia" w:ascii="Times New Roman" w:hAnsi="Times New Roman" w:cs="Times New Roman"/>
                <w:color w:val="auto"/>
                <w:highlight w:val="none"/>
                <w:lang w:val="en-US" w:eastAsia="zh-CN"/>
              </w:rPr>
              <w:t>0.0128</w:t>
            </w:r>
          </w:p>
        </w:tc>
        <w:tc>
          <w:tcPr>
            <w:tcW w:w="313" w:type="pct"/>
            <w:vMerge w:val="continue"/>
            <w:noWrap w:val="0"/>
            <w:vAlign w:val="center"/>
          </w:tcPr>
          <w:p w14:paraId="47D5C419">
            <w:pPr>
              <w:pStyle w:val="37"/>
              <w:bidi w:val="0"/>
              <w:rPr>
                <w:rFonts w:hint="eastAsia" w:ascii="Times New Roman" w:hAnsi="Times New Roman" w:eastAsia="宋体" w:cs="Times New Roman"/>
                <w:color w:val="FF0000"/>
                <w:highlight w:val="none"/>
                <w:lang w:val="en-US" w:eastAsia="zh-CN"/>
              </w:rPr>
            </w:pPr>
          </w:p>
        </w:tc>
      </w:tr>
      <w:tr w14:paraId="409BBC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265" w:type="pct"/>
            <w:noWrap w:val="0"/>
            <w:vAlign w:val="center"/>
          </w:tcPr>
          <w:p w14:paraId="7D25A5AD">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破碎</w:t>
            </w:r>
          </w:p>
        </w:tc>
        <w:tc>
          <w:tcPr>
            <w:tcW w:w="239" w:type="pct"/>
            <w:noWrap w:val="0"/>
            <w:vAlign w:val="center"/>
          </w:tcPr>
          <w:p w14:paraId="7E9DAE8C">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破碎</w:t>
            </w:r>
          </w:p>
        </w:tc>
        <w:tc>
          <w:tcPr>
            <w:tcW w:w="498" w:type="pct"/>
            <w:noWrap w:val="0"/>
            <w:vAlign w:val="center"/>
          </w:tcPr>
          <w:p w14:paraId="24568C72">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无组织排放</w:t>
            </w:r>
          </w:p>
        </w:tc>
        <w:tc>
          <w:tcPr>
            <w:tcW w:w="453" w:type="pct"/>
            <w:noWrap w:val="0"/>
            <w:vAlign w:val="center"/>
          </w:tcPr>
          <w:p w14:paraId="046D2030">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颗粒物</w:t>
            </w:r>
          </w:p>
        </w:tc>
        <w:tc>
          <w:tcPr>
            <w:tcW w:w="369" w:type="pct"/>
            <w:noWrap w:val="0"/>
            <w:vAlign w:val="center"/>
          </w:tcPr>
          <w:p w14:paraId="1CD1560B">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产污系数法</w:t>
            </w:r>
          </w:p>
        </w:tc>
        <w:tc>
          <w:tcPr>
            <w:tcW w:w="275" w:type="pct"/>
            <w:noWrap w:val="0"/>
            <w:vAlign w:val="center"/>
          </w:tcPr>
          <w:p w14:paraId="57C0619F">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341" w:type="pct"/>
            <w:noWrap w:val="0"/>
            <w:vAlign w:val="center"/>
          </w:tcPr>
          <w:p w14:paraId="1CBFFE4E">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390" w:type="pct"/>
            <w:noWrap w:val="0"/>
            <w:vAlign w:val="center"/>
          </w:tcPr>
          <w:p w14:paraId="20B41D34">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0.029</w:t>
            </w:r>
          </w:p>
        </w:tc>
        <w:tc>
          <w:tcPr>
            <w:tcW w:w="549" w:type="pct"/>
            <w:noWrap w:val="0"/>
            <w:vAlign w:val="center"/>
          </w:tcPr>
          <w:p w14:paraId="2C947529">
            <w:pPr>
              <w:pStyle w:val="37"/>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292" w:type="pct"/>
            <w:noWrap w:val="0"/>
            <w:vAlign w:val="center"/>
          </w:tcPr>
          <w:p w14:paraId="64A3717B">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275" w:type="pct"/>
            <w:noWrap w:val="0"/>
            <w:vAlign w:val="center"/>
          </w:tcPr>
          <w:p w14:paraId="69F8F5A2">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346" w:type="pct"/>
            <w:noWrap w:val="0"/>
            <w:vAlign w:val="center"/>
          </w:tcPr>
          <w:p w14:paraId="4F03427E">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391" w:type="pct"/>
            <w:noWrap w:val="0"/>
            <w:vAlign w:val="center"/>
          </w:tcPr>
          <w:p w14:paraId="564157FD">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0.029</w:t>
            </w:r>
          </w:p>
        </w:tc>
        <w:tc>
          <w:tcPr>
            <w:tcW w:w="313" w:type="pct"/>
            <w:noWrap w:val="0"/>
            <w:vAlign w:val="center"/>
          </w:tcPr>
          <w:p w14:paraId="22024FCD">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580</w:t>
            </w:r>
          </w:p>
        </w:tc>
      </w:tr>
      <w:tr w14:paraId="771D59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restart"/>
            <w:noWrap w:val="0"/>
            <w:vAlign w:val="center"/>
          </w:tcPr>
          <w:p w14:paraId="75DBA7BB">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喷涂、管路和喷枪清洗、丝印</w:t>
            </w:r>
          </w:p>
        </w:tc>
        <w:tc>
          <w:tcPr>
            <w:tcW w:w="239" w:type="pct"/>
            <w:vMerge w:val="restart"/>
            <w:noWrap w:val="0"/>
            <w:vAlign w:val="center"/>
          </w:tcPr>
          <w:p w14:paraId="15AEE5F2">
            <w:pPr>
              <w:pStyle w:val="37"/>
              <w:bidi w:val="0"/>
              <w:rPr>
                <w:rFonts w:hint="default" w:ascii="Times New Roman" w:hAnsi="Times New Roman" w:cs="Times New Roman"/>
                <w:color w:val="auto"/>
                <w:highlight w:val="none"/>
              </w:rPr>
            </w:pPr>
            <w:r>
              <w:rPr>
                <w:rFonts w:hint="eastAsia" w:ascii="Times New Roman" w:hAnsi="Times New Roman" w:eastAsia="宋体" w:cs="Times New Roman"/>
                <w:color w:val="auto"/>
                <w:highlight w:val="none"/>
                <w:lang w:val="en-US" w:eastAsia="zh-CN"/>
              </w:rPr>
              <w:t>喷涂、管路和喷枪清洗、丝印</w:t>
            </w:r>
          </w:p>
        </w:tc>
        <w:tc>
          <w:tcPr>
            <w:tcW w:w="498" w:type="pct"/>
            <w:vMerge w:val="restart"/>
            <w:noWrap w:val="0"/>
            <w:vAlign w:val="center"/>
          </w:tcPr>
          <w:p w14:paraId="02BD177E">
            <w:pPr>
              <w:pStyle w:val="37"/>
              <w:bidi w:val="0"/>
              <w:rPr>
                <w:rFonts w:hint="default" w:ascii="Times New Roman" w:hAnsi="Times New Roman" w:eastAsia="宋体" w:cs="Times New Roman"/>
                <w:color w:val="auto"/>
                <w:highlight w:val="none"/>
                <w:lang w:eastAsia="zh-CN"/>
              </w:rPr>
            </w:pPr>
            <w:r>
              <w:rPr>
                <w:rFonts w:hint="eastAsia" w:ascii="Times New Roman" w:hAnsi="Times New Roman" w:cs="Times New Roman"/>
                <w:color w:val="auto"/>
                <w:highlight w:val="none"/>
                <w:lang w:val="en-US" w:eastAsia="zh-CN"/>
              </w:rPr>
              <w:t>22.5</w:t>
            </w:r>
            <w:r>
              <w:rPr>
                <w:rFonts w:hint="default" w:ascii="Times New Roman" w:hAnsi="Times New Roman" w:cs="Times New Roman"/>
                <w:color w:val="auto"/>
                <w:highlight w:val="none"/>
              </w:rPr>
              <w:t>m高排气筒DA00</w:t>
            </w:r>
            <w:r>
              <w:rPr>
                <w:rFonts w:hint="default" w:ascii="Times New Roman" w:hAnsi="Times New Roman" w:cs="Times New Roman"/>
                <w:color w:val="auto"/>
                <w:highlight w:val="none"/>
                <w:lang w:val="en-US" w:eastAsia="zh-CN"/>
              </w:rPr>
              <w:t>2</w:t>
            </w:r>
          </w:p>
        </w:tc>
        <w:tc>
          <w:tcPr>
            <w:tcW w:w="453" w:type="pct"/>
            <w:noWrap w:val="0"/>
            <w:vAlign w:val="center"/>
          </w:tcPr>
          <w:p w14:paraId="5C58A45F">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非甲烷总烃</w:t>
            </w:r>
          </w:p>
        </w:tc>
        <w:tc>
          <w:tcPr>
            <w:tcW w:w="369" w:type="pct"/>
            <w:noWrap w:val="0"/>
            <w:vAlign w:val="center"/>
          </w:tcPr>
          <w:p w14:paraId="70A7F1B7">
            <w:pPr>
              <w:pStyle w:val="37"/>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物料衡算法</w:t>
            </w:r>
          </w:p>
        </w:tc>
        <w:tc>
          <w:tcPr>
            <w:tcW w:w="275" w:type="pct"/>
            <w:vMerge w:val="restart"/>
            <w:noWrap w:val="0"/>
            <w:vAlign w:val="center"/>
          </w:tcPr>
          <w:p w14:paraId="08B13A43">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20000</w:t>
            </w:r>
          </w:p>
        </w:tc>
        <w:tc>
          <w:tcPr>
            <w:tcW w:w="341" w:type="pct"/>
            <w:noWrap w:val="0"/>
            <w:vAlign w:val="center"/>
          </w:tcPr>
          <w:p w14:paraId="1EC4BA0F">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2687</w:t>
            </w:r>
          </w:p>
        </w:tc>
        <w:tc>
          <w:tcPr>
            <w:tcW w:w="390" w:type="pct"/>
            <w:noWrap w:val="0"/>
            <w:vAlign w:val="center"/>
          </w:tcPr>
          <w:p w14:paraId="5BFC17A9">
            <w:pPr>
              <w:pStyle w:val="37"/>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53.74</w:t>
            </w:r>
          </w:p>
        </w:tc>
        <w:tc>
          <w:tcPr>
            <w:tcW w:w="549" w:type="pct"/>
            <w:vMerge w:val="restart"/>
            <w:noWrap w:val="0"/>
            <w:vAlign w:val="center"/>
          </w:tcPr>
          <w:p w14:paraId="711D17D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水帘式漆雾净化+沸石转轮吸附+RTO焚烧装置</w:t>
            </w:r>
          </w:p>
        </w:tc>
        <w:tc>
          <w:tcPr>
            <w:tcW w:w="292" w:type="pct"/>
            <w:noWrap w:val="0"/>
            <w:vAlign w:val="center"/>
          </w:tcPr>
          <w:p w14:paraId="29781BB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w:t>
            </w:r>
            <w:r>
              <w:rPr>
                <w:rFonts w:hint="eastAsia" w:ascii="Times New Roman" w:hAnsi="Times New Roman" w:eastAsia="宋体" w:cs="Times New Roman"/>
                <w:color w:val="auto"/>
                <w:highlight w:val="none"/>
                <w:lang w:val="en-US" w:eastAsia="zh-CN"/>
              </w:rPr>
              <w:t>6</w:t>
            </w:r>
            <w:r>
              <w:rPr>
                <w:rFonts w:hint="default" w:ascii="Times New Roman" w:hAnsi="Times New Roman" w:cs="Times New Roman"/>
                <w:color w:val="auto"/>
                <w:highlight w:val="none"/>
              </w:rPr>
              <w:t>%</w:t>
            </w:r>
          </w:p>
        </w:tc>
        <w:tc>
          <w:tcPr>
            <w:tcW w:w="275" w:type="pct"/>
            <w:vMerge w:val="restart"/>
            <w:noWrap w:val="0"/>
            <w:vAlign w:val="center"/>
          </w:tcPr>
          <w:p w14:paraId="26870379">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20000</w:t>
            </w:r>
          </w:p>
        </w:tc>
        <w:tc>
          <w:tcPr>
            <w:tcW w:w="346" w:type="pct"/>
            <w:noWrap w:val="0"/>
            <w:vAlign w:val="center"/>
          </w:tcPr>
          <w:p w14:paraId="5D631905">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107</w:t>
            </w:r>
          </w:p>
        </w:tc>
        <w:tc>
          <w:tcPr>
            <w:tcW w:w="391" w:type="pct"/>
            <w:noWrap w:val="0"/>
            <w:vAlign w:val="center"/>
          </w:tcPr>
          <w:p w14:paraId="138C7341">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2.15</w:t>
            </w:r>
          </w:p>
        </w:tc>
        <w:tc>
          <w:tcPr>
            <w:tcW w:w="313" w:type="pct"/>
            <w:vMerge w:val="restart"/>
            <w:noWrap w:val="0"/>
            <w:vAlign w:val="center"/>
          </w:tcPr>
          <w:p w14:paraId="2D117D29">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6960</w:t>
            </w:r>
          </w:p>
        </w:tc>
      </w:tr>
      <w:tr w14:paraId="58D3F7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5" w:type="pct"/>
            <w:vMerge w:val="continue"/>
            <w:noWrap w:val="0"/>
            <w:vAlign w:val="center"/>
          </w:tcPr>
          <w:p w14:paraId="20F7FA72">
            <w:pPr>
              <w:pStyle w:val="37"/>
              <w:bidi w:val="0"/>
              <w:rPr>
                <w:rFonts w:hint="default" w:ascii="Times New Roman" w:hAnsi="Times New Roman" w:eastAsia="宋体" w:cs="Times New Roman"/>
                <w:color w:val="auto"/>
                <w:highlight w:val="none"/>
                <w:lang w:eastAsia="zh-CN"/>
              </w:rPr>
            </w:pPr>
          </w:p>
        </w:tc>
        <w:tc>
          <w:tcPr>
            <w:tcW w:w="239" w:type="pct"/>
            <w:vMerge w:val="continue"/>
            <w:noWrap w:val="0"/>
            <w:vAlign w:val="center"/>
          </w:tcPr>
          <w:p w14:paraId="613642AC">
            <w:pPr>
              <w:pStyle w:val="37"/>
              <w:bidi w:val="0"/>
              <w:rPr>
                <w:rFonts w:hint="default" w:ascii="Times New Roman" w:hAnsi="Times New Roman" w:cs="Times New Roman"/>
                <w:color w:val="auto"/>
                <w:highlight w:val="none"/>
              </w:rPr>
            </w:pPr>
          </w:p>
        </w:tc>
        <w:tc>
          <w:tcPr>
            <w:tcW w:w="498" w:type="pct"/>
            <w:vMerge w:val="continue"/>
            <w:noWrap w:val="0"/>
            <w:vAlign w:val="center"/>
          </w:tcPr>
          <w:p w14:paraId="77E152B1">
            <w:pPr>
              <w:pStyle w:val="37"/>
              <w:bidi w:val="0"/>
              <w:rPr>
                <w:rFonts w:hint="default" w:ascii="Times New Roman" w:hAnsi="Times New Roman" w:eastAsia="宋体" w:cs="Times New Roman"/>
                <w:color w:val="auto"/>
                <w:highlight w:val="none"/>
                <w:lang w:eastAsia="zh-CN"/>
              </w:rPr>
            </w:pPr>
          </w:p>
        </w:tc>
        <w:tc>
          <w:tcPr>
            <w:tcW w:w="453" w:type="pct"/>
            <w:noWrap w:val="0"/>
            <w:vAlign w:val="center"/>
          </w:tcPr>
          <w:p w14:paraId="5BCE4090">
            <w:pPr>
              <w:pStyle w:val="37"/>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颗粒物</w:t>
            </w:r>
          </w:p>
        </w:tc>
        <w:tc>
          <w:tcPr>
            <w:tcW w:w="369" w:type="pct"/>
            <w:noWrap w:val="0"/>
            <w:vAlign w:val="center"/>
          </w:tcPr>
          <w:p w14:paraId="7915A627">
            <w:pPr>
              <w:pStyle w:val="37"/>
              <w:bidi w:val="0"/>
              <w:rPr>
                <w:rFonts w:hint="default" w:ascii="Times New Roman" w:hAnsi="Times New Roman" w:cs="Times New Roman"/>
                <w:color w:val="auto"/>
                <w:highlight w:val="none"/>
              </w:rPr>
            </w:pPr>
            <w:r>
              <w:rPr>
                <w:rFonts w:hint="eastAsia" w:ascii="Times New Roman" w:hAnsi="Times New Roman" w:eastAsia="宋体" w:cs="Times New Roman"/>
                <w:color w:val="auto"/>
                <w:highlight w:val="none"/>
                <w:lang w:val="en-US" w:eastAsia="zh-CN"/>
              </w:rPr>
              <w:t>物料衡算法</w:t>
            </w:r>
          </w:p>
        </w:tc>
        <w:tc>
          <w:tcPr>
            <w:tcW w:w="275" w:type="pct"/>
            <w:vMerge w:val="continue"/>
            <w:noWrap w:val="0"/>
            <w:vAlign w:val="center"/>
          </w:tcPr>
          <w:p w14:paraId="590610F8">
            <w:pPr>
              <w:pStyle w:val="37"/>
              <w:bidi w:val="0"/>
              <w:rPr>
                <w:rFonts w:hint="default" w:ascii="Times New Roman" w:hAnsi="Times New Roman" w:eastAsia="宋体" w:cs="Times New Roman"/>
                <w:color w:val="auto"/>
                <w:highlight w:val="none"/>
                <w:lang w:val="en-US" w:eastAsia="zh-CN"/>
              </w:rPr>
            </w:pPr>
          </w:p>
        </w:tc>
        <w:tc>
          <w:tcPr>
            <w:tcW w:w="341" w:type="pct"/>
            <w:noWrap w:val="0"/>
            <w:vAlign w:val="center"/>
          </w:tcPr>
          <w:p w14:paraId="6D8F22B1">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1042</w:t>
            </w:r>
          </w:p>
        </w:tc>
        <w:tc>
          <w:tcPr>
            <w:tcW w:w="390" w:type="pct"/>
            <w:noWrap w:val="0"/>
            <w:vAlign w:val="center"/>
          </w:tcPr>
          <w:p w14:paraId="23CEC50D">
            <w:pPr>
              <w:pStyle w:val="37"/>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36.64</w:t>
            </w:r>
          </w:p>
        </w:tc>
        <w:tc>
          <w:tcPr>
            <w:tcW w:w="549" w:type="pct"/>
            <w:vMerge w:val="continue"/>
            <w:noWrap w:val="0"/>
            <w:vAlign w:val="center"/>
          </w:tcPr>
          <w:p w14:paraId="54F1D44F">
            <w:pPr>
              <w:pStyle w:val="37"/>
              <w:bidi w:val="0"/>
              <w:rPr>
                <w:rFonts w:hint="default" w:ascii="Times New Roman" w:hAnsi="Times New Roman" w:cs="Times New Roman"/>
                <w:color w:val="auto"/>
                <w:highlight w:val="none"/>
              </w:rPr>
            </w:pPr>
          </w:p>
        </w:tc>
        <w:tc>
          <w:tcPr>
            <w:tcW w:w="292" w:type="pct"/>
            <w:noWrap w:val="0"/>
            <w:vAlign w:val="center"/>
          </w:tcPr>
          <w:p w14:paraId="4FB89F6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w:t>
            </w:r>
            <w:r>
              <w:rPr>
                <w:rFonts w:hint="eastAsia" w:ascii="Times New Roman" w:hAnsi="Times New Roman" w:eastAsia="宋体" w:cs="Times New Roman"/>
                <w:color w:val="auto"/>
                <w:highlight w:val="none"/>
                <w:lang w:val="en-US" w:eastAsia="zh-CN"/>
              </w:rPr>
              <w:t>0</w:t>
            </w:r>
            <w:r>
              <w:rPr>
                <w:rFonts w:hint="default" w:ascii="Times New Roman" w:hAnsi="Times New Roman" w:cs="Times New Roman"/>
                <w:color w:val="auto"/>
                <w:highlight w:val="none"/>
              </w:rPr>
              <w:t>%</w:t>
            </w:r>
          </w:p>
        </w:tc>
        <w:tc>
          <w:tcPr>
            <w:tcW w:w="275" w:type="pct"/>
            <w:vMerge w:val="continue"/>
            <w:noWrap w:val="0"/>
            <w:vAlign w:val="center"/>
          </w:tcPr>
          <w:p w14:paraId="657662A6">
            <w:pPr>
              <w:pStyle w:val="37"/>
              <w:bidi w:val="0"/>
              <w:rPr>
                <w:rFonts w:hint="default" w:ascii="Times New Roman" w:hAnsi="Times New Roman" w:eastAsia="宋体" w:cs="Times New Roman"/>
                <w:color w:val="auto"/>
                <w:highlight w:val="none"/>
                <w:lang w:val="en-US" w:eastAsia="zh-CN"/>
              </w:rPr>
            </w:pPr>
          </w:p>
        </w:tc>
        <w:tc>
          <w:tcPr>
            <w:tcW w:w="346" w:type="pct"/>
            <w:noWrap w:val="0"/>
            <w:vAlign w:val="center"/>
          </w:tcPr>
          <w:p w14:paraId="4DA68E47">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104</w:t>
            </w:r>
          </w:p>
        </w:tc>
        <w:tc>
          <w:tcPr>
            <w:tcW w:w="391" w:type="pct"/>
            <w:noWrap w:val="0"/>
            <w:vAlign w:val="center"/>
          </w:tcPr>
          <w:p w14:paraId="459DF324">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2.083</w:t>
            </w:r>
          </w:p>
        </w:tc>
        <w:tc>
          <w:tcPr>
            <w:tcW w:w="313" w:type="pct"/>
            <w:vMerge w:val="continue"/>
            <w:noWrap w:val="0"/>
            <w:vAlign w:val="center"/>
          </w:tcPr>
          <w:p w14:paraId="376FE2B2">
            <w:pPr>
              <w:pStyle w:val="37"/>
              <w:bidi w:val="0"/>
              <w:rPr>
                <w:rFonts w:hint="default" w:ascii="Times New Roman" w:hAnsi="Times New Roman" w:cs="Times New Roman"/>
                <w:color w:val="auto"/>
                <w:highlight w:val="none"/>
              </w:rPr>
            </w:pPr>
          </w:p>
        </w:tc>
      </w:tr>
      <w:tr w14:paraId="2CECC8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76885CD1">
            <w:pPr>
              <w:pStyle w:val="37"/>
              <w:bidi w:val="0"/>
              <w:rPr>
                <w:rFonts w:hint="default" w:ascii="Times New Roman" w:hAnsi="Times New Roman" w:eastAsia="宋体" w:cs="Times New Roman"/>
                <w:color w:val="auto"/>
                <w:highlight w:val="none"/>
                <w:lang w:eastAsia="zh-CN"/>
              </w:rPr>
            </w:pPr>
          </w:p>
        </w:tc>
        <w:tc>
          <w:tcPr>
            <w:tcW w:w="239" w:type="pct"/>
            <w:vMerge w:val="continue"/>
            <w:noWrap w:val="0"/>
            <w:vAlign w:val="center"/>
          </w:tcPr>
          <w:p w14:paraId="30925909">
            <w:pPr>
              <w:pStyle w:val="37"/>
              <w:bidi w:val="0"/>
              <w:rPr>
                <w:rFonts w:hint="default" w:ascii="Times New Roman" w:hAnsi="Times New Roman" w:cs="Times New Roman"/>
                <w:color w:val="auto"/>
                <w:highlight w:val="none"/>
              </w:rPr>
            </w:pPr>
          </w:p>
        </w:tc>
        <w:tc>
          <w:tcPr>
            <w:tcW w:w="498" w:type="pct"/>
            <w:vMerge w:val="restart"/>
            <w:noWrap w:val="0"/>
            <w:vAlign w:val="center"/>
          </w:tcPr>
          <w:p w14:paraId="6B31766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无组织排放</w:t>
            </w:r>
          </w:p>
        </w:tc>
        <w:tc>
          <w:tcPr>
            <w:tcW w:w="453" w:type="pct"/>
            <w:shd w:val="clear" w:color="auto" w:fill="auto"/>
            <w:noWrap w:val="0"/>
            <w:vAlign w:val="center"/>
          </w:tcPr>
          <w:p w14:paraId="64BD1DD9">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eastAsia="宋体" w:cs="Times New Roman"/>
                <w:color w:val="auto"/>
                <w:highlight w:val="none"/>
                <w:lang w:val="en-US" w:eastAsia="zh-CN"/>
              </w:rPr>
              <w:t>非甲烷总烃</w:t>
            </w:r>
          </w:p>
        </w:tc>
        <w:tc>
          <w:tcPr>
            <w:tcW w:w="369" w:type="pct"/>
            <w:noWrap w:val="0"/>
            <w:vAlign w:val="center"/>
          </w:tcPr>
          <w:p w14:paraId="7C790E0F">
            <w:pPr>
              <w:pStyle w:val="37"/>
              <w:bidi w:val="0"/>
              <w:rPr>
                <w:rFonts w:hint="default" w:ascii="Times New Roman" w:hAnsi="Times New Roman" w:cs="Times New Roman"/>
                <w:color w:val="auto"/>
                <w:highlight w:val="none"/>
              </w:rPr>
            </w:pPr>
            <w:r>
              <w:rPr>
                <w:rFonts w:hint="eastAsia" w:ascii="Times New Roman" w:hAnsi="Times New Roman" w:eastAsia="宋体" w:cs="Times New Roman"/>
                <w:color w:val="auto"/>
                <w:highlight w:val="none"/>
                <w:lang w:val="en-US" w:eastAsia="zh-CN"/>
              </w:rPr>
              <w:t>物料衡算法</w:t>
            </w:r>
          </w:p>
        </w:tc>
        <w:tc>
          <w:tcPr>
            <w:tcW w:w="275" w:type="pct"/>
            <w:shd w:val="clear" w:color="auto" w:fill="auto"/>
            <w:noWrap w:val="0"/>
            <w:vAlign w:val="center"/>
          </w:tcPr>
          <w:p w14:paraId="4839601F">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341" w:type="pct"/>
            <w:shd w:val="clear" w:color="auto" w:fill="auto"/>
            <w:noWrap w:val="0"/>
            <w:vAlign w:val="center"/>
          </w:tcPr>
          <w:p w14:paraId="3FEC753F">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390" w:type="pct"/>
            <w:shd w:val="clear" w:color="auto" w:fill="auto"/>
            <w:noWrap w:val="0"/>
            <w:vAlign w:val="center"/>
          </w:tcPr>
          <w:p w14:paraId="7206B81E">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snapToGrid w:val="0"/>
                <w:color w:val="auto"/>
                <w:spacing w:val="6"/>
                <w:sz w:val="21"/>
                <w:szCs w:val="21"/>
                <w:highlight w:val="none"/>
                <w:lang w:val="en-US" w:eastAsia="zh-CN" w:bidi="ar-SA"/>
              </w:rPr>
              <w:t>0.543</w:t>
            </w:r>
          </w:p>
        </w:tc>
        <w:tc>
          <w:tcPr>
            <w:tcW w:w="549" w:type="pct"/>
            <w:shd w:val="clear" w:color="auto" w:fill="auto"/>
            <w:noWrap w:val="0"/>
            <w:vAlign w:val="center"/>
          </w:tcPr>
          <w:p w14:paraId="64D9EF22">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rPr>
              <w:t>/</w:t>
            </w:r>
          </w:p>
        </w:tc>
        <w:tc>
          <w:tcPr>
            <w:tcW w:w="292" w:type="pct"/>
            <w:shd w:val="clear" w:color="auto" w:fill="auto"/>
            <w:noWrap w:val="0"/>
            <w:vAlign w:val="center"/>
          </w:tcPr>
          <w:p w14:paraId="5C2EEC87">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rPr>
              <w:t>/</w:t>
            </w:r>
          </w:p>
        </w:tc>
        <w:tc>
          <w:tcPr>
            <w:tcW w:w="275" w:type="pct"/>
            <w:shd w:val="clear" w:color="auto" w:fill="auto"/>
            <w:noWrap w:val="0"/>
            <w:vAlign w:val="center"/>
          </w:tcPr>
          <w:p w14:paraId="2A647328">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rPr>
              <w:t>/</w:t>
            </w:r>
          </w:p>
        </w:tc>
        <w:tc>
          <w:tcPr>
            <w:tcW w:w="346" w:type="pct"/>
            <w:noWrap w:val="0"/>
            <w:vAlign w:val="center"/>
          </w:tcPr>
          <w:p w14:paraId="504E3BC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391" w:type="pct"/>
            <w:shd w:val="clear" w:color="auto" w:fill="auto"/>
            <w:noWrap w:val="0"/>
            <w:vAlign w:val="center"/>
          </w:tcPr>
          <w:p w14:paraId="701826F1">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eastAsia" w:ascii="Times New Roman" w:hAnsi="Times New Roman" w:cs="Times New Roman"/>
                <w:snapToGrid w:val="0"/>
                <w:color w:val="auto"/>
                <w:spacing w:val="6"/>
                <w:sz w:val="21"/>
                <w:szCs w:val="21"/>
                <w:highlight w:val="none"/>
                <w:lang w:val="en-US" w:eastAsia="zh-CN" w:bidi="ar-SA"/>
              </w:rPr>
              <w:t>0.543</w:t>
            </w:r>
          </w:p>
        </w:tc>
        <w:tc>
          <w:tcPr>
            <w:tcW w:w="313" w:type="pct"/>
            <w:vMerge w:val="continue"/>
            <w:noWrap w:val="0"/>
            <w:vAlign w:val="center"/>
          </w:tcPr>
          <w:p w14:paraId="25FDE231">
            <w:pPr>
              <w:pStyle w:val="37"/>
              <w:bidi w:val="0"/>
              <w:rPr>
                <w:rFonts w:hint="default" w:ascii="Times New Roman" w:hAnsi="Times New Roman" w:cs="Times New Roman"/>
                <w:color w:val="FF0000"/>
                <w:highlight w:val="none"/>
              </w:rPr>
            </w:pPr>
          </w:p>
        </w:tc>
      </w:tr>
      <w:tr w14:paraId="4D1567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7E48FBA4">
            <w:pPr>
              <w:pStyle w:val="37"/>
              <w:bidi w:val="0"/>
              <w:rPr>
                <w:rFonts w:hint="default" w:ascii="Times New Roman" w:hAnsi="Times New Roman" w:cs="Times New Roman"/>
                <w:color w:val="auto"/>
                <w:highlight w:val="none"/>
              </w:rPr>
            </w:pPr>
          </w:p>
        </w:tc>
        <w:tc>
          <w:tcPr>
            <w:tcW w:w="239" w:type="pct"/>
            <w:vMerge w:val="continue"/>
            <w:noWrap w:val="0"/>
            <w:vAlign w:val="center"/>
          </w:tcPr>
          <w:p w14:paraId="197778AF">
            <w:pPr>
              <w:pStyle w:val="37"/>
              <w:bidi w:val="0"/>
              <w:rPr>
                <w:rFonts w:hint="default" w:ascii="Times New Roman" w:hAnsi="Times New Roman" w:cs="Times New Roman"/>
                <w:color w:val="auto"/>
                <w:highlight w:val="none"/>
              </w:rPr>
            </w:pPr>
          </w:p>
        </w:tc>
        <w:tc>
          <w:tcPr>
            <w:tcW w:w="498" w:type="pct"/>
            <w:vMerge w:val="continue"/>
            <w:noWrap w:val="0"/>
            <w:vAlign w:val="center"/>
          </w:tcPr>
          <w:p w14:paraId="3DBB9FA6">
            <w:pPr>
              <w:pStyle w:val="37"/>
              <w:bidi w:val="0"/>
              <w:rPr>
                <w:rFonts w:hint="default" w:ascii="Times New Roman" w:hAnsi="Times New Roman" w:cs="Times New Roman"/>
                <w:color w:val="auto"/>
                <w:highlight w:val="none"/>
              </w:rPr>
            </w:pPr>
          </w:p>
        </w:tc>
        <w:tc>
          <w:tcPr>
            <w:tcW w:w="453" w:type="pct"/>
            <w:shd w:val="clear" w:color="auto" w:fill="auto"/>
            <w:noWrap w:val="0"/>
            <w:vAlign w:val="center"/>
          </w:tcPr>
          <w:p w14:paraId="0DE29B75">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eastAsia="宋体" w:cs="Times New Roman"/>
                <w:color w:val="auto"/>
                <w:highlight w:val="none"/>
                <w:lang w:val="en-US" w:eastAsia="zh-CN"/>
              </w:rPr>
              <w:t>颗粒物</w:t>
            </w:r>
          </w:p>
        </w:tc>
        <w:tc>
          <w:tcPr>
            <w:tcW w:w="369" w:type="pct"/>
            <w:noWrap w:val="0"/>
            <w:vAlign w:val="center"/>
          </w:tcPr>
          <w:p w14:paraId="3CFBFAA7">
            <w:pPr>
              <w:pStyle w:val="37"/>
              <w:bidi w:val="0"/>
              <w:rPr>
                <w:rFonts w:hint="default" w:ascii="Times New Roman" w:hAnsi="Times New Roman" w:cs="Times New Roman"/>
                <w:color w:val="auto"/>
                <w:highlight w:val="none"/>
              </w:rPr>
            </w:pPr>
            <w:r>
              <w:rPr>
                <w:rFonts w:hint="eastAsia" w:ascii="Times New Roman" w:hAnsi="Times New Roman" w:eastAsia="宋体" w:cs="Times New Roman"/>
                <w:color w:val="auto"/>
                <w:highlight w:val="none"/>
                <w:lang w:val="en-US" w:eastAsia="zh-CN"/>
              </w:rPr>
              <w:t>物料衡算法</w:t>
            </w:r>
          </w:p>
        </w:tc>
        <w:tc>
          <w:tcPr>
            <w:tcW w:w="275" w:type="pct"/>
            <w:noWrap w:val="0"/>
            <w:vAlign w:val="center"/>
          </w:tcPr>
          <w:p w14:paraId="064D9A9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341" w:type="pct"/>
            <w:noWrap w:val="0"/>
            <w:vAlign w:val="center"/>
          </w:tcPr>
          <w:p w14:paraId="6184C48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390" w:type="pct"/>
            <w:shd w:val="clear" w:color="auto" w:fill="auto"/>
            <w:noWrap w:val="0"/>
            <w:vAlign w:val="center"/>
          </w:tcPr>
          <w:p w14:paraId="00037988">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snapToGrid w:val="0"/>
                <w:color w:val="auto"/>
                <w:spacing w:val="6"/>
                <w:sz w:val="21"/>
                <w:szCs w:val="21"/>
                <w:highlight w:val="none"/>
                <w:lang w:val="en-US" w:eastAsia="zh-CN" w:bidi="ar-SA"/>
              </w:rPr>
              <w:t>0.21</w:t>
            </w:r>
          </w:p>
        </w:tc>
        <w:tc>
          <w:tcPr>
            <w:tcW w:w="549" w:type="pct"/>
            <w:noWrap w:val="0"/>
            <w:vAlign w:val="center"/>
          </w:tcPr>
          <w:p w14:paraId="65B80E1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92" w:type="pct"/>
            <w:noWrap w:val="0"/>
            <w:vAlign w:val="center"/>
          </w:tcPr>
          <w:p w14:paraId="093CD294">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75" w:type="pct"/>
            <w:noWrap w:val="0"/>
            <w:vAlign w:val="center"/>
          </w:tcPr>
          <w:p w14:paraId="28E957F0">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346" w:type="pct"/>
            <w:noWrap w:val="0"/>
            <w:vAlign w:val="center"/>
          </w:tcPr>
          <w:p w14:paraId="21D0FD80">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391" w:type="pct"/>
            <w:shd w:val="clear" w:color="auto" w:fill="auto"/>
            <w:noWrap w:val="0"/>
            <w:vAlign w:val="center"/>
          </w:tcPr>
          <w:p w14:paraId="6F53BF29">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eastAsia" w:ascii="Times New Roman" w:hAnsi="Times New Roman" w:cs="Times New Roman"/>
                <w:snapToGrid w:val="0"/>
                <w:color w:val="auto"/>
                <w:spacing w:val="6"/>
                <w:sz w:val="21"/>
                <w:szCs w:val="21"/>
                <w:highlight w:val="none"/>
                <w:lang w:val="en-US" w:eastAsia="zh-CN" w:bidi="ar-SA"/>
              </w:rPr>
              <w:t>0.21</w:t>
            </w:r>
          </w:p>
        </w:tc>
        <w:tc>
          <w:tcPr>
            <w:tcW w:w="313" w:type="pct"/>
            <w:vMerge w:val="continue"/>
            <w:noWrap w:val="0"/>
            <w:vAlign w:val="center"/>
          </w:tcPr>
          <w:p w14:paraId="4F3C970A">
            <w:pPr>
              <w:pStyle w:val="37"/>
              <w:bidi w:val="0"/>
              <w:rPr>
                <w:rFonts w:hint="default" w:ascii="Times New Roman" w:hAnsi="Times New Roman" w:cs="Times New Roman"/>
                <w:color w:val="FF0000"/>
                <w:highlight w:val="none"/>
              </w:rPr>
            </w:pPr>
          </w:p>
        </w:tc>
      </w:tr>
      <w:tr w14:paraId="2D39E8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restart"/>
            <w:noWrap w:val="0"/>
            <w:vAlign w:val="center"/>
          </w:tcPr>
          <w:p w14:paraId="113269D1">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天然气燃烧</w:t>
            </w:r>
          </w:p>
        </w:tc>
        <w:tc>
          <w:tcPr>
            <w:tcW w:w="239" w:type="pct"/>
            <w:vMerge w:val="restart"/>
            <w:noWrap w:val="0"/>
            <w:vAlign w:val="center"/>
          </w:tcPr>
          <w:p w14:paraId="3453EC35">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天然气燃烧</w:t>
            </w:r>
          </w:p>
        </w:tc>
        <w:tc>
          <w:tcPr>
            <w:tcW w:w="498" w:type="pct"/>
            <w:vMerge w:val="restart"/>
            <w:noWrap w:val="0"/>
            <w:vAlign w:val="center"/>
          </w:tcPr>
          <w:p w14:paraId="228ED73A">
            <w:pPr>
              <w:pStyle w:val="37"/>
              <w:bidi w:val="0"/>
              <w:rPr>
                <w:rFonts w:hint="default" w:ascii="Times New Roman" w:hAnsi="Times New Roman" w:eastAsia="宋体" w:cs="Times New Roman"/>
                <w:color w:val="auto"/>
                <w:highlight w:val="none"/>
                <w:lang w:eastAsia="zh-CN"/>
              </w:rPr>
            </w:pPr>
            <w:r>
              <w:rPr>
                <w:rFonts w:hint="eastAsia" w:ascii="Times New Roman" w:hAnsi="Times New Roman" w:cs="Times New Roman"/>
                <w:color w:val="auto"/>
                <w:highlight w:val="none"/>
                <w:lang w:val="en-US" w:eastAsia="zh-CN"/>
              </w:rPr>
              <w:t>20.5</w:t>
            </w:r>
            <w:r>
              <w:rPr>
                <w:rFonts w:hint="default" w:ascii="Times New Roman" w:hAnsi="Times New Roman" w:cs="Times New Roman"/>
                <w:color w:val="auto"/>
                <w:highlight w:val="none"/>
              </w:rPr>
              <w:t>m高</w:t>
            </w:r>
            <w:r>
              <w:rPr>
                <w:rFonts w:hint="eastAsia" w:ascii="Times New Roman" w:hAnsi="Times New Roman" w:eastAsia="宋体" w:cs="Times New Roman"/>
                <w:color w:val="auto"/>
                <w:highlight w:val="none"/>
                <w:lang w:val="en-US" w:eastAsia="zh-CN"/>
              </w:rPr>
              <w:t>烟囱</w:t>
            </w:r>
            <w:r>
              <w:rPr>
                <w:rFonts w:hint="default" w:ascii="Times New Roman" w:hAnsi="Times New Roman" w:cs="Times New Roman"/>
                <w:color w:val="auto"/>
                <w:highlight w:val="none"/>
              </w:rPr>
              <w:t>DA00</w:t>
            </w:r>
            <w:r>
              <w:rPr>
                <w:rFonts w:hint="default" w:ascii="Times New Roman" w:hAnsi="Times New Roman" w:cs="Times New Roman"/>
                <w:color w:val="auto"/>
                <w:highlight w:val="none"/>
                <w:lang w:val="en-US" w:eastAsia="zh-CN"/>
              </w:rPr>
              <w:t>3</w:t>
            </w:r>
          </w:p>
        </w:tc>
        <w:tc>
          <w:tcPr>
            <w:tcW w:w="453" w:type="pct"/>
            <w:noWrap w:val="0"/>
            <w:vAlign w:val="center"/>
          </w:tcPr>
          <w:p w14:paraId="76E57BFF">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颗粒物</w:t>
            </w:r>
          </w:p>
        </w:tc>
        <w:tc>
          <w:tcPr>
            <w:tcW w:w="369" w:type="pct"/>
            <w:noWrap w:val="0"/>
            <w:vAlign w:val="center"/>
          </w:tcPr>
          <w:p w14:paraId="4B23FBC5">
            <w:pPr>
              <w:pStyle w:val="37"/>
              <w:bidi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产污系数法</w:t>
            </w:r>
          </w:p>
        </w:tc>
        <w:tc>
          <w:tcPr>
            <w:tcW w:w="275" w:type="pct"/>
            <w:vMerge w:val="restart"/>
            <w:noWrap w:val="0"/>
            <w:vAlign w:val="center"/>
          </w:tcPr>
          <w:p w14:paraId="20983421">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590</w:t>
            </w:r>
          </w:p>
        </w:tc>
        <w:tc>
          <w:tcPr>
            <w:tcW w:w="341" w:type="pct"/>
            <w:noWrap w:val="0"/>
            <w:vAlign w:val="center"/>
          </w:tcPr>
          <w:p w14:paraId="5BE1F31A">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14.864</w:t>
            </w:r>
          </w:p>
        </w:tc>
        <w:tc>
          <w:tcPr>
            <w:tcW w:w="390" w:type="pct"/>
            <w:noWrap w:val="0"/>
            <w:vAlign w:val="center"/>
          </w:tcPr>
          <w:p w14:paraId="6B5B3472">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0.009</w:t>
            </w:r>
          </w:p>
        </w:tc>
        <w:tc>
          <w:tcPr>
            <w:tcW w:w="549" w:type="pct"/>
            <w:vMerge w:val="restart"/>
            <w:noWrap w:val="0"/>
            <w:vAlign w:val="center"/>
          </w:tcPr>
          <w:p w14:paraId="059C5937">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292" w:type="pct"/>
            <w:vMerge w:val="restart"/>
            <w:noWrap w:val="0"/>
            <w:vAlign w:val="center"/>
          </w:tcPr>
          <w:p w14:paraId="4FBE8F32">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275" w:type="pct"/>
            <w:vMerge w:val="restart"/>
            <w:noWrap w:val="0"/>
            <w:vAlign w:val="center"/>
          </w:tcPr>
          <w:p w14:paraId="22951301">
            <w:pPr>
              <w:pStyle w:val="37"/>
              <w:bidi w:val="0"/>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auto"/>
                <w:highlight w:val="none"/>
                <w:lang w:val="en-US" w:eastAsia="zh-CN"/>
              </w:rPr>
              <w:t>590</w:t>
            </w:r>
          </w:p>
        </w:tc>
        <w:tc>
          <w:tcPr>
            <w:tcW w:w="346" w:type="pct"/>
            <w:noWrap w:val="0"/>
            <w:vAlign w:val="center"/>
          </w:tcPr>
          <w:p w14:paraId="4BB43674">
            <w:pPr>
              <w:pStyle w:val="37"/>
              <w:bidi w:val="0"/>
              <w:ind w:firstLine="0" w:firstLineChars="0"/>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auto"/>
                <w:highlight w:val="none"/>
                <w:lang w:val="en-US" w:eastAsia="zh-CN"/>
              </w:rPr>
              <w:t>14.864</w:t>
            </w:r>
          </w:p>
        </w:tc>
        <w:tc>
          <w:tcPr>
            <w:tcW w:w="391" w:type="pct"/>
            <w:noWrap w:val="0"/>
            <w:vAlign w:val="center"/>
          </w:tcPr>
          <w:p w14:paraId="41EA5366">
            <w:pPr>
              <w:pStyle w:val="37"/>
              <w:bidi w:val="0"/>
              <w:ind w:firstLine="0" w:firstLineChars="0"/>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auto"/>
                <w:highlight w:val="none"/>
                <w:lang w:val="en-US" w:eastAsia="zh-CN"/>
              </w:rPr>
              <w:t>0.009</w:t>
            </w:r>
          </w:p>
        </w:tc>
        <w:tc>
          <w:tcPr>
            <w:tcW w:w="313" w:type="pct"/>
            <w:vMerge w:val="restart"/>
            <w:noWrap w:val="0"/>
            <w:vAlign w:val="center"/>
          </w:tcPr>
          <w:p w14:paraId="7C0A4679">
            <w:pPr>
              <w:pStyle w:val="37"/>
              <w:bidi w:val="0"/>
              <w:rPr>
                <w:rFonts w:hint="default" w:ascii="Times New Roman" w:hAnsi="Times New Roman" w:cs="Times New Roman"/>
                <w:color w:val="FF0000"/>
                <w:highlight w:val="none"/>
              </w:rPr>
            </w:pPr>
            <w:r>
              <w:rPr>
                <w:rFonts w:hint="eastAsia" w:ascii="Times New Roman" w:hAnsi="Times New Roman" w:eastAsia="宋体" w:cs="Times New Roman"/>
                <w:color w:val="auto"/>
                <w:highlight w:val="none"/>
                <w:lang w:val="en-US" w:eastAsia="zh-CN"/>
              </w:rPr>
              <w:t>6960</w:t>
            </w:r>
          </w:p>
        </w:tc>
      </w:tr>
      <w:tr w14:paraId="0F4FB7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6BFED895">
            <w:pPr>
              <w:pStyle w:val="37"/>
              <w:bidi w:val="0"/>
              <w:rPr>
                <w:rFonts w:hint="default" w:ascii="Times New Roman" w:hAnsi="Times New Roman" w:cs="Times New Roman"/>
                <w:color w:val="auto"/>
                <w:highlight w:val="none"/>
                <w:lang w:val="en-US" w:eastAsia="zh-CN"/>
              </w:rPr>
            </w:pPr>
          </w:p>
        </w:tc>
        <w:tc>
          <w:tcPr>
            <w:tcW w:w="239" w:type="pct"/>
            <w:vMerge w:val="continue"/>
            <w:noWrap w:val="0"/>
            <w:vAlign w:val="center"/>
          </w:tcPr>
          <w:p w14:paraId="41E4DCBB">
            <w:pPr>
              <w:pStyle w:val="37"/>
              <w:bidi w:val="0"/>
              <w:rPr>
                <w:rFonts w:hint="default" w:ascii="Times New Roman" w:hAnsi="Times New Roman" w:cs="Times New Roman"/>
                <w:color w:val="auto"/>
                <w:highlight w:val="none"/>
                <w:lang w:val="en-US" w:eastAsia="zh-CN"/>
              </w:rPr>
            </w:pPr>
          </w:p>
        </w:tc>
        <w:tc>
          <w:tcPr>
            <w:tcW w:w="498" w:type="pct"/>
            <w:vMerge w:val="continue"/>
            <w:noWrap w:val="0"/>
            <w:vAlign w:val="center"/>
          </w:tcPr>
          <w:p w14:paraId="514288E5">
            <w:pPr>
              <w:pStyle w:val="37"/>
              <w:bidi w:val="0"/>
              <w:rPr>
                <w:rFonts w:hint="default" w:ascii="Times New Roman" w:hAnsi="Times New Roman" w:cs="Times New Roman"/>
                <w:color w:val="auto"/>
                <w:highlight w:val="none"/>
                <w:lang w:val="en-US" w:eastAsia="zh-CN"/>
              </w:rPr>
            </w:pPr>
          </w:p>
        </w:tc>
        <w:tc>
          <w:tcPr>
            <w:tcW w:w="453" w:type="pct"/>
            <w:noWrap w:val="0"/>
            <w:vAlign w:val="center"/>
          </w:tcPr>
          <w:p w14:paraId="5CB922BC">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二氧化硫</w:t>
            </w:r>
          </w:p>
        </w:tc>
        <w:tc>
          <w:tcPr>
            <w:tcW w:w="369" w:type="pct"/>
            <w:vMerge w:val="restart"/>
            <w:noWrap w:val="0"/>
            <w:vAlign w:val="center"/>
          </w:tcPr>
          <w:p w14:paraId="2FCE8B1D">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物料衡算法</w:t>
            </w:r>
          </w:p>
        </w:tc>
        <w:tc>
          <w:tcPr>
            <w:tcW w:w="275" w:type="pct"/>
            <w:vMerge w:val="continue"/>
            <w:noWrap w:val="0"/>
            <w:vAlign w:val="center"/>
          </w:tcPr>
          <w:p w14:paraId="22501D4C">
            <w:pPr>
              <w:pStyle w:val="37"/>
              <w:bidi w:val="0"/>
              <w:rPr>
                <w:rFonts w:hint="default" w:ascii="Times New Roman" w:hAnsi="Times New Roman" w:cs="Times New Roman"/>
                <w:color w:val="auto"/>
                <w:highlight w:val="none"/>
                <w:lang w:val="en-US" w:eastAsia="zh-CN"/>
              </w:rPr>
            </w:pPr>
          </w:p>
        </w:tc>
        <w:tc>
          <w:tcPr>
            <w:tcW w:w="341" w:type="pct"/>
            <w:noWrap w:val="0"/>
            <w:vAlign w:val="center"/>
          </w:tcPr>
          <w:p w14:paraId="35C61855">
            <w:pPr>
              <w:pStyle w:val="37"/>
              <w:bidi w:val="0"/>
              <w:rPr>
                <w:rFonts w:hint="default" w:ascii="Times New Roman" w:hAnsi="Times New Roman" w:cs="Times New Roman"/>
                <w:color w:val="auto"/>
                <w:highlight w:val="none"/>
                <w:lang w:val="en-US" w:eastAsia="zh-CN"/>
              </w:rPr>
            </w:pPr>
            <w:r>
              <w:rPr>
                <w:rFonts w:hint="eastAsia" w:ascii="Times New Roman" w:hAnsi="Times New Roman" w:eastAsia="宋体" w:cs="Times New Roman"/>
                <w:color w:val="auto"/>
                <w:highlight w:val="none"/>
                <w:lang w:val="en-US" w:eastAsia="zh-CN"/>
              </w:rPr>
              <w:t>0.731</w:t>
            </w:r>
          </w:p>
        </w:tc>
        <w:tc>
          <w:tcPr>
            <w:tcW w:w="390" w:type="pct"/>
            <w:noWrap w:val="0"/>
            <w:vAlign w:val="center"/>
          </w:tcPr>
          <w:p w14:paraId="1DD3EF59">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0.0004</w:t>
            </w:r>
          </w:p>
        </w:tc>
        <w:tc>
          <w:tcPr>
            <w:tcW w:w="549" w:type="pct"/>
            <w:vMerge w:val="continue"/>
            <w:noWrap w:val="0"/>
            <w:vAlign w:val="center"/>
          </w:tcPr>
          <w:p w14:paraId="61A12169">
            <w:pPr>
              <w:pStyle w:val="37"/>
              <w:bidi w:val="0"/>
              <w:rPr>
                <w:rFonts w:hint="default" w:ascii="Times New Roman" w:hAnsi="Times New Roman" w:cs="Times New Roman"/>
                <w:color w:val="FF0000"/>
                <w:highlight w:val="none"/>
              </w:rPr>
            </w:pPr>
          </w:p>
        </w:tc>
        <w:tc>
          <w:tcPr>
            <w:tcW w:w="292" w:type="pct"/>
            <w:vMerge w:val="continue"/>
            <w:shd w:val="clear" w:color="auto" w:fill="auto"/>
            <w:noWrap w:val="0"/>
            <w:vAlign w:val="center"/>
          </w:tcPr>
          <w:p w14:paraId="423B373B">
            <w:pPr>
              <w:pStyle w:val="37"/>
              <w:bidi w:val="0"/>
              <w:ind w:firstLine="0" w:firstLineChars="0"/>
              <w:rPr>
                <w:rFonts w:hint="default" w:ascii="Times New Roman" w:hAnsi="Times New Roman" w:cs="Times New Roman"/>
                <w:color w:val="FF0000"/>
                <w:highlight w:val="none"/>
                <w:lang w:val="en-US" w:eastAsia="zh-CN"/>
              </w:rPr>
            </w:pPr>
          </w:p>
        </w:tc>
        <w:tc>
          <w:tcPr>
            <w:tcW w:w="275" w:type="pct"/>
            <w:vMerge w:val="continue"/>
            <w:shd w:val="clear" w:color="auto" w:fill="auto"/>
            <w:noWrap w:val="0"/>
            <w:vAlign w:val="center"/>
          </w:tcPr>
          <w:p w14:paraId="10A09EBC">
            <w:pPr>
              <w:pStyle w:val="37"/>
              <w:bidi w:val="0"/>
              <w:ind w:firstLine="0" w:firstLineChars="0"/>
              <w:rPr>
                <w:rFonts w:hint="default" w:ascii="Times New Roman" w:hAnsi="Times New Roman" w:cs="Times New Roman"/>
                <w:color w:val="FF0000"/>
                <w:highlight w:val="none"/>
                <w:lang w:val="en-US" w:eastAsia="zh-CN"/>
              </w:rPr>
            </w:pPr>
          </w:p>
        </w:tc>
        <w:tc>
          <w:tcPr>
            <w:tcW w:w="346" w:type="pct"/>
            <w:noWrap w:val="0"/>
            <w:vAlign w:val="center"/>
          </w:tcPr>
          <w:p w14:paraId="2759CE46">
            <w:pPr>
              <w:pStyle w:val="37"/>
              <w:bidi w:val="0"/>
              <w:ind w:firstLine="0" w:firstLineChars="0"/>
              <w:rPr>
                <w:rFonts w:hint="default" w:ascii="Times New Roman" w:hAnsi="Times New Roman" w:cs="Times New Roman"/>
                <w:color w:val="FF0000"/>
                <w:highlight w:val="none"/>
                <w:lang w:val="en-US" w:eastAsia="zh-CN"/>
              </w:rPr>
            </w:pPr>
            <w:r>
              <w:rPr>
                <w:rFonts w:hint="eastAsia" w:ascii="Times New Roman" w:hAnsi="Times New Roman" w:eastAsia="宋体" w:cs="Times New Roman"/>
                <w:color w:val="auto"/>
                <w:highlight w:val="none"/>
                <w:lang w:val="en-US" w:eastAsia="zh-CN"/>
              </w:rPr>
              <w:t>0.731</w:t>
            </w:r>
          </w:p>
        </w:tc>
        <w:tc>
          <w:tcPr>
            <w:tcW w:w="391" w:type="pct"/>
            <w:noWrap w:val="0"/>
            <w:vAlign w:val="center"/>
          </w:tcPr>
          <w:p w14:paraId="12CEE63C">
            <w:pPr>
              <w:pStyle w:val="37"/>
              <w:bidi w:val="0"/>
              <w:ind w:firstLine="0" w:firstLineChars="0"/>
              <w:rPr>
                <w:rFonts w:hint="default" w:ascii="Times New Roman" w:hAnsi="Times New Roman" w:cs="Times New Roman"/>
                <w:color w:val="FF0000"/>
                <w:highlight w:val="none"/>
                <w:lang w:val="en-US" w:eastAsia="zh-CN"/>
              </w:rPr>
            </w:pPr>
            <w:r>
              <w:rPr>
                <w:rFonts w:hint="eastAsia" w:ascii="Times New Roman" w:hAnsi="Times New Roman" w:cs="Times New Roman"/>
                <w:color w:val="auto"/>
                <w:highlight w:val="none"/>
                <w:lang w:val="en-US" w:eastAsia="zh-CN"/>
              </w:rPr>
              <w:t>0.0004</w:t>
            </w:r>
          </w:p>
        </w:tc>
        <w:tc>
          <w:tcPr>
            <w:tcW w:w="313" w:type="pct"/>
            <w:vMerge w:val="continue"/>
            <w:noWrap w:val="0"/>
            <w:vAlign w:val="center"/>
          </w:tcPr>
          <w:p w14:paraId="7E72B4D2">
            <w:pPr>
              <w:pStyle w:val="37"/>
              <w:bidi w:val="0"/>
              <w:rPr>
                <w:rFonts w:hint="default" w:ascii="Times New Roman" w:hAnsi="Times New Roman" w:cs="Times New Roman"/>
                <w:color w:val="FF0000"/>
                <w:highlight w:val="none"/>
              </w:rPr>
            </w:pPr>
          </w:p>
        </w:tc>
      </w:tr>
      <w:tr w14:paraId="3FF330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5F26AA05">
            <w:pPr>
              <w:pStyle w:val="37"/>
              <w:bidi w:val="0"/>
              <w:rPr>
                <w:rFonts w:hint="default" w:ascii="Times New Roman" w:hAnsi="Times New Roman" w:cs="Times New Roman"/>
                <w:color w:val="auto"/>
                <w:highlight w:val="none"/>
                <w:lang w:val="en-US" w:eastAsia="zh-CN"/>
              </w:rPr>
            </w:pPr>
          </w:p>
        </w:tc>
        <w:tc>
          <w:tcPr>
            <w:tcW w:w="239" w:type="pct"/>
            <w:vMerge w:val="continue"/>
            <w:noWrap w:val="0"/>
            <w:vAlign w:val="center"/>
          </w:tcPr>
          <w:p w14:paraId="289513D7">
            <w:pPr>
              <w:pStyle w:val="37"/>
              <w:bidi w:val="0"/>
              <w:rPr>
                <w:rFonts w:hint="default" w:ascii="Times New Roman" w:hAnsi="Times New Roman" w:cs="Times New Roman"/>
                <w:color w:val="auto"/>
                <w:highlight w:val="none"/>
                <w:lang w:val="en-US" w:eastAsia="zh-CN"/>
              </w:rPr>
            </w:pPr>
          </w:p>
        </w:tc>
        <w:tc>
          <w:tcPr>
            <w:tcW w:w="498" w:type="pct"/>
            <w:vMerge w:val="continue"/>
            <w:noWrap w:val="0"/>
            <w:vAlign w:val="center"/>
          </w:tcPr>
          <w:p w14:paraId="629E4F04">
            <w:pPr>
              <w:pStyle w:val="37"/>
              <w:bidi w:val="0"/>
              <w:rPr>
                <w:rFonts w:hint="default" w:ascii="Times New Roman" w:hAnsi="Times New Roman" w:cs="Times New Roman"/>
                <w:color w:val="auto"/>
                <w:highlight w:val="none"/>
                <w:lang w:val="en-US" w:eastAsia="zh-CN"/>
              </w:rPr>
            </w:pPr>
          </w:p>
        </w:tc>
        <w:tc>
          <w:tcPr>
            <w:tcW w:w="453" w:type="pct"/>
            <w:noWrap w:val="0"/>
            <w:vAlign w:val="center"/>
          </w:tcPr>
          <w:p w14:paraId="1FE3C4AE">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氮氧化物</w:t>
            </w:r>
          </w:p>
        </w:tc>
        <w:tc>
          <w:tcPr>
            <w:tcW w:w="369" w:type="pct"/>
            <w:vMerge w:val="continue"/>
            <w:noWrap w:val="0"/>
            <w:vAlign w:val="center"/>
          </w:tcPr>
          <w:p w14:paraId="524BE5DC">
            <w:pPr>
              <w:pStyle w:val="37"/>
              <w:bidi w:val="0"/>
              <w:rPr>
                <w:rFonts w:hint="default" w:ascii="Times New Roman" w:hAnsi="Times New Roman" w:cs="Times New Roman"/>
                <w:color w:val="FF0000"/>
                <w:highlight w:val="none"/>
              </w:rPr>
            </w:pPr>
          </w:p>
        </w:tc>
        <w:tc>
          <w:tcPr>
            <w:tcW w:w="275" w:type="pct"/>
            <w:vMerge w:val="continue"/>
            <w:noWrap w:val="0"/>
            <w:vAlign w:val="center"/>
          </w:tcPr>
          <w:p w14:paraId="5C27C5E3">
            <w:pPr>
              <w:pStyle w:val="37"/>
              <w:bidi w:val="0"/>
              <w:rPr>
                <w:rFonts w:hint="default" w:ascii="Times New Roman" w:hAnsi="Times New Roman" w:cs="Times New Roman"/>
                <w:color w:val="auto"/>
                <w:highlight w:val="none"/>
                <w:lang w:val="en-US" w:eastAsia="zh-CN"/>
              </w:rPr>
            </w:pPr>
          </w:p>
        </w:tc>
        <w:tc>
          <w:tcPr>
            <w:tcW w:w="341" w:type="pct"/>
            <w:noWrap w:val="0"/>
            <w:vAlign w:val="center"/>
          </w:tcPr>
          <w:p w14:paraId="4C4E6CA0">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150</w:t>
            </w:r>
          </w:p>
        </w:tc>
        <w:tc>
          <w:tcPr>
            <w:tcW w:w="390" w:type="pct"/>
            <w:noWrap w:val="0"/>
            <w:vAlign w:val="center"/>
          </w:tcPr>
          <w:p w14:paraId="2A32C24D">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0.089</w:t>
            </w:r>
          </w:p>
        </w:tc>
        <w:tc>
          <w:tcPr>
            <w:tcW w:w="549" w:type="pct"/>
            <w:noWrap w:val="0"/>
            <w:vAlign w:val="center"/>
          </w:tcPr>
          <w:p w14:paraId="1AC5E54F">
            <w:pPr>
              <w:pStyle w:val="37"/>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低氮燃烧</w:t>
            </w:r>
          </w:p>
        </w:tc>
        <w:tc>
          <w:tcPr>
            <w:tcW w:w="292" w:type="pct"/>
            <w:shd w:val="clear" w:color="auto" w:fill="auto"/>
            <w:noWrap w:val="0"/>
            <w:vAlign w:val="center"/>
          </w:tcPr>
          <w:p w14:paraId="23D131A0">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eastAsia="宋体" w:cs="Times New Roman"/>
                <w:snapToGrid w:val="0"/>
                <w:color w:val="auto"/>
                <w:spacing w:val="6"/>
                <w:sz w:val="21"/>
                <w:szCs w:val="21"/>
                <w:highlight w:val="none"/>
                <w:lang w:val="en-US" w:eastAsia="zh-CN" w:bidi="ar-SA"/>
              </w:rPr>
              <w:t>/</w:t>
            </w:r>
          </w:p>
        </w:tc>
        <w:tc>
          <w:tcPr>
            <w:tcW w:w="275" w:type="pct"/>
            <w:vMerge w:val="continue"/>
            <w:shd w:val="clear" w:color="auto" w:fill="auto"/>
            <w:noWrap w:val="0"/>
            <w:vAlign w:val="center"/>
          </w:tcPr>
          <w:p w14:paraId="33D54748">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p>
        </w:tc>
        <w:tc>
          <w:tcPr>
            <w:tcW w:w="346" w:type="pct"/>
            <w:noWrap w:val="0"/>
            <w:vAlign w:val="center"/>
          </w:tcPr>
          <w:p w14:paraId="40F861AF">
            <w:pPr>
              <w:pStyle w:val="37"/>
              <w:bidi w:val="0"/>
              <w:ind w:firstLine="0" w:firstLineChars="0"/>
              <w:rPr>
                <w:rFonts w:hint="default" w:ascii="Times New Roman" w:hAnsi="Times New Roman" w:cs="Times New Roman"/>
                <w:color w:val="FF0000"/>
                <w:highlight w:val="none"/>
                <w:lang w:val="en-US" w:eastAsia="zh-CN"/>
              </w:rPr>
            </w:pPr>
            <w:r>
              <w:rPr>
                <w:rFonts w:hint="eastAsia" w:ascii="Times New Roman" w:hAnsi="Times New Roman" w:cs="Times New Roman"/>
                <w:color w:val="auto"/>
                <w:highlight w:val="none"/>
                <w:lang w:val="en-US" w:eastAsia="zh-CN"/>
              </w:rPr>
              <w:t>150</w:t>
            </w:r>
          </w:p>
        </w:tc>
        <w:tc>
          <w:tcPr>
            <w:tcW w:w="391" w:type="pct"/>
            <w:noWrap w:val="0"/>
            <w:vAlign w:val="center"/>
          </w:tcPr>
          <w:p w14:paraId="4EEB5D5F">
            <w:pPr>
              <w:pStyle w:val="37"/>
              <w:bidi w:val="0"/>
              <w:ind w:firstLine="0" w:firstLineChars="0"/>
              <w:rPr>
                <w:rFonts w:hint="default" w:ascii="Times New Roman" w:hAnsi="Times New Roman" w:cs="Times New Roman"/>
                <w:color w:val="FF0000"/>
                <w:highlight w:val="none"/>
                <w:lang w:val="en-US" w:eastAsia="zh-CN"/>
              </w:rPr>
            </w:pPr>
            <w:r>
              <w:rPr>
                <w:rFonts w:hint="eastAsia" w:ascii="Times New Roman" w:hAnsi="Times New Roman" w:cs="Times New Roman"/>
                <w:color w:val="auto"/>
                <w:highlight w:val="none"/>
                <w:lang w:val="en-US" w:eastAsia="zh-CN"/>
              </w:rPr>
              <w:t>0.089</w:t>
            </w:r>
          </w:p>
        </w:tc>
        <w:tc>
          <w:tcPr>
            <w:tcW w:w="313" w:type="pct"/>
            <w:vMerge w:val="continue"/>
            <w:noWrap w:val="0"/>
            <w:vAlign w:val="center"/>
          </w:tcPr>
          <w:p w14:paraId="79CA1D2A">
            <w:pPr>
              <w:pStyle w:val="37"/>
              <w:bidi w:val="0"/>
              <w:rPr>
                <w:rFonts w:hint="default" w:ascii="Times New Roman" w:hAnsi="Times New Roman" w:cs="Times New Roman"/>
                <w:color w:val="FF0000"/>
                <w:highlight w:val="none"/>
              </w:rPr>
            </w:pPr>
          </w:p>
        </w:tc>
      </w:tr>
      <w:tr w14:paraId="0DDFF0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noWrap w:val="0"/>
            <w:vAlign w:val="center"/>
          </w:tcPr>
          <w:p w14:paraId="1052FED2">
            <w:pPr>
              <w:pStyle w:val="37"/>
              <w:bidi w:val="0"/>
              <w:rPr>
                <w:rFonts w:hint="default" w:ascii="Times New Roman" w:hAnsi="Times New Roman" w:cs="Times New Roman"/>
                <w:color w:val="auto"/>
                <w:highlight w:val="none"/>
              </w:rPr>
            </w:pPr>
            <w:r>
              <w:rPr>
                <w:rFonts w:hint="eastAsia" w:ascii="Times New Roman" w:hAnsi="Times New Roman" w:eastAsia="宋体" w:cs="Times New Roman"/>
                <w:color w:val="auto"/>
                <w:highlight w:val="none"/>
                <w:lang w:val="en-US" w:eastAsia="zh-CN"/>
              </w:rPr>
              <w:t>打磨抛光</w:t>
            </w:r>
          </w:p>
        </w:tc>
        <w:tc>
          <w:tcPr>
            <w:tcW w:w="239" w:type="pct"/>
            <w:noWrap w:val="0"/>
            <w:vAlign w:val="center"/>
          </w:tcPr>
          <w:p w14:paraId="2CA468CB">
            <w:pPr>
              <w:pStyle w:val="37"/>
              <w:bidi w:val="0"/>
              <w:rPr>
                <w:rFonts w:hint="default" w:ascii="Times New Roman" w:hAnsi="Times New Roman" w:cs="Times New Roman"/>
                <w:color w:val="auto"/>
                <w:highlight w:val="none"/>
              </w:rPr>
            </w:pPr>
            <w:r>
              <w:rPr>
                <w:rFonts w:hint="eastAsia" w:ascii="Times New Roman" w:hAnsi="Times New Roman" w:eastAsia="宋体" w:cs="Times New Roman"/>
                <w:color w:val="auto"/>
                <w:highlight w:val="none"/>
                <w:lang w:val="en-US" w:eastAsia="zh-CN"/>
              </w:rPr>
              <w:t>打磨抛光</w:t>
            </w:r>
          </w:p>
        </w:tc>
        <w:tc>
          <w:tcPr>
            <w:tcW w:w="498" w:type="pct"/>
            <w:shd w:val="clear" w:color="auto" w:fill="auto"/>
            <w:noWrap w:val="0"/>
            <w:vAlign w:val="center"/>
          </w:tcPr>
          <w:p w14:paraId="6E4038F6">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rPr>
              <w:t>无组织排放</w:t>
            </w:r>
          </w:p>
        </w:tc>
        <w:tc>
          <w:tcPr>
            <w:tcW w:w="453" w:type="pct"/>
            <w:noWrap w:val="0"/>
            <w:vAlign w:val="center"/>
          </w:tcPr>
          <w:p w14:paraId="4A717696">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颗粒物</w:t>
            </w:r>
          </w:p>
        </w:tc>
        <w:tc>
          <w:tcPr>
            <w:tcW w:w="369" w:type="pct"/>
            <w:shd w:val="clear" w:color="auto" w:fill="auto"/>
            <w:noWrap w:val="0"/>
            <w:vAlign w:val="center"/>
          </w:tcPr>
          <w:p w14:paraId="45E822F8">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产污系数法</w:t>
            </w:r>
          </w:p>
        </w:tc>
        <w:tc>
          <w:tcPr>
            <w:tcW w:w="275" w:type="pct"/>
            <w:shd w:val="clear" w:color="auto" w:fill="auto"/>
            <w:noWrap w:val="0"/>
            <w:vAlign w:val="center"/>
          </w:tcPr>
          <w:p w14:paraId="45E0EFB7">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rPr>
              <w:t>/</w:t>
            </w:r>
          </w:p>
        </w:tc>
        <w:tc>
          <w:tcPr>
            <w:tcW w:w="341" w:type="pct"/>
            <w:shd w:val="clear" w:color="auto" w:fill="auto"/>
            <w:noWrap w:val="0"/>
            <w:vAlign w:val="center"/>
          </w:tcPr>
          <w:p w14:paraId="3673BB6D">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rPr>
              <w:t>/</w:t>
            </w:r>
          </w:p>
        </w:tc>
        <w:tc>
          <w:tcPr>
            <w:tcW w:w="390" w:type="pct"/>
            <w:noWrap w:val="0"/>
            <w:vAlign w:val="center"/>
          </w:tcPr>
          <w:p w14:paraId="4C4989E8">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0.34</w:t>
            </w:r>
          </w:p>
        </w:tc>
        <w:tc>
          <w:tcPr>
            <w:tcW w:w="549" w:type="pct"/>
            <w:shd w:val="clear" w:color="auto" w:fill="auto"/>
            <w:noWrap w:val="0"/>
            <w:vAlign w:val="center"/>
          </w:tcPr>
          <w:p w14:paraId="5E5E2171">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eastAsia="宋体" w:cs="Times New Roman"/>
                <w:snapToGrid w:val="0"/>
                <w:color w:val="auto"/>
                <w:spacing w:val="6"/>
                <w:sz w:val="21"/>
                <w:szCs w:val="21"/>
                <w:highlight w:val="none"/>
                <w:lang w:val="en-US" w:eastAsia="zh-CN" w:bidi="ar-SA"/>
              </w:rPr>
              <w:t>布袋除尘器</w:t>
            </w:r>
          </w:p>
        </w:tc>
        <w:tc>
          <w:tcPr>
            <w:tcW w:w="292" w:type="pct"/>
            <w:shd w:val="clear" w:color="auto" w:fill="auto"/>
            <w:noWrap w:val="0"/>
            <w:vAlign w:val="center"/>
          </w:tcPr>
          <w:p w14:paraId="1D96FE0A">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eastAsia="宋体" w:cs="Times New Roman"/>
                <w:color w:val="auto"/>
                <w:highlight w:val="none"/>
                <w:lang w:val="en-US" w:eastAsia="zh-CN"/>
              </w:rPr>
              <w:t>98%</w:t>
            </w:r>
          </w:p>
        </w:tc>
        <w:tc>
          <w:tcPr>
            <w:tcW w:w="275" w:type="pct"/>
            <w:shd w:val="clear" w:color="auto" w:fill="auto"/>
            <w:noWrap w:val="0"/>
            <w:vAlign w:val="center"/>
          </w:tcPr>
          <w:p w14:paraId="33456A44">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rPr>
              <w:t>/</w:t>
            </w:r>
          </w:p>
        </w:tc>
        <w:tc>
          <w:tcPr>
            <w:tcW w:w="346" w:type="pct"/>
            <w:shd w:val="clear" w:color="auto" w:fill="auto"/>
            <w:noWrap w:val="0"/>
            <w:vAlign w:val="center"/>
          </w:tcPr>
          <w:p w14:paraId="0E1969B0">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rPr>
              <w:t>/</w:t>
            </w:r>
          </w:p>
        </w:tc>
        <w:tc>
          <w:tcPr>
            <w:tcW w:w="391" w:type="pct"/>
            <w:noWrap w:val="0"/>
            <w:vAlign w:val="center"/>
          </w:tcPr>
          <w:p w14:paraId="0C64BF22">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0.007</w:t>
            </w:r>
          </w:p>
        </w:tc>
        <w:tc>
          <w:tcPr>
            <w:tcW w:w="313" w:type="pct"/>
            <w:vMerge w:val="continue"/>
            <w:noWrap w:val="0"/>
            <w:vAlign w:val="center"/>
          </w:tcPr>
          <w:p w14:paraId="5F69F306">
            <w:pPr>
              <w:pStyle w:val="37"/>
              <w:bidi w:val="0"/>
              <w:rPr>
                <w:rFonts w:hint="default" w:ascii="Times New Roman" w:hAnsi="Times New Roman" w:cs="Times New Roman"/>
                <w:color w:val="FF0000"/>
                <w:highlight w:val="none"/>
              </w:rPr>
            </w:pPr>
          </w:p>
        </w:tc>
      </w:tr>
      <w:tr w14:paraId="56A929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restart"/>
            <w:noWrap w:val="0"/>
            <w:vAlign w:val="center"/>
          </w:tcPr>
          <w:p w14:paraId="55D9F286">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配胶、喷胶及烘干、发泡</w:t>
            </w:r>
          </w:p>
        </w:tc>
        <w:tc>
          <w:tcPr>
            <w:tcW w:w="239" w:type="pct"/>
            <w:vMerge w:val="restart"/>
            <w:noWrap w:val="0"/>
            <w:vAlign w:val="center"/>
          </w:tcPr>
          <w:p w14:paraId="177079F5">
            <w:pPr>
              <w:pStyle w:val="37"/>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配胶、喷胶及烘干、发泡</w:t>
            </w:r>
          </w:p>
        </w:tc>
        <w:tc>
          <w:tcPr>
            <w:tcW w:w="498" w:type="pct"/>
            <w:shd w:val="clear" w:color="auto" w:fill="auto"/>
            <w:noWrap w:val="0"/>
            <w:vAlign w:val="center"/>
          </w:tcPr>
          <w:p w14:paraId="1E23D19F">
            <w:pPr>
              <w:pStyle w:val="37"/>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15m高排气筒DA004</w:t>
            </w:r>
          </w:p>
        </w:tc>
        <w:tc>
          <w:tcPr>
            <w:tcW w:w="453" w:type="pct"/>
            <w:noWrap w:val="0"/>
            <w:vAlign w:val="center"/>
          </w:tcPr>
          <w:p w14:paraId="43E7D7CD">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非甲烷总烃</w:t>
            </w:r>
          </w:p>
        </w:tc>
        <w:tc>
          <w:tcPr>
            <w:tcW w:w="369" w:type="pct"/>
            <w:shd w:val="clear" w:color="auto" w:fill="auto"/>
            <w:noWrap w:val="0"/>
            <w:vAlign w:val="center"/>
          </w:tcPr>
          <w:p w14:paraId="1C4BF7E0">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产污系数法</w:t>
            </w:r>
          </w:p>
        </w:tc>
        <w:tc>
          <w:tcPr>
            <w:tcW w:w="275" w:type="pct"/>
            <w:shd w:val="clear" w:color="auto" w:fill="auto"/>
            <w:noWrap w:val="0"/>
            <w:vAlign w:val="center"/>
          </w:tcPr>
          <w:p w14:paraId="7DA064A8">
            <w:pPr>
              <w:pStyle w:val="37"/>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5000</w:t>
            </w:r>
          </w:p>
        </w:tc>
        <w:tc>
          <w:tcPr>
            <w:tcW w:w="341" w:type="pct"/>
            <w:shd w:val="clear" w:color="auto" w:fill="auto"/>
            <w:noWrap w:val="0"/>
            <w:vAlign w:val="center"/>
          </w:tcPr>
          <w:p w14:paraId="00FC6585">
            <w:pPr>
              <w:pStyle w:val="37"/>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281</w:t>
            </w:r>
          </w:p>
        </w:tc>
        <w:tc>
          <w:tcPr>
            <w:tcW w:w="390" w:type="pct"/>
            <w:noWrap w:val="0"/>
            <w:vAlign w:val="center"/>
          </w:tcPr>
          <w:p w14:paraId="67E1B93C">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1.406</w:t>
            </w:r>
          </w:p>
        </w:tc>
        <w:tc>
          <w:tcPr>
            <w:tcW w:w="549" w:type="pct"/>
            <w:shd w:val="clear" w:color="auto" w:fill="auto"/>
            <w:noWrap w:val="0"/>
            <w:vAlign w:val="center"/>
          </w:tcPr>
          <w:p w14:paraId="03856FF6">
            <w:pPr>
              <w:pStyle w:val="37"/>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四级活性炭</w:t>
            </w:r>
          </w:p>
        </w:tc>
        <w:tc>
          <w:tcPr>
            <w:tcW w:w="292" w:type="pct"/>
            <w:shd w:val="clear" w:color="auto" w:fill="auto"/>
            <w:noWrap w:val="0"/>
            <w:vAlign w:val="center"/>
          </w:tcPr>
          <w:p w14:paraId="728BC2F4">
            <w:pPr>
              <w:pStyle w:val="37"/>
              <w:bidi w:val="0"/>
              <w:ind w:firstLine="0" w:firstLineChars="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93.75%</w:t>
            </w:r>
          </w:p>
        </w:tc>
        <w:tc>
          <w:tcPr>
            <w:tcW w:w="275" w:type="pct"/>
            <w:shd w:val="clear" w:color="auto" w:fill="auto"/>
            <w:noWrap w:val="0"/>
            <w:vAlign w:val="center"/>
          </w:tcPr>
          <w:p w14:paraId="54A4914B">
            <w:pPr>
              <w:pStyle w:val="37"/>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5000</w:t>
            </w:r>
          </w:p>
        </w:tc>
        <w:tc>
          <w:tcPr>
            <w:tcW w:w="346" w:type="pct"/>
            <w:shd w:val="clear" w:color="auto" w:fill="auto"/>
            <w:noWrap w:val="0"/>
            <w:vAlign w:val="center"/>
          </w:tcPr>
          <w:p w14:paraId="7BE72917">
            <w:pPr>
              <w:pStyle w:val="37"/>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w:t>
            </w:r>
          </w:p>
        </w:tc>
        <w:tc>
          <w:tcPr>
            <w:tcW w:w="391" w:type="pct"/>
            <w:noWrap w:val="0"/>
            <w:vAlign w:val="center"/>
          </w:tcPr>
          <w:p w14:paraId="226F13CA">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0.088</w:t>
            </w:r>
          </w:p>
        </w:tc>
        <w:tc>
          <w:tcPr>
            <w:tcW w:w="313" w:type="pct"/>
            <w:vMerge w:val="restart"/>
            <w:noWrap w:val="0"/>
            <w:vAlign w:val="center"/>
          </w:tcPr>
          <w:p w14:paraId="0B17CA67">
            <w:pPr>
              <w:pStyle w:val="37"/>
              <w:bidi w:val="0"/>
              <w:rPr>
                <w:rFonts w:hint="default" w:ascii="Times New Roman" w:hAnsi="Times New Roman" w:cs="Times New Roman"/>
                <w:color w:val="FF0000"/>
                <w:highlight w:val="none"/>
              </w:rPr>
            </w:pPr>
            <w:r>
              <w:rPr>
                <w:rFonts w:hint="eastAsia" w:ascii="Times New Roman" w:hAnsi="Times New Roman" w:eastAsia="宋体" w:cs="Times New Roman"/>
                <w:color w:val="auto"/>
                <w:highlight w:val="none"/>
                <w:lang w:val="en-US" w:eastAsia="zh-CN"/>
              </w:rPr>
              <w:t>6960</w:t>
            </w:r>
          </w:p>
        </w:tc>
      </w:tr>
      <w:tr w14:paraId="12E660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5" w:type="pct"/>
            <w:vMerge w:val="continue"/>
            <w:noWrap w:val="0"/>
            <w:vAlign w:val="center"/>
          </w:tcPr>
          <w:p w14:paraId="5E84A6D0">
            <w:pPr>
              <w:pStyle w:val="37"/>
              <w:bidi w:val="0"/>
              <w:rPr>
                <w:rFonts w:hint="eastAsia" w:ascii="Times New Roman" w:hAnsi="Times New Roman" w:eastAsia="宋体" w:cs="Times New Roman"/>
                <w:color w:val="auto"/>
                <w:highlight w:val="none"/>
                <w:lang w:val="en-US" w:eastAsia="zh-CN"/>
              </w:rPr>
            </w:pPr>
          </w:p>
        </w:tc>
        <w:tc>
          <w:tcPr>
            <w:tcW w:w="239" w:type="pct"/>
            <w:vMerge w:val="continue"/>
            <w:noWrap w:val="0"/>
            <w:vAlign w:val="center"/>
          </w:tcPr>
          <w:p w14:paraId="38A82EED">
            <w:pPr>
              <w:pStyle w:val="37"/>
              <w:bidi w:val="0"/>
              <w:rPr>
                <w:rFonts w:hint="eastAsia" w:ascii="Times New Roman" w:hAnsi="Times New Roman" w:eastAsia="宋体" w:cs="Times New Roman"/>
                <w:color w:val="auto"/>
                <w:highlight w:val="none"/>
                <w:lang w:val="en-US" w:eastAsia="zh-CN"/>
              </w:rPr>
            </w:pPr>
          </w:p>
        </w:tc>
        <w:tc>
          <w:tcPr>
            <w:tcW w:w="498" w:type="pct"/>
            <w:shd w:val="clear" w:color="auto" w:fill="auto"/>
            <w:noWrap w:val="0"/>
            <w:vAlign w:val="center"/>
          </w:tcPr>
          <w:p w14:paraId="7891A1D8">
            <w:pPr>
              <w:pStyle w:val="37"/>
              <w:bidi w:val="0"/>
              <w:ind w:firstLine="0" w:firstLineChars="0"/>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无组织排放</w:t>
            </w:r>
          </w:p>
        </w:tc>
        <w:tc>
          <w:tcPr>
            <w:tcW w:w="453" w:type="pct"/>
            <w:noWrap w:val="0"/>
            <w:vAlign w:val="center"/>
          </w:tcPr>
          <w:p w14:paraId="5C483BE1">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非甲烷总烃</w:t>
            </w:r>
          </w:p>
        </w:tc>
        <w:tc>
          <w:tcPr>
            <w:tcW w:w="369" w:type="pct"/>
            <w:shd w:val="clear" w:color="auto" w:fill="auto"/>
            <w:noWrap w:val="0"/>
            <w:vAlign w:val="center"/>
          </w:tcPr>
          <w:p w14:paraId="3BF81C2C">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产污系数法</w:t>
            </w:r>
          </w:p>
        </w:tc>
        <w:tc>
          <w:tcPr>
            <w:tcW w:w="275" w:type="pct"/>
            <w:shd w:val="clear" w:color="auto" w:fill="auto"/>
            <w:noWrap w:val="0"/>
            <w:vAlign w:val="center"/>
          </w:tcPr>
          <w:p w14:paraId="63756845">
            <w:pPr>
              <w:pStyle w:val="37"/>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341" w:type="pct"/>
            <w:shd w:val="clear" w:color="auto" w:fill="auto"/>
            <w:noWrap w:val="0"/>
            <w:vAlign w:val="center"/>
          </w:tcPr>
          <w:p w14:paraId="3364DF00">
            <w:pPr>
              <w:pStyle w:val="37"/>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390" w:type="pct"/>
            <w:noWrap w:val="0"/>
            <w:vAlign w:val="center"/>
          </w:tcPr>
          <w:p w14:paraId="15C9FA02">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0.156</w:t>
            </w:r>
          </w:p>
        </w:tc>
        <w:tc>
          <w:tcPr>
            <w:tcW w:w="549" w:type="pct"/>
            <w:shd w:val="clear" w:color="auto" w:fill="auto"/>
            <w:noWrap w:val="0"/>
            <w:vAlign w:val="center"/>
          </w:tcPr>
          <w:p w14:paraId="4438F9F4">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292" w:type="pct"/>
            <w:shd w:val="clear" w:color="auto" w:fill="auto"/>
            <w:noWrap w:val="0"/>
            <w:vAlign w:val="center"/>
          </w:tcPr>
          <w:p w14:paraId="473C0C18">
            <w:pPr>
              <w:pStyle w:val="37"/>
              <w:bidi w:val="0"/>
              <w:ind w:firstLine="0" w:firstLineChars="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275" w:type="pct"/>
            <w:shd w:val="clear" w:color="auto" w:fill="auto"/>
            <w:noWrap w:val="0"/>
            <w:vAlign w:val="center"/>
          </w:tcPr>
          <w:p w14:paraId="688EB809">
            <w:pPr>
              <w:pStyle w:val="37"/>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346" w:type="pct"/>
            <w:shd w:val="clear" w:color="auto" w:fill="auto"/>
            <w:noWrap w:val="0"/>
            <w:vAlign w:val="center"/>
          </w:tcPr>
          <w:p w14:paraId="0AF2FB88">
            <w:pPr>
              <w:pStyle w:val="37"/>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391" w:type="pct"/>
            <w:noWrap w:val="0"/>
            <w:vAlign w:val="center"/>
          </w:tcPr>
          <w:p w14:paraId="73A59E0E">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0.156</w:t>
            </w:r>
          </w:p>
        </w:tc>
        <w:tc>
          <w:tcPr>
            <w:tcW w:w="313" w:type="pct"/>
            <w:vMerge w:val="continue"/>
            <w:noWrap w:val="0"/>
            <w:vAlign w:val="center"/>
          </w:tcPr>
          <w:p w14:paraId="740D9807">
            <w:pPr>
              <w:pStyle w:val="37"/>
              <w:bidi w:val="0"/>
              <w:rPr>
                <w:rFonts w:hint="eastAsia" w:ascii="Times New Roman" w:hAnsi="Times New Roman" w:eastAsia="宋体" w:cs="Times New Roman"/>
                <w:color w:val="auto"/>
                <w:highlight w:val="none"/>
                <w:lang w:val="en-US" w:eastAsia="zh-CN"/>
              </w:rPr>
            </w:pPr>
          </w:p>
        </w:tc>
      </w:tr>
    </w:tbl>
    <w:p w14:paraId="20D115BC">
      <w:pPr>
        <w:pStyle w:val="29"/>
        <w:rPr>
          <w:rFonts w:hint="default"/>
          <w:lang w:val="en-US" w:eastAsia="zh-CN"/>
        </w:rPr>
      </w:pPr>
    </w:p>
    <w:p w14:paraId="10A69BE9">
      <w:pPr>
        <w:pStyle w:val="30"/>
        <w:rPr>
          <w:rFonts w:hint="default"/>
          <w:lang w:val="en-US" w:eastAsia="zh-CN"/>
        </w:rPr>
      </w:pPr>
    </w:p>
    <w:p w14:paraId="512E487A">
      <w:pPr>
        <w:rPr>
          <w:rFonts w:hint="default"/>
          <w:lang w:val="en-US" w:eastAsia="zh-CN"/>
        </w:rPr>
        <w:sectPr>
          <w:pgSz w:w="16838" w:h="11906" w:orient="landscape"/>
          <w:pgMar w:top="1417" w:right="1134" w:bottom="1417" w:left="1134" w:header="850"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16650BCA">
      <w:pPr>
        <w:spacing w:line="360" w:lineRule="auto"/>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3.3.</w:t>
      </w:r>
      <w:r>
        <w:rPr>
          <w:rFonts w:hint="default" w:ascii="Times New Roman" w:hAnsi="Times New Roman" w:eastAsia="宋体" w:cs="Times New Roman"/>
          <w:b/>
          <w:color w:val="auto"/>
          <w:sz w:val="24"/>
          <w:highlight w:val="none"/>
          <w:lang w:val="en-US" w:eastAsia="zh-CN"/>
        </w:rPr>
        <w:t>2</w:t>
      </w:r>
      <w:r>
        <w:rPr>
          <w:rFonts w:hint="default" w:ascii="Times New Roman" w:hAnsi="Times New Roman" w:cs="Times New Roman"/>
          <w:b/>
          <w:color w:val="auto"/>
          <w:sz w:val="24"/>
          <w:highlight w:val="none"/>
        </w:rPr>
        <w:t>.3噪声</w:t>
      </w:r>
    </w:p>
    <w:p w14:paraId="4C072500">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本项目噪声污染源主要为各类设备运行噪声，项目采用减振、隔声</w:t>
      </w:r>
      <w:r>
        <w:rPr>
          <w:rFonts w:hint="eastAsia" w:ascii="Times New Roman" w:hAnsi="Times New Roman" w:eastAsia="宋体" w:cs="Times New Roman"/>
          <w:color w:val="auto"/>
          <w:sz w:val="24"/>
          <w:szCs w:val="24"/>
          <w:lang w:val="en-US" w:eastAsia="zh-CN"/>
        </w:rPr>
        <w:t>、风机软连接等</w:t>
      </w:r>
      <w:r>
        <w:rPr>
          <w:rFonts w:hint="default" w:ascii="Times New Roman" w:hAnsi="Times New Roman" w:eastAsia="宋体" w:cs="Times New Roman"/>
          <w:color w:val="auto"/>
          <w:sz w:val="24"/>
          <w:szCs w:val="24"/>
          <w:lang w:val="en-US" w:eastAsia="zh-CN"/>
        </w:rPr>
        <w:t>措施后，能有效减低噪声环境影响。根据《污染源源强核算技术指南 汽车制造》（HJ1097—2020）附录G，本项目各噪声源的噪声值</w:t>
      </w:r>
      <w:r>
        <w:rPr>
          <w:rFonts w:hint="default" w:ascii="Times New Roman" w:hAnsi="Times New Roman" w:eastAsia="宋体" w:cs="Times New Roman"/>
          <w:color w:val="auto"/>
          <w:sz w:val="24"/>
          <w:szCs w:val="24"/>
          <w:highlight w:val="none"/>
          <w:lang w:val="en-US" w:eastAsia="zh-CN"/>
        </w:rPr>
        <w:t>在7</w:t>
      </w:r>
      <w:r>
        <w:rPr>
          <w:rFonts w:hint="eastAsia"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90</w:t>
      </w:r>
      <w:r>
        <w:rPr>
          <w:rFonts w:hint="default" w:ascii="Times New Roman" w:hAnsi="Times New Roman" w:eastAsia="宋体" w:cs="Times New Roman"/>
          <w:color w:val="auto"/>
          <w:sz w:val="24"/>
          <w:szCs w:val="24"/>
          <w:highlight w:val="none"/>
          <w:lang w:val="en-US" w:eastAsia="zh-CN"/>
        </w:rPr>
        <w:t>dB(A</w:t>
      </w:r>
      <w:r>
        <w:rPr>
          <w:rFonts w:hint="default" w:ascii="Times New Roman" w:hAnsi="Times New Roman" w:eastAsia="宋体" w:cs="Times New Roman"/>
          <w:color w:val="auto"/>
          <w:sz w:val="24"/>
          <w:szCs w:val="24"/>
          <w:lang w:val="en-US" w:eastAsia="zh-CN"/>
        </w:rPr>
        <w:t>)，本项目噪声排放情况见下表。</w:t>
      </w:r>
    </w:p>
    <w:p w14:paraId="34DF62E9">
      <w:pPr>
        <w:bidi w:val="0"/>
        <w:jc w:val="center"/>
        <w:rPr>
          <w:rFonts w:hint="default" w:ascii="Times New Roman" w:hAnsi="Times New Roman" w:eastAsia="宋体" w:cs="Times New Roman"/>
          <w:b/>
          <w:bCs/>
          <w:snapToGrid w:val="0"/>
          <w:color w:val="auto"/>
          <w:kern w:val="0"/>
          <w:sz w:val="24"/>
          <w:szCs w:val="24"/>
          <w:lang w:val="en-US" w:eastAsia="zh-CN" w:bidi="ar"/>
        </w:rPr>
      </w:pPr>
      <w:r>
        <w:rPr>
          <w:rFonts w:hint="default" w:ascii="Times New Roman" w:hAnsi="Times New Roman" w:eastAsia="宋体" w:cs="Times New Roman"/>
          <w:b/>
          <w:bCs/>
          <w:snapToGrid w:val="0"/>
          <w:color w:val="auto"/>
          <w:kern w:val="0"/>
          <w:sz w:val="24"/>
          <w:szCs w:val="24"/>
          <w:lang w:val="en-US" w:eastAsia="zh-CN" w:bidi="ar"/>
        </w:rPr>
        <w:t>表3</w:t>
      </w:r>
      <w:r>
        <w:rPr>
          <w:rFonts w:hint="eastAsia" w:ascii="Times New Roman" w:hAnsi="Times New Roman" w:eastAsia="宋体" w:cs="Times New Roman"/>
          <w:b/>
          <w:bCs/>
          <w:snapToGrid w:val="0"/>
          <w:color w:val="auto"/>
          <w:kern w:val="0"/>
          <w:sz w:val="24"/>
          <w:szCs w:val="24"/>
          <w:lang w:val="en-US" w:eastAsia="zh-CN" w:bidi="ar"/>
        </w:rPr>
        <w:t>.3</w:t>
      </w:r>
      <w:r>
        <w:rPr>
          <w:rFonts w:hint="default" w:ascii="Times New Roman" w:hAnsi="Times New Roman" w:eastAsia="宋体" w:cs="Times New Roman"/>
          <w:b/>
          <w:bCs/>
          <w:snapToGrid w:val="0"/>
          <w:color w:val="auto"/>
          <w:kern w:val="0"/>
          <w:sz w:val="24"/>
          <w:szCs w:val="24"/>
          <w:lang w:val="en-US" w:eastAsia="zh-CN" w:bidi="ar"/>
        </w:rPr>
        <w:t>-</w:t>
      </w:r>
      <w:r>
        <w:rPr>
          <w:rFonts w:hint="eastAsia" w:ascii="Times New Roman" w:hAnsi="Times New Roman" w:eastAsia="宋体" w:cs="Times New Roman"/>
          <w:b/>
          <w:bCs/>
          <w:snapToGrid w:val="0"/>
          <w:color w:val="auto"/>
          <w:kern w:val="0"/>
          <w:sz w:val="24"/>
          <w:szCs w:val="24"/>
          <w:lang w:val="en-US" w:eastAsia="zh-CN" w:bidi="ar"/>
        </w:rPr>
        <w:t>4</w:t>
      </w:r>
      <w:r>
        <w:rPr>
          <w:rFonts w:hint="default" w:ascii="Times New Roman" w:hAnsi="Times New Roman" w:eastAsia="宋体" w:cs="Times New Roman"/>
          <w:b/>
          <w:bCs/>
          <w:snapToGrid w:val="0"/>
          <w:color w:val="auto"/>
          <w:kern w:val="0"/>
          <w:sz w:val="24"/>
          <w:szCs w:val="24"/>
          <w:lang w:val="en-US" w:eastAsia="zh-CN" w:bidi="ar"/>
        </w:rPr>
        <w:t xml:space="preserve"> 工业企业噪声源强调查清单（室内声源）</w:t>
      </w:r>
    </w:p>
    <w:tbl>
      <w:tblPr>
        <w:tblStyle w:val="22"/>
        <w:tblW w:w="4998"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578"/>
        <w:gridCol w:w="974"/>
        <w:gridCol w:w="840"/>
        <w:gridCol w:w="614"/>
        <w:gridCol w:w="676"/>
        <w:gridCol w:w="597"/>
        <w:gridCol w:w="593"/>
        <w:gridCol w:w="622"/>
        <w:gridCol w:w="837"/>
        <w:gridCol w:w="404"/>
        <w:gridCol w:w="727"/>
        <w:gridCol w:w="542"/>
        <w:gridCol w:w="516"/>
      </w:tblGrid>
      <w:tr w14:paraId="0167F18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restart"/>
            <w:shd w:val="clear" w:color="auto" w:fill="auto"/>
            <w:noWrap w:val="0"/>
            <w:vAlign w:val="center"/>
          </w:tcPr>
          <w:p w14:paraId="48037324">
            <w:pPr>
              <w:pStyle w:val="78"/>
              <w:bidi w:val="0"/>
              <w:rPr>
                <w:color w:val="auto"/>
                <w:sz w:val="21"/>
                <w:szCs w:val="21"/>
                <w:highlight w:val="none"/>
              </w:rPr>
            </w:pPr>
            <w:r>
              <w:rPr>
                <w:color w:val="auto"/>
                <w:sz w:val="21"/>
                <w:szCs w:val="21"/>
                <w:highlight w:val="none"/>
              </w:rPr>
              <w:t>建筑物名称</w:t>
            </w:r>
          </w:p>
        </w:tc>
        <w:tc>
          <w:tcPr>
            <w:tcW w:w="571" w:type="pct"/>
            <w:vMerge w:val="restart"/>
            <w:shd w:val="clear" w:color="auto" w:fill="auto"/>
            <w:noWrap w:val="0"/>
            <w:vAlign w:val="center"/>
          </w:tcPr>
          <w:p w14:paraId="75BFFB4A">
            <w:pPr>
              <w:pStyle w:val="78"/>
              <w:bidi w:val="0"/>
              <w:rPr>
                <w:color w:val="auto"/>
                <w:sz w:val="21"/>
                <w:szCs w:val="21"/>
                <w:highlight w:val="none"/>
              </w:rPr>
            </w:pPr>
            <w:r>
              <w:rPr>
                <w:color w:val="auto"/>
                <w:sz w:val="21"/>
                <w:szCs w:val="21"/>
                <w:highlight w:val="none"/>
              </w:rPr>
              <w:t>声源名称</w:t>
            </w:r>
          </w:p>
        </w:tc>
        <w:tc>
          <w:tcPr>
            <w:tcW w:w="492" w:type="pct"/>
            <w:shd w:val="clear" w:color="auto" w:fill="auto"/>
            <w:noWrap w:val="0"/>
            <w:vAlign w:val="center"/>
          </w:tcPr>
          <w:p w14:paraId="4A6CAB28">
            <w:pPr>
              <w:pStyle w:val="78"/>
              <w:bidi w:val="0"/>
              <w:rPr>
                <w:color w:val="auto"/>
                <w:sz w:val="21"/>
                <w:szCs w:val="21"/>
                <w:highlight w:val="none"/>
              </w:rPr>
            </w:pPr>
            <w:r>
              <w:rPr>
                <w:color w:val="auto"/>
                <w:sz w:val="21"/>
                <w:szCs w:val="21"/>
                <w:highlight w:val="none"/>
              </w:rPr>
              <w:t>声源源强</w:t>
            </w:r>
          </w:p>
        </w:tc>
        <w:tc>
          <w:tcPr>
            <w:tcW w:w="360" w:type="pct"/>
            <w:vMerge w:val="restart"/>
            <w:shd w:val="clear" w:color="auto" w:fill="auto"/>
            <w:noWrap w:val="0"/>
            <w:vAlign w:val="center"/>
          </w:tcPr>
          <w:p w14:paraId="55A4553B">
            <w:pPr>
              <w:pStyle w:val="78"/>
              <w:bidi w:val="0"/>
              <w:rPr>
                <w:color w:val="auto"/>
                <w:sz w:val="21"/>
                <w:szCs w:val="21"/>
                <w:highlight w:val="none"/>
              </w:rPr>
            </w:pPr>
            <w:r>
              <w:rPr>
                <w:color w:val="auto"/>
                <w:sz w:val="21"/>
                <w:szCs w:val="21"/>
                <w:highlight w:val="none"/>
              </w:rPr>
              <w:t>声源控制措施</w:t>
            </w:r>
          </w:p>
        </w:tc>
        <w:tc>
          <w:tcPr>
            <w:tcW w:w="1095" w:type="pct"/>
            <w:gridSpan w:val="3"/>
            <w:shd w:val="clear" w:color="auto" w:fill="auto"/>
            <w:noWrap w:val="0"/>
            <w:vAlign w:val="center"/>
          </w:tcPr>
          <w:p w14:paraId="6E3F1A80">
            <w:pPr>
              <w:pStyle w:val="78"/>
              <w:bidi w:val="0"/>
              <w:rPr>
                <w:color w:val="auto"/>
                <w:sz w:val="21"/>
                <w:szCs w:val="21"/>
                <w:highlight w:val="none"/>
              </w:rPr>
            </w:pPr>
            <w:r>
              <w:rPr>
                <w:color w:val="auto"/>
                <w:sz w:val="21"/>
                <w:szCs w:val="21"/>
                <w:highlight w:val="none"/>
              </w:rPr>
              <w:t>空间相对位置/m</w:t>
            </w:r>
          </w:p>
        </w:tc>
        <w:tc>
          <w:tcPr>
            <w:tcW w:w="365" w:type="pct"/>
            <w:vMerge w:val="restart"/>
            <w:shd w:val="clear" w:color="auto" w:fill="auto"/>
            <w:noWrap w:val="0"/>
            <w:vAlign w:val="center"/>
          </w:tcPr>
          <w:p w14:paraId="6EA59A3E">
            <w:pPr>
              <w:pStyle w:val="78"/>
              <w:bidi w:val="0"/>
              <w:rPr>
                <w:color w:val="auto"/>
                <w:sz w:val="21"/>
                <w:szCs w:val="21"/>
                <w:highlight w:val="none"/>
              </w:rPr>
            </w:pPr>
            <w:r>
              <w:rPr>
                <w:color w:val="auto"/>
                <w:sz w:val="21"/>
                <w:szCs w:val="21"/>
                <w:highlight w:val="none"/>
              </w:rPr>
              <w:t>距室内边界距离/m</w:t>
            </w:r>
          </w:p>
        </w:tc>
        <w:tc>
          <w:tcPr>
            <w:tcW w:w="491" w:type="pct"/>
            <w:vMerge w:val="restart"/>
            <w:shd w:val="clear" w:color="auto" w:fill="auto"/>
            <w:noWrap w:val="0"/>
            <w:vAlign w:val="center"/>
          </w:tcPr>
          <w:p w14:paraId="456E5152">
            <w:pPr>
              <w:pStyle w:val="78"/>
              <w:bidi w:val="0"/>
              <w:rPr>
                <w:color w:val="auto"/>
                <w:sz w:val="21"/>
                <w:szCs w:val="21"/>
                <w:highlight w:val="none"/>
              </w:rPr>
            </w:pPr>
            <w:r>
              <w:rPr>
                <w:color w:val="auto"/>
                <w:sz w:val="21"/>
                <w:szCs w:val="21"/>
                <w:highlight w:val="none"/>
              </w:rPr>
              <w:t>室内边界</w:t>
            </w:r>
          </w:p>
          <w:p w14:paraId="653DC244">
            <w:pPr>
              <w:pStyle w:val="78"/>
              <w:bidi w:val="0"/>
              <w:rPr>
                <w:color w:val="auto"/>
                <w:sz w:val="21"/>
                <w:szCs w:val="21"/>
                <w:highlight w:val="none"/>
              </w:rPr>
            </w:pPr>
            <w:r>
              <w:rPr>
                <w:color w:val="auto"/>
                <w:sz w:val="21"/>
                <w:szCs w:val="21"/>
                <w:highlight w:val="none"/>
              </w:rPr>
              <w:t>声级</w:t>
            </w:r>
          </w:p>
          <w:p w14:paraId="48BD49D3">
            <w:pPr>
              <w:pStyle w:val="78"/>
              <w:bidi w:val="0"/>
              <w:rPr>
                <w:rFonts w:hint="eastAsia"/>
                <w:color w:val="auto"/>
                <w:sz w:val="21"/>
                <w:szCs w:val="21"/>
                <w:highlight w:val="none"/>
                <w:lang w:eastAsia="zh-CN"/>
              </w:rPr>
            </w:pPr>
            <w:r>
              <w:rPr>
                <w:color w:val="auto"/>
                <w:sz w:val="21"/>
                <w:szCs w:val="21"/>
                <w:highlight w:val="none"/>
              </w:rPr>
              <w:t>/dB</w:t>
            </w:r>
            <w:r>
              <w:rPr>
                <w:rFonts w:hint="eastAsia"/>
                <w:color w:val="auto"/>
                <w:sz w:val="21"/>
                <w:szCs w:val="21"/>
                <w:highlight w:val="none"/>
                <w:lang w:eastAsia="zh-CN"/>
              </w:rPr>
              <w:t>（</w:t>
            </w:r>
            <w:r>
              <w:rPr>
                <w:color w:val="auto"/>
                <w:sz w:val="21"/>
                <w:szCs w:val="21"/>
                <w:highlight w:val="none"/>
              </w:rPr>
              <w:t>A</w:t>
            </w:r>
            <w:r>
              <w:rPr>
                <w:rFonts w:hint="eastAsia"/>
                <w:color w:val="auto"/>
                <w:sz w:val="21"/>
                <w:szCs w:val="21"/>
                <w:highlight w:val="none"/>
                <w:lang w:eastAsia="zh-CN"/>
              </w:rPr>
              <w:t>）</w:t>
            </w:r>
          </w:p>
        </w:tc>
        <w:tc>
          <w:tcPr>
            <w:tcW w:w="237" w:type="pct"/>
            <w:vMerge w:val="restart"/>
            <w:shd w:val="clear" w:color="auto" w:fill="auto"/>
            <w:noWrap w:val="0"/>
            <w:vAlign w:val="center"/>
          </w:tcPr>
          <w:p w14:paraId="116ECDBD">
            <w:pPr>
              <w:pStyle w:val="78"/>
              <w:bidi w:val="0"/>
              <w:rPr>
                <w:color w:val="auto"/>
                <w:sz w:val="21"/>
                <w:szCs w:val="21"/>
                <w:highlight w:val="none"/>
              </w:rPr>
            </w:pPr>
            <w:r>
              <w:rPr>
                <w:color w:val="auto"/>
                <w:sz w:val="21"/>
                <w:szCs w:val="21"/>
                <w:highlight w:val="none"/>
              </w:rPr>
              <w:t>运行时段</w:t>
            </w:r>
          </w:p>
        </w:tc>
        <w:tc>
          <w:tcPr>
            <w:tcW w:w="426" w:type="pct"/>
            <w:vMerge w:val="restart"/>
            <w:shd w:val="clear" w:color="auto" w:fill="auto"/>
            <w:noWrap w:val="0"/>
            <w:vAlign w:val="center"/>
          </w:tcPr>
          <w:p w14:paraId="452FFFA6">
            <w:pPr>
              <w:pStyle w:val="78"/>
              <w:bidi w:val="0"/>
              <w:rPr>
                <w:color w:val="auto"/>
                <w:sz w:val="21"/>
                <w:szCs w:val="21"/>
                <w:highlight w:val="none"/>
              </w:rPr>
            </w:pPr>
            <w:r>
              <w:rPr>
                <w:color w:val="auto"/>
                <w:sz w:val="21"/>
                <w:szCs w:val="21"/>
                <w:highlight w:val="none"/>
              </w:rPr>
              <w:t>建筑物插入损失/</w:t>
            </w:r>
          </w:p>
          <w:p w14:paraId="513E06D4">
            <w:pPr>
              <w:pStyle w:val="78"/>
              <w:bidi w:val="0"/>
              <w:rPr>
                <w:rFonts w:hint="eastAsia"/>
                <w:color w:val="auto"/>
                <w:sz w:val="21"/>
                <w:szCs w:val="21"/>
                <w:highlight w:val="none"/>
                <w:lang w:eastAsia="zh-CN"/>
              </w:rPr>
            </w:pPr>
            <w:r>
              <w:rPr>
                <w:color w:val="auto"/>
                <w:sz w:val="21"/>
                <w:szCs w:val="21"/>
                <w:highlight w:val="none"/>
              </w:rPr>
              <w:t>dB</w:t>
            </w:r>
            <w:r>
              <w:rPr>
                <w:rFonts w:hint="eastAsia"/>
                <w:color w:val="auto"/>
                <w:sz w:val="21"/>
                <w:szCs w:val="21"/>
                <w:highlight w:val="none"/>
                <w:lang w:eastAsia="zh-CN"/>
              </w:rPr>
              <w:t>（</w:t>
            </w:r>
            <w:r>
              <w:rPr>
                <w:color w:val="auto"/>
                <w:sz w:val="21"/>
                <w:szCs w:val="21"/>
                <w:highlight w:val="none"/>
              </w:rPr>
              <w:t>A</w:t>
            </w:r>
            <w:r>
              <w:rPr>
                <w:rFonts w:hint="eastAsia"/>
                <w:color w:val="auto"/>
                <w:sz w:val="21"/>
                <w:szCs w:val="21"/>
                <w:highlight w:val="none"/>
                <w:lang w:eastAsia="zh-CN"/>
              </w:rPr>
              <w:t>）</w:t>
            </w:r>
          </w:p>
        </w:tc>
        <w:tc>
          <w:tcPr>
            <w:tcW w:w="620" w:type="pct"/>
            <w:gridSpan w:val="2"/>
            <w:shd w:val="clear" w:color="auto" w:fill="auto"/>
            <w:noWrap w:val="0"/>
            <w:vAlign w:val="center"/>
          </w:tcPr>
          <w:p w14:paraId="5DB3690B">
            <w:pPr>
              <w:pStyle w:val="78"/>
              <w:bidi w:val="0"/>
              <w:rPr>
                <w:color w:val="auto"/>
                <w:sz w:val="21"/>
                <w:szCs w:val="21"/>
                <w:highlight w:val="none"/>
              </w:rPr>
            </w:pPr>
            <w:r>
              <w:rPr>
                <w:color w:val="auto"/>
                <w:sz w:val="21"/>
                <w:szCs w:val="21"/>
                <w:highlight w:val="none"/>
              </w:rPr>
              <w:t>建筑物外噪声</w:t>
            </w:r>
          </w:p>
        </w:tc>
      </w:tr>
      <w:tr w14:paraId="0FA38EA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5B070D6C">
            <w:pPr>
              <w:pStyle w:val="78"/>
              <w:bidi w:val="0"/>
              <w:rPr>
                <w:color w:val="auto"/>
                <w:sz w:val="21"/>
                <w:szCs w:val="21"/>
                <w:highlight w:val="none"/>
              </w:rPr>
            </w:pPr>
          </w:p>
        </w:tc>
        <w:tc>
          <w:tcPr>
            <w:tcW w:w="571" w:type="pct"/>
            <w:vMerge w:val="continue"/>
            <w:shd w:val="clear" w:color="auto" w:fill="auto"/>
            <w:noWrap w:val="0"/>
            <w:vAlign w:val="center"/>
          </w:tcPr>
          <w:p w14:paraId="3D4AC765">
            <w:pPr>
              <w:pStyle w:val="78"/>
              <w:bidi w:val="0"/>
              <w:rPr>
                <w:color w:val="auto"/>
                <w:sz w:val="21"/>
                <w:szCs w:val="21"/>
                <w:highlight w:val="none"/>
              </w:rPr>
            </w:pPr>
          </w:p>
        </w:tc>
        <w:tc>
          <w:tcPr>
            <w:tcW w:w="492" w:type="pct"/>
            <w:shd w:val="clear" w:color="auto" w:fill="auto"/>
            <w:noWrap w:val="0"/>
            <w:vAlign w:val="center"/>
          </w:tcPr>
          <w:p w14:paraId="042793DB">
            <w:pPr>
              <w:pStyle w:val="78"/>
              <w:bidi w:val="0"/>
              <w:rPr>
                <w:color w:val="auto"/>
                <w:sz w:val="21"/>
                <w:szCs w:val="21"/>
                <w:highlight w:val="none"/>
              </w:rPr>
            </w:pPr>
            <w:r>
              <w:rPr>
                <w:color w:val="auto"/>
                <w:sz w:val="21"/>
                <w:szCs w:val="21"/>
                <w:highlight w:val="none"/>
              </w:rPr>
              <w:t>声功率级</w:t>
            </w:r>
          </w:p>
          <w:p w14:paraId="522FC928">
            <w:pPr>
              <w:pStyle w:val="78"/>
              <w:bidi w:val="0"/>
              <w:rPr>
                <w:rFonts w:hint="eastAsia"/>
                <w:color w:val="auto"/>
                <w:sz w:val="21"/>
                <w:szCs w:val="21"/>
                <w:highlight w:val="none"/>
                <w:lang w:eastAsia="zh-CN"/>
              </w:rPr>
            </w:pPr>
            <w:r>
              <w:rPr>
                <w:color w:val="auto"/>
                <w:sz w:val="21"/>
                <w:szCs w:val="21"/>
                <w:highlight w:val="none"/>
              </w:rPr>
              <w:t>/dB</w:t>
            </w:r>
            <w:r>
              <w:rPr>
                <w:rFonts w:hint="eastAsia"/>
                <w:color w:val="auto"/>
                <w:sz w:val="21"/>
                <w:szCs w:val="21"/>
                <w:highlight w:val="none"/>
                <w:lang w:eastAsia="zh-CN"/>
              </w:rPr>
              <w:t>（</w:t>
            </w:r>
            <w:r>
              <w:rPr>
                <w:color w:val="auto"/>
                <w:sz w:val="21"/>
                <w:szCs w:val="21"/>
                <w:highlight w:val="none"/>
              </w:rPr>
              <w:t>A</w:t>
            </w:r>
            <w:r>
              <w:rPr>
                <w:rFonts w:hint="eastAsia"/>
                <w:color w:val="auto"/>
                <w:sz w:val="21"/>
                <w:szCs w:val="21"/>
                <w:highlight w:val="none"/>
                <w:lang w:eastAsia="zh-CN"/>
              </w:rPr>
              <w:t>）</w:t>
            </w:r>
          </w:p>
        </w:tc>
        <w:tc>
          <w:tcPr>
            <w:tcW w:w="360" w:type="pct"/>
            <w:vMerge w:val="continue"/>
            <w:shd w:val="clear" w:color="auto" w:fill="auto"/>
            <w:noWrap w:val="0"/>
            <w:vAlign w:val="center"/>
          </w:tcPr>
          <w:p w14:paraId="643DB6D1">
            <w:pPr>
              <w:pStyle w:val="78"/>
              <w:bidi w:val="0"/>
              <w:rPr>
                <w:color w:val="auto"/>
                <w:sz w:val="21"/>
                <w:szCs w:val="21"/>
                <w:highlight w:val="none"/>
              </w:rPr>
            </w:pPr>
          </w:p>
        </w:tc>
        <w:tc>
          <w:tcPr>
            <w:tcW w:w="396" w:type="pct"/>
            <w:shd w:val="clear" w:color="auto" w:fill="auto"/>
            <w:noWrap w:val="0"/>
            <w:vAlign w:val="center"/>
          </w:tcPr>
          <w:p w14:paraId="493353A3">
            <w:pPr>
              <w:pStyle w:val="78"/>
              <w:bidi w:val="0"/>
              <w:rPr>
                <w:color w:val="auto"/>
                <w:sz w:val="21"/>
                <w:szCs w:val="21"/>
                <w:highlight w:val="none"/>
              </w:rPr>
            </w:pPr>
            <w:r>
              <w:rPr>
                <w:color w:val="auto"/>
                <w:sz w:val="21"/>
                <w:szCs w:val="21"/>
                <w:highlight w:val="none"/>
              </w:rPr>
              <w:t>X</w:t>
            </w:r>
          </w:p>
        </w:tc>
        <w:tc>
          <w:tcPr>
            <w:tcW w:w="350" w:type="pct"/>
            <w:shd w:val="clear" w:color="auto" w:fill="auto"/>
            <w:noWrap w:val="0"/>
            <w:vAlign w:val="center"/>
          </w:tcPr>
          <w:p w14:paraId="4EBCD445">
            <w:pPr>
              <w:pStyle w:val="78"/>
              <w:bidi w:val="0"/>
              <w:rPr>
                <w:color w:val="auto"/>
                <w:sz w:val="21"/>
                <w:szCs w:val="21"/>
                <w:highlight w:val="none"/>
              </w:rPr>
            </w:pPr>
            <w:r>
              <w:rPr>
                <w:color w:val="auto"/>
                <w:sz w:val="21"/>
                <w:szCs w:val="21"/>
                <w:highlight w:val="none"/>
              </w:rPr>
              <w:t>Y</w:t>
            </w:r>
          </w:p>
        </w:tc>
        <w:tc>
          <w:tcPr>
            <w:tcW w:w="348" w:type="pct"/>
            <w:shd w:val="clear" w:color="auto" w:fill="auto"/>
            <w:noWrap w:val="0"/>
            <w:vAlign w:val="center"/>
          </w:tcPr>
          <w:p w14:paraId="5FC99FA2">
            <w:pPr>
              <w:pStyle w:val="78"/>
              <w:bidi w:val="0"/>
              <w:rPr>
                <w:color w:val="auto"/>
                <w:sz w:val="21"/>
                <w:szCs w:val="21"/>
                <w:highlight w:val="none"/>
              </w:rPr>
            </w:pPr>
            <w:r>
              <w:rPr>
                <w:color w:val="auto"/>
                <w:sz w:val="21"/>
                <w:szCs w:val="21"/>
                <w:highlight w:val="none"/>
              </w:rPr>
              <w:t>Z</w:t>
            </w:r>
          </w:p>
        </w:tc>
        <w:tc>
          <w:tcPr>
            <w:tcW w:w="365" w:type="pct"/>
            <w:vMerge w:val="continue"/>
            <w:shd w:val="clear" w:color="auto" w:fill="auto"/>
            <w:noWrap w:val="0"/>
            <w:vAlign w:val="center"/>
          </w:tcPr>
          <w:p w14:paraId="058CCCEB">
            <w:pPr>
              <w:pStyle w:val="78"/>
              <w:bidi w:val="0"/>
              <w:rPr>
                <w:color w:val="auto"/>
                <w:sz w:val="21"/>
                <w:szCs w:val="21"/>
                <w:highlight w:val="none"/>
              </w:rPr>
            </w:pPr>
          </w:p>
        </w:tc>
        <w:tc>
          <w:tcPr>
            <w:tcW w:w="491" w:type="pct"/>
            <w:vMerge w:val="continue"/>
            <w:shd w:val="clear" w:color="auto" w:fill="auto"/>
            <w:noWrap w:val="0"/>
            <w:vAlign w:val="center"/>
          </w:tcPr>
          <w:p w14:paraId="6939E42F">
            <w:pPr>
              <w:pStyle w:val="78"/>
              <w:bidi w:val="0"/>
              <w:rPr>
                <w:color w:val="auto"/>
                <w:sz w:val="21"/>
                <w:szCs w:val="21"/>
                <w:highlight w:val="none"/>
              </w:rPr>
            </w:pPr>
          </w:p>
        </w:tc>
        <w:tc>
          <w:tcPr>
            <w:tcW w:w="237" w:type="pct"/>
            <w:vMerge w:val="continue"/>
            <w:shd w:val="clear" w:color="auto" w:fill="auto"/>
            <w:noWrap w:val="0"/>
            <w:vAlign w:val="center"/>
          </w:tcPr>
          <w:p w14:paraId="4B1941E6">
            <w:pPr>
              <w:pStyle w:val="78"/>
              <w:bidi w:val="0"/>
              <w:rPr>
                <w:color w:val="auto"/>
                <w:sz w:val="21"/>
                <w:szCs w:val="21"/>
                <w:highlight w:val="none"/>
              </w:rPr>
            </w:pPr>
          </w:p>
        </w:tc>
        <w:tc>
          <w:tcPr>
            <w:tcW w:w="426" w:type="pct"/>
            <w:vMerge w:val="continue"/>
            <w:shd w:val="clear" w:color="auto" w:fill="auto"/>
            <w:noWrap w:val="0"/>
            <w:vAlign w:val="center"/>
          </w:tcPr>
          <w:p w14:paraId="40CC9888">
            <w:pPr>
              <w:pStyle w:val="78"/>
              <w:bidi w:val="0"/>
              <w:rPr>
                <w:color w:val="auto"/>
                <w:sz w:val="21"/>
                <w:szCs w:val="21"/>
                <w:highlight w:val="none"/>
              </w:rPr>
            </w:pPr>
          </w:p>
        </w:tc>
        <w:tc>
          <w:tcPr>
            <w:tcW w:w="318" w:type="pct"/>
            <w:shd w:val="clear" w:color="auto" w:fill="auto"/>
            <w:noWrap w:val="0"/>
            <w:vAlign w:val="center"/>
          </w:tcPr>
          <w:p w14:paraId="69B3EDE2">
            <w:pPr>
              <w:pStyle w:val="78"/>
              <w:bidi w:val="0"/>
              <w:rPr>
                <w:color w:val="auto"/>
                <w:sz w:val="21"/>
                <w:szCs w:val="21"/>
                <w:highlight w:val="none"/>
              </w:rPr>
            </w:pPr>
            <w:r>
              <w:rPr>
                <w:color w:val="auto"/>
                <w:sz w:val="21"/>
                <w:szCs w:val="21"/>
                <w:highlight w:val="none"/>
              </w:rPr>
              <w:t>声压级</w:t>
            </w:r>
          </w:p>
          <w:p w14:paraId="4B88053C">
            <w:pPr>
              <w:pStyle w:val="78"/>
              <w:bidi w:val="0"/>
              <w:rPr>
                <w:rFonts w:hint="eastAsia"/>
                <w:color w:val="auto"/>
                <w:sz w:val="21"/>
                <w:szCs w:val="21"/>
                <w:highlight w:val="none"/>
                <w:lang w:eastAsia="zh-CN"/>
              </w:rPr>
            </w:pPr>
            <w:r>
              <w:rPr>
                <w:color w:val="auto"/>
                <w:sz w:val="21"/>
                <w:szCs w:val="21"/>
                <w:highlight w:val="none"/>
              </w:rPr>
              <w:t>/dB</w:t>
            </w:r>
            <w:r>
              <w:rPr>
                <w:rFonts w:hint="eastAsia"/>
                <w:color w:val="auto"/>
                <w:sz w:val="21"/>
                <w:szCs w:val="21"/>
                <w:highlight w:val="none"/>
                <w:lang w:eastAsia="zh-CN"/>
              </w:rPr>
              <w:t>（</w:t>
            </w:r>
            <w:r>
              <w:rPr>
                <w:color w:val="auto"/>
                <w:sz w:val="21"/>
                <w:szCs w:val="21"/>
                <w:highlight w:val="none"/>
              </w:rPr>
              <w:t>A</w:t>
            </w:r>
            <w:r>
              <w:rPr>
                <w:rFonts w:hint="eastAsia"/>
                <w:color w:val="auto"/>
                <w:sz w:val="21"/>
                <w:szCs w:val="21"/>
                <w:highlight w:val="none"/>
                <w:lang w:eastAsia="zh-CN"/>
              </w:rPr>
              <w:t>）</w:t>
            </w:r>
          </w:p>
        </w:tc>
        <w:tc>
          <w:tcPr>
            <w:tcW w:w="302" w:type="pct"/>
            <w:shd w:val="clear" w:color="auto" w:fill="auto"/>
            <w:noWrap w:val="0"/>
            <w:vAlign w:val="center"/>
          </w:tcPr>
          <w:p w14:paraId="720E8159">
            <w:pPr>
              <w:pStyle w:val="78"/>
              <w:bidi w:val="0"/>
              <w:rPr>
                <w:color w:val="auto"/>
                <w:sz w:val="21"/>
                <w:szCs w:val="21"/>
                <w:highlight w:val="none"/>
              </w:rPr>
            </w:pPr>
            <w:r>
              <w:rPr>
                <w:color w:val="auto"/>
                <w:sz w:val="21"/>
                <w:szCs w:val="21"/>
                <w:highlight w:val="none"/>
              </w:rPr>
              <w:t>建筑物外距离</w:t>
            </w:r>
          </w:p>
        </w:tc>
      </w:tr>
      <w:tr w14:paraId="2539FDC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restart"/>
            <w:shd w:val="clear" w:color="auto" w:fill="auto"/>
            <w:noWrap w:val="0"/>
            <w:vAlign w:val="center"/>
          </w:tcPr>
          <w:p w14:paraId="4811BF6D">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厂房</w:t>
            </w:r>
          </w:p>
        </w:tc>
        <w:tc>
          <w:tcPr>
            <w:tcW w:w="571" w:type="pct"/>
            <w:shd w:val="clear" w:color="auto" w:fill="auto"/>
            <w:noWrap w:val="0"/>
            <w:vAlign w:val="center"/>
          </w:tcPr>
          <w:p w14:paraId="1FEEA9B0">
            <w:pPr>
              <w:pStyle w:val="78"/>
              <w:bidi w:val="0"/>
              <w:rPr>
                <w:rFonts w:hint="default"/>
                <w:color w:val="auto"/>
                <w:sz w:val="21"/>
                <w:szCs w:val="21"/>
                <w:highlight w:val="none"/>
                <w:lang w:val="en-US" w:eastAsia="zh-CN"/>
              </w:rPr>
            </w:pPr>
            <w:r>
              <w:rPr>
                <w:rFonts w:hint="eastAsia"/>
                <w:color w:val="auto"/>
                <w:sz w:val="21"/>
                <w:szCs w:val="21"/>
                <w:highlight w:val="none"/>
              </w:rPr>
              <w:t>注塑机</w:t>
            </w:r>
          </w:p>
        </w:tc>
        <w:tc>
          <w:tcPr>
            <w:tcW w:w="492" w:type="pct"/>
            <w:shd w:val="clear" w:color="auto" w:fill="auto"/>
            <w:noWrap w:val="0"/>
            <w:vAlign w:val="center"/>
          </w:tcPr>
          <w:p w14:paraId="343971AE">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80</w:t>
            </w:r>
          </w:p>
        </w:tc>
        <w:tc>
          <w:tcPr>
            <w:tcW w:w="360" w:type="pct"/>
            <w:vMerge w:val="restart"/>
            <w:shd w:val="clear" w:color="auto" w:fill="auto"/>
            <w:noWrap w:val="0"/>
            <w:vAlign w:val="center"/>
          </w:tcPr>
          <w:p w14:paraId="3B7103A2">
            <w:pPr>
              <w:pStyle w:val="78"/>
              <w:bidi w:val="0"/>
              <w:rPr>
                <w:rFonts w:hint="eastAsia"/>
                <w:color w:val="auto"/>
                <w:sz w:val="21"/>
                <w:szCs w:val="21"/>
                <w:highlight w:val="none"/>
              </w:rPr>
            </w:pPr>
            <w:r>
              <w:rPr>
                <w:rFonts w:hint="eastAsia"/>
                <w:color w:val="auto"/>
                <w:sz w:val="21"/>
                <w:szCs w:val="21"/>
                <w:highlight w:val="none"/>
              </w:rPr>
              <w:t>减震、</w:t>
            </w:r>
            <w:r>
              <w:rPr>
                <w:color w:val="auto"/>
                <w:sz w:val="21"/>
                <w:szCs w:val="21"/>
                <w:highlight w:val="none"/>
              </w:rPr>
              <w:t>隔声罩壳、厂房隔声</w:t>
            </w:r>
          </w:p>
        </w:tc>
        <w:tc>
          <w:tcPr>
            <w:tcW w:w="396" w:type="pct"/>
            <w:shd w:val="clear" w:color="auto" w:fill="auto"/>
            <w:noWrap w:val="0"/>
            <w:vAlign w:val="center"/>
          </w:tcPr>
          <w:p w14:paraId="23745FF2">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11EAB2CA">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72</w:t>
            </w:r>
          </w:p>
        </w:tc>
        <w:tc>
          <w:tcPr>
            <w:tcW w:w="348" w:type="pct"/>
            <w:shd w:val="clear" w:color="auto" w:fill="auto"/>
            <w:noWrap w:val="0"/>
            <w:vAlign w:val="center"/>
          </w:tcPr>
          <w:p w14:paraId="4D81139B">
            <w:pPr>
              <w:pStyle w:val="78"/>
              <w:bidi w:val="0"/>
              <w:rPr>
                <w:rFonts w:hint="eastAsia"/>
                <w:color w:val="auto"/>
                <w:sz w:val="21"/>
                <w:szCs w:val="21"/>
                <w:highlight w:val="none"/>
                <w:lang w:val="en-US" w:eastAsia="zh-CN"/>
              </w:rPr>
            </w:pPr>
            <w:r>
              <w:rPr>
                <w:rFonts w:hint="eastAsia"/>
                <w:color w:val="auto"/>
                <w:sz w:val="21"/>
                <w:szCs w:val="21"/>
                <w:highlight w:val="none"/>
                <w:lang w:val="en-US" w:eastAsia="zh-CN"/>
              </w:rPr>
              <w:t>1</w:t>
            </w:r>
          </w:p>
        </w:tc>
        <w:tc>
          <w:tcPr>
            <w:tcW w:w="365" w:type="pct"/>
            <w:shd w:val="clear" w:color="auto" w:fill="auto"/>
            <w:noWrap w:val="0"/>
            <w:vAlign w:val="center"/>
          </w:tcPr>
          <w:p w14:paraId="6393EE25">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14.5</w:t>
            </w:r>
          </w:p>
        </w:tc>
        <w:tc>
          <w:tcPr>
            <w:tcW w:w="491" w:type="pct"/>
            <w:shd w:val="clear" w:color="auto" w:fill="auto"/>
            <w:noWrap w:val="0"/>
            <w:vAlign w:val="center"/>
          </w:tcPr>
          <w:p w14:paraId="0AB28DB4">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45.8</w:t>
            </w:r>
          </w:p>
        </w:tc>
        <w:tc>
          <w:tcPr>
            <w:tcW w:w="237" w:type="pct"/>
            <w:vMerge w:val="restart"/>
            <w:shd w:val="clear" w:color="auto" w:fill="auto"/>
            <w:noWrap w:val="0"/>
            <w:vAlign w:val="center"/>
          </w:tcPr>
          <w:p w14:paraId="600EDE8B">
            <w:pPr>
              <w:pStyle w:val="78"/>
              <w:bidi w:val="0"/>
              <w:rPr>
                <w:rFonts w:hint="eastAsia"/>
                <w:color w:val="auto"/>
                <w:sz w:val="21"/>
                <w:szCs w:val="21"/>
                <w:highlight w:val="none"/>
                <w:lang w:val="en-US" w:eastAsia="zh-CN"/>
              </w:rPr>
            </w:pPr>
            <w:r>
              <w:rPr>
                <w:rFonts w:hint="eastAsia"/>
                <w:color w:val="auto"/>
                <w:sz w:val="21"/>
                <w:szCs w:val="21"/>
                <w:highlight w:val="none"/>
                <w:lang w:val="en-US" w:eastAsia="zh-CN"/>
              </w:rPr>
              <w:t>6960</w:t>
            </w:r>
            <w:r>
              <w:rPr>
                <w:rFonts w:hint="eastAsia"/>
                <w:color w:val="auto"/>
                <w:sz w:val="21"/>
                <w:szCs w:val="21"/>
                <w:highlight w:val="none"/>
              </w:rPr>
              <w:t>h</w:t>
            </w:r>
          </w:p>
        </w:tc>
        <w:tc>
          <w:tcPr>
            <w:tcW w:w="426" w:type="pct"/>
            <w:shd w:val="clear" w:color="auto" w:fill="auto"/>
            <w:noWrap w:val="0"/>
            <w:vAlign w:val="center"/>
          </w:tcPr>
          <w:p w14:paraId="0FF50BA9">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20</w:t>
            </w:r>
          </w:p>
        </w:tc>
        <w:tc>
          <w:tcPr>
            <w:tcW w:w="318" w:type="pct"/>
            <w:shd w:val="clear" w:color="auto" w:fill="auto"/>
            <w:noWrap w:val="0"/>
            <w:vAlign w:val="center"/>
          </w:tcPr>
          <w:p w14:paraId="66911ED5">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19.8</w:t>
            </w:r>
          </w:p>
        </w:tc>
        <w:tc>
          <w:tcPr>
            <w:tcW w:w="302" w:type="pct"/>
            <w:vMerge w:val="restart"/>
            <w:shd w:val="clear" w:color="auto" w:fill="auto"/>
            <w:noWrap w:val="0"/>
            <w:vAlign w:val="center"/>
          </w:tcPr>
          <w:p w14:paraId="16A06F4D">
            <w:pPr>
              <w:pStyle w:val="78"/>
              <w:bidi w:val="0"/>
              <w:rPr>
                <w:rFonts w:hint="eastAsia"/>
                <w:color w:val="auto"/>
                <w:sz w:val="21"/>
                <w:szCs w:val="21"/>
                <w:highlight w:val="none"/>
              </w:rPr>
            </w:pPr>
            <w:r>
              <w:rPr>
                <w:rFonts w:hint="eastAsia"/>
                <w:color w:val="auto"/>
                <w:sz w:val="21"/>
                <w:szCs w:val="21"/>
                <w:highlight w:val="none"/>
              </w:rPr>
              <w:t>1m</w:t>
            </w:r>
          </w:p>
        </w:tc>
      </w:tr>
      <w:tr w14:paraId="7350031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5E4C84CC">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0CAC4B9D">
            <w:pPr>
              <w:pStyle w:val="78"/>
              <w:bidi w:val="0"/>
              <w:rPr>
                <w:rFonts w:hint="eastAsia"/>
                <w:color w:val="auto"/>
                <w:sz w:val="21"/>
                <w:szCs w:val="21"/>
                <w:highlight w:val="none"/>
                <w:lang w:val="en-US" w:eastAsia="zh-CN"/>
              </w:rPr>
            </w:pPr>
            <w:r>
              <w:rPr>
                <w:rFonts w:hint="eastAsia"/>
                <w:color w:val="auto"/>
                <w:sz w:val="21"/>
                <w:szCs w:val="21"/>
                <w:highlight w:val="none"/>
              </w:rPr>
              <w:t>注塑机</w:t>
            </w:r>
          </w:p>
        </w:tc>
        <w:tc>
          <w:tcPr>
            <w:tcW w:w="492" w:type="pct"/>
            <w:shd w:val="clear" w:color="auto" w:fill="auto"/>
            <w:noWrap w:val="0"/>
            <w:vAlign w:val="center"/>
          </w:tcPr>
          <w:p w14:paraId="1698A28A">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6AD9EDA8">
            <w:pPr>
              <w:pStyle w:val="78"/>
              <w:bidi w:val="0"/>
              <w:rPr>
                <w:rFonts w:hint="eastAsia"/>
                <w:color w:val="auto"/>
                <w:sz w:val="21"/>
                <w:szCs w:val="21"/>
                <w:highlight w:val="none"/>
              </w:rPr>
            </w:pPr>
          </w:p>
        </w:tc>
        <w:tc>
          <w:tcPr>
            <w:tcW w:w="396" w:type="pct"/>
            <w:shd w:val="clear" w:color="auto" w:fill="auto"/>
            <w:noWrap w:val="0"/>
            <w:vAlign w:val="center"/>
          </w:tcPr>
          <w:p w14:paraId="59AFCAF7">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5DD54EAD">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74.5</w:t>
            </w:r>
          </w:p>
        </w:tc>
        <w:tc>
          <w:tcPr>
            <w:tcW w:w="348" w:type="pct"/>
            <w:shd w:val="clear" w:color="auto" w:fill="auto"/>
            <w:noWrap w:val="0"/>
            <w:vAlign w:val="center"/>
          </w:tcPr>
          <w:p w14:paraId="64170DFC">
            <w:pPr>
              <w:pStyle w:val="78"/>
              <w:bidi w:val="0"/>
              <w:rPr>
                <w:rFonts w:hint="eastAsia"/>
                <w:color w:val="auto"/>
                <w:sz w:val="21"/>
                <w:szCs w:val="21"/>
                <w:highlight w:val="none"/>
                <w:lang w:val="en-US" w:eastAsia="zh-CN"/>
              </w:rPr>
            </w:pPr>
            <w:r>
              <w:rPr>
                <w:rFonts w:hint="eastAsia"/>
                <w:color w:val="auto"/>
                <w:sz w:val="21"/>
                <w:szCs w:val="21"/>
                <w:highlight w:val="none"/>
                <w:lang w:val="en-US" w:eastAsia="zh-CN"/>
              </w:rPr>
              <w:t>1</w:t>
            </w:r>
          </w:p>
        </w:tc>
        <w:tc>
          <w:tcPr>
            <w:tcW w:w="365" w:type="pct"/>
            <w:shd w:val="clear" w:color="auto" w:fill="auto"/>
            <w:noWrap w:val="0"/>
            <w:vAlign w:val="center"/>
          </w:tcPr>
          <w:p w14:paraId="103BE3C1">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14.5</w:t>
            </w:r>
          </w:p>
        </w:tc>
        <w:tc>
          <w:tcPr>
            <w:tcW w:w="491" w:type="pct"/>
            <w:shd w:val="clear" w:color="auto" w:fill="auto"/>
            <w:noWrap w:val="0"/>
            <w:vAlign w:val="center"/>
          </w:tcPr>
          <w:p w14:paraId="4C3837AB">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45.8</w:t>
            </w:r>
          </w:p>
        </w:tc>
        <w:tc>
          <w:tcPr>
            <w:tcW w:w="237" w:type="pct"/>
            <w:vMerge w:val="continue"/>
            <w:shd w:val="clear" w:color="auto" w:fill="auto"/>
            <w:noWrap w:val="0"/>
            <w:vAlign w:val="center"/>
          </w:tcPr>
          <w:p w14:paraId="388C41F5">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4865EB71">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2EBF4A34">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19.8</w:t>
            </w:r>
          </w:p>
        </w:tc>
        <w:tc>
          <w:tcPr>
            <w:tcW w:w="302" w:type="pct"/>
            <w:vMerge w:val="continue"/>
            <w:shd w:val="clear" w:color="auto" w:fill="auto"/>
            <w:noWrap w:val="0"/>
            <w:vAlign w:val="center"/>
          </w:tcPr>
          <w:p w14:paraId="401AAA87">
            <w:pPr>
              <w:pStyle w:val="78"/>
              <w:bidi w:val="0"/>
              <w:rPr>
                <w:rFonts w:hint="eastAsia"/>
                <w:color w:val="FF0000"/>
                <w:sz w:val="21"/>
                <w:szCs w:val="21"/>
                <w:highlight w:val="none"/>
              </w:rPr>
            </w:pPr>
          </w:p>
        </w:tc>
      </w:tr>
      <w:tr w14:paraId="63FB009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0EC9C636">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32965F0D">
            <w:pPr>
              <w:pStyle w:val="78"/>
              <w:bidi w:val="0"/>
              <w:rPr>
                <w:rFonts w:hint="eastAsia"/>
                <w:color w:val="auto"/>
                <w:sz w:val="21"/>
                <w:szCs w:val="21"/>
                <w:highlight w:val="none"/>
                <w:lang w:val="en-US" w:eastAsia="zh-CN"/>
              </w:rPr>
            </w:pPr>
            <w:r>
              <w:rPr>
                <w:rFonts w:hint="eastAsia"/>
                <w:color w:val="auto"/>
                <w:sz w:val="21"/>
                <w:szCs w:val="21"/>
                <w:highlight w:val="none"/>
              </w:rPr>
              <w:t>注塑机</w:t>
            </w:r>
          </w:p>
        </w:tc>
        <w:tc>
          <w:tcPr>
            <w:tcW w:w="492" w:type="pct"/>
            <w:shd w:val="clear" w:color="auto" w:fill="auto"/>
            <w:noWrap w:val="0"/>
            <w:vAlign w:val="center"/>
          </w:tcPr>
          <w:p w14:paraId="72D48823">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0B92A5EA">
            <w:pPr>
              <w:pStyle w:val="78"/>
              <w:bidi w:val="0"/>
              <w:rPr>
                <w:rFonts w:hint="eastAsia"/>
                <w:color w:val="auto"/>
                <w:sz w:val="21"/>
                <w:szCs w:val="21"/>
                <w:highlight w:val="none"/>
              </w:rPr>
            </w:pPr>
          </w:p>
        </w:tc>
        <w:tc>
          <w:tcPr>
            <w:tcW w:w="396" w:type="pct"/>
            <w:shd w:val="clear" w:color="auto" w:fill="auto"/>
            <w:noWrap w:val="0"/>
            <w:vAlign w:val="center"/>
          </w:tcPr>
          <w:p w14:paraId="6B68EA69">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5A3A14E8">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77</w:t>
            </w:r>
          </w:p>
        </w:tc>
        <w:tc>
          <w:tcPr>
            <w:tcW w:w="348" w:type="pct"/>
            <w:shd w:val="clear" w:color="auto" w:fill="auto"/>
            <w:noWrap w:val="0"/>
            <w:vAlign w:val="center"/>
          </w:tcPr>
          <w:p w14:paraId="79D95D6A">
            <w:pPr>
              <w:pStyle w:val="78"/>
              <w:bidi w:val="0"/>
              <w:rPr>
                <w:rFonts w:hint="eastAsia"/>
                <w:color w:val="auto"/>
                <w:sz w:val="21"/>
                <w:szCs w:val="21"/>
                <w:highlight w:val="none"/>
                <w:lang w:val="en-US" w:eastAsia="zh-CN"/>
              </w:rPr>
            </w:pPr>
            <w:r>
              <w:rPr>
                <w:rFonts w:hint="eastAsia"/>
                <w:color w:val="auto"/>
                <w:sz w:val="21"/>
                <w:szCs w:val="21"/>
                <w:highlight w:val="none"/>
                <w:lang w:val="en-US" w:eastAsia="zh-CN"/>
              </w:rPr>
              <w:t>1</w:t>
            </w:r>
          </w:p>
        </w:tc>
        <w:tc>
          <w:tcPr>
            <w:tcW w:w="365" w:type="pct"/>
            <w:shd w:val="clear" w:color="auto" w:fill="auto"/>
            <w:noWrap w:val="0"/>
            <w:vAlign w:val="center"/>
          </w:tcPr>
          <w:p w14:paraId="1AA3076D">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14.5</w:t>
            </w:r>
          </w:p>
        </w:tc>
        <w:tc>
          <w:tcPr>
            <w:tcW w:w="491" w:type="pct"/>
            <w:shd w:val="clear" w:color="auto" w:fill="auto"/>
            <w:noWrap w:val="0"/>
            <w:vAlign w:val="center"/>
          </w:tcPr>
          <w:p w14:paraId="7DF06FF2">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45.8</w:t>
            </w:r>
          </w:p>
        </w:tc>
        <w:tc>
          <w:tcPr>
            <w:tcW w:w="237" w:type="pct"/>
            <w:vMerge w:val="continue"/>
            <w:shd w:val="clear" w:color="auto" w:fill="auto"/>
            <w:noWrap w:val="0"/>
            <w:vAlign w:val="center"/>
          </w:tcPr>
          <w:p w14:paraId="2654098D">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3329C7F2">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6C464BF3">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19.8</w:t>
            </w:r>
          </w:p>
        </w:tc>
        <w:tc>
          <w:tcPr>
            <w:tcW w:w="302" w:type="pct"/>
            <w:vMerge w:val="continue"/>
            <w:shd w:val="clear" w:color="auto" w:fill="auto"/>
            <w:noWrap w:val="0"/>
            <w:vAlign w:val="center"/>
          </w:tcPr>
          <w:p w14:paraId="3C661A1B">
            <w:pPr>
              <w:pStyle w:val="78"/>
              <w:bidi w:val="0"/>
              <w:rPr>
                <w:rFonts w:hint="eastAsia"/>
                <w:color w:val="FF0000"/>
                <w:sz w:val="21"/>
                <w:szCs w:val="21"/>
                <w:highlight w:val="none"/>
              </w:rPr>
            </w:pPr>
          </w:p>
        </w:tc>
      </w:tr>
      <w:tr w14:paraId="60DBB8A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220E7C60">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41D16F8C">
            <w:pPr>
              <w:pStyle w:val="78"/>
              <w:bidi w:val="0"/>
              <w:rPr>
                <w:rFonts w:hint="eastAsia"/>
                <w:color w:val="auto"/>
                <w:sz w:val="21"/>
                <w:szCs w:val="21"/>
                <w:highlight w:val="none"/>
                <w:lang w:val="en-US" w:eastAsia="zh-CN"/>
              </w:rPr>
            </w:pPr>
            <w:r>
              <w:rPr>
                <w:rFonts w:hint="eastAsia"/>
                <w:color w:val="auto"/>
                <w:sz w:val="21"/>
                <w:szCs w:val="21"/>
                <w:highlight w:val="none"/>
              </w:rPr>
              <w:t>注塑机</w:t>
            </w:r>
          </w:p>
        </w:tc>
        <w:tc>
          <w:tcPr>
            <w:tcW w:w="492" w:type="pct"/>
            <w:shd w:val="clear" w:color="auto" w:fill="auto"/>
            <w:noWrap w:val="0"/>
            <w:vAlign w:val="center"/>
          </w:tcPr>
          <w:p w14:paraId="1F113919">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2C522F46">
            <w:pPr>
              <w:pStyle w:val="78"/>
              <w:bidi w:val="0"/>
              <w:rPr>
                <w:rFonts w:hint="eastAsia"/>
                <w:color w:val="auto"/>
                <w:sz w:val="21"/>
                <w:szCs w:val="21"/>
                <w:highlight w:val="none"/>
              </w:rPr>
            </w:pPr>
          </w:p>
        </w:tc>
        <w:tc>
          <w:tcPr>
            <w:tcW w:w="396" w:type="pct"/>
            <w:shd w:val="clear" w:color="auto" w:fill="auto"/>
            <w:noWrap w:val="0"/>
            <w:vAlign w:val="center"/>
          </w:tcPr>
          <w:p w14:paraId="22F656A3">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4D3E1998">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79.5</w:t>
            </w:r>
          </w:p>
        </w:tc>
        <w:tc>
          <w:tcPr>
            <w:tcW w:w="348" w:type="pct"/>
            <w:shd w:val="clear" w:color="auto" w:fill="auto"/>
            <w:noWrap w:val="0"/>
            <w:vAlign w:val="center"/>
          </w:tcPr>
          <w:p w14:paraId="70E30CCC">
            <w:pPr>
              <w:pStyle w:val="78"/>
              <w:bidi w:val="0"/>
              <w:rPr>
                <w:rFonts w:hint="eastAsia"/>
                <w:color w:val="auto"/>
                <w:sz w:val="21"/>
                <w:szCs w:val="21"/>
                <w:highlight w:val="none"/>
                <w:lang w:val="en-US" w:eastAsia="zh-CN"/>
              </w:rPr>
            </w:pPr>
            <w:r>
              <w:rPr>
                <w:rFonts w:hint="eastAsia"/>
                <w:color w:val="auto"/>
                <w:sz w:val="21"/>
                <w:szCs w:val="21"/>
                <w:highlight w:val="none"/>
                <w:lang w:val="en-US" w:eastAsia="zh-CN"/>
              </w:rPr>
              <w:t>1</w:t>
            </w:r>
          </w:p>
        </w:tc>
        <w:tc>
          <w:tcPr>
            <w:tcW w:w="365" w:type="pct"/>
            <w:shd w:val="clear" w:color="auto" w:fill="auto"/>
            <w:noWrap w:val="0"/>
            <w:vAlign w:val="center"/>
          </w:tcPr>
          <w:p w14:paraId="5A0ACF8C">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14.5</w:t>
            </w:r>
          </w:p>
        </w:tc>
        <w:tc>
          <w:tcPr>
            <w:tcW w:w="491" w:type="pct"/>
            <w:shd w:val="clear" w:color="auto" w:fill="auto"/>
            <w:noWrap w:val="0"/>
            <w:vAlign w:val="center"/>
          </w:tcPr>
          <w:p w14:paraId="118A85FF">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45.8</w:t>
            </w:r>
          </w:p>
        </w:tc>
        <w:tc>
          <w:tcPr>
            <w:tcW w:w="237" w:type="pct"/>
            <w:vMerge w:val="continue"/>
            <w:shd w:val="clear" w:color="auto" w:fill="auto"/>
            <w:noWrap w:val="0"/>
            <w:vAlign w:val="center"/>
          </w:tcPr>
          <w:p w14:paraId="65ADE80C">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2CE9BF55">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39CBB041">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19.8</w:t>
            </w:r>
          </w:p>
        </w:tc>
        <w:tc>
          <w:tcPr>
            <w:tcW w:w="302" w:type="pct"/>
            <w:vMerge w:val="continue"/>
            <w:shd w:val="clear" w:color="auto" w:fill="auto"/>
            <w:noWrap w:val="0"/>
            <w:vAlign w:val="center"/>
          </w:tcPr>
          <w:p w14:paraId="38FF91A3">
            <w:pPr>
              <w:pStyle w:val="78"/>
              <w:bidi w:val="0"/>
              <w:rPr>
                <w:rFonts w:hint="eastAsia"/>
                <w:color w:val="FF0000"/>
                <w:sz w:val="21"/>
                <w:szCs w:val="21"/>
                <w:highlight w:val="none"/>
              </w:rPr>
            </w:pPr>
          </w:p>
        </w:tc>
      </w:tr>
      <w:tr w14:paraId="7FC8919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2F10B17A">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2EC1AB5C">
            <w:pPr>
              <w:pStyle w:val="78"/>
              <w:bidi w:val="0"/>
              <w:rPr>
                <w:rFonts w:hint="eastAsia"/>
                <w:color w:val="auto"/>
                <w:sz w:val="21"/>
                <w:szCs w:val="21"/>
                <w:highlight w:val="none"/>
                <w:lang w:val="en-US" w:eastAsia="zh-CN"/>
              </w:rPr>
            </w:pPr>
            <w:r>
              <w:rPr>
                <w:rFonts w:hint="eastAsia"/>
                <w:color w:val="auto"/>
                <w:sz w:val="21"/>
                <w:szCs w:val="21"/>
                <w:highlight w:val="none"/>
              </w:rPr>
              <w:t>注塑机</w:t>
            </w:r>
          </w:p>
        </w:tc>
        <w:tc>
          <w:tcPr>
            <w:tcW w:w="492" w:type="pct"/>
            <w:shd w:val="clear" w:color="auto" w:fill="auto"/>
            <w:noWrap w:val="0"/>
            <w:vAlign w:val="center"/>
          </w:tcPr>
          <w:p w14:paraId="76D8C13C">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1314494A">
            <w:pPr>
              <w:pStyle w:val="78"/>
              <w:bidi w:val="0"/>
              <w:rPr>
                <w:rFonts w:hint="eastAsia"/>
                <w:color w:val="auto"/>
                <w:sz w:val="21"/>
                <w:szCs w:val="21"/>
                <w:highlight w:val="none"/>
              </w:rPr>
            </w:pPr>
          </w:p>
        </w:tc>
        <w:tc>
          <w:tcPr>
            <w:tcW w:w="396" w:type="pct"/>
            <w:shd w:val="clear" w:color="auto" w:fill="auto"/>
            <w:noWrap w:val="0"/>
            <w:vAlign w:val="center"/>
          </w:tcPr>
          <w:p w14:paraId="6BE60E99">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222C5A7B">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82</w:t>
            </w:r>
          </w:p>
        </w:tc>
        <w:tc>
          <w:tcPr>
            <w:tcW w:w="348" w:type="pct"/>
            <w:shd w:val="clear" w:color="auto" w:fill="auto"/>
            <w:noWrap w:val="0"/>
            <w:vAlign w:val="center"/>
          </w:tcPr>
          <w:p w14:paraId="044C5BB6">
            <w:pPr>
              <w:pStyle w:val="78"/>
              <w:bidi w:val="0"/>
              <w:rPr>
                <w:rFonts w:hint="eastAsia"/>
                <w:color w:val="auto"/>
                <w:sz w:val="21"/>
                <w:szCs w:val="21"/>
                <w:highlight w:val="none"/>
                <w:lang w:val="en-US" w:eastAsia="zh-CN"/>
              </w:rPr>
            </w:pPr>
            <w:r>
              <w:rPr>
                <w:rFonts w:hint="eastAsia"/>
                <w:color w:val="auto"/>
                <w:sz w:val="21"/>
                <w:szCs w:val="21"/>
                <w:highlight w:val="none"/>
                <w:lang w:val="en-US" w:eastAsia="zh-CN"/>
              </w:rPr>
              <w:t>1</w:t>
            </w:r>
          </w:p>
        </w:tc>
        <w:tc>
          <w:tcPr>
            <w:tcW w:w="365" w:type="pct"/>
            <w:shd w:val="clear" w:color="auto" w:fill="auto"/>
            <w:noWrap w:val="0"/>
            <w:vAlign w:val="center"/>
          </w:tcPr>
          <w:p w14:paraId="04B1BF70">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14.5</w:t>
            </w:r>
          </w:p>
        </w:tc>
        <w:tc>
          <w:tcPr>
            <w:tcW w:w="491" w:type="pct"/>
            <w:shd w:val="clear" w:color="auto" w:fill="auto"/>
            <w:noWrap w:val="0"/>
            <w:vAlign w:val="center"/>
          </w:tcPr>
          <w:p w14:paraId="349EFC96">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45.8</w:t>
            </w:r>
          </w:p>
        </w:tc>
        <w:tc>
          <w:tcPr>
            <w:tcW w:w="237" w:type="pct"/>
            <w:vMerge w:val="continue"/>
            <w:shd w:val="clear" w:color="auto" w:fill="auto"/>
            <w:noWrap w:val="0"/>
            <w:vAlign w:val="center"/>
          </w:tcPr>
          <w:p w14:paraId="2CA0EBDA">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1D772C51">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0B1E6CE3">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19.8</w:t>
            </w:r>
          </w:p>
        </w:tc>
        <w:tc>
          <w:tcPr>
            <w:tcW w:w="302" w:type="pct"/>
            <w:vMerge w:val="continue"/>
            <w:shd w:val="clear" w:color="auto" w:fill="auto"/>
            <w:noWrap w:val="0"/>
            <w:vAlign w:val="center"/>
          </w:tcPr>
          <w:p w14:paraId="67354F42">
            <w:pPr>
              <w:pStyle w:val="78"/>
              <w:bidi w:val="0"/>
              <w:rPr>
                <w:rFonts w:hint="eastAsia"/>
                <w:color w:val="FF0000"/>
                <w:sz w:val="21"/>
                <w:szCs w:val="21"/>
                <w:highlight w:val="none"/>
              </w:rPr>
            </w:pPr>
          </w:p>
        </w:tc>
      </w:tr>
      <w:tr w14:paraId="32D2B5E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5E8A0E24">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0D6DB7DE">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1896BD69">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6318BE25">
            <w:pPr>
              <w:pStyle w:val="78"/>
              <w:bidi w:val="0"/>
              <w:rPr>
                <w:rFonts w:hint="eastAsia"/>
                <w:color w:val="auto"/>
                <w:sz w:val="21"/>
                <w:szCs w:val="21"/>
                <w:highlight w:val="none"/>
              </w:rPr>
            </w:pPr>
          </w:p>
        </w:tc>
        <w:tc>
          <w:tcPr>
            <w:tcW w:w="396" w:type="pct"/>
            <w:shd w:val="clear" w:color="auto" w:fill="auto"/>
            <w:noWrap w:val="0"/>
            <w:vAlign w:val="center"/>
          </w:tcPr>
          <w:p w14:paraId="06AAB522">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17F53E44">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84.5</w:t>
            </w:r>
          </w:p>
        </w:tc>
        <w:tc>
          <w:tcPr>
            <w:tcW w:w="348" w:type="pct"/>
            <w:shd w:val="clear" w:color="auto" w:fill="auto"/>
            <w:noWrap w:val="0"/>
            <w:vAlign w:val="center"/>
          </w:tcPr>
          <w:p w14:paraId="4E25807E">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2E2F7AB3">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14.5</w:t>
            </w:r>
          </w:p>
        </w:tc>
        <w:tc>
          <w:tcPr>
            <w:tcW w:w="491" w:type="pct"/>
            <w:shd w:val="clear" w:color="auto" w:fill="auto"/>
            <w:noWrap w:val="0"/>
            <w:vAlign w:val="center"/>
          </w:tcPr>
          <w:p w14:paraId="31AE3045">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45.8</w:t>
            </w:r>
          </w:p>
        </w:tc>
        <w:tc>
          <w:tcPr>
            <w:tcW w:w="237" w:type="pct"/>
            <w:vMerge w:val="continue"/>
            <w:shd w:val="clear" w:color="auto" w:fill="auto"/>
            <w:noWrap w:val="0"/>
            <w:vAlign w:val="center"/>
          </w:tcPr>
          <w:p w14:paraId="0CA7F4A8">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0844811E">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1B835302">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19.8</w:t>
            </w:r>
          </w:p>
        </w:tc>
        <w:tc>
          <w:tcPr>
            <w:tcW w:w="302" w:type="pct"/>
            <w:vMerge w:val="continue"/>
            <w:shd w:val="clear" w:color="auto" w:fill="auto"/>
            <w:noWrap w:val="0"/>
            <w:vAlign w:val="center"/>
          </w:tcPr>
          <w:p w14:paraId="14C9C644">
            <w:pPr>
              <w:pStyle w:val="78"/>
              <w:bidi w:val="0"/>
              <w:rPr>
                <w:rFonts w:hint="eastAsia"/>
                <w:color w:val="FF0000"/>
                <w:sz w:val="21"/>
                <w:szCs w:val="21"/>
                <w:highlight w:val="none"/>
              </w:rPr>
            </w:pPr>
          </w:p>
        </w:tc>
      </w:tr>
      <w:tr w14:paraId="7569DB6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64F8C3F4">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0AEEC665">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2902BB3A">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0F63D36F">
            <w:pPr>
              <w:pStyle w:val="78"/>
              <w:bidi w:val="0"/>
              <w:rPr>
                <w:rFonts w:hint="eastAsia"/>
                <w:color w:val="auto"/>
                <w:sz w:val="21"/>
                <w:szCs w:val="21"/>
                <w:highlight w:val="none"/>
              </w:rPr>
            </w:pPr>
          </w:p>
        </w:tc>
        <w:tc>
          <w:tcPr>
            <w:tcW w:w="396" w:type="pct"/>
            <w:shd w:val="clear" w:color="auto" w:fill="auto"/>
            <w:noWrap w:val="0"/>
            <w:vAlign w:val="center"/>
          </w:tcPr>
          <w:p w14:paraId="111CD5C5">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5EACBC12">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87</w:t>
            </w:r>
          </w:p>
        </w:tc>
        <w:tc>
          <w:tcPr>
            <w:tcW w:w="348" w:type="pct"/>
            <w:shd w:val="clear" w:color="auto" w:fill="auto"/>
            <w:noWrap w:val="0"/>
            <w:vAlign w:val="center"/>
          </w:tcPr>
          <w:p w14:paraId="71EF1CAF">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1419313C">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14.5</w:t>
            </w:r>
          </w:p>
        </w:tc>
        <w:tc>
          <w:tcPr>
            <w:tcW w:w="491" w:type="pct"/>
            <w:shd w:val="clear" w:color="auto" w:fill="auto"/>
            <w:noWrap w:val="0"/>
            <w:vAlign w:val="center"/>
          </w:tcPr>
          <w:p w14:paraId="53C40537">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45.8</w:t>
            </w:r>
          </w:p>
        </w:tc>
        <w:tc>
          <w:tcPr>
            <w:tcW w:w="237" w:type="pct"/>
            <w:vMerge w:val="continue"/>
            <w:shd w:val="clear" w:color="auto" w:fill="auto"/>
            <w:noWrap w:val="0"/>
            <w:vAlign w:val="center"/>
          </w:tcPr>
          <w:p w14:paraId="417441EA">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5FBC5DFE">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50C30A08">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19.8</w:t>
            </w:r>
          </w:p>
        </w:tc>
        <w:tc>
          <w:tcPr>
            <w:tcW w:w="302" w:type="pct"/>
            <w:vMerge w:val="continue"/>
            <w:shd w:val="clear" w:color="auto" w:fill="auto"/>
            <w:noWrap w:val="0"/>
            <w:vAlign w:val="center"/>
          </w:tcPr>
          <w:p w14:paraId="1AB5BAB5">
            <w:pPr>
              <w:pStyle w:val="78"/>
              <w:bidi w:val="0"/>
              <w:rPr>
                <w:rFonts w:hint="eastAsia"/>
                <w:color w:val="FF0000"/>
                <w:sz w:val="21"/>
                <w:szCs w:val="21"/>
                <w:highlight w:val="none"/>
              </w:rPr>
            </w:pPr>
          </w:p>
        </w:tc>
      </w:tr>
      <w:tr w14:paraId="0CDFAD4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695AD92F">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28D3456C">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7FE638E2">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1F1CDBC4">
            <w:pPr>
              <w:pStyle w:val="78"/>
              <w:bidi w:val="0"/>
              <w:rPr>
                <w:rFonts w:hint="eastAsia"/>
                <w:color w:val="auto"/>
                <w:sz w:val="21"/>
                <w:szCs w:val="21"/>
                <w:highlight w:val="none"/>
              </w:rPr>
            </w:pPr>
          </w:p>
        </w:tc>
        <w:tc>
          <w:tcPr>
            <w:tcW w:w="396" w:type="pct"/>
            <w:shd w:val="clear" w:color="auto" w:fill="auto"/>
            <w:noWrap w:val="0"/>
            <w:vAlign w:val="center"/>
          </w:tcPr>
          <w:p w14:paraId="77E1648B">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639C6BE4">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89.5</w:t>
            </w:r>
          </w:p>
        </w:tc>
        <w:tc>
          <w:tcPr>
            <w:tcW w:w="348" w:type="pct"/>
            <w:shd w:val="clear" w:color="auto" w:fill="auto"/>
            <w:noWrap w:val="0"/>
            <w:vAlign w:val="center"/>
          </w:tcPr>
          <w:p w14:paraId="5EB6EEE6">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4C503162">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14.5</w:t>
            </w:r>
          </w:p>
        </w:tc>
        <w:tc>
          <w:tcPr>
            <w:tcW w:w="491" w:type="pct"/>
            <w:shd w:val="clear" w:color="auto" w:fill="auto"/>
            <w:noWrap w:val="0"/>
            <w:vAlign w:val="center"/>
          </w:tcPr>
          <w:p w14:paraId="3BA1F321">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45.8</w:t>
            </w:r>
          </w:p>
        </w:tc>
        <w:tc>
          <w:tcPr>
            <w:tcW w:w="237" w:type="pct"/>
            <w:vMerge w:val="continue"/>
            <w:shd w:val="clear" w:color="auto" w:fill="auto"/>
            <w:noWrap w:val="0"/>
            <w:vAlign w:val="center"/>
          </w:tcPr>
          <w:p w14:paraId="55EA9C22">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752C219D">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789F28C6">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19.8</w:t>
            </w:r>
          </w:p>
        </w:tc>
        <w:tc>
          <w:tcPr>
            <w:tcW w:w="302" w:type="pct"/>
            <w:vMerge w:val="continue"/>
            <w:shd w:val="clear" w:color="auto" w:fill="auto"/>
            <w:noWrap w:val="0"/>
            <w:vAlign w:val="center"/>
          </w:tcPr>
          <w:p w14:paraId="471EB487">
            <w:pPr>
              <w:pStyle w:val="78"/>
              <w:bidi w:val="0"/>
              <w:rPr>
                <w:rFonts w:hint="eastAsia"/>
                <w:color w:val="FF0000"/>
                <w:sz w:val="21"/>
                <w:szCs w:val="21"/>
                <w:highlight w:val="none"/>
              </w:rPr>
            </w:pPr>
          </w:p>
        </w:tc>
      </w:tr>
      <w:tr w14:paraId="1477123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16C02561">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7218550F">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6555990E">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3A1D9515">
            <w:pPr>
              <w:pStyle w:val="78"/>
              <w:bidi w:val="0"/>
              <w:rPr>
                <w:rFonts w:hint="eastAsia"/>
                <w:color w:val="auto"/>
                <w:sz w:val="21"/>
                <w:szCs w:val="21"/>
                <w:highlight w:val="none"/>
              </w:rPr>
            </w:pPr>
          </w:p>
        </w:tc>
        <w:tc>
          <w:tcPr>
            <w:tcW w:w="396" w:type="pct"/>
            <w:shd w:val="clear" w:color="auto" w:fill="auto"/>
            <w:noWrap w:val="0"/>
            <w:vAlign w:val="center"/>
          </w:tcPr>
          <w:p w14:paraId="094F87FC">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59CD0607">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92</w:t>
            </w:r>
          </w:p>
        </w:tc>
        <w:tc>
          <w:tcPr>
            <w:tcW w:w="348" w:type="pct"/>
            <w:shd w:val="clear" w:color="auto" w:fill="auto"/>
            <w:noWrap w:val="0"/>
            <w:vAlign w:val="center"/>
          </w:tcPr>
          <w:p w14:paraId="5524525B">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4FD792E8">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14.5</w:t>
            </w:r>
          </w:p>
        </w:tc>
        <w:tc>
          <w:tcPr>
            <w:tcW w:w="491" w:type="pct"/>
            <w:shd w:val="clear" w:color="auto" w:fill="auto"/>
            <w:noWrap w:val="0"/>
            <w:vAlign w:val="center"/>
          </w:tcPr>
          <w:p w14:paraId="416563CA">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45.8</w:t>
            </w:r>
          </w:p>
        </w:tc>
        <w:tc>
          <w:tcPr>
            <w:tcW w:w="237" w:type="pct"/>
            <w:vMerge w:val="continue"/>
            <w:shd w:val="clear" w:color="auto" w:fill="auto"/>
            <w:noWrap w:val="0"/>
            <w:vAlign w:val="center"/>
          </w:tcPr>
          <w:p w14:paraId="6CDE221A">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31934ABF">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5CF162FA">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19.8</w:t>
            </w:r>
          </w:p>
        </w:tc>
        <w:tc>
          <w:tcPr>
            <w:tcW w:w="302" w:type="pct"/>
            <w:vMerge w:val="continue"/>
            <w:shd w:val="clear" w:color="auto" w:fill="auto"/>
            <w:noWrap w:val="0"/>
            <w:vAlign w:val="center"/>
          </w:tcPr>
          <w:p w14:paraId="36A2D810">
            <w:pPr>
              <w:pStyle w:val="78"/>
              <w:bidi w:val="0"/>
              <w:rPr>
                <w:rFonts w:hint="eastAsia"/>
                <w:color w:val="FF0000"/>
                <w:sz w:val="21"/>
                <w:szCs w:val="21"/>
                <w:highlight w:val="none"/>
              </w:rPr>
            </w:pPr>
          </w:p>
        </w:tc>
      </w:tr>
      <w:tr w14:paraId="742885C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435A25B2">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0C63C9F7">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7CA39748">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438D07DC">
            <w:pPr>
              <w:pStyle w:val="78"/>
              <w:bidi w:val="0"/>
              <w:rPr>
                <w:rFonts w:hint="eastAsia"/>
                <w:color w:val="auto"/>
                <w:sz w:val="21"/>
                <w:szCs w:val="21"/>
                <w:highlight w:val="none"/>
              </w:rPr>
            </w:pPr>
          </w:p>
        </w:tc>
        <w:tc>
          <w:tcPr>
            <w:tcW w:w="396" w:type="pct"/>
            <w:shd w:val="clear" w:color="auto" w:fill="auto"/>
            <w:noWrap w:val="0"/>
            <w:vAlign w:val="center"/>
          </w:tcPr>
          <w:p w14:paraId="4DCFA866">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3AB773F0">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94.5</w:t>
            </w:r>
          </w:p>
        </w:tc>
        <w:tc>
          <w:tcPr>
            <w:tcW w:w="348" w:type="pct"/>
            <w:shd w:val="clear" w:color="auto" w:fill="auto"/>
            <w:noWrap w:val="0"/>
            <w:vAlign w:val="center"/>
          </w:tcPr>
          <w:p w14:paraId="5FF9D869">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4637C3A1">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14.5</w:t>
            </w:r>
          </w:p>
        </w:tc>
        <w:tc>
          <w:tcPr>
            <w:tcW w:w="491" w:type="pct"/>
            <w:shd w:val="clear" w:color="auto" w:fill="auto"/>
            <w:noWrap w:val="0"/>
            <w:vAlign w:val="center"/>
          </w:tcPr>
          <w:p w14:paraId="3EF11101">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45.8</w:t>
            </w:r>
          </w:p>
        </w:tc>
        <w:tc>
          <w:tcPr>
            <w:tcW w:w="237" w:type="pct"/>
            <w:vMerge w:val="continue"/>
            <w:shd w:val="clear" w:color="auto" w:fill="auto"/>
            <w:noWrap w:val="0"/>
            <w:vAlign w:val="center"/>
          </w:tcPr>
          <w:p w14:paraId="0FD47C10">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73FE9003">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213B153D">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19.8</w:t>
            </w:r>
          </w:p>
        </w:tc>
        <w:tc>
          <w:tcPr>
            <w:tcW w:w="302" w:type="pct"/>
            <w:vMerge w:val="continue"/>
            <w:shd w:val="clear" w:color="auto" w:fill="auto"/>
            <w:noWrap w:val="0"/>
            <w:vAlign w:val="center"/>
          </w:tcPr>
          <w:p w14:paraId="2007D81A">
            <w:pPr>
              <w:pStyle w:val="78"/>
              <w:bidi w:val="0"/>
              <w:rPr>
                <w:rFonts w:hint="eastAsia"/>
                <w:color w:val="FF0000"/>
                <w:sz w:val="21"/>
                <w:szCs w:val="21"/>
                <w:highlight w:val="none"/>
              </w:rPr>
            </w:pPr>
          </w:p>
        </w:tc>
      </w:tr>
      <w:tr w14:paraId="00AA8BE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17FFD19E">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7B060A0B">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250058E9">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39A73823">
            <w:pPr>
              <w:pStyle w:val="78"/>
              <w:bidi w:val="0"/>
              <w:rPr>
                <w:rFonts w:hint="eastAsia"/>
                <w:color w:val="auto"/>
                <w:sz w:val="21"/>
                <w:szCs w:val="21"/>
                <w:highlight w:val="none"/>
              </w:rPr>
            </w:pPr>
          </w:p>
        </w:tc>
        <w:tc>
          <w:tcPr>
            <w:tcW w:w="396" w:type="pct"/>
            <w:shd w:val="clear" w:color="auto" w:fill="auto"/>
            <w:noWrap w:val="0"/>
            <w:vAlign w:val="center"/>
          </w:tcPr>
          <w:p w14:paraId="2B80771E">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44EB0631">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97</w:t>
            </w:r>
          </w:p>
        </w:tc>
        <w:tc>
          <w:tcPr>
            <w:tcW w:w="348" w:type="pct"/>
            <w:shd w:val="clear" w:color="auto" w:fill="auto"/>
            <w:noWrap w:val="0"/>
            <w:vAlign w:val="center"/>
          </w:tcPr>
          <w:p w14:paraId="15A89F33">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6B443324">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14.5</w:t>
            </w:r>
          </w:p>
        </w:tc>
        <w:tc>
          <w:tcPr>
            <w:tcW w:w="491" w:type="pct"/>
            <w:shd w:val="clear" w:color="auto" w:fill="auto"/>
            <w:noWrap w:val="0"/>
            <w:vAlign w:val="center"/>
          </w:tcPr>
          <w:p w14:paraId="01D44A33">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45.8</w:t>
            </w:r>
          </w:p>
        </w:tc>
        <w:tc>
          <w:tcPr>
            <w:tcW w:w="237" w:type="pct"/>
            <w:vMerge w:val="continue"/>
            <w:shd w:val="clear" w:color="auto" w:fill="auto"/>
            <w:noWrap w:val="0"/>
            <w:vAlign w:val="center"/>
          </w:tcPr>
          <w:p w14:paraId="78C3F325">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102CAB44">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69233660">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19.8</w:t>
            </w:r>
          </w:p>
        </w:tc>
        <w:tc>
          <w:tcPr>
            <w:tcW w:w="302" w:type="pct"/>
            <w:vMerge w:val="continue"/>
            <w:shd w:val="clear" w:color="auto" w:fill="auto"/>
            <w:noWrap w:val="0"/>
            <w:vAlign w:val="center"/>
          </w:tcPr>
          <w:p w14:paraId="725A57D0">
            <w:pPr>
              <w:pStyle w:val="78"/>
              <w:bidi w:val="0"/>
              <w:rPr>
                <w:rFonts w:hint="eastAsia"/>
                <w:color w:val="FF0000"/>
                <w:sz w:val="21"/>
                <w:szCs w:val="21"/>
                <w:highlight w:val="none"/>
              </w:rPr>
            </w:pPr>
          </w:p>
        </w:tc>
      </w:tr>
      <w:tr w14:paraId="21B67F6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1962671C">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47ADEFC6">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6DCCC2BE">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64B67169">
            <w:pPr>
              <w:pStyle w:val="78"/>
              <w:bidi w:val="0"/>
              <w:rPr>
                <w:rFonts w:hint="eastAsia"/>
                <w:color w:val="auto"/>
                <w:sz w:val="21"/>
                <w:szCs w:val="21"/>
                <w:highlight w:val="none"/>
              </w:rPr>
            </w:pPr>
          </w:p>
        </w:tc>
        <w:tc>
          <w:tcPr>
            <w:tcW w:w="396" w:type="pct"/>
            <w:shd w:val="clear" w:color="auto" w:fill="auto"/>
            <w:noWrap w:val="0"/>
            <w:vAlign w:val="center"/>
          </w:tcPr>
          <w:p w14:paraId="013B2E99">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30E92B17">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99.5</w:t>
            </w:r>
          </w:p>
        </w:tc>
        <w:tc>
          <w:tcPr>
            <w:tcW w:w="348" w:type="pct"/>
            <w:shd w:val="clear" w:color="auto" w:fill="auto"/>
            <w:noWrap w:val="0"/>
            <w:vAlign w:val="center"/>
          </w:tcPr>
          <w:p w14:paraId="29C91523">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7944CF65">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14.5</w:t>
            </w:r>
          </w:p>
        </w:tc>
        <w:tc>
          <w:tcPr>
            <w:tcW w:w="491" w:type="pct"/>
            <w:shd w:val="clear" w:color="auto" w:fill="auto"/>
            <w:noWrap w:val="0"/>
            <w:vAlign w:val="center"/>
          </w:tcPr>
          <w:p w14:paraId="08A22255">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45.8</w:t>
            </w:r>
          </w:p>
        </w:tc>
        <w:tc>
          <w:tcPr>
            <w:tcW w:w="237" w:type="pct"/>
            <w:vMerge w:val="continue"/>
            <w:shd w:val="clear" w:color="auto" w:fill="auto"/>
            <w:noWrap w:val="0"/>
            <w:vAlign w:val="center"/>
          </w:tcPr>
          <w:p w14:paraId="305A3D1D">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7D003D91">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63F43868">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19.8</w:t>
            </w:r>
          </w:p>
        </w:tc>
        <w:tc>
          <w:tcPr>
            <w:tcW w:w="302" w:type="pct"/>
            <w:vMerge w:val="continue"/>
            <w:shd w:val="clear" w:color="auto" w:fill="auto"/>
            <w:noWrap w:val="0"/>
            <w:vAlign w:val="center"/>
          </w:tcPr>
          <w:p w14:paraId="3A62FFCD">
            <w:pPr>
              <w:pStyle w:val="78"/>
              <w:bidi w:val="0"/>
              <w:rPr>
                <w:rFonts w:hint="eastAsia"/>
                <w:color w:val="FF0000"/>
                <w:sz w:val="21"/>
                <w:szCs w:val="21"/>
                <w:highlight w:val="none"/>
              </w:rPr>
            </w:pPr>
          </w:p>
        </w:tc>
      </w:tr>
      <w:tr w14:paraId="7E28668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3591D3F2">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2029FB82">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4397D6BC">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6569556C">
            <w:pPr>
              <w:pStyle w:val="78"/>
              <w:bidi w:val="0"/>
              <w:rPr>
                <w:rFonts w:hint="eastAsia"/>
                <w:color w:val="auto"/>
                <w:sz w:val="21"/>
                <w:szCs w:val="21"/>
                <w:highlight w:val="none"/>
              </w:rPr>
            </w:pPr>
          </w:p>
        </w:tc>
        <w:tc>
          <w:tcPr>
            <w:tcW w:w="396" w:type="pct"/>
            <w:shd w:val="clear" w:color="auto" w:fill="auto"/>
            <w:noWrap w:val="0"/>
            <w:vAlign w:val="center"/>
          </w:tcPr>
          <w:p w14:paraId="38D68105">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6051DE24">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102</w:t>
            </w:r>
          </w:p>
        </w:tc>
        <w:tc>
          <w:tcPr>
            <w:tcW w:w="348" w:type="pct"/>
            <w:shd w:val="clear" w:color="auto" w:fill="auto"/>
            <w:noWrap w:val="0"/>
            <w:vAlign w:val="center"/>
          </w:tcPr>
          <w:p w14:paraId="26739CF9">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34EF8E96">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14.5</w:t>
            </w:r>
          </w:p>
        </w:tc>
        <w:tc>
          <w:tcPr>
            <w:tcW w:w="491" w:type="pct"/>
            <w:shd w:val="clear" w:color="auto" w:fill="auto"/>
            <w:noWrap w:val="0"/>
            <w:vAlign w:val="center"/>
          </w:tcPr>
          <w:p w14:paraId="193CD44A">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45.8</w:t>
            </w:r>
          </w:p>
        </w:tc>
        <w:tc>
          <w:tcPr>
            <w:tcW w:w="237" w:type="pct"/>
            <w:vMerge w:val="continue"/>
            <w:shd w:val="clear" w:color="auto" w:fill="auto"/>
            <w:noWrap w:val="0"/>
            <w:vAlign w:val="center"/>
          </w:tcPr>
          <w:p w14:paraId="737F4CFC">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071A3F35">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45291410">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19.8</w:t>
            </w:r>
          </w:p>
        </w:tc>
        <w:tc>
          <w:tcPr>
            <w:tcW w:w="302" w:type="pct"/>
            <w:vMerge w:val="continue"/>
            <w:shd w:val="clear" w:color="auto" w:fill="auto"/>
            <w:noWrap w:val="0"/>
            <w:vAlign w:val="center"/>
          </w:tcPr>
          <w:p w14:paraId="6953DB75">
            <w:pPr>
              <w:pStyle w:val="78"/>
              <w:bidi w:val="0"/>
              <w:rPr>
                <w:rFonts w:hint="eastAsia"/>
                <w:color w:val="FF0000"/>
                <w:sz w:val="21"/>
                <w:szCs w:val="21"/>
                <w:highlight w:val="none"/>
              </w:rPr>
            </w:pPr>
          </w:p>
        </w:tc>
      </w:tr>
      <w:tr w14:paraId="08FE3E8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5FD9927B">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2544172A">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45AF60CD">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6CF4C2C7">
            <w:pPr>
              <w:pStyle w:val="78"/>
              <w:bidi w:val="0"/>
              <w:rPr>
                <w:rFonts w:hint="eastAsia"/>
                <w:color w:val="auto"/>
                <w:sz w:val="21"/>
                <w:szCs w:val="21"/>
                <w:highlight w:val="none"/>
              </w:rPr>
            </w:pPr>
          </w:p>
        </w:tc>
        <w:tc>
          <w:tcPr>
            <w:tcW w:w="396" w:type="pct"/>
            <w:shd w:val="clear" w:color="auto" w:fill="auto"/>
            <w:noWrap w:val="0"/>
            <w:vAlign w:val="center"/>
          </w:tcPr>
          <w:p w14:paraId="11F917F6">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42</w:t>
            </w:r>
          </w:p>
        </w:tc>
        <w:tc>
          <w:tcPr>
            <w:tcW w:w="350" w:type="pct"/>
            <w:shd w:val="clear" w:color="auto" w:fill="auto"/>
            <w:noWrap w:val="0"/>
            <w:vAlign w:val="center"/>
          </w:tcPr>
          <w:p w14:paraId="5156C48B">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90</w:t>
            </w:r>
          </w:p>
        </w:tc>
        <w:tc>
          <w:tcPr>
            <w:tcW w:w="348" w:type="pct"/>
            <w:shd w:val="clear" w:color="auto" w:fill="auto"/>
            <w:noWrap w:val="0"/>
            <w:vAlign w:val="center"/>
          </w:tcPr>
          <w:p w14:paraId="00434928">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3E98E603">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491" w:type="pct"/>
            <w:shd w:val="clear" w:color="auto" w:fill="auto"/>
            <w:noWrap w:val="0"/>
            <w:vAlign w:val="center"/>
          </w:tcPr>
          <w:p w14:paraId="5F95E1F7">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69</w:t>
            </w:r>
          </w:p>
        </w:tc>
        <w:tc>
          <w:tcPr>
            <w:tcW w:w="237" w:type="pct"/>
            <w:vMerge w:val="continue"/>
            <w:shd w:val="clear" w:color="auto" w:fill="auto"/>
            <w:noWrap w:val="0"/>
            <w:vAlign w:val="center"/>
          </w:tcPr>
          <w:p w14:paraId="2C9D0AB7">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121029CC">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50B8E961">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43</w:t>
            </w:r>
          </w:p>
        </w:tc>
        <w:tc>
          <w:tcPr>
            <w:tcW w:w="302" w:type="pct"/>
            <w:vMerge w:val="continue"/>
            <w:shd w:val="clear" w:color="auto" w:fill="auto"/>
            <w:noWrap w:val="0"/>
            <w:vAlign w:val="center"/>
          </w:tcPr>
          <w:p w14:paraId="670A3C99">
            <w:pPr>
              <w:pStyle w:val="78"/>
              <w:bidi w:val="0"/>
              <w:rPr>
                <w:rFonts w:hint="eastAsia"/>
                <w:color w:val="FF0000"/>
                <w:sz w:val="21"/>
                <w:szCs w:val="21"/>
                <w:highlight w:val="none"/>
              </w:rPr>
            </w:pPr>
          </w:p>
        </w:tc>
      </w:tr>
      <w:tr w14:paraId="783C2CC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1B3920B9">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12305C6F">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7B51D4C2">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0EF8B337">
            <w:pPr>
              <w:pStyle w:val="78"/>
              <w:bidi w:val="0"/>
              <w:rPr>
                <w:rFonts w:hint="eastAsia"/>
                <w:color w:val="auto"/>
                <w:sz w:val="21"/>
                <w:szCs w:val="21"/>
                <w:highlight w:val="none"/>
              </w:rPr>
            </w:pPr>
          </w:p>
        </w:tc>
        <w:tc>
          <w:tcPr>
            <w:tcW w:w="396" w:type="pct"/>
            <w:shd w:val="clear" w:color="auto" w:fill="auto"/>
            <w:noWrap w:val="0"/>
            <w:vAlign w:val="center"/>
          </w:tcPr>
          <w:p w14:paraId="1A49CEF3">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42</w:t>
            </w:r>
          </w:p>
        </w:tc>
        <w:tc>
          <w:tcPr>
            <w:tcW w:w="350" w:type="pct"/>
            <w:shd w:val="clear" w:color="auto" w:fill="auto"/>
            <w:noWrap w:val="0"/>
            <w:vAlign w:val="center"/>
          </w:tcPr>
          <w:p w14:paraId="1A73FEDC">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92</w:t>
            </w:r>
          </w:p>
        </w:tc>
        <w:tc>
          <w:tcPr>
            <w:tcW w:w="348" w:type="pct"/>
            <w:shd w:val="clear" w:color="auto" w:fill="auto"/>
            <w:noWrap w:val="0"/>
            <w:vAlign w:val="center"/>
          </w:tcPr>
          <w:p w14:paraId="573CB8C2">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6DF339C2">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491" w:type="pct"/>
            <w:shd w:val="clear" w:color="auto" w:fill="auto"/>
            <w:noWrap w:val="0"/>
            <w:vAlign w:val="center"/>
          </w:tcPr>
          <w:p w14:paraId="78A57ACB">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69</w:t>
            </w:r>
          </w:p>
        </w:tc>
        <w:tc>
          <w:tcPr>
            <w:tcW w:w="237" w:type="pct"/>
            <w:vMerge w:val="continue"/>
            <w:shd w:val="clear" w:color="auto" w:fill="auto"/>
            <w:noWrap w:val="0"/>
            <w:vAlign w:val="center"/>
          </w:tcPr>
          <w:p w14:paraId="18D87CE0">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213E9D0B">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2A4CB67A">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43</w:t>
            </w:r>
          </w:p>
        </w:tc>
        <w:tc>
          <w:tcPr>
            <w:tcW w:w="302" w:type="pct"/>
            <w:vMerge w:val="continue"/>
            <w:shd w:val="clear" w:color="auto" w:fill="auto"/>
            <w:noWrap w:val="0"/>
            <w:vAlign w:val="center"/>
          </w:tcPr>
          <w:p w14:paraId="692BB6C5">
            <w:pPr>
              <w:pStyle w:val="78"/>
              <w:bidi w:val="0"/>
              <w:rPr>
                <w:rFonts w:hint="eastAsia"/>
                <w:color w:val="FF0000"/>
                <w:sz w:val="21"/>
                <w:szCs w:val="21"/>
                <w:highlight w:val="none"/>
              </w:rPr>
            </w:pPr>
          </w:p>
        </w:tc>
      </w:tr>
      <w:tr w14:paraId="277635E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3461959E">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31FAEEAC">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13E53BD2">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6B0FE012">
            <w:pPr>
              <w:pStyle w:val="78"/>
              <w:bidi w:val="0"/>
              <w:rPr>
                <w:rFonts w:hint="eastAsia"/>
                <w:color w:val="auto"/>
                <w:sz w:val="21"/>
                <w:szCs w:val="21"/>
                <w:highlight w:val="none"/>
              </w:rPr>
            </w:pPr>
          </w:p>
        </w:tc>
        <w:tc>
          <w:tcPr>
            <w:tcW w:w="396" w:type="pct"/>
            <w:shd w:val="clear" w:color="auto" w:fill="auto"/>
            <w:noWrap w:val="0"/>
            <w:vAlign w:val="center"/>
          </w:tcPr>
          <w:p w14:paraId="15E0AF5E">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42</w:t>
            </w:r>
          </w:p>
        </w:tc>
        <w:tc>
          <w:tcPr>
            <w:tcW w:w="350" w:type="pct"/>
            <w:shd w:val="clear" w:color="auto" w:fill="auto"/>
            <w:noWrap w:val="0"/>
            <w:vAlign w:val="center"/>
          </w:tcPr>
          <w:p w14:paraId="6ACC006B">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94</w:t>
            </w:r>
          </w:p>
        </w:tc>
        <w:tc>
          <w:tcPr>
            <w:tcW w:w="348" w:type="pct"/>
            <w:shd w:val="clear" w:color="auto" w:fill="auto"/>
            <w:noWrap w:val="0"/>
            <w:vAlign w:val="center"/>
          </w:tcPr>
          <w:p w14:paraId="2174012F">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23C738FC">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491" w:type="pct"/>
            <w:shd w:val="clear" w:color="auto" w:fill="auto"/>
            <w:noWrap w:val="0"/>
            <w:vAlign w:val="center"/>
          </w:tcPr>
          <w:p w14:paraId="4AE02FA2">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69</w:t>
            </w:r>
          </w:p>
        </w:tc>
        <w:tc>
          <w:tcPr>
            <w:tcW w:w="237" w:type="pct"/>
            <w:vMerge w:val="continue"/>
            <w:shd w:val="clear" w:color="auto" w:fill="auto"/>
            <w:noWrap w:val="0"/>
            <w:vAlign w:val="center"/>
          </w:tcPr>
          <w:p w14:paraId="61288227">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00115E96">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5654325E">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43</w:t>
            </w:r>
          </w:p>
        </w:tc>
        <w:tc>
          <w:tcPr>
            <w:tcW w:w="302" w:type="pct"/>
            <w:vMerge w:val="continue"/>
            <w:shd w:val="clear" w:color="auto" w:fill="auto"/>
            <w:noWrap w:val="0"/>
            <w:vAlign w:val="center"/>
          </w:tcPr>
          <w:p w14:paraId="1886BB1E">
            <w:pPr>
              <w:pStyle w:val="78"/>
              <w:bidi w:val="0"/>
              <w:rPr>
                <w:rFonts w:hint="eastAsia"/>
                <w:color w:val="FF0000"/>
                <w:sz w:val="21"/>
                <w:szCs w:val="21"/>
                <w:highlight w:val="none"/>
              </w:rPr>
            </w:pPr>
          </w:p>
        </w:tc>
      </w:tr>
      <w:tr w14:paraId="69378F3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5697906E">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6878B321">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651F0124">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3BB24E1A">
            <w:pPr>
              <w:pStyle w:val="78"/>
              <w:bidi w:val="0"/>
              <w:rPr>
                <w:rFonts w:hint="eastAsia"/>
                <w:color w:val="auto"/>
                <w:sz w:val="21"/>
                <w:szCs w:val="21"/>
                <w:highlight w:val="none"/>
              </w:rPr>
            </w:pPr>
          </w:p>
        </w:tc>
        <w:tc>
          <w:tcPr>
            <w:tcW w:w="396" w:type="pct"/>
            <w:shd w:val="clear" w:color="auto" w:fill="auto"/>
            <w:noWrap w:val="0"/>
            <w:vAlign w:val="center"/>
          </w:tcPr>
          <w:p w14:paraId="6B1FEB58">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42</w:t>
            </w:r>
          </w:p>
        </w:tc>
        <w:tc>
          <w:tcPr>
            <w:tcW w:w="350" w:type="pct"/>
            <w:shd w:val="clear" w:color="auto" w:fill="auto"/>
            <w:noWrap w:val="0"/>
            <w:vAlign w:val="center"/>
          </w:tcPr>
          <w:p w14:paraId="22836C0B">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96</w:t>
            </w:r>
          </w:p>
        </w:tc>
        <w:tc>
          <w:tcPr>
            <w:tcW w:w="348" w:type="pct"/>
            <w:shd w:val="clear" w:color="auto" w:fill="auto"/>
            <w:noWrap w:val="0"/>
            <w:vAlign w:val="center"/>
          </w:tcPr>
          <w:p w14:paraId="39BD4C9A">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1FA325F3">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491" w:type="pct"/>
            <w:shd w:val="clear" w:color="auto" w:fill="auto"/>
            <w:noWrap w:val="0"/>
            <w:vAlign w:val="center"/>
          </w:tcPr>
          <w:p w14:paraId="702063E3">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69</w:t>
            </w:r>
          </w:p>
        </w:tc>
        <w:tc>
          <w:tcPr>
            <w:tcW w:w="237" w:type="pct"/>
            <w:vMerge w:val="continue"/>
            <w:shd w:val="clear" w:color="auto" w:fill="auto"/>
            <w:noWrap w:val="0"/>
            <w:vAlign w:val="center"/>
          </w:tcPr>
          <w:p w14:paraId="4F07F56F">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04D1D859">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580AE92F">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43</w:t>
            </w:r>
          </w:p>
        </w:tc>
        <w:tc>
          <w:tcPr>
            <w:tcW w:w="302" w:type="pct"/>
            <w:vMerge w:val="continue"/>
            <w:shd w:val="clear" w:color="auto" w:fill="auto"/>
            <w:noWrap w:val="0"/>
            <w:vAlign w:val="center"/>
          </w:tcPr>
          <w:p w14:paraId="3664B968">
            <w:pPr>
              <w:pStyle w:val="78"/>
              <w:bidi w:val="0"/>
              <w:rPr>
                <w:rFonts w:hint="eastAsia"/>
                <w:color w:val="FF0000"/>
                <w:sz w:val="21"/>
                <w:szCs w:val="21"/>
                <w:highlight w:val="none"/>
              </w:rPr>
            </w:pPr>
          </w:p>
        </w:tc>
      </w:tr>
      <w:tr w14:paraId="56B7DA2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14722D03">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22E241A7">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2390BB1C">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63DAB4FE">
            <w:pPr>
              <w:pStyle w:val="78"/>
              <w:bidi w:val="0"/>
              <w:rPr>
                <w:rFonts w:hint="eastAsia"/>
                <w:color w:val="auto"/>
                <w:sz w:val="21"/>
                <w:szCs w:val="21"/>
                <w:highlight w:val="none"/>
              </w:rPr>
            </w:pPr>
          </w:p>
        </w:tc>
        <w:tc>
          <w:tcPr>
            <w:tcW w:w="396" w:type="pct"/>
            <w:shd w:val="clear" w:color="auto" w:fill="auto"/>
            <w:noWrap w:val="0"/>
            <w:vAlign w:val="center"/>
          </w:tcPr>
          <w:p w14:paraId="66FC3F44">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42</w:t>
            </w:r>
          </w:p>
        </w:tc>
        <w:tc>
          <w:tcPr>
            <w:tcW w:w="350" w:type="pct"/>
            <w:shd w:val="clear" w:color="auto" w:fill="auto"/>
            <w:noWrap w:val="0"/>
            <w:vAlign w:val="center"/>
          </w:tcPr>
          <w:p w14:paraId="1EA6433C">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98</w:t>
            </w:r>
          </w:p>
        </w:tc>
        <w:tc>
          <w:tcPr>
            <w:tcW w:w="348" w:type="pct"/>
            <w:shd w:val="clear" w:color="auto" w:fill="auto"/>
            <w:noWrap w:val="0"/>
            <w:vAlign w:val="center"/>
          </w:tcPr>
          <w:p w14:paraId="3A5196F1">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7C980724">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491" w:type="pct"/>
            <w:shd w:val="clear" w:color="auto" w:fill="auto"/>
            <w:noWrap w:val="0"/>
            <w:vAlign w:val="center"/>
          </w:tcPr>
          <w:p w14:paraId="7E79D5A5">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69</w:t>
            </w:r>
          </w:p>
        </w:tc>
        <w:tc>
          <w:tcPr>
            <w:tcW w:w="237" w:type="pct"/>
            <w:vMerge w:val="continue"/>
            <w:shd w:val="clear" w:color="auto" w:fill="auto"/>
            <w:noWrap w:val="0"/>
            <w:vAlign w:val="center"/>
          </w:tcPr>
          <w:p w14:paraId="29567877">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7D11EC54">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042C57F1">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43</w:t>
            </w:r>
          </w:p>
        </w:tc>
        <w:tc>
          <w:tcPr>
            <w:tcW w:w="302" w:type="pct"/>
            <w:vMerge w:val="continue"/>
            <w:shd w:val="clear" w:color="auto" w:fill="auto"/>
            <w:noWrap w:val="0"/>
            <w:vAlign w:val="center"/>
          </w:tcPr>
          <w:p w14:paraId="352B216E">
            <w:pPr>
              <w:pStyle w:val="78"/>
              <w:bidi w:val="0"/>
              <w:rPr>
                <w:rFonts w:hint="eastAsia"/>
                <w:color w:val="FF0000"/>
                <w:sz w:val="21"/>
                <w:szCs w:val="21"/>
                <w:highlight w:val="none"/>
              </w:rPr>
            </w:pPr>
          </w:p>
        </w:tc>
      </w:tr>
      <w:tr w14:paraId="44052C2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1CEC08CD">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153F393E">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594D0D20">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7077E1D9">
            <w:pPr>
              <w:pStyle w:val="78"/>
              <w:bidi w:val="0"/>
              <w:rPr>
                <w:rFonts w:hint="eastAsia"/>
                <w:color w:val="auto"/>
                <w:sz w:val="21"/>
                <w:szCs w:val="21"/>
                <w:highlight w:val="none"/>
              </w:rPr>
            </w:pPr>
          </w:p>
        </w:tc>
        <w:tc>
          <w:tcPr>
            <w:tcW w:w="396" w:type="pct"/>
            <w:shd w:val="clear" w:color="auto" w:fill="auto"/>
            <w:noWrap w:val="0"/>
            <w:vAlign w:val="center"/>
          </w:tcPr>
          <w:p w14:paraId="2155F1EE">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42</w:t>
            </w:r>
          </w:p>
        </w:tc>
        <w:tc>
          <w:tcPr>
            <w:tcW w:w="350" w:type="pct"/>
            <w:shd w:val="clear" w:color="auto" w:fill="auto"/>
            <w:noWrap w:val="0"/>
            <w:vAlign w:val="center"/>
          </w:tcPr>
          <w:p w14:paraId="06091FA5">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100</w:t>
            </w:r>
          </w:p>
        </w:tc>
        <w:tc>
          <w:tcPr>
            <w:tcW w:w="348" w:type="pct"/>
            <w:shd w:val="clear" w:color="auto" w:fill="auto"/>
            <w:noWrap w:val="0"/>
            <w:vAlign w:val="center"/>
          </w:tcPr>
          <w:p w14:paraId="0871CC22">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2D92A93C">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491" w:type="pct"/>
            <w:shd w:val="clear" w:color="auto" w:fill="auto"/>
            <w:noWrap w:val="0"/>
            <w:vAlign w:val="center"/>
          </w:tcPr>
          <w:p w14:paraId="7F5C5153">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69</w:t>
            </w:r>
          </w:p>
        </w:tc>
        <w:tc>
          <w:tcPr>
            <w:tcW w:w="237" w:type="pct"/>
            <w:vMerge w:val="continue"/>
            <w:shd w:val="clear" w:color="auto" w:fill="auto"/>
            <w:noWrap w:val="0"/>
            <w:vAlign w:val="center"/>
          </w:tcPr>
          <w:p w14:paraId="24F88569">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410393A0">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6FA9C5CB">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43</w:t>
            </w:r>
          </w:p>
        </w:tc>
        <w:tc>
          <w:tcPr>
            <w:tcW w:w="302" w:type="pct"/>
            <w:vMerge w:val="continue"/>
            <w:shd w:val="clear" w:color="auto" w:fill="auto"/>
            <w:noWrap w:val="0"/>
            <w:vAlign w:val="center"/>
          </w:tcPr>
          <w:p w14:paraId="62BB8D79">
            <w:pPr>
              <w:pStyle w:val="78"/>
              <w:bidi w:val="0"/>
              <w:rPr>
                <w:rFonts w:hint="eastAsia"/>
                <w:color w:val="FF0000"/>
                <w:sz w:val="21"/>
                <w:szCs w:val="21"/>
                <w:highlight w:val="none"/>
              </w:rPr>
            </w:pPr>
          </w:p>
        </w:tc>
      </w:tr>
      <w:tr w14:paraId="33CE179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39930F02">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1BB3E23D">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2A032746">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25FEBB95">
            <w:pPr>
              <w:pStyle w:val="78"/>
              <w:bidi w:val="0"/>
              <w:rPr>
                <w:rFonts w:hint="eastAsia"/>
                <w:color w:val="auto"/>
                <w:sz w:val="21"/>
                <w:szCs w:val="21"/>
                <w:highlight w:val="none"/>
              </w:rPr>
            </w:pPr>
          </w:p>
        </w:tc>
        <w:tc>
          <w:tcPr>
            <w:tcW w:w="396" w:type="pct"/>
            <w:shd w:val="clear" w:color="auto" w:fill="auto"/>
            <w:noWrap w:val="0"/>
            <w:vAlign w:val="center"/>
          </w:tcPr>
          <w:p w14:paraId="032487F1">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42</w:t>
            </w:r>
          </w:p>
        </w:tc>
        <w:tc>
          <w:tcPr>
            <w:tcW w:w="350" w:type="pct"/>
            <w:shd w:val="clear" w:color="auto" w:fill="auto"/>
            <w:noWrap w:val="0"/>
            <w:vAlign w:val="center"/>
          </w:tcPr>
          <w:p w14:paraId="1296FB27">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102</w:t>
            </w:r>
          </w:p>
        </w:tc>
        <w:tc>
          <w:tcPr>
            <w:tcW w:w="348" w:type="pct"/>
            <w:shd w:val="clear" w:color="auto" w:fill="auto"/>
            <w:noWrap w:val="0"/>
            <w:vAlign w:val="center"/>
          </w:tcPr>
          <w:p w14:paraId="7C51B353">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56788FF4">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491" w:type="pct"/>
            <w:shd w:val="clear" w:color="auto" w:fill="auto"/>
            <w:noWrap w:val="0"/>
            <w:vAlign w:val="center"/>
          </w:tcPr>
          <w:p w14:paraId="0E12257D">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69</w:t>
            </w:r>
          </w:p>
        </w:tc>
        <w:tc>
          <w:tcPr>
            <w:tcW w:w="237" w:type="pct"/>
            <w:vMerge w:val="continue"/>
            <w:shd w:val="clear" w:color="auto" w:fill="auto"/>
            <w:noWrap w:val="0"/>
            <w:vAlign w:val="center"/>
          </w:tcPr>
          <w:p w14:paraId="476C8819">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22CCE647">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7BCC83EB">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43</w:t>
            </w:r>
          </w:p>
        </w:tc>
        <w:tc>
          <w:tcPr>
            <w:tcW w:w="302" w:type="pct"/>
            <w:vMerge w:val="continue"/>
            <w:shd w:val="clear" w:color="auto" w:fill="auto"/>
            <w:noWrap w:val="0"/>
            <w:vAlign w:val="center"/>
          </w:tcPr>
          <w:p w14:paraId="4F6CCF31">
            <w:pPr>
              <w:pStyle w:val="78"/>
              <w:bidi w:val="0"/>
              <w:rPr>
                <w:rFonts w:hint="eastAsia"/>
                <w:color w:val="FF0000"/>
                <w:sz w:val="21"/>
                <w:szCs w:val="21"/>
                <w:highlight w:val="none"/>
              </w:rPr>
            </w:pPr>
          </w:p>
        </w:tc>
      </w:tr>
      <w:tr w14:paraId="62AB2F5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49C7F8C5">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11618243">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5292B7AE">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772297C2">
            <w:pPr>
              <w:pStyle w:val="78"/>
              <w:bidi w:val="0"/>
              <w:rPr>
                <w:rFonts w:hint="eastAsia"/>
                <w:color w:val="auto"/>
                <w:sz w:val="21"/>
                <w:szCs w:val="21"/>
                <w:highlight w:val="none"/>
              </w:rPr>
            </w:pPr>
          </w:p>
        </w:tc>
        <w:tc>
          <w:tcPr>
            <w:tcW w:w="396" w:type="pct"/>
            <w:shd w:val="clear" w:color="auto" w:fill="auto"/>
            <w:noWrap w:val="0"/>
            <w:vAlign w:val="center"/>
          </w:tcPr>
          <w:p w14:paraId="40111A0E">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42</w:t>
            </w:r>
          </w:p>
        </w:tc>
        <w:tc>
          <w:tcPr>
            <w:tcW w:w="350" w:type="pct"/>
            <w:shd w:val="clear" w:color="auto" w:fill="auto"/>
            <w:noWrap w:val="0"/>
            <w:vAlign w:val="center"/>
          </w:tcPr>
          <w:p w14:paraId="167D1A96">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104</w:t>
            </w:r>
          </w:p>
        </w:tc>
        <w:tc>
          <w:tcPr>
            <w:tcW w:w="348" w:type="pct"/>
            <w:shd w:val="clear" w:color="auto" w:fill="auto"/>
            <w:noWrap w:val="0"/>
            <w:vAlign w:val="center"/>
          </w:tcPr>
          <w:p w14:paraId="3FBC07AE">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1BF13678">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491" w:type="pct"/>
            <w:shd w:val="clear" w:color="auto" w:fill="auto"/>
            <w:noWrap w:val="0"/>
            <w:vAlign w:val="center"/>
          </w:tcPr>
          <w:p w14:paraId="05130737">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69</w:t>
            </w:r>
          </w:p>
        </w:tc>
        <w:tc>
          <w:tcPr>
            <w:tcW w:w="237" w:type="pct"/>
            <w:vMerge w:val="continue"/>
            <w:shd w:val="clear" w:color="auto" w:fill="auto"/>
            <w:noWrap w:val="0"/>
            <w:vAlign w:val="center"/>
          </w:tcPr>
          <w:p w14:paraId="5C0379A0">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0026363D">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08703242">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43</w:t>
            </w:r>
          </w:p>
        </w:tc>
        <w:tc>
          <w:tcPr>
            <w:tcW w:w="302" w:type="pct"/>
            <w:vMerge w:val="continue"/>
            <w:shd w:val="clear" w:color="auto" w:fill="auto"/>
            <w:noWrap w:val="0"/>
            <w:vAlign w:val="center"/>
          </w:tcPr>
          <w:p w14:paraId="170FA6EE">
            <w:pPr>
              <w:pStyle w:val="78"/>
              <w:bidi w:val="0"/>
              <w:rPr>
                <w:rFonts w:hint="eastAsia"/>
                <w:color w:val="FF0000"/>
                <w:sz w:val="21"/>
                <w:szCs w:val="21"/>
                <w:highlight w:val="none"/>
              </w:rPr>
            </w:pPr>
          </w:p>
        </w:tc>
      </w:tr>
      <w:tr w14:paraId="0A93FDD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3AA8FA41">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0A1E1137">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33E9C9F2">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081395D9">
            <w:pPr>
              <w:pStyle w:val="78"/>
              <w:bidi w:val="0"/>
              <w:rPr>
                <w:rFonts w:hint="eastAsia"/>
                <w:color w:val="auto"/>
                <w:sz w:val="21"/>
                <w:szCs w:val="21"/>
                <w:highlight w:val="none"/>
              </w:rPr>
            </w:pPr>
          </w:p>
        </w:tc>
        <w:tc>
          <w:tcPr>
            <w:tcW w:w="396" w:type="pct"/>
            <w:shd w:val="clear" w:color="auto" w:fill="auto"/>
            <w:noWrap w:val="0"/>
            <w:vAlign w:val="center"/>
          </w:tcPr>
          <w:p w14:paraId="162CFDF6">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42</w:t>
            </w:r>
          </w:p>
        </w:tc>
        <w:tc>
          <w:tcPr>
            <w:tcW w:w="350" w:type="pct"/>
            <w:shd w:val="clear" w:color="auto" w:fill="auto"/>
            <w:noWrap w:val="0"/>
            <w:vAlign w:val="center"/>
          </w:tcPr>
          <w:p w14:paraId="1CAA1AFF">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106</w:t>
            </w:r>
          </w:p>
        </w:tc>
        <w:tc>
          <w:tcPr>
            <w:tcW w:w="348" w:type="pct"/>
            <w:shd w:val="clear" w:color="auto" w:fill="auto"/>
            <w:noWrap w:val="0"/>
            <w:vAlign w:val="center"/>
          </w:tcPr>
          <w:p w14:paraId="53C4E689">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33EA134D">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491" w:type="pct"/>
            <w:shd w:val="clear" w:color="auto" w:fill="auto"/>
            <w:noWrap w:val="0"/>
            <w:vAlign w:val="center"/>
          </w:tcPr>
          <w:p w14:paraId="1579ED2E">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69</w:t>
            </w:r>
          </w:p>
        </w:tc>
        <w:tc>
          <w:tcPr>
            <w:tcW w:w="237" w:type="pct"/>
            <w:vMerge w:val="continue"/>
            <w:shd w:val="clear" w:color="auto" w:fill="auto"/>
            <w:noWrap w:val="0"/>
            <w:vAlign w:val="center"/>
          </w:tcPr>
          <w:p w14:paraId="15AD8529">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6E7C981F">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5A4ACA5E">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43</w:t>
            </w:r>
          </w:p>
        </w:tc>
        <w:tc>
          <w:tcPr>
            <w:tcW w:w="302" w:type="pct"/>
            <w:vMerge w:val="continue"/>
            <w:shd w:val="clear" w:color="auto" w:fill="auto"/>
            <w:noWrap w:val="0"/>
            <w:vAlign w:val="center"/>
          </w:tcPr>
          <w:p w14:paraId="7F392C7F">
            <w:pPr>
              <w:pStyle w:val="78"/>
              <w:bidi w:val="0"/>
              <w:rPr>
                <w:rFonts w:hint="eastAsia"/>
                <w:color w:val="FF0000"/>
                <w:sz w:val="21"/>
                <w:szCs w:val="21"/>
                <w:highlight w:val="none"/>
              </w:rPr>
            </w:pPr>
          </w:p>
        </w:tc>
      </w:tr>
      <w:tr w14:paraId="4681909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438EF238">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360DB0CD">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57146099">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0F173C0A">
            <w:pPr>
              <w:pStyle w:val="78"/>
              <w:bidi w:val="0"/>
              <w:rPr>
                <w:rFonts w:hint="eastAsia"/>
                <w:color w:val="auto"/>
                <w:sz w:val="21"/>
                <w:szCs w:val="21"/>
                <w:highlight w:val="none"/>
              </w:rPr>
            </w:pPr>
          </w:p>
        </w:tc>
        <w:tc>
          <w:tcPr>
            <w:tcW w:w="396" w:type="pct"/>
            <w:shd w:val="clear" w:color="auto" w:fill="auto"/>
            <w:noWrap w:val="0"/>
            <w:vAlign w:val="center"/>
          </w:tcPr>
          <w:p w14:paraId="0A73ABFE">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42</w:t>
            </w:r>
          </w:p>
        </w:tc>
        <w:tc>
          <w:tcPr>
            <w:tcW w:w="350" w:type="pct"/>
            <w:shd w:val="clear" w:color="auto" w:fill="auto"/>
            <w:noWrap w:val="0"/>
            <w:vAlign w:val="center"/>
          </w:tcPr>
          <w:p w14:paraId="27E88DE8">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108</w:t>
            </w:r>
          </w:p>
        </w:tc>
        <w:tc>
          <w:tcPr>
            <w:tcW w:w="348" w:type="pct"/>
            <w:shd w:val="clear" w:color="auto" w:fill="auto"/>
            <w:noWrap w:val="0"/>
            <w:vAlign w:val="center"/>
          </w:tcPr>
          <w:p w14:paraId="5DBBDBE7">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5DAC5678">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491" w:type="pct"/>
            <w:shd w:val="clear" w:color="auto" w:fill="auto"/>
            <w:noWrap w:val="0"/>
            <w:vAlign w:val="center"/>
          </w:tcPr>
          <w:p w14:paraId="41129218">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69</w:t>
            </w:r>
          </w:p>
        </w:tc>
        <w:tc>
          <w:tcPr>
            <w:tcW w:w="237" w:type="pct"/>
            <w:vMerge w:val="continue"/>
            <w:shd w:val="clear" w:color="auto" w:fill="auto"/>
            <w:noWrap w:val="0"/>
            <w:vAlign w:val="center"/>
          </w:tcPr>
          <w:p w14:paraId="6B527A21">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41709264">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1AA3C79B">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43</w:t>
            </w:r>
          </w:p>
        </w:tc>
        <w:tc>
          <w:tcPr>
            <w:tcW w:w="302" w:type="pct"/>
            <w:vMerge w:val="continue"/>
            <w:shd w:val="clear" w:color="auto" w:fill="auto"/>
            <w:noWrap w:val="0"/>
            <w:vAlign w:val="center"/>
          </w:tcPr>
          <w:p w14:paraId="4AC351BD">
            <w:pPr>
              <w:pStyle w:val="78"/>
              <w:bidi w:val="0"/>
              <w:rPr>
                <w:rFonts w:hint="eastAsia"/>
                <w:color w:val="FF0000"/>
                <w:sz w:val="21"/>
                <w:szCs w:val="21"/>
                <w:highlight w:val="none"/>
              </w:rPr>
            </w:pPr>
          </w:p>
        </w:tc>
      </w:tr>
      <w:tr w14:paraId="0195500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3D520180">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5331B3A9">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41E08548">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2F794C30">
            <w:pPr>
              <w:pStyle w:val="78"/>
              <w:bidi w:val="0"/>
              <w:rPr>
                <w:rFonts w:hint="eastAsia"/>
                <w:color w:val="auto"/>
                <w:sz w:val="21"/>
                <w:szCs w:val="21"/>
                <w:highlight w:val="none"/>
              </w:rPr>
            </w:pPr>
          </w:p>
        </w:tc>
        <w:tc>
          <w:tcPr>
            <w:tcW w:w="396" w:type="pct"/>
            <w:shd w:val="clear" w:color="auto" w:fill="auto"/>
            <w:noWrap w:val="0"/>
            <w:vAlign w:val="center"/>
          </w:tcPr>
          <w:p w14:paraId="7D80A735">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42</w:t>
            </w:r>
          </w:p>
        </w:tc>
        <w:tc>
          <w:tcPr>
            <w:tcW w:w="350" w:type="pct"/>
            <w:shd w:val="clear" w:color="auto" w:fill="auto"/>
            <w:noWrap w:val="0"/>
            <w:vAlign w:val="center"/>
          </w:tcPr>
          <w:p w14:paraId="1BFD1ACB">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110</w:t>
            </w:r>
          </w:p>
        </w:tc>
        <w:tc>
          <w:tcPr>
            <w:tcW w:w="348" w:type="pct"/>
            <w:shd w:val="clear" w:color="auto" w:fill="auto"/>
            <w:noWrap w:val="0"/>
            <w:vAlign w:val="center"/>
          </w:tcPr>
          <w:p w14:paraId="71BBA9A0">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66E9621C">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491" w:type="pct"/>
            <w:shd w:val="clear" w:color="auto" w:fill="auto"/>
            <w:noWrap w:val="0"/>
            <w:vAlign w:val="center"/>
          </w:tcPr>
          <w:p w14:paraId="1990B0E9">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69</w:t>
            </w:r>
          </w:p>
        </w:tc>
        <w:tc>
          <w:tcPr>
            <w:tcW w:w="237" w:type="pct"/>
            <w:vMerge w:val="continue"/>
            <w:shd w:val="clear" w:color="auto" w:fill="auto"/>
            <w:noWrap w:val="0"/>
            <w:vAlign w:val="center"/>
          </w:tcPr>
          <w:p w14:paraId="04042231">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7EB1A477">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246CAE6B">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43</w:t>
            </w:r>
          </w:p>
        </w:tc>
        <w:tc>
          <w:tcPr>
            <w:tcW w:w="302" w:type="pct"/>
            <w:vMerge w:val="continue"/>
            <w:shd w:val="clear" w:color="auto" w:fill="auto"/>
            <w:noWrap w:val="0"/>
            <w:vAlign w:val="center"/>
          </w:tcPr>
          <w:p w14:paraId="77E4E61A">
            <w:pPr>
              <w:pStyle w:val="78"/>
              <w:bidi w:val="0"/>
              <w:rPr>
                <w:rFonts w:hint="eastAsia"/>
                <w:color w:val="FF0000"/>
                <w:sz w:val="21"/>
                <w:szCs w:val="21"/>
                <w:highlight w:val="none"/>
              </w:rPr>
            </w:pPr>
          </w:p>
        </w:tc>
      </w:tr>
      <w:tr w14:paraId="586998D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6170BBA0">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114E935A">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074D67E9">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3FA2A9B2">
            <w:pPr>
              <w:pStyle w:val="78"/>
              <w:bidi w:val="0"/>
              <w:rPr>
                <w:rFonts w:hint="eastAsia"/>
                <w:color w:val="auto"/>
                <w:sz w:val="21"/>
                <w:szCs w:val="21"/>
                <w:highlight w:val="none"/>
              </w:rPr>
            </w:pPr>
          </w:p>
        </w:tc>
        <w:tc>
          <w:tcPr>
            <w:tcW w:w="396" w:type="pct"/>
            <w:shd w:val="clear" w:color="auto" w:fill="auto"/>
            <w:noWrap w:val="0"/>
            <w:vAlign w:val="center"/>
          </w:tcPr>
          <w:p w14:paraId="7DD2894B">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42</w:t>
            </w:r>
          </w:p>
        </w:tc>
        <w:tc>
          <w:tcPr>
            <w:tcW w:w="350" w:type="pct"/>
            <w:shd w:val="clear" w:color="auto" w:fill="auto"/>
            <w:noWrap w:val="0"/>
            <w:vAlign w:val="center"/>
          </w:tcPr>
          <w:p w14:paraId="7D1B1E3B">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112</w:t>
            </w:r>
          </w:p>
        </w:tc>
        <w:tc>
          <w:tcPr>
            <w:tcW w:w="348" w:type="pct"/>
            <w:shd w:val="clear" w:color="auto" w:fill="auto"/>
            <w:noWrap w:val="0"/>
            <w:vAlign w:val="center"/>
          </w:tcPr>
          <w:p w14:paraId="619C9166">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6A2C32D8">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491" w:type="pct"/>
            <w:shd w:val="clear" w:color="auto" w:fill="auto"/>
            <w:noWrap w:val="0"/>
            <w:vAlign w:val="center"/>
          </w:tcPr>
          <w:p w14:paraId="0BAFF9C5">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69</w:t>
            </w:r>
          </w:p>
        </w:tc>
        <w:tc>
          <w:tcPr>
            <w:tcW w:w="237" w:type="pct"/>
            <w:vMerge w:val="continue"/>
            <w:shd w:val="clear" w:color="auto" w:fill="auto"/>
            <w:noWrap w:val="0"/>
            <w:vAlign w:val="center"/>
          </w:tcPr>
          <w:p w14:paraId="44373704">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7F3664ED">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3EA77FB7">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43</w:t>
            </w:r>
          </w:p>
        </w:tc>
        <w:tc>
          <w:tcPr>
            <w:tcW w:w="302" w:type="pct"/>
            <w:vMerge w:val="continue"/>
            <w:shd w:val="clear" w:color="auto" w:fill="auto"/>
            <w:noWrap w:val="0"/>
            <w:vAlign w:val="center"/>
          </w:tcPr>
          <w:p w14:paraId="5C457968">
            <w:pPr>
              <w:pStyle w:val="78"/>
              <w:bidi w:val="0"/>
              <w:rPr>
                <w:rFonts w:hint="eastAsia"/>
                <w:color w:val="FF0000"/>
                <w:sz w:val="21"/>
                <w:szCs w:val="21"/>
                <w:highlight w:val="none"/>
              </w:rPr>
            </w:pPr>
          </w:p>
        </w:tc>
      </w:tr>
      <w:tr w14:paraId="6C586F4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1C214879">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337BFABD">
            <w:pPr>
              <w:pStyle w:val="78"/>
              <w:bidi w:val="0"/>
              <w:ind w:firstLine="0" w:firstLineChars="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35E31F2B">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6F4C8855">
            <w:pPr>
              <w:pStyle w:val="78"/>
              <w:bidi w:val="0"/>
              <w:rPr>
                <w:rFonts w:hint="eastAsia"/>
                <w:color w:val="auto"/>
                <w:sz w:val="21"/>
                <w:szCs w:val="21"/>
                <w:highlight w:val="none"/>
              </w:rPr>
            </w:pPr>
          </w:p>
        </w:tc>
        <w:tc>
          <w:tcPr>
            <w:tcW w:w="396" w:type="pct"/>
            <w:shd w:val="clear" w:color="auto" w:fill="auto"/>
            <w:noWrap w:val="0"/>
            <w:vAlign w:val="center"/>
          </w:tcPr>
          <w:p w14:paraId="280A3CFE">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42</w:t>
            </w:r>
          </w:p>
        </w:tc>
        <w:tc>
          <w:tcPr>
            <w:tcW w:w="350" w:type="pct"/>
            <w:shd w:val="clear" w:color="auto" w:fill="auto"/>
            <w:noWrap w:val="0"/>
            <w:vAlign w:val="center"/>
          </w:tcPr>
          <w:p w14:paraId="0351715E">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114</w:t>
            </w:r>
          </w:p>
        </w:tc>
        <w:tc>
          <w:tcPr>
            <w:tcW w:w="348" w:type="pct"/>
            <w:shd w:val="clear" w:color="auto" w:fill="auto"/>
            <w:noWrap w:val="0"/>
            <w:vAlign w:val="center"/>
          </w:tcPr>
          <w:p w14:paraId="1BCB0297">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78C49C07">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491" w:type="pct"/>
            <w:shd w:val="clear" w:color="auto" w:fill="auto"/>
            <w:noWrap w:val="0"/>
            <w:vAlign w:val="center"/>
          </w:tcPr>
          <w:p w14:paraId="3EDBD6AC">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69</w:t>
            </w:r>
          </w:p>
        </w:tc>
        <w:tc>
          <w:tcPr>
            <w:tcW w:w="237" w:type="pct"/>
            <w:vMerge w:val="continue"/>
            <w:shd w:val="clear" w:color="auto" w:fill="auto"/>
            <w:noWrap w:val="0"/>
            <w:vAlign w:val="center"/>
          </w:tcPr>
          <w:p w14:paraId="0D9FE7C4">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631ECCD3">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0C0F09C5">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43</w:t>
            </w:r>
          </w:p>
        </w:tc>
        <w:tc>
          <w:tcPr>
            <w:tcW w:w="302" w:type="pct"/>
            <w:vMerge w:val="continue"/>
            <w:shd w:val="clear" w:color="auto" w:fill="auto"/>
            <w:noWrap w:val="0"/>
            <w:vAlign w:val="center"/>
          </w:tcPr>
          <w:p w14:paraId="6228ECDE">
            <w:pPr>
              <w:pStyle w:val="78"/>
              <w:bidi w:val="0"/>
              <w:rPr>
                <w:rFonts w:hint="eastAsia"/>
                <w:color w:val="FF0000"/>
                <w:sz w:val="21"/>
                <w:szCs w:val="21"/>
                <w:highlight w:val="none"/>
              </w:rPr>
            </w:pPr>
          </w:p>
        </w:tc>
      </w:tr>
      <w:tr w14:paraId="55A1F28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4E389302">
            <w:pPr>
              <w:pStyle w:val="78"/>
              <w:bidi w:val="0"/>
              <w:rPr>
                <w:rFonts w:hint="default"/>
                <w:color w:val="auto"/>
                <w:sz w:val="21"/>
                <w:szCs w:val="21"/>
                <w:highlight w:val="none"/>
                <w:lang w:val="en-US" w:eastAsia="zh-CN"/>
              </w:rPr>
            </w:pPr>
          </w:p>
        </w:tc>
        <w:tc>
          <w:tcPr>
            <w:tcW w:w="571" w:type="pct"/>
            <w:shd w:val="clear" w:color="auto" w:fill="auto"/>
            <w:noWrap w:val="0"/>
            <w:vAlign w:val="center"/>
          </w:tcPr>
          <w:p w14:paraId="2911641B">
            <w:pPr>
              <w:pStyle w:val="78"/>
              <w:bidi w:val="0"/>
              <w:rPr>
                <w:rFonts w:hint="eastAsia"/>
                <w:color w:val="auto"/>
                <w:sz w:val="21"/>
                <w:szCs w:val="21"/>
                <w:highlight w:val="none"/>
              </w:rPr>
            </w:pPr>
            <w:r>
              <w:rPr>
                <w:rFonts w:hint="eastAsia"/>
                <w:color w:val="auto"/>
                <w:sz w:val="21"/>
                <w:szCs w:val="21"/>
                <w:highlight w:val="none"/>
              </w:rPr>
              <w:t>注塑机</w:t>
            </w:r>
          </w:p>
        </w:tc>
        <w:tc>
          <w:tcPr>
            <w:tcW w:w="492" w:type="pct"/>
            <w:shd w:val="clear" w:color="auto" w:fill="auto"/>
            <w:noWrap w:val="0"/>
            <w:vAlign w:val="center"/>
          </w:tcPr>
          <w:p w14:paraId="10D12FAD">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335AEBA7">
            <w:pPr>
              <w:pStyle w:val="78"/>
              <w:bidi w:val="0"/>
              <w:rPr>
                <w:rFonts w:hint="eastAsia"/>
                <w:color w:val="auto"/>
                <w:sz w:val="21"/>
                <w:szCs w:val="21"/>
                <w:highlight w:val="none"/>
              </w:rPr>
            </w:pPr>
          </w:p>
        </w:tc>
        <w:tc>
          <w:tcPr>
            <w:tcW w:w="396" w:type="pct"/>
            <w:shd w:val="clear" w:color="auto" w:fill="auto"/>
            <w:noWrap w:val="0"/>
            <w:vAlign w:val="center"/>
          </w:tcPr>
          <w:p w14:paraId="5E25F4F1">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42</w:t>
            </w:r>
          </w:p>
        </w:tc>
        <w:tc>
          <w:tcPr>
            <w:tcW w:w="350" w:type="pct"/>
            <w:shd w:val="clear" w:color="auto" w:fill="auto"/>
            <w:noWrap w:val="0"/>
            <w:vAlign w:val="center"/>
          </w:tcPr>
          <w:p w14:paraId="223012BA">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116</w:t>
            </w:r>
          </w:p>
        </w:tc>
        <w:tc>
          <w:tcPr>
            <w:tcW w:w="348" w:type="pct"/>
            <w:shd w:val="clear" w:color="auto" w:fill="auto"/>
            <w:noWrap w:val="0"/>
            <w:vAlign w:val="center"/>
          </w:tcPr>
          <w:p w14:paraId="31217148">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52C2F732">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491" w:type="pct"/>
            <w:shd w:val="clear" w:color="auto" w:fill="auto"/>
            <w:noWrap w:val="0"/>
            <w:vAlign w:val="center"/>
          </w:tcPr>
          <w:p w14:paraId="624394C4">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69</w:t>
            </w:r>
          </w:p>
        </w:tc>
        <w:tc>
          <w:tcPr>
            <w:tcW w:w="237" w:type="pct"/>
            <w:vMerge w:val="continue"/>
            <w:shd w:val="clear" w:color="auto" w:fill="auto"/>
            <w:noWrap w:val="0"/>
            <w:vAlign w:val="center"/>
          </w:tcPr>
          <w:p w14:paraId="44BD39C4">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5A3B6D05">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1C660B9A">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43</w:t>
            </w:r>
          </w:p>
        </w:tc>
        <w:tc>
          <w:tcPr>
            <w:tcW w:w="302" w:type="pct"/>
            <w:vMerge w:val="continue"/>
            <w:shd w:val="clear" w:color="auto" w:fill="auto"/>
            <w:noWrap w:val="0"/>
            <w:vAlign w:val="center"/>
          </w:tcPr>
          <w:p w14:paraId="712CAE73">
            <w:pPr>
              <w:pStyle w:val="78"/>
              <w:bidi w:val="0"/>
              <w:rPr>
                <w:rFonts w:hint="eastAsia"/>
                <w:color w:val="FF0000"/>
                <w:sz w:val="21"/>
                <w:szCs w:val="21"/>
                <w:highlight w:val="none"/>
              </w:rPr>
            </w:pPr>
          </w:p>
        </w:tc>
      </w:tr>
      <w:tr w14:paraId="344FDB7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0568E3EC">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251B95F3">
            <w:pPr>
              <w:pStyle w:val="78"/>
              <w:bidi w:val="0"/>
              <w:rPr>
                <w:rFonts w:hint="eastAsia" w:eastAsia="宋体"/>
                <w:color w:val="auto"/>
                <w:sz w:val="21"/>
                <w:szCs w:val="21"/>
                <w:highlight w:val="none"/>
                <w:lang w:val="en-US" w:eastAsia="zh-CN"/>
              </w:rPr>
            </w:pPr>
            <w:r>
              <w:rPr>
                <w:rFonts w:hint="eastAsia"/>
                <w:color w:val="auto"/>
                <w:sz w:val="21"/>
                <w:szCs w:val="21"/>
                <w:highlight w:val="none"/>
                <w:lang w:val="en-US" w:eastAsia="zh-CN"/>
              </w:rPr>
              <w:t>缝纫机</w:t>
            </w:r>
          </w:p>
        </w:tc>
        <w:tc>
          <w:tcPr>
            <w:tcW w:w="492" w:type="pct"/>
            <w:shd w:val="clear" w:color="auto" w:fill="auto"/>
            <w:noWrap w:val="0"/>
            <w:vAlign w:val="center"/>
          </w:tcPr>
          <w:p w14:paraId="505F0736">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75</w:t>
            </w:r>
          </w:p>
        </w:tc>
        <w:tc>
          <w:tcPr>
            <w:tcW w:w="360" w:type="pct"/>
            <w:vMerge w:val="continue"/>
            <w:shd w:val="clear" w:color="auto" w:fill="auto"/>
            <w:noWrap w:val="0"/>
            <w:vAlign w:val="center"/>
          </w:tcPr>
          <w:p w14:paraId="5EE70E7B">
            <w:pPr>
              <w:pStyle w:val="78"/>
              <w:bidi w:val="0"/>
              <w:rPr>
                <w:rFonts w:hint="eastAsia"/>
                <w:color w:val="auto"/>
                <w:sz w:val="21"/>
                <w:szCs w:val="21"/>
                <w:highlight w:val="none"/>
              </w:rPr>
            </w:pPr>
          </w:p>
        </w:tc>
        <w:tc>
          <w:tcPr>
            <w:tcW w:w="396" w:type="pct"/>
            <w:shd w:val="clear" w:color="auto" w:fill="auto"/>
            <w:noWrap w:val="0"/>
            <w:vAlign w:val="center"/>
          </w:tcPr>
          <w:p w14:paraId="145A7482">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15</w:t>
            </w:r>
          </w:p>
        </w:tc>
        <w:tc>
          <w:tcPr>
            <w:tcW w:w="350" w:type="pct"/>
            <w:shd w:val="clear" w:color="auto" w:fill="auto"/>
            <w:noWrap w:val="0"/>
            <w:vAlign w:val="center"/>
          </w:tcPr>
          <w:p w14:paraId="156DB8D0">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24</w:t>
            </w:r>
          </w:p>
        </w:tc>
        <w:tc>
          <w:tcPr>
            <w:tcW w:w="348" w:type="pct"/>
            <w:shd w:val="clear" w:color="auto" w:fill="auto"/>
            <w:noWrap w:val="0"/>
            <w:vAlign w:val="center"/>
          </w:tcPr>
          <w:p w14:paraId="34949349">
            <w:pPr>
              <w:bidi w:val="0"/>
              <w:jc w:val="center"/>
              <w:rPr>
                <w:rFonts w:hint="eastAsia"/>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6ACF36E0">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15</w:t>
            </w:r>
          </w:p>
        </w:tc>
        <w:tc>
          <w:tcPr>
            <w:tcW w:w="491" w:type="pct"/>
            <w:shd w:val="clear" w:color="auto" w:fill="auto"/>
            <w:noWrap w:val="0"/>
            <w:vAlign w:val="center"/>
          </w:tcPr>
          <w:p w14:paraId="79B6074F">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40.4</w:t>
            </w:r>
          </w:p>
        </w:tc>
        <w:tc>
          <w:tcPr>
            <w:tcW w:w="237" w:type="pct"/>
            <w:vMerge w:val="continue"/>
            <w:shd w:val="clear" w:color="auto" w:fill="auto"/>
            <w:noWrap w:val="0"/>
            <w:vAlign w:val="center"/>
          </w:tcPr>
          <w:p w14:paraId="5F65EFD7">
            <w:pPr>
              <w:pStyle w:val="78"/>
              <w:bidi w:val="0"/>
              <w:rPr>
                <w:rFonts w:hint="eastAsia"/>
                <w:color w:val="FF0000"/>
                <w:sz w:val="21"/>
                <w:szCs w:val="21"/>
                <w:highlight w:val="none"/>
                <w:lang w:val="en-US" w:eastAsia="zh-CN"/>
              </w:rPr>
            </w:pPr>
          </w:p>
        </w:tc>
        <w:tc>
          <w:tcPr>
            <w:tcW w:w="426" w:type="pct"/>
            <w:shd w:val="clear" w:color="auto" w:fill="auto"/>
            <w:noWrap w:val="0"/>
            <w:vAlign w:val="center"/>
          </w:tcPr>
          <w:p w14:paraId="1CEB402A">
            <w:pPr>
              <w:bidi w:val="0"/>
              <w:jc w:val="center"/>
              <w:rPr>
                <w:rFonts w:hint="eastAsia"/>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73D4A18C">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14.4</w:t>
            </w:r>
          </w:p>
        </w:tc>
        <w:tc>
          <w:tcPr>
            <w:tcW w:w="302" w:type="pct"/>
            <w:vMerge w:val="continue"/>
            <w:shd w:val="clear" w:color="auto" w:fill="auto"/>
            <w:noWrap w:val="0"/>
            <w:vAlign w:val="center"/>
          </w:tcPr>
          <w:p w14:paraId="5E9D753A">
            <w:pPr>
              <w:pStyle w:val="78"/>
              <w:bidi w:val="0"/>
              <w:rPr>
                <w:rFonts w:hint="eastAsia"/>
                <w:color w:val="FF0000"/>
                <w:sz w:val="21"/>
                <w:szCs w:val="21"/>
                <w:highlight w:val="none"/>
              </w:rPr>
            </w:pPr>
          </w:p>
        </w:tc>
      </w:tr>
      <w:tr w14:paraId="75B268A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49D55F48">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15434C9C">
            <w:pPr>
              <w:bidi w:val="0"/>
              <w:jc w:val="center"/>
              <w:rPr>
                <w:rFonts w:hint="eastAsia"/>
                <w:color w:val="auto"/>
                <w:sz w:val="21"/>
                <w:szCs w:val="21"/>
                <w:highlight w:val="none"/>
              </w:rPr>
            </w:pPr>
            <w:r>
              <w:rPr>
                <w:rFonts w:hint="eastAsia"/>
                <w:color w:val="auto"/>
                <w:sz w:val="21"/>
                <w:szCs w:val="21"/>
                <w:highlight w:val="none"/>
                <w:lang w:val="en-US" w:eastAsia="zh-CN"/>
              </w:rPr>
              <w:t>缝纫机</w:t>
            </w:r>
          </w:p>
        </w:tc>
        <w:tc>
          <w:tcPr>
            <w:tcW w:w="492" w:type="pct"/>
            <w:shd w:val="clear" w:color="auto" w:fill="auto"/>
            <w:noWrap w:val="0"/>
            <w:vAlign w:val="center"/>
          </w:tcPr>
          <w:p w14:paraId="1B8A5CCD">
            <w:pPr>
              <w:pStyle w:val="78"/>
              <w:bidi w:val="0"/>
              <w:rPr>
                <w:rFonts w:hint="eastAsia"/>
                <w:color w:val="auto"/>
                <w:sz w:val="21"/>
                <w:szCs w:val="21"/>
                <w:highlight w:val="none"/>
                <w:lang w:val="en-US" w:eastAsia="zh-CN"/>
              </w:rPr>
            </w:pPr>
            <w:r>
              <w:rPr>
                <w:rFonts w:hint="eastAsia"/>
                <w:color w:val="auto"/>
                <w:sz w:val="21"/>
                <w:szCs w:val="21"/>
                <w:highlight w:val="none"/>
                <w:lang w:val="en-US" w:eastAsia="zh-CN"/>
              </w:rPr>
              <w:t>75</w:t>
            </w:r>
          </w:p>
        </w:tc>
        <w:tc>
          <w:tcPr>
            <w:tcW w:w="360" w:type="pct"/>
            <w:vMerge w:val="continue"/>
            <w:shd w:val="clear" w:color="auto" w:fill="auto"/>
            <w:noWrap w:val="0"/>
            <w:vAlign w:val="center"/>
          </w:tcPr>
          <w:p w14:paraId="6C0DD4C5">
            <w:pPr>
              <w:pStyle w:val="78"/>
              <w:bidi w:val="0"/>
              <w:rPr>
                <w:rFonts w:hint="eastAsia"/>
                <w:color w:val="auto"/>
                <w:sz w:val="21"/>
                <w:szCs w:val="21"/>
                <w:highlight w:val="none"/>
              </w:rPr>
            </w:pPr>
          </w:p>
        </w:tc>
        <w:tc>
          <w:tcPr>
            <w:tcW w:w="396" w:type="pct"/>
            <w:shd w:val="clear" w:color="auto" w:fill="auto"/>
            <w:noWrap w:val="0"/>
            <w:vAlign w:val="center"/>
          </w:tcPr>
          <w:p w14:paraId="491B9D65">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15</w:t>
            </w:r>
          </w:p>
        </w:tc>
        <w:tc>
          <w:tcPr>
            <w:tcW w:w="350" w:type="pct"/>
            <w:shd w:val="clear" w:color="auto" w:fill="auto"/>
            <w:noWrap w:val="0"/>
            <w:vAlign w:val="center"/>
          </w:tcPr>
          <w:p w14:paraId="712CF261">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30</w:t>
            </w:r>
          </w:p>
        </w:tc>
        <w:tc>
          <w:tcPr>
            <w:tcW w:w="348" w:type="pct"/>
            <w:shd w:val="clear" w:color="auto" w:fill="auto"/>
            <w:noWrap w:val="0"/>
            <w:vAlign w:val="center"/>
          </w:tcPr>
          <w:p w14:paraId="2629A02A">
            <w:pPr>
              <w:bidi w:val="0"/>
              <w:jc w:val="center"/>
              <w:rPr>
                <w:rFonts w:hint="eastAsia"/>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3726E25E">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15</w:t>
            </w:r>
          </w:p>
        </w:tc>
        <w:tc>
          <w:tcPr>
            <w:tcW w:w="491" w:type="pct"/>
            <w:shd w:val="clear" w:color="auto" w:fill="auto"/>
            <w:noWrap w:val="0"/>
            <w:vAlign w:val="center"/>
          </w:tcPr>
          <w:p w14:paraId="226882DA">
            <w:pPr>
              <w:pStyle w:val="78"/>
              <w:bidi w:val="0"/>
              <w:rPr>
                <w:rFonts w:hint="eastAsia"/>
                <w:color w:val="auto"/>
                <w:sz w:val="21"/>
                <w:szCs w:val="21"/>
                <w:highlight w:val="none"/>
                <w:lang w:val="en-US" w:eastAsia="zh-CN"/>
              </w:rPr>
            </w:pPr>
            <w:r>
              <w:rPr>
                <w:rFonts w:hint="eastAsia"/>
                <w:color w:val="auto"/>
                <w:sz w:val="21"/>
                <w:szCs w:val="21"/>
                <w:highlight w:val="none"/>
                <w:lang w:val="en-US" w:eastAsia="zh-CN"/>
              </w:rPr>
              <w:t>40.4</w:t>
            </w:r>
          </w:p>
        </w:tc>
        <w:tc>
          <w:tcPr>
            <w:tcW w:w="237" w:type="pct"/>
            <w:vMerge w:val="continue"/>
            <w:shd w:val="clear" w:color="auto" w:fill="auto"/>
            <w:noWrap w:val="0"/>
            <w:vAlign w:val="center"/>
          </w:tcPr>
          <w:p w14:paraId="27A55F18">
            <w:pPr>
              <w:pStyle w:val="78"/>
              <w:bidi w:val="0"/>
              <w:rPr>
                <w:rFonts w:hint="eastAsia"/>
                <w:color w:val="FF0000"/>
                <w:sz w:val="21"/>
                <w:szCs w:val="21"/>
                <w:highlight w:val="none"/>
                <w:lang w:val="en-US" w:eastAsia="zh-CN"/>
              </w:rPr>
            </w:pPr>
          </w:p>
        </w:tc>
        <w:tc>
          <w:tcPr>
            <w:tcW w:w="426" w:type="pct"/>
            <w:shd w:val="clear" w:color="auto" w:fill="auto"/>
            <w:noWrap w:val="0"/>
            <w:vAlign w:val="center"/>
          </w:tcPr>
          <w:p w14:paraId="4EFBC9F1">
            <w:pPr>
              <w:bidi w:val="0"/>
              <w:jc w:val="center"/>
              <w:rPr>
                <w:rFonts w:hint="eastAsia"/>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48DA7A98">
            <w:pPr>
              <w:pStyle w:val="78"/>
              <w:bidi w:val="0"/>
              <w:rPr>
                <w:rFonts w:hint="eastAsia"/>
                <w:color w:val="auto"/>
                <w:sz w:val="21"/>
                <w:szCs w:val="21"/>
                <w:highlight w:val="none"/>
                <w:lang w:val="en-US" w:eastAsia="zh-CN"/>
              </w:rPr>
            </w:pPr>
            <w:r>
              <w:rPr>
                <w:rFonts w:hint="eastAsia"/>
                <w:color w:val="auto"/>
                <w:sz w:val="21"/>
                <w:szCs w:val="21"/>
                <w:highlight w:val="none"/>
                <w:lang w:val="en-US" w:eastAsia="zh-CN"/>
              </w:rPr>
              <w:t>14.4</w:t>
            </w:r>
          </w:p>
        </w:tc>
        <w:tc>
          <w:tcPr>
            <w:tcW w:w="302" w:type="pct"/>
            <w:vMerge w:val="continue"/>
            <w:shd w:val="clear" w:color="auto" w:fill="auto"/>
            <w:noWrap w:val="0"/>
            <w:vAlign w:val="center"/>
          </w:tcPr>
          <w:p w14:paraId="76FA82FE">
            <w:pPr>
              <w:pStyle w:val="78"/>
              <w:bidi w:val="0"/>
              <w:rPr>
                <w:rFonts w:hint="eastAsia"/>
                <w:color w:val="FF0000"/>
                <w:sz w:val="21"/>
                <w:szCs w:val="21"/>
                <w:highlight w:val="none"/>
              </w:rPr>
            </w:pPr>
          </w:p>
        </w:tc>
      </w:tr>
      <w:tr w14:paraId="024E105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43095558">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223058EB">
            <w:pPr>
              <w:bidi w:val="0"/>
              <w:jc w:val="center"/>
              <w:rPr>
                <w:rFonts w:hint="eastAsia"/>
                <w:color w:val="auto"/>
                <w:sz w:val="21"/>
                <w:szCs w:val="21"/>
                <w:highlight w:val="none"/>
              </w:rPr>
            </w:pPr>
            <w:r>
              <w:rPr>
                <w:rFonts w:hint="eastAsia"/>
                <w:color w:val="auto"/>
                <w:sz w:val="21"/>
                <w:szCs w:val="21"/>
                <w:highlight w:val="none"/>
                <w:lang w:val="en-US" w:eastAsia="zh-CN"/>
              </w:rPr>
              <w:t>缝纫机</w:t>
            </w:r>
          </w:p>
        </w:tc>
        <w:tc>
          <w:tcPr>
            <w:tcW w:w="492" w:type="pct"/>
            <w:shd w:val="clear" w:color="auto" w:fill="auto"/>
            <w:noWrap w:val="0"/>
            <w:vAlign w:val="center"/>
          </w:tcPr>
          <w:p w14:paraId="491F0475">
            <w:pPr>
              <w:pStyle w:val="78"/>
              <w:bidi w:val="0"/>
              <w:rPr>
                <w:rFonts w:hint="eastAsia"/>
                <w:color w:val="auto"/>
                <w:sz w:val="21"/>
                <w:szCs w:val="21"/>
                <w:highlight w:val="none"/>
                <w:lang w:val="en-US" w:eastAsia="zh-CN"/>
              </w:rPr>
            </w:pPr>
            <w:r>
              <w:rPr>
                <w:rFonts w:hint="eastAsia"/>
                <w:color w:val="auto"/>
                <w:sz w:val="21"/>
                <w:szCs w:val="21"/>
                <w:highlight w:val="none"/>
                <w:lang w:val="en-US" w:eastAsia="zh-CN"/>
              </w:rPr>
              <w:t>75</w:t>
            </w:r>
          </w:p>
        </w:tc>
        <w:tc>
          <w:tcPr>
            <w:tcW w:w="360" w:type="pct"/>
            <w:vMerge w:val="continue"/>
            <w:shd w:val="clear" w:color="auto" w:fill="auto"/>
            <w:noWrap w:val="0"/>
            <w:vAlign w:val="center"/>
          </w:tcPr>
          <w:p w14:paraId="78B1E543">
            <w:pPr>
              <w:pStyle w:val="78"/>
              <w:bidi w:val="0"/>
              <w:rPr>
                <w:rFonts w:hint="eastAsia"/>
                <w:color w:val="auto"/>
                <w:sz w:val="21"/>
                <w:szCs w:val="21"/>
                <w:highlight w:val="none"/>
              </w:rPr>
            </w:pPr>
          </w:p>
        </w:tc>
        <w:tc>
          <w:tcPr>
            <w:tcW w:w="396" w:type="pct"/>
            <w:shd w:val="clear" w:color="auto" w:fill="auto"/>
            <w:noWrap w:val="0"/>
            <w:vAlign w:val="center"/>
          </w:tcPr>
          <w:p w14:paraId="0FAAC55C">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20</w:t>
            </w:r>
          </w:p>
        </w:tc>
        <w:tc>
          <w:tcPr>
            <w:tcW w:w="350" w:type="pct"/>
            <w:shd w:val="clear" w:color="auto" w:fill="auto"/>
            <w:noWrap w:val="0"/>
            <w:vAlign w:val="center"/>
          </w:tcPr>
          <w:p w14:paraId="72618AEA">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24</w:t>
            </w:r>
          </w:p>
        </w:tc>
        <w:tc>
          <w:tcPr>
            <w:tcW w:w="348" w:type="pct"/>
            <w:shd w:val="clear" w:color="auto" w:fill="auto"/>
            <w:noWrap w:val="0"/>
            <w:vAlign w:val="center"/>
          </w:tcPr>
          <w:p w14:paraId="19E79EB5">
            <w:pPr>
              <w:bidi w:val="0"/>
              <w:jc w:val="center"/>
              <w:rPr>
                <w:rFonts w:hint="eastAsia"/>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3A852E0B">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20</w:t>
            </w:r>
          </w:p>
        </w:tc>
        <w:tc>
          <w:tcPr>
            <w:tcW w:w="491" w:type="pct"/>
            <w:shd w:val="clear" w:color="auto" w:fill="auto"/>
            <w:noWrap w:val="0"/>
            <w:vAlign w:val="center"/>
          </w:tcPr>
          <w:p w14:paraId="522659EE">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38</w:t>
            </w:r>
          </w:p>
        </w:tc>
        <w:tc>
          <w:tcPr>
            <w:tcW w:w="237" w:type="pct"/>
            <w:vMerge w:val="continue"/>
            <w:shd w:val="clear" w:color="auto" w:fill="auto"/>
            <w:noWrap w:val="0"/>
            <w:vAlign w:val="center"/>
          </w:tcPr>
          <w:p w14:paraId="697E170F">
            <w:pPr>
              <w:pStyle w:val="78"/>
              <w:bidi w:val="0"/>
              <w:rPr>
                <w:rFonts w:hint="eastAsia"/>
                <w:color w:val="FF0000"/>
                <w:sz w:val="21"/>
                <w:szCs w:val="21"/>
                <w:highlight w:val="none"/>
                <w:lang w:val="en-US" w:eastAsia="zh-CN"/>
              </w:rPr>
            </w:pPr>
          </w:p>
        </w:tc>
        <w:tc>
          <w:tcPr>
            <w:tcW w:w="426" w:type="pct"/>
            <w:shd w:val="clear" w:color="auto" w:fill="auto"/>
            <w:noWrap w:val="0"/>
            <w:vAlign w:val="center"/>
          </w:tcPr>
          <w:p w14:paraId="339EF390">
            <w:pPr>
              <w:bidi w:val="0"/>
              <w:jc w:val="center"/>
              <w:rPr>
                <w:rFonts w:hint="eastAsia"/>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75BA505D">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12</w:t>
            </w:r>
          </w:p>
        </w:tc>
        <w:tc>
          <w:tcPr>
            <w:tcW w:w="302" w:type="pct"/>
            <w:vMerge w:val="continue"/>
            <w:shd w:val="clear" w:color="auto" w:fill="auto"/>
            <w:noWrap w:val="0"/>
            <w:vAlign w:val="center"/>
          </w:tcPr>
          <w:p w14:paraId="581A7693">
            <w:pPr>
              <w:pStyle w:val="78"/>
              <w:bidi w:val="0"/>
              <w:rPr>
                <w:rFonts w:hint="eastAsia"/>
                <w:color w:val="FF0000"/>
                <w:sz w:val="21"/>
                <w:szCs w:val="21"/>
                <w:highlight w:val="none"/>
              </w:rPr>
            </w:pPr>
          </w:p>
        </w:tc>
      </w:tr>
      <w:tr w14:paraId="50C39F0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1C4DF630">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7445CAB1">
            <w:pPr>
              <w:bidi w:val="0"/>
              <w:jc w:val="center"/>
              <w:rPr>
                <w:rFonts w:hint="eastAsia"/>
                <w:color w:val="auto"/>
                <w:sz w:val="21"/>
                <w:szCs w:val="21"/>
                <w:highlight w:val="none"/>
              </w:rPr>
            </w:pPr>
            <w:r>
              <w:rPr>
                <w:rFonts w:hint="eastAsia"/>
                <w:color w:val="auto"/>
                <w:sz w:val="21"/>
                <w:szCs w:val="21"/>
                <w:highlight w:val="none"/>
                <w:lang w:val="en-US" w:eastAsia="zh-CN"/>
              </w:rPr>
              <w:t>缝纫机</w:t>
            </w:r>
          </w:p>
        </w:tc>
        <w:tc>
          <w:tcPr>
            <w:tcW w:w="492" w:type="pct"/>
            <w:shd w:val="clear" w:color="auto" w:fill="auto"/>
            <w:noWrap w:val="0"/>
            <w:vAlign w:val="center"/>
          </w:tcPr>
          <w:p w14:paraId="10390849">
            <w:pPr>
              <w:pStyle w:val="78"/>
              <w:bidi w:val="0"/>
              <w:rPr>
                <w:rFonts w:hint="eastAsia"/>
                <w:color w:val="auto"/>
                <w:sz w:val="21"/>
                <w:szCs w:val="21"/>
                <w:highlight w:val="none"/>
                <w:lang w:val="en-US" w:eastAsia="zh-CN"/>
              </w:rPr>
            </w:pPr>
            <w:r>
              <w:rPr>
                <w:rFonts w:hint="eastAsia"/>
                <w:color w:val="auto"/>
                <w:sz w:val="21"/>
                <w:szCs w:val="21"/>
                <w:highlight w:val="none"/>
                <w:lang w:val="en-US" w:eastAsia="zh-CN"/>
              </w:rPr>
              <w:t>75</w:t>
            </w:r>
          </w:p>
        </w:tc>
        <w:tc>
          <w:tcPr>
            <w:tcW w:w="360" w:type="pct"/>
            <w:vMerge w:val="continue"/>
            <w:shd w:val="clear" w:color="auto" w:fill="auto"/>
            <w:noWrap w:val="0"/>
            <w:vAlign w:val="center"/>
          </w:tcPr>
          <w:p w14:paraId="510F089C">
            <w:pPr>
              <w:pStyle w:val="78"/>
              <w:bidi w:val="0"/>
              <w:rPr>
                <w:rFonts w:hint="eastAsia"/>
                <w:color w:val="auto"/>
                <w:sz w:val="21"/>
                <w:szCs w:val="21"/>
                <w:highlight w:val="none"/>
              </w:rPr>
            </w:pPr>
          </w:p>
        </w:tc>
        <w:tc>
          <w:tcPr>
            <w:tcW w:w="396" w:type="pct"/>
            <w:shd w:val="clear" w:color="auto" w:fill="auto"/>
            <w:noWrap w:val="0"/>
            <w:vAlign w:val="center"/>
          </w:tcPr>
          <w:p w14:paraId="36255F2E">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20</w:t>
            </w:r>
          </w:p>
        </w:tc>
        <w:tc>
          <w:tcPr>
            <w:tcW w:w="350" w:type="pct"/>
            <w:shd w:val="clear" w:color="auto" w:fill="auto"/>
            <w:noWrap w:val="0"/>
            <w:vAlign w:val="center"/>
          </w:tcPr>
          <w:p w14:paraId="310C2B05">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30</w:t>
            </w:r>
          </w:p>
        </w:tc>
        <w:tc>
          <w:tcPr>
            <w:tcW w:w="348" w:type="pct"/>
            <w:shd w:val="clear" w:color="auto" w:fill="auto"/>
            <w:noWrap w:val="0"/>
            <w:vAlign w:val="center"/>
          </w:tcPr>
          <w:p w14:paraId="12E8CF07">
            <w:pPr>
              <w:bidi w:val="0"/>
              <w:jc w:val="center"/>
              <w:rPr>
                <w:rFonts w:hint="eastAsia"/>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0CEF5E11">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491" w:type="pct"/>
            <w:shd w:val="clear" w:color="auto" w:fill="auto"/>
            <w:noWrap w:val="0"/>
            <w:vAlign w:val="center"/>
          </w:tcPr>
          <w:p w14:paraId="1828144E">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38</w:t>
            </w:r>
          </w:p>
        </w:tc>
        <w:tc>
          <w:tcPr>
            <w:tcW w:w="237" w:type="pct"/>
            <w:vMerge w:val="continue"/>
            <w:shd w:val="clear" w:color="auto" w:fill="auto"/>
            <w:noWrap w:val="0"/>
            <w:vAlign w:val="center"/>
          </w:tcPr>
          <w:p w14:paraId="415A4F55">
            <w:pPr>
              <w:pStyle w:val="78"/>
              <w:bidi w:val="0"/>
              <w:rPr>
                <w:rFonts w:hint="eastAsia"/>
                <w:color w:val="FF0000"/>
                <w:sz w:val="21"/>
                <w:szCs w:val="21"/>
                <w:highlight w:val="none"/>
                <w:lang w:val="en-US" w:eastAsia="zh-CN"/>
              </w:rPr>
            </w:pPr>
          </w:p>
        </w:tc>
        <w:tc>
          <w:tcPr>
            <w:tcW w:w="426" w:type="pct"/>
            <w:shd w:val="clear" w:color="auto" w:fill="auto"/>
            <w:noWrap w:val="0"/>
            <w:vAlign w:val="center"/>
          </w:tcPr>
          <w:p w14:paraId="72F506BC">
            <w:pPr>
              <w:bidi w:val="0"/>
              <w:jc w:val="center"/>
              <w:rPr>
                <w:rFonts w:hint="eastAsia"/>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16514483">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12</w:t>
            </w:r>
          </w:p>
        </w:tc>
        <w:tc>
          <w:tcPr>
            <w:tcW w:w="302" w:type="pct"/>
            <w:vMerge w:val="continue"/>
            <w:shd w:val="clear" w:color="auto" w:fill="auto"/>
            <w:noWrap w:val="0"/>
            <w:vAlign w:val="center"/>
          </w:tcPr>
          <w:p w14:paraId="796229C4">
            <w:pPr>
              <w:pStyle w:val="78"/>
              <w:bidi w:val="0"/>
              <w:rPr>
                <w:rFonts w:hint="eastAsia"/>
                <w:color w:val="FF0000"/>
                <w:sz w:val="21"/>
                <w:szCs w:val="21"/>
                <w:highlight w:val="none"/>
              </w:rPr>
            </w:pPr>
          </w:p>
        </w:tc>
      </w:tr>
      <w:tr w14:paraId="246F6F9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091CB336">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13CD92B9">
            <w:pPr>
              <w:bidi w:val="0"/>
              <w:jc w:val="center"/>
              <w:rPr>
                <w:rFonts w:hint="eastAsia"/>
                <w:color w:val="auto"/>
                <w:sz w:val="21"/>
                <w:szCs w:val="21"/>
                <w:highlight w:val="none"/>
              </w:rPr>
            </w:pPr>
            <w:r>
              <w:rPr>
                <w:rFonts w:hint="eastAsia"/>
                <w:color w:val="auto"/>
                <w:sz w:val="21"/>
                <w:szCs w:val="21"/>
                <w:highlight w:val="none"/>
                <w:lang w:val="en-US" w:eastAsia="zh-CN"/>
              </w:rPr>
              <w:t>缝纫机</w:t>
            </w:r>
          </w:p>
        </w:tc>
        <w:tc>
          <w:tcPr>
            <w:tcW w:w="492" w:type="pct"/>
            <w:shd w:val="clear" w:color="auto" w:fill="auto"/>
            <w:noWrap w:val="0"/>
            <w:vAlign w:val="center"/>
          </w:tcPr>
          <w:p w14:paraId="50772277">
            <w:pPr>
              <w:pStyle w:val="78"/>
              <w:bidi w:val="0"/>
              <w:rPr>
                <w:rFonts w:hint="eastAsia"/>
                <w:color w:val="auto"/>
                <w:sz w:val="21"/>
                <w:szCs w:val="21"/>
                <w:highlight w:val="none"/>
                <w:lang w:val="en-US" w:eastAsia="zh-CN"/>
              </w:rPr>
            </w:pPr>
            <w:r>
              <w:rPr>
                <w:rFonts w:hint="eastAsia"/>
                <w:color w:val="auto"/>
                <w:sz w:val="21"/>
                <w:szCs w:val="21"/>
                <w:highlight w:val="none"/>
                <w:lang w:val="en-US" w:eastAsia="zh-CN"/>
              </w:rPr>
              <w:t>75</w:t>
            </w:r>
          </w:p>
        </w:tc>
        <w:tc>
          <w:tcPr>
            <w:tcW w:w="360" w:type="pct"/>
            <w:vMerge w:val="continue"/>
            <w:shd w:val="clear" w:color="auto" w:fill="auto"/>
            <w:noWrap w:val="0"/>
            <w:vAlign w:val="center"/>
          </w:tcPr>
          <w:p w14:paraId="0F74F285">
            <w:pPr>
              <w:pStyle w:val="78"/>
              <w:bidi w:val="0"/>
              <w:rPr>
                <w:rFonts w:hint="eastAsia"/>
                <w:color w:val="auto"/>
                <w:sz w:val="21"/>
                <w:szCs w:val="21"/>
                <w:highlight w:val="none"/>
              </w:rPr>
            </w:pPr>
          </w:p>
        </w:tc>
        <w:tc>
          <w:tcPr>
            <w:tcW w:w="396" w:type="pct"/>
            <w:shd w:val="clear" w:color="auto" w:fill="auto"/>
            <w:noWrap w:val="0"/>
            <w:vAlign w:val="center"/>
          </w:tcPr>
          <w:p w14:paraId="25816C93">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14D25F36">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24</w:t>
            </w:r>
          </w:p>
        </w:tc>
        <w:tc>
          <w:tcPr>
            <w:tcW w:w="348" w:type="pct"/>
            <w:shd w:val="clear" w:color="auto" w:fill="auto"/>
            <w:noWrap w:val="0"/>
            <w:vAlign w:val="center"/>
          </w:tcPr>
          <w:p w14:paraId="4B84A8D8">
            <w:pPr>
              <w:bidi w:val="0"/>
              <w:jc w:val="center"/>
              <w:rPr>
                <w:rFonts w:hint="eastAsia"/>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37D25F54">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491" w:type="pct"/>
            <w:shd w:val="clear" w:color="auto" w:fill="auto"/>
            <w:noWrap w:val="0"/>
            <w:vAlign w:val="center"/>
          </w:tcPr>
          <w:p w14:paraId="3B04D95F">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38</w:t>
            </w:r>
          </w:p>
        </w:tc>
        <w:tc>
          <w:tcPr>
            <w:tcW w:w="237" w:type="pct"/>
            <w:vMerge w:val="continue"/>
            <w:shd w:val="clear" w:color="auto" w:fill="auto"/>
            <w:noWrap w:val="0"/>
            <w:vAlign w:val="center"/>
          </w:tcPr>
          <w:p w14:paraId="3191909F">
            <w:pPr>
              <w:pStyle w:val="78"/>
              <w:bidi w:val="0"/>
              <w:rPr>
                <w:rFonts w:hint="eastAsia"/>
                <w:color w:val="FF0000"/>
                <w:sz w:val="21"/>
                <w:szCs w:val="21"/>
                <w:highlight w:val="none"/>
                <w:lang w:val="en-US" w:eastAsia="zh-CN"/>
              </w:rPr>
            </w:pPr>
          </w:p>
        </w:tc>
        <w:tc>
          <w:tcPr>
            <w:tcW w:w="426" w:type="pct"/>
            <w:shd w:val="clear" w:color="auto" w:fill="auto"/>
            <w:noWrap w:val="0"/>
            <w:vAlign w:val="center"/>
          </w:tcPr>
          <w:p w14:paraId="165A63D5">
            <w:pPr>
              <w:bidi w:val="0"/>
              <w:jc w:val="center"/>
              <w:rPr>
                <w:rFonts w:hint="eastAsia"/>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46AA9E18">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12</w:t>
            </w:r>
          </w:p>
        </w:tc>
        <w:tc>
          <w:tcPr>
            <w:tcW w:w="302" w:type="pct"/>
            <w:vMerge w:val="continue"/>
            <w:shd w:val="clear" w:color="auto" w:fill="auto"/>
            <w:noWrap w:val="0"/>
            <w:vAlign w:val="center"/>
          </w:tcPr>
          <w:p w14:paraId="76466D6B">
            <w:pPr>
              <w:pStyle w:val="78"/>
              <w:bidi w:val="0"/>
              <w:rPr>
                <w:rFonts w:hint="eastAsia"/>
                <w:color w:val="FF0000"/>
                <w:sz w:val="21"/>
                <w:szCs w:val="21"/>
                <w:highlight w:val="none"/>
              </w:rPr>
            </w:pPr>
          </w:p>
        </w:tc>
      </w:tr>
      <w:tr w14:paraId="0BE2E59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2289A82C">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534C4679">
            <w:pPr>
              <w:bidi w:val="0"/>
              <w:jc w:val="center"/>
              <w:rPr>
                <w:rFonts w:hint="eastAsia"/>
                <w:color w:val="auto"/>
                <w:sz w:val="21"/>
                <w:szCs w:val="21"/>
                <w:highlight w:val="none"/>
              </w:rPr>
            </w:pPr>
            <w:r>
              <w:rPr>
                <w:rFonts w:hint="eastAsia"/>
                <w:color w:val="auto"/>
                <w:sz w:val="21"/>
                <w:szCs w:val="21"/>
                <w:highlight w:val="none"/>
                <w:lang w:val="en-US" w:eastAsia="zh-CN"/>
              </w:rPr>
              <w:t>缝纫机</w:t>
            </w:r>
          </w:p>
        </w:tc>
        <w:tc>
          <w:tcPr>
            <w:tcW w:w="492" w:type="pct"/>
            <w:shd w:val="clear" w:color="auto" w:fill="auto"/>
            <w:noWrap w:val="0"/>
            <w:vAlign w:val="center"/>
          </w:tcPr>
          <w:p w14:paraId="4BC6FA2F">
            <w:pPr>
              <w:pStyle w:val="78"/>
              <w:bidi w:val="0"/>
              <w:rPr>
                <w:rFonts w:hint="eastAsia"/>
                <w:color w:val="auto"/>
                <w:sz w:val="21"/>
                <w:szCs w:val="21"/>
                <w:highlight w:val="none"/>
                <w:lang w:val="en-US" w:eastAsia="zh-CN"/>
              </w:rPr>
            </w:pPr>
            <w:r>
              <w:rPr>
                <w:rFonts w:hint="eastAsia"/>
                <w:color w:val="auto"/>
                <w:sz w:val="21"/>
                <w:szCs w:val="21"/>
                <w:highlight w:val="none"/>
                <w:lang w:val="en-US" w:eastAsia="zh-CN"/>
              </w:rPr>
              <w:t>75</w:t>
            </w:r>
          </w:p>
        </w:tc>
        <w:tc>
          <w:tcPr>
            <w:tcW w:w="360" w:type="pct"/>
            <w:vMerge w:val="continue"/>
            <w:shd w:val="clear" w:color="auto" w:fill="auto"/>
            <w:noWrap w:val="0"/>
            <w:vAlign w:val="center"/>
          </w:tcPr>
          <w:p w14:paraId="792D3571">
            <w:pPr>
              <w:pStyle w:val="78"/>
              <w:bidi w:val="0"/>
              <w:rPr>
                <w:rFonts w:hint="eastAsia"/>
                <w:color w:val="auto"/>
                <w:sz w:val="21"/>
                <w:szCs w:val="21"/>
                <w:highlight w:val="none"/>
              </w:rPr>
            </w:pPr>
          </w:p>
        </w:tc>
        <w:tc>
          <w:tcPr>
            <w:tcW w:w="396" w:type="pct"/>
            <w:shd w:val="clear" w:color="auto" w:fill="auto"/>
            <w:noWrap w:val="0"/>
            <w:vAlign w:val="center"/>
          </w:tcPr>
          <w:p w14:paraId="17DDD1C4">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690C3F7C">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30</w:t>
            </w:r>
          </w:p>
        </w:tc>
        <w:tc>
          <w:tcPr>
            <w:tcW w:w="348" w:type="pct"/>
            <w:shd w:val="clear" w:color="auto" w:fill="auto"/>
            <w:noWrap w:val="0"/>
            <w:vAlign w:val="center"/>
          </w:tcPr>
          <w:p w14:paraId="4BC96F8A">
            <w:pPr>
              <w:bidi w:val="0"/>
              <w:jc w:val="center"/>
              <w:rPr>
                <w:rFonts w:hint="eastAsia"/>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3990F24C">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491" w:type="pct"/>
            <w:shd w:val="clear" w:color="auto" w:fill="auto"/>
            <w:noWrap w:val="0"/>
            <w:vAlign w:val="center"/>
          </w:tcPr>
          <w:p w14:paraId="59FC76B6">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38</w:t>
            </w:r>
          </w:p>
        </w:tc>
        <w:tc>
          <w:tcPr>
            <w:tcW w:w="237" w:type="pct"/>
            <w:vMerge w:val="continue"/>
            <w:shd w:val="clear" w:color="auto" w:fill="auto"/>
            <w:noWrap w:val="0"/>
            <w:vAlign w:val="center"/>
          </w:tcPr>
          <w:p w14:paraId="3C0EF9B9">
            <w:pPr>
              <w:pStyle w:val="78"/>
              <w:bidi w:val="0"/>
              <w:rPr>
                <w:rFonts w:hint="eastAsia"/>
                <w:color w:val="FF0000"/>
                <w:sz w:val="21"/>
                <w:szCs w:val="21"/>
                <w:highlight w:val="none"/>
                <w:lang w:val="en-US" w:eastAsia="zh-CN"/>
              </w:rPr>
            </w:pPr>
          </w:p>
        </w:tc>
        <w:tc>
          <w:tcPr>
            <w:tcW w:w="426" w:type="pct"/>
            <w:shd w:val="clear" w:color="auto" w:fill="auto"/>
            <w:noWrap w:val="0"/>
            <w:vAlign w:val="center"/>
          </w:tcPr>
          <w:p w14:paraId="0FBDA1C8">
            <w:pPr>
              <w:bidi w:val="0"/>
              <w:jc w:val="center"/>
              <w:rPr>
                <w:rFonts w:hint="eastAsia"/>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4970AF7D">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12</w:t>
            </w:r>
          </w:p>
        </w:tc>
        <w:tc>
          <w:tcPr>
            <w:tcW w:w="302" w:type="pct"/>
            <w:vMerge w:val="continue"/>
            <w:shd w:val="clear" w:color="auto" w:fill="auto"/>
            <w:noWrap w:val="0"/>
            <w:vAlign w:val="center"/>
          </w:tcPr>
          <w:p w14:paraId="7F59479E">
            <w:pPr>
              <w:pStyle w:val="78"/>
              <w:bidi w:val="0"/>
              <w:rPr>
                <w:rFonts w:hint="eastAsia"/>
                <w:color w:val="FF0000"/>
                <w:sz w:val="21"/>
                <w:szCs w:val="21"/>
                <w:highlight w:val="none"/>
              </w:rPr>
            </w:pPr>
          </w:p>
        </w:tc>
      </w:tr>
      <w:tr w14:paraId="5660CA6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4E8B5C23">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00F0B828">
            <w:pPr>
              <w:bidi w:val="0"/>
              <w:jc w:val="center"/>
              <w:rPr>
                <w:rFonts w:hint="eastAsia"/>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热压机</w:t>
            </w:r>
          </w:p>
        </w:tc>
        <w:tc>
          <w:tcPr>
            <w:tcW w:w="492" w:type="pct"/>
            <w:shd w:val="clear" w:color="auto" w:fill="auto"/>
            <w:noWrap w:val="0"/>
            <w:vAlign w:val="center"/>
          </w:tcPr>
          <w:p w14:paraId="1A9ED583">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75</w:t>
            </w:r>
          </w:p>
        </w:tc>
        <w:tc>
          <w:tcPr>
            <w:tcW w:w="360" w:type="pct"/>
            <w:vMerge w:val="continue"/>
            <w:shd w:val="clear" w:color="auto" w:fill="auto"/>
            <w:noWrap w:val="0"/>
            <w:vAlign w:val="center"/>
          </w:tcPr>
          <w:p w14:paraId="0DCF262A">
            <w:pPr>
              <w:pStyle w:val="78"/>
              <w:bidi w:val="0"/>
              <w:rPr>
                <w:rFonts w:hint="eastAsia"/>
                <w:color w:val="auto"/>
                <w:sz w:val="21"/>
                <w:szCs w:val="21"/>
                <w:highlight w:val="none"/>
              </w:rPr>
            </w:pPr>
          </w:p>
        </w:tc>
        <w:tc>
          <w:tcPr>
            <w:tcW w:w="396" w:type="pct"/>
            <w:shd w:val="clear" w:color="auto" w:fill="auto"/>
            <w:noWrap w:val="0"/>
            <w:vAlign w:val="center"/>
          </w:tcPr>
          <w:p w14:paraId="575C76A4">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25</w:t>
            </w:r>
          </w:p>
        </w:tc>
        <w:tc>
          <w:tcPr>
            <w:tcW w:w="350" w:type="pct"/>
            <w:shd w:val="clear" w:color="auto" w:fill="auto"/>
            <w:noWrap w:val="0"/>
            <w:vAlign w:val="center"/>
          </w:tcPr>
          <w:p w14:paraId="68E3C03D">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26</w:t>
            </w:r>
          </w:p>
        </w:tc>
        <w:tc>
          <w:tcPr>
            <w:tcW w:w="348" w:type="pct"/>
            <w:shd w:val="clear" w:color="auto" w:fill="auto"/>
            <w:noWrap w:val="0"/>
            <w:vAlign w:val="center"/>
          </w:tcPr>
          <w:p w14:paraId="1AB88A12">
            <w:pPr>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738CC8CD">
            <w:pPr>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w:t>
            </w:r>
          </w:p>
        </w:tc>
        <w:tc>
          <w:tcPr>
            <w:tcW w:w="491" w:type="pct"/>
            <w:shd w:val="clear" w:color="auto" w:fill="auto"/>
            <w:noWrap w:val="0"/>
            <w:vAlign w:val="center"/>
          </w:tcPr>
          <w:p w14:paraId="5B00BFC0">
            <w:pPr>
              <w:pStyle w:val="78"/>
              <w:bidi w:val="0"/>
              <w:rPr>
                <w:rFonts w:hint="eastAsia"/>
                <w:color w:val="auto"/>
                <w:sz w:val="21"/>
                <w:szCs w:val="21"/>
                <w:highlight w:val="none"/>
                <w:lang w:val="en-US" w:eastAsia="zh-CN"/>
              </w:rPr>
            </w:pPr>
            <w:r>
              <w:rPr>
                <w:rFonts w:hint="eastAsia"/>
                <w:color w:val="auto"/>
                <w:sz w:val="21"/>
                <w:szCs w:val="21"/>
                <w:highlight w:val="none"/>
                <w:lang w:val="en-US" w:eastAsia="zh-CN"/>
              </w:rPr>
              <w:t>38</w:t>
            </w:r>
          </w:p>
        </w:tc>
        <w:tc>
          <w:tcPr>
            <w:tcW w:w="237" w:type="pct"/>
            <w:vMerge w:val="continue"/>
            <w:shd w:val="clear" w:color="auto" w:fill="auto"/>
            <w:noWrap w:val="0"/>
            <w:vAlign w:val="center"/>
          </w:tcPr>
          <w:p w14:paraId="7E708F22">
            <w:pPr>
              <w:pStyle w:val="78"/>
              <w:bidi w:val="0"/>
              <w:rPr>
                <w:rFonts w:hint="eastAsia"/>
                <w:color w:val="FF0000"/>
                <w:sz w:val="21"/>
                <w:szCs w:val="21"/>
                <w:highlight w:val="none"/>
                <w:lang w:val="en-US" w:eastAsia="zh-CN"/>
              </w:rPr>
            </w:pPr>
          </w:p>
        </w:tc>
        <w:tc>
          <w:tcPr>
            <w:tcW w:w="426" w:type="pct"/>
            <w:shd w:val="clear" w:color="auto" w:fill="auto"/>
            <w:noWrap w:val="0"/>
            <w:vAlign w:val="center"/>
          </w:tcPr>
          <w:p w14:paraId="4A73C6EC">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043BAF8F">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12</w:t>
            </w:r>
          </w:p>
        </w:tc>
        <w:tc>
          <w:tcPr>
            <w:tcW w:w="302" w:type="pct"/>
            <w:vMerge w:val="continue"/>
            <w:shd w:val="clear" w:color="auto" w:fill="auto"/>
            <w:noWrap w:val="0"/>
            <w:vAlign w:val="center"/>
          </w:tcPr>
          <w:p w14:paraId="4D12635D">
            <w:pPr>
              <w:pStyle w:val="78"/>
              <w:bidi w:val="0"/>
              <w:rPr>
                <w:rFonts w:hint="eastAsia"/>
                <w:color w:val="FF0000"/>
                <w:sz w:val="21"/>
                <w:szCs w:val="21"/>
                <w:highlight w:val="none"/>
              </w:rPr>
            </w:pPr>
          </w:p>
        </w:tc>
      </w:tr>
      <w:tr w14:paraId="6D7102F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3C69CA5B">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4DCBC114">
            <w:pPr>
              <w:bidi w:val="0"/>
              <w:jc w:val="center"/>
              <w:rPr>
                <w:rFonts w:hint="eastAsia"/>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热压机</w:t>
            </w:r>
          </w:p>
        </w:tc>
        <w:tc>
          <w:tcPr>
            <w:tcW w:w="492" w:type="pct"/>
            <w:shd w:val="clear" w:color="auto" w:fill="auto"/>
            <w:noWrap w:val="0"/>
            <w:vAlign w:val="center"/>
          </w:tcPr>
          <w:p w14:paraId="3D38A9A0">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75</w:t>
            </w:r>
          </w:p>
        </w:tc>
        <w:tc>
          <w:tcPr>
            <w:tcW w:w="360" w:type="pct"/>
            <w:vMerge w:val="continue"/>
            <w:shd w:val="clear" w:color="auto" w:fill="auto"/>
            <w:noWrap w:val="0"/>
            <w:vAlign w:val="center"/>
          </w:tcPr>
          <w:p w14:paraId="6D9DC27C">
            <w:pPr>
              <w:pStyle w:val="78"/>
              <w:bidi w:val="0"/>
              <w:rPr>
                <w:rFonts w:hint="eastAsia"/>
                <w:color w:val="auto"/>
                <w:sz w:val="21"/>
                <w:szCs w:val="21"/>
                <w:highlight w:val="none"/>
              </w:rPr>
            </w:pPr>
          </w:p>
        </w:tc>
        <w:tc>
          <w:tcPr>
            <w:tcW w:w="396" w:type="pct"/>
            <w:shd w:val="clear" w:color="auto" w:fill="auto"/>
            <w:noWrap w:val="0"/>
            <w:vAlign w:val="center"/>
          </w:tcPr>
          <w:p w14:paraId="2310B5C5">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25</w:t>
            </w:r>
          </w:p>
        </w:tc>
        <w:tc>
          <w:tcPr>
            <w:tcW w:w="350" w:type="pct"/>
            <w:shd w:val="clear" w:color="auto" w:fill="auto"/>
            <w:noWrap w:val="0"/>
            <w:vAlign w:val="center"/>
          </w:tcPr>
          <w:p w14:paraId="086F8118">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26</w:t>
            </w:r>
          </w:p>
        </w:tc>
        <w:tc>
          <w:tcPr>
            <w:tcW w:w="348" w:type="pct"/>
            <w:shd w:val="clear" w:color="auto" w:fill="auto"/>
            <w:noWrap w:val="0"/>
            <w:vAlign w:val="center"/>
          </w:tcPr>
          <w:p w14:paraId="7454680E">
            <w:pPr>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44C41C99">
            <w:pPr>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w:t>
            </w:r>
          </w:p>
        </w:tc>
        <w:tc>
          <w:tcPr>
            <w:tcW w:w="491" w:type="pct"/>
            <w:shd w:val="clear" w:color="auto" w:fill="auto"/>
            <w:noWrap w:val="0"/>
            <w:vAlign w:val="center"/>
          </w:tcPr>
          <w:p w14:paraId="0970A5F4">
            <w:pPr>
              <w:pStyle w:val="78"/>
              <w:bidi w:val="0"/>
              <w:rPr>
                <w:rFonts w:hint="eastAsia"/>
                <w:color w:val="auto"/>
                <w:sz w:val="21"/>
                <w:szCs w:val="21"/>
                <w:highlight w:val="none"/>
                <w:lang w:val="en-US" w:eastAsia="zh-CN"/>
              </w:rPr>
            </w:pPr>
            <w:r>
              <w:rPr>
                <w:rFonts w:hint="eastAsia"/>
                <w:color w:val="auto"/>
                <w:sz w:val="21"/>
                <w:szCs w:val="21"/>
                <w:highlight w:val="none"/>
                <w:lang w:val="en-US" w:eastAsia="zh-CN"/>
              </w:rPr>
              <w:t>38</w:t>
            </w:r>
          </w:p>
        </w:tc>
        <w:tc>
          <w:tcPr>
            <w:tcW w:w="237" w:type="pct"/>
            <w:vMerge w:val="continue"/>
            <w:shd w:val="clear" w:color="auto" w:fill="auto"/>
            <w:noWrap w:val="0"/>
            <w:vAlign w:val="center"/>
          </w:tcPr>
          <w:p w14:paraId="18E72EB3">
            <w:pPr>
              <w:pStyle w:val="78"/>
              <w:bidi w:val="0"/>
              <w:rPr>
                <w:rFonts w:hint="eastAsia"/>
                <w:color w:val="FF0000"/>
                <w:sz w:val="21"/>
                <w:szCs w:val="21"/>
                <w:highlight w:val="none"/>
                <w:lang w:val="en-US" w:eastAsia="zh-CN"/>
              </w:rPr>
            </w:pPr>
          </w:p>
        </w:tc>
        <w:tc>
          <w:tcPr>
            <w:tcW w:w="426" w:type="pct"/>
            <w:shd w:val="clear" w:color="auto" w:fill="auto"/>
            <w:noWrap w:val="0"/>
            <w:vAlign w:val="center"/>
          </w:tcPr>
          <w:p w14:paraId="3C37D011">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67A17C29">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12</w:t>
            </w:r>
          </w:p>
        </w:tc>
        <w:tc>
          <w:tcPr>
            <w:tcW w:w="302" w:type="pct"/>
            <w:vMerge w:val="continue"/>
            <w:shd w:val="clear" w:color="auto" w:fill="auto"/>
            <w:noWrap w:val="0"/>
            <w:vAlign w:val="center"/>
          </w:tcPr>
          <w:p w14:paraId="0C6FE558">
            <w:pPr>
              <w:pStyle w:val="78"/>
              <w:bidi w:val="0"/>
              <w:rPr>
                <w:rFonts w:hint="eastAsia"/>
                <w:color w:val="FF0000"/>
                <w:sz w:val="21"/>
                <w:szCs w:val="21"/>
                <w:highlight w:val="none"/>
              </w:rPr>
            </w:pPr>
          </w:p>
        </w:tc>
      </w:tr>
      <w:tr w14:paraId="6A67FEC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3CE121F9">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2E9EF24B">
            <w:pPr>
              <w:bidi w:val="0"/>
              <w:jc w:val="center"/>
              <w:rPr>
                <w:rFonts w:hint="default"/>
                <w:color w:val="auto"/>
                <w:sz w:val="21"/>
                <w:szCs w:val="21"/>
                <w:highlight w:val="none"/>
                <w:lang w:val="en-US" w:eastAsia="zh-CN"/>
              </w:rPr>
            </w:pPr>
            <w:r>
              <w:rPr>
                <w:rFonts w:hint="eastAsia"/>
                <w:color w:val="auto"/>
                <w:sz w:val="21"/>
                <w:szCs w:val="21"/>
                <w:highlight w:val="none"/>
                <w:lang w:val="en-US" w:eastAsia="zh-CN"/>
              </w:rPr>
              <w:t>发泡机</w:t>
            </w:r>
          </w:p>
        </w:tc>
        <w:tc>
          <w:tcPr>
            <w:tcW w:w="492" w:type="pct"/>
            <w:shd w:val="clear" w:color="auto" w:fill="auto"/>
            <w:noWrap w:val="0"/>
            <w:vAlign w:val="center"/>
          </w:tcPr>
          <w:p w14:paraId="15FAA2E4">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75</w:t>
            </w:r>
          </w:p>
        </w:tc>
        <w:tc>
          <w:tcPr>
            <w:tcW w:w="360" w:type="pct"/>
            <w:vMerge w:val="continue"/>
            <w:shd w:val="clear" w:color="auto" w:fill="auto"/>
            <w:noWrap w:val="0"/>
            <w:vAlign w:val="center"/>
          </w:tcPr>
          <w:p w14:paraId="4EE42191">
            <w:pPr>
              <w:pStyle w:val="78"/>
              <w:bidi w:val="0"/>
              <w:rPr>
                <w:rFonts w:hint="eastAsia"/>
                <w:color w:val="auto"/>
                <w:sz w:val="21"/>
                <w:szCs w:val="21"/>
                <w:highlight w:val="none"/>
              </w:rPr>
            </w:pPr>
          </w:p>
        </w:tc>
        <w:tc>
          <w:tcPr>
            <w:tcW w:w="396" w:type="pct"/>
            <w:shd w:val="clear" w:color="auto" w:fill="auto"/>
            <w:noWrap w:val="0"/>
            <w:vAlign w:val="center"/>
          </w:tcPr>
          <w:p w14:paraId="7BDC6655">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10</w:t>
            </w:r>
          </w:p>
        </w:tc>
        <w:tc>
          <w:tcPr>
            <w:tcW w:w="350" w:type="pct"/>
            <w:shd w:val="clear" w:color="auto" w:fill="auto"/>
            <w:noWrap w:val="0"/>
            <w:vAlign w:val="center"/>
          </w:tcPr>
          <w:p w14:paraId="7579DBD0">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60</w:t>
            </w:r>
          </w:p>
        </w:tc>
        <w:tc>
          <w:tcPr>
            <w:tcW w:w="348" w:type="pct"/>
            <w:shd w:val="clear" w:color="auto" w:fill="auto"/>
            <w:noWrap w:val="0"/>
            <w:vAlign w:val="center"/>
          </w:tcPr>
          <w:p w14:paraId="697C9C0E">
            <w:pPr>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11F61564">
            <w:pPr>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w:t>
            </w:r>
          </w:p>
        </w:tc>
        <w:tc>
          <w:tcPr>
            <w:tcW w:w="491" w:type="pct"/>
            <w:shd w:val="clear" w:color="auto" w:fill="auto"/>
            <w:noWrap w:val="0"/>
            <w:vAlign w:val="center"/>
          </w:tcPr>
          <w:p w14:paraId="5153C7F2">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64</w:t>
            </w:r>
          </w:p>
        </w:tc>
        <w:tc>
          <w:tcPr>
            <w:tcW w:w="237" w:type="pct"/>
            <w:vMerge w:val="continue"/>
            <w:shd w:val="clear" w:color="auto" w:fill="auto"/>
            <w:noWrap w:val="0"/>
            <w:vAlign w:val="center"/>
          </w:tcPr>
          <w:p w14:paraId="33249933">
            <w:pPr>
              <w:pStyle w:val="78"/>
              <w:bidi w:val="0"/>
              <w:rPr>
                <w:rFonts w:hint="eastAsia"/>
                <w:color w:val="FF0000"/>
                <w:sz w:val="21"/>
                <w:szCs w:val="21"/>
                <w:highlight w:val="none"/>
                <w:lang w:val="en-US" w:eastAsia="zh-CN"/>
              </w:rPr>
            </w:pPr>
          </w:p>
        </w:tc>
        <w:tc>
          <w:tcPr>
            <w:tcW w:w="426" w:type="pct"/>
            <w:shd w:val="clear" w:color="auto" w:fill="auto"/>
            <w:noWrap w:val="0"/>
            <w:vAlign w:val="center"/>
          </w:tcPr>
          <w:p w14:paraId="1751730E">
            <w:pPr>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0CA403F4">
            <w:pPr>
              <w:pStyle w:val="78"/>
              <w:bidi w:val="0"/>
              <w:rPr>
                <w:rFonts w:hint="eastAsia"/>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38</w:t>
            </w:r>
          </w:p>
        </w:tc>
        <w:tc>
          <w:tcPr>
            <w:tcW w:w="302" w:type="pct"/>
            <w:vMerge w:val="continue"/>
            <w:shd w:val="clear" w:color="auto" w:fill="auto"/>
            <w:noWrap w:val="0"/>
            <w:vAlign w:val="center"/>
          </w:tcPr>
          <w:p w14:paraId="5FD67194">
            <w:pPr>
              <w:pStyle w:val="78"/>
              <w:bidi w:val="0"/>
              <w:rPr>
                <w:rFonts w:hint="eastAsia"/>
                <w:color w:val="FF0000"/>
                <w:sz w:val="21"/>
                <w:szCs w:val="21"/>
                <w:highlight w:val="none"/>
              </w:rPr>
            </w:pPr>
          </w:p>
        </w:tc>
      </w:tr>
      <w:tr w14:paraId="339F98F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1522058F">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081698BC">
            <w:pPr>
              <w:pStyle w:val="78"/>
              <w:bidi w:val="0"/>
              <w:rPr>
                <w:rFonts w:hint="default" w:eastAsia="宋体"/>
                <w:color w:val="auto"/>
                <w:sz w:val="21"/>
                <w:szCs w:val="21"/>
                <w:highlight w:val="none"/>
                <w:lang w:val="en-US" w:eastAsia="zh-CN"/>
              </w:rPr>
            </w:pPr>
            <w:r>
              <w:rPr>
                <w:rFonts w:hint="eastAsia"/>
                <w:color w:val="auto"/>
                <w:sz w:val="21"/>
                <w:szCs w:val="21"/>
                <w:highlight w:val="none"/>
                <w:lang w:val="en-US" w:eastAsia="zh-CN"/>
              </w:rPr>
              <w:t>烤炉</w:t>
            </w:r>
          </w:p>
        </w:tc>
        <w:tc>
          <w:tcPr>
            <w:tcW w:w="492" w:type="pct"/>
            <w:shd w:val="clear" w:color="auto" w:fill="auto"/>
            <w:noWrap w:val="0"/>
            <w:vAlign w:val="center"/>
          </w:tcPr>
          <w:p w14:paraId="4082CB5A">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70</w:t>
            </w:r>
          </w:p>
        </w:tc>
        <w:tc>
          <w:tcPr>
            <w:tcW w:w="360" w:type="pct"/>
            <w:vMerge w:val="continue"/>
            <w:shd w:val="clear" w:color="auto" w:fill="auto"/>
            <w:noWrap w:val="0"/>
            <w:vAlign w:val="center"/>
          </w:tcPr>
          <w:p w14:paraId="433F76C2">
            <w:pPr>
              <w:pStyle w:val="78"/>
              <w:bidi w:val="0"/>
              <w:rPr>
                <w:rFonts w:hint="eastAsia"/>
                <w:color w:val="auto"/>
                <w:sz w:val="21"/>
                <w:szCs w:val="21"/>
                <w:highlight w:val="none"/>
              </w:rPr>
            </w:pPr>
          </w:p>
        </w:tc>
        <w:tc>
          <w:tcPr>
            <w:tcW w:w="396" w:type="pct"/>
            <w:shd w:val="clear" w:color="auto" w:fill="auto"/>
            <w:noWrap w:val="0"/>
            <w:vAlign w:val="center"/>
          </w:tcPr>
          <w:p w14:paraId="7272FC1E">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10</w:t>
            </w:r>
          </w:p>
        </w:tc>
        <w:tc>
          <w:tcPr>
            <w:tcW w:w="350" w:type="pct"/>
            <w:shd w:val="clear" w:color="auto" w:fill="auto"/>
            <w:noWrap w:val="0"/>
            <w:vAlign w:val="center"/>
          </w:tcPr>
          <w:p w14:paraId="10A5BE0F">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24</w:t>
            </w:r>
          </w:p>
        </w:tc>
        <w:tc>
          <w:tcPr>
            <w:tcW w:w="348" w:type="pct"/>
            <w:shd w:val="clear" w:color="auto" w:fill="auto"/>
            <w:noWrap w:val="0"/>
            <w:vAlign w:val="center"/>
          </w:tcPr>
          <w:p w14:paraId="6CF6792A">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365" w:type="pct"/>
            <w:shd w:val="clear" w:color="auto" w:fill="auto"/>
            <w:noWrap w:val="0"/>
            <w:vAlign w:val="center"/>
          </w:tcPr>
          <w:p w14:paraId="08C8A8B7">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6</w:t>
            </w:r>
          </w:p>
        </w:tc>
        <w:tc>
          <w:tcPr>
            <w:tcW w:w="491" w:type="pct"/>
            <w:shd w:val="clear" w:color="auto" w:fill="auto"/>
            <w:noWrap w:val="0"/>
            <w:vAlign w:val="center"/>
          </w:tcPr>
          <w:p w14:paraId="42F39EE1">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43</w:t>
            </w:r>
          </w:p>
        </w:tc>
        <w:tc>
          <w:tcPr>
            <w:tcW w:w="237" w:type="pct"/>
            <w:vMerge w:val="continue"/>
            <w:shd w:val="clear" w:color="auto" w:fill="auto"/>
            <w:noWrap w:val="0"/>
            <w:vAlign w:val="center"/>
          </w:tcPr>
          <w:p w14:paraId="24DB2BA8">
            <w:pPr>
              <w:pStyle w:val="78"/>
              <w:bidi w:val="0"/>
              <w:rPr>
                <w:rFonts w:hint="eastAsia"/>
                <w:color w:val="auto"/>
                <w:sz w:val="21"/>
                <w:szCs w:val="21"/>
                <w:highlight w:val="none"/>
                <w:lang w:val="en-US" w:eastAsia="zh-CN"/>
              </w:rPr>
            </w:pPr>
          </w:p>
        </w:tc>
        <w:tc>
          <w:tcPr>
            <w:tcW w:w="426" w:type="pct"/>
            <w:shd w:val="clear" w:color="auto" w:fill="auto"/>
            <w:noWrap w:val="0"/>
            <w:vAlign w:val="center"/>
          </w:tcPr>
          <w:p w14:paraId="22C4EE01">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20</w:t>
            </w:r>
          </w:p>
        </w:tc>
        <w:tc>
          <w:tcPr>
            <w:tcW w:w="318" w:type="pct"/>
            <w:shd w:val="clear" w:color="auto" w:fill="auto"/>
            <w:noWrap w:val="0"/>
            <w:vAlign w:val="center"/>
          </w:tcPr>
          <w:p w14:paraId="7DB0FA2C">
            <w:pPr>
              <w:pStyle w:val="78"/>
              <w:bidi w:val="0"/>
              <w:rPr>
                <w:rFonts w:hint="default"/>
                <w:color w:val="auto"/>
                <w:sz w:val="21"/>
                <w:szCs w:val="21"/>
                <w:highlight w:val="none"/>
                <w:lang w:val="en-US" w:eastAsia="zh-CN"/>
              </w:rPr>
            </w:pPr>
            <w:r>
              <w:rPr>
                <w:rFonts w:hint="eastAsia"/>
                <w:color w:val="auto"/>
                <w:sz w:val="21"/>
                <w:szCs w:val="21"/>
                <w:highlight w:val="none"/>
                <w:lang w:val="en-US" w:eastAsia="zh-CN"/>
              </w:rPr>
              <w:t>17</w:t>
            </w:r>
          </w:p>
        </w:tc>
        <w:tc>
          <w:tcPr>
            <w:tcW w:w="302" w:type="pct"/>
            <w:vMerge w:val="continue"/>
            <w:shd w:val="clear" w:color="auto" w:fill="auto"/>
            <w:noWrap w:val="0"/>
            <w:vAlign w:val="center"/>
          </w:tcPr>
          <w:p w14:paraId="499BC2A5">
            <w:pPr>
              <w:pStyle w:val="78"/>
              <w:bidi w:val="0"/>
              <w:rPr>
                <w:rFonts w:hint="eastAsia"/>
                <w:color w:val="FF0000"/>
                <w:sz w:val="21"/>
                <w:szCs w:val="21"/>
                <w:highlight w:val="none"/>
              </w:rPr>
            </w:pPr>
          </w:p>
        </w:tc>
      </w:tr>
      <w:tr w14:paraId="414B4D3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36B9BEA3">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592EE7A7">
            <w:pPr>
              <w:pStyle w:val="78"/>
              <w:bidi w:val="0"/>
              <w:rPr>
                <w:rFonts w:hint="eastAsia" w:eastAsia="宋体"/>
                <w:color w:val="auto"/>
                <w:sz w:val="21"/>
                <w:szCs w:val="21"/>
                <w:highlight w:val="none"/>
                <w:lang w:val="en-US" w:eastAsia="zh-CN"/>
              </w:rPr>
            </w:pPr>
            <w:r>
              <w:rPr>
                <w:rFonts w:hint="eastAsia"/>
                <w:color w:val="auto"/>
                <w:sz w:val="21"/>
                <w:szCs w:val="21"/>
                <w:highlight w:val="none"/>
                <w:lang w:val="en-US" w:eastAsia="zh-CN"/>
              </w:rPr>
              <w:t>烤炉</w:t>
            </w:r>
          </w:p>
        </w:tc>
        <w:tc>
          <w:tcPr>
            <w:tcW w:w="492" w:type="pct"/>
            <w:shd w:val="clear" w:color="auto" w:fill="auto"/>
            <w:noWrap w:val="0"/>
            <w:vAlign w:val="center"/>
          </w:tcPr>
          <w:p w14:paraId="75B474A2">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70</w:t>
            </w:r>
          </w:p>
        </w:tc>
        <w:tc>
          <w:tcPr>
            <w:tcW w:w="360" w:type="pct"/>
            <w:vMerge w:val="continue"/>
            <w:shd w:val="clear" w:color="auto" w:fill="auto"/>
            <w:noWrap w:val="0"/>
            <w:vAlign w:val="center"/>
          </w:tcPr>
          <w:p w14:paraId="0C87159F">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7A267C48">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10</w:t>
            </w:r>
          </w:p>
        </w:tc>
        <w:tc>
          <w:tcPr>
            <w:tcW w:w="350" w:type="pct"/>
            <w:shd w:val="clear" w:color="auto" w:fill="auto"/>
            <w:noWrap w:val="0"/>
            <w:vAlign w:val="center"/>
          </w:tcPr>
          <w:p w14:paraId="03523528">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30</w:t>
            </w:r>
          </w:p>
        </w:tc>
        <w:tc>
          <w:tcPr>
            <w:tcW w:w="348" w:type="pct"/>
            <w:shd w:val="clear" w:color="auto" w:fill="auto"/>
            <w:noWrap w:val="0"/>
            <w:vAlign w:val="center"/>
          </w:tcPr>
          <w:p w14:paraId="59EBAA8B">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365" w:type="pct"/>
            <w:shd w:val="clear" w:color="auto" w:fill="auto"/>
            <w:noWrap w:val="0"/>
            <w:vAlign w:val="center"/>
          </w:tcPr>
          <w:p w14:paraId="07E7B7C5">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6</w:t>
            </w:r>
          </w:p>
        </w:tc>
        <w:tc>
          <w:tcPr>
            <w:tcW w:w="491" w:type="pct"/>
            <w:shd w:val="clear" w:color="auto" w:fill="auto"/>
            <w:noWrap w:val="0"/>
            <w:vAlign w:val="center"/>
          </w:tcPr>
          <w:p w14:paraId="689A43D4">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43</w:t>
            </w:r>
          </w:p>
        </w:tc>
        <w:tc>
          <w:tcPr>
            <w:tcW w:w="237" w:type="pct"/>
            <w:vMerge w:val="continue"/>
            <w:shd w:val="clear" w:color="auto" w:fill="auto"/>
            <w:noWrap w:val="0"/>
            <w:vAlign w:val="center"/>
          </w:tcPr>
          <w:p w14:paraId="14DD8F52">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678B91D8">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20</w:t>
            </w:r>
          </w:p>
        </w:tc>
        <w:tc>
          <w:tcPr>
            <w:tcW w:w="318" w:type="pct"/>
            <w:shd w:val="clear" w:color="auto" w:fill="auto"/>
            <w:noWrap w:val="0"/>
            <w:vAlign w:val="center"/>
          </w:tcPr>
          <w:p w14:paraId="40F1A5C7">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17</w:t>
            </w:r>
          </w:p>
        </w:tc>
        <w:tc>
          <w:tcPr>
            <w:tcW w:w="302" w:type="pct"/>
            <w:vMerge w:val="continue"/>
            <w:shd w:val="clear" w:color="auto" w:fill="auto"/>
            <w:noWrap w:val="0"/>
            <w:vAlign w:val="center"/>
          </w:tcPr>
          <w:p w14:paraId="78A64EBA">
            <w:pPr>
              <w:pStyle w:val="78"/>
              <w:bidi w:val="0"/>
              <w:ind w:firstLine="0" w:firstLineChars="0"/>
              <w:rPr>
                <w:rFonts w:hint="eastAsia"/>
                <w:color w:val="FF0000"/>
                <w:sz w:val="21"/>
                <w:szCs w:val="21"/>
                <w:highlight w:val="none"/>
              </w:rPr>
            </w:pPr>
          </w:p>
        </w:tc>
      </w:tr>
      <w:tr w14:paraId="2A6CE2A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36F9DC4B">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67088C85">
            <w:pPr>
              <w:bidi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喷涂设备</w:t>
            </w:r>
          </w:p>
        </w:tc>
        <w:tc>
          <w:tcPr>
            <w:tcW w:w="492" w:type="pct"/>
            <w:shd w:val="clear" w:color="auto" w:fill="auto"/>
            <w:noWrap w:val="0"/>
            <w:vAlign w:val="center"/>
          </w:tcPr>
          <w:p w14:paraId="2008F14A">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80</w:t>
            </w:r>
          </w:p>
        </w:tc>
        <w:tc>
          <w:tcPr>
            <w:tcW w:w="360" w:type="pct"/>
            <w:vMerge w:val="continue"/>
            <w:shd w:val="clear" w:color="auto" w:fill="auto"/>
            <w:noWrap w:val="0"/>
            <w:vAlign w:val="center"/>
          </w:tcPr>
          <w:p w14:paraId="6A47CB68">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336C2FAD">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8</w:t>
            </w:r>
          </w:p>
        </w:tc>
        <w:tc>
          <w:tcPr>
            <w:tcW w:w="350" w:type="pct"/>
            <w:shd w:val="clear" w:color="auto" w:fill="auto"/>
            <w:noWrap w:val="0"/>
            <w:vAlign w:val="center"/>
          </w:tcPr>
          <w:p w14:paraId="76932E5C">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348" w:type="pct"/>
            <w:shd w:val="clear" w:color="auto" w:fill="auto"/>
            <w:noWrap w:val="0"/>
            <w:vAlign w:val="center"/>
          </w:tcPr>
          <w:p w14:paraId="71A9DA4B">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7B126C66">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2.5</w:t>
            </w:r>
          </w:p>
        </w:tc>
        <w:tc>
          <w:tcPr>
            <w:tcW w:w="491" w:type="pct"/>
            <w:shd w:val="clear" w:color="auto" w:fill="auto"/>
            <w:noWrap w:val="0"/>
            <w:vAlign w:val="center"/>
          </w:tcPr>
          <w:p w14:paraId="1C2C419B">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61</w:t>
            </w:r>
          </w:p>
        </w:tc>
        <w:tc>
          <w:tcPr>
            <w:tcW w:w="237" w:type="pct"/>
            <w:vMerge w:val="continue"/>
            <w:shd w:val="clear" w:color="auto" w:fill="auto"/>
            <w:noWrap w:val="0"/>
            <w:vAlign w:val="center"/>
          </w:tcPr>
          <w:p w14:paraId="67C6B209">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2D3E16FD">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6A13B865">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35</w:t>
            </w:r>
          </w:p>
        </w:tc>
        <w:tc>
          <w:tcPr>
            <w:tcW w:w="302" w:type="pct"/>
            <w:vMerge w:val="continue"/>
            <w:shd w:val="clear" w:color="auto" w:fill="auto"/>
            <w:noWrap w:val="0"/>
            <w:vAlign w:val="center"/>
          </w:tcPr>
          <w:p w14:paraId="074A2178">
            <w:pPr>
              <w:pStyle w:val="78"/>
              <w:bidi w:val="0"/>
              <w:ind w:firstLine="0" w:firstLineChars="0"/>
              <w:rPr>
                <w:rFonts w:hint="eastAsia"/>
                <w:color w:val="FF0000"/>
                <w:sz w:val="21"/>
                <w:szCs w:val="21"/>
                <w:highlight w:val="none"/>
              </w:rPr>
            </w:pPr>
          </w:p>
        </w:tc>
      </w:tr>
      <w:tr w14:paraId="25BEA24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3E36CA19">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684EDF71">
            <w:pPr>
              <w:bidi w:val="0"/>
              <w:jc w:val="center"/>
              <w:rPr>
                <w:rFonts w:hint="default"/>
                <w:color w:val="auto"/>
                <w:sz w:val="21"/>
                <w:szCs w:val="21"/>
                <w:highlight w:val="none"/>
                <w:lang w:val="en-US" w:eastAsia="zh-CN"/>
              </w:rPr>
            </w:pPr>
            <w:r>
              <w:rPr>
                <w:rFonts w:hint="eastAsia"/>
                <w:color w:val="auto"/>
                <w:sz w:val="21"/>
                <w:szCs w:val="21"/>
                <w:highlight w:val="none"/>
                <w:lang w:val="en-US" w:eastAsia="zh-CN"/>
              </w:rPr>
              <w:t>喷涂设备</w:t>
            </w:r>
          </w:p>
        </w:tc>
        <w:tc>
          <w:tcPr>
            <w:tcW w:w="492" w:type="pct"/>
            <w:shd w:val="clear" w:color="auto" w:fill="auto"/>
            <w:noWrap w:val="0"/>
            <w:vAlign w:val="center"/>
          </w:tcPr>
          <w:p w14:paraId="7ECCF093">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30E90EA6">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4BCA9782">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15</w:t>
            </w:r>
          </w:p>
        </w:tc>
        <w:tc>
          <w:tcPr>
            <w:tcW w:w="350" w:type="pct"/>
            <w:shd w:val="clear" w:color="auto" w:fill="auto"/>
            <w:noWrap w:val="0"/>
            <w:vAlign w:val="center"/>
          </w:tcPr>
          <w:p w14:paraId="702A2A48">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348" w:type="pct"/>
            <w:shd w:val="clear" w:color="auto" w:fill="auto"/>
            <w:noWrap w:val="0"/>
            <w:vAlign w:val="center"/>
          </w:tcPr>
          <w:p w14:paraId="24C2B321">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04223941">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w:t>
            </w:r>
          </w:p>
        </w:tc>
        <w:tc>
          <w:tcPr>
            <w:tcW w:w="491" w:type="pct"/>
            <w:shd w:val="clear" w:color="auto" w:fill="auto"/>
            <w:noWrap w:val="0"/>
            <w:vAlign w:val="center"/>
          </w:tcPr>
          <w:p w14:paraId="05EE3588">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61</w:t>
            </w:r>
          </w:p>
        </w:tc>
        <w:tc>
          <w:tcPr>
            <w:tcW w:w="237" w:type="pct"/>
            <w:vMerge w:val="continue"/>
            <w:shd w:val="clear" w:color="auto" w:fill="auto"/>
            <w:noWrap w:val="0"/>
            <w:vAlign w:val="center"/>
          </w:tcPr>
          <w:p w14:paraId="4A89D26A">
            <w:pPr>
              <w:pStyle w:val="78"/>
              <w:bidi w:val="0"/>
              <w:ind w:firstLine="0" w:firstLineChars="0"/>
              <w:rPr>
                <w:rFonts w:hint="default"/>
                <w:color w:val="auto"/>
                <w:sz w:val="21"/>
                <w:szCs w:val="21"/>
                <w:highlight w:val="none"/>
                <w:lang w:val="en-US" w:eastAsia="zh-CN"/>
              </w:rPr>
            </w:pPr>
          </w:p>
        </w:tc>
        <w:tc>
          <w:tcPr>
            <w:tcW w:w="426" w:type="pct"/>
            <w:shd w:val="clear" w:color="auto" w:fill="auto"/>
            <w:noWrap w:val="0"/>
            <w:vAlign w:val="center"/>
          </w:tcPr>
          <w:p w14:paraId="24B52C1B">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61F7B953">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w:t>
            </w:r>
          </w:p>
        </w:tc>
        <w:tc>
          <w:tcPr>
            <w:tcW w:w="302" w:type="pct"/>
            <w:vMerge w:val="continue"/>
            <w:shd w:val="clear" w:color="auto" w:fill="auto"/>
            <w:noWrap w:val="0"/>
            <w:vAlign w:val="center"/>
          </w:tcPr>
          <w:p w14:paraId="04794D5F">
            <w:pPr>
              <w:pStyle w:val="78"/>
              <w:bidi w:val="0"/>
              <w:ind w:firstLine="0" w:firstLineChars="0"/>
              <w:rPr>
                <w:rFonts w:hint="eastAsia"/>
                <w:color w:val="FF0000"/>
                <w:sz w:val="21"/>
                <w:szCs w:val="21"/>
                <w:highlight w:val="none"/>
              </w:rPr>
            </w:pPr>
          </w:p>
        </w:tc>
      </w:tr>
      <w:tr w14:paraId="0231891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5C72AEFB">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64D1944C">
            <w:pPr>
              <w:bidi w:val="0"/>
              <w:jc w:val="center"/>
              <w:rPr>
                <w:rFonts w:hint="default"/>
                <w:color w:val="auto"/>
                <w:sz w:val="21"/>
                <w:szCs w:val="21"/>
                <w:highlight w:val="none"/>
                <w:lang w:val="en-US" w:eastAsia="zh-CN"/>
              </w:rPr>
            </w:pPr>
            <w:r>
              <w:rPr>
                <w:rFonts w:hint="eastAsia"/>
                <w:color w:val="auto"/>
                <w:sz w:val="21"/>
                <w:szCs w:val="21"/>
                <w:highlight w:val="none"/>
                <w:lang w:val="en-US" w:eastAsia="zh-CN"/>
              </w:rPr>
              <w:t>喷涂设备</w:t>
            </w:r>
          </w:p>
        </w:tc>
        <w:tc>
          <w:tcPr>
            <w:tcW w:w="492" w:type="pct"/>
            <w:shd w:val="clear" w:color="auto" w:fill="auto"/>
            <w:noWrap w:val="0"/>
            <w:vAlign w:val="center"/>
          </w:tcPr>
          <w:p w14:paraId="0095C69D">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289650E1">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53630956">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25</w:t>
            </w:r>
          </w:p>
        </w:tc>
        <w:tc>
          <w:tcPr>
            <w:tcW w:w="350" w:type="pct"/>
            <w:shd w:val="clear" w:color="auto" w:fill="auto"/>
            <w:noWrap w:val="0"/>
            <w:vAlign w:val="center"/>
          </w:tcPr>
          <w:p w14:paraId="33DC336A">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70</w:t>
            </w:r>
          </w:p>
        </w:tc>
        <w:tc>
          <w:tcPr>
            <w:tcW w:w="348" w:type="pct"/>
            <w:shd w:val="clear" w:color="auto" w:fill="auto"/>
            <w:noWrap w:val="0"/>
            <w:vAlign w:val="center"/>
          </w:tcPr>
          <w:p w14:paraId="29DB51FF">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1DB19EE0">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w:t>
            </w:r>
          </w:p>
        </w:tc>
        <w:tc>
          <w:tcPr>
            <w:tcW w:w="491" w:type="pct"/>
            <w:shd w:val="clear" w:color="auto" w:fill="auto"/>
            <w:noWrap w:val="0"/>
            <w:vAlign w:val="center"/>
          </w:tcPr>
          <w:p w14:paraId="5812C429">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61</w:t>
            </w:r>
          </w:p>
        </w:tc>
        <w:tc>
          <w:tcPr>
            <w:tcW w:w="237" w:type="pct"/>
            <w:vMerge w:val="continue"/>
            <w:shd w:val="clear" w:color="auto" w:fill="auto"/>
            <w:noWrap w:val="0"/>
            <w:vAlign w:val="center"/>
          </w:tcPr>
          <w:p w14:paraId="0DD18BBE">
            <w:pPr>
              <w:pStyle w:val="78"/>
              <w:bidi w:val="0"/>
              <w:ind w:firstLine="0" w:firstLineChars="0"/>
              <w:rPr>
                <w:rFonts w:hint="default"/>
                <w:color w:val="auto"/>
                <w:sz w:val="21"/>
                <w:szCs w:val="21"/>
                <w:highlight w:val="none"/>
                <w:lang w:val="en-US" w:eastAsia="zh-CN"/>
              </w:rPr>
            </w:pPr>
          </w:p>
        </w:tc>
        <w:tc>
          <w:tcPr>
            <w:tcW w:w="426" w:type="pct"/>
            <w:shd w:val="clear" w:color="auto" w:fill="auto"/>
            <w:noWrap w:val="0"/>
            <w:vAlign w:val="center"/>
          </w:tcPr>
          <w:p w14:paraId="3463BE1E">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2C9A776B">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w:t>
            </w:r>
          </w:p>
        </w:tc>
        <w:tc>
          <w:tcPr>
            <w:tcW w:w="302" w:type="pct"/>
            <w:vMerge w:val="continue"/>
            <w:shd w:val="clear" w:color="auto" w:fill="auto"/>
            <w:noWrap w:val="0"/>
            <w:vAlign w:val="center"/>
          </w:tcPr>
          <w:p w14:paraId="0C17ACA3">
            <w:pPr>
              <w:pStyle w:val="78"/>
              <w:bidi w:val="0"/>
              <w:ind w:firstLine="0" w:firstLineChars="0"/>
              <w:rPr>
                <w:rFonts w:hint="eastAsia"/>
                <w:color w:val="FF0000"/>
                <w:sz w:val="21"/>
                <w:szCs w:val="21"/>
                <w:highlight w:val="none"/>
              </w:rPr>
            </w:pPr>
          </w:p>
        </w:tc>
      </w:tr>
      <w:tr w14:paraId="010BD88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5C0AE737">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7D244020">
            <w:pPr>
              <w:bidi w:val="0"/>
              <w:jc w:val="center"/>
              <w:rPr>
                <w:rFonts w:hint="default"/>
                <w:color w:val="auto"/>
                <w:sz w:val="21"/>
                <w:szCs w:val="21"/>
                <w:highlight w:val="none"/>
                <w:lang w:val="en-US" w:eastAsia="zh-CN"/>
              </w:rPr>
            </w:pPr>
            <w:r>
              <w:rPr>
                <w:rFonts w:hint="eastAsia"/>
                <w:color w:val="auto"/>
                <w:sz w:val="21"/>
                <w:szCs w:val="21"/>
                <w:highlight w:val="none"/>
                <w:lang w:val="en-US" w:eastAsia="zh-CN"/>
              </w:rPr>
              <w:t>喷涂设备</w:t>
            </w:r>
          </w:p>
        </w:tc>
        <w:tc>
          <w:tcPr>
            <w:tcW w:w="492" w:type="pct"/>
            <w:shd w:val="clear" w:color="auto" w:fill="auto"/>
            <w:noWrap w:val="0"/>
            <w:vAlign w:val="center"/>
          </w:tcPr>
          <w:p w14:paraId="69281492">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2C01B704">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7E031293">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05DA3B83">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348" w:type="pct"/>
            <w:shd w:val="clear" w:color="auto" w:fill="auto"/>
            <w:noWrap w:val="0"/>
            <w:vAlign w:val="center"/>
          </w:tcPr>
          <w:p w14:paraId="03D7FAD7">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05DD57D0">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w:t>
            </w:r>
          </w:p>
        </w:tc>
        <w:tc>
          <w:tcPr>
            <w:tcW w:w="491" w:type="pct"/>
            <w:shd w:val="clear" w:color="auto" w:fill="auto"/>
            <w:noWrap w:val="0"/>
            <w:vAlign w:val="center"/>
          </w:tcPr>
          <w:p w14:paraId="54FF0907">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61</w:t>
            </w:r>
          </w:p>
        </w:tc>
        <w:tc>
          <w:tcPr>
            <w:tcW w:w="237" w:type="pct"/>
            <w:vMerge w:val="continue"/>
            <w:shd w:val="clear" w:color="auto" w:fill="auto"/>
            <w:noWrap w:val="0"/>
            <w:vAlign w:val="center"/>
          </w:tcPr>
          <w:p w14:paraId="08439B88">
            <w:pPr>
              <w:pStyle w:val="78"/>
              <w:bidi w:val="0"/>
              <w:ind w:firstLine="0" w:firstLineChars="0"/>
              <w:rPr>
                <w:rFonts w:hint="default"/>
                <w:color w:val="auto"/>
                <w:sz w:val="21"/>
                <w:szCs w:val="21"/>
                <w:highlight w:val="none"/>
                <w:lang w:val="en-US" w:eastAsia="zh-CN"/>
              </w:rPr>
            </w:pPr>
          </w:p>
        </w:tc>
        <w:tc>
          <w:tcPr>
            <w:tcW w:w="426" w:type="pct"/>
            <w:shd w:val="clear" w:color="auto" w:fill="auto"/>
            <w:noWrap w:val="0"/>
            <w:vAlign w:val="center"/>
          </w:tcPr>
          <w:p w14:paraId="310BC851">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12AAE2B1">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w:t>
            </w:r>
          </w:p>
        </w:tc>
        <w:tc>
          <w:tcPr>
            <w:tcW w:w="302" w:type="pct"/>
            <w:vMerge w:val="continue"/>
            <w:shd w:val="clear" w:color="auto" w:fill="auto"/>
            <w:noWrap w:val="0"/>
            <w:vAlign w:val="center"/>
          </w:tcPr>
          <w:p w14:paraId="149717B6">
            <w:pPr>
              <w:pStyle w:val="78"/>
              <w:bidi w:val="0"/>
              <w:ind w:firstLine="0" w:firstLineChars="0"/>
              <w:rPr>
                <w:rFonts w:hint="eastAsia"/>
                <w:color w:val="FF0000"/>
                <w:sz w:val="21"/>
                <w:szCs w:val="21"/>
                <w:highlight w:val="none"/>
              </w:rPr>
            </w:pPr>
          </w:p>
        </w:tc>
      </w:tr>
      <w:tr w14:paraId="20740A5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66D6FC7D">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1A5E8373">
            <w:pPr>
              <w:bidi w:val="0"/>
              <w:jc w:val="center"/>
              <w:rPr>
                <w:rFonts w:hint="default"/>
                <w:color w:val="auto"/>
                <w:sz w:val="21"/>
                <w:szCs w:val="21"/>
                <w:highlight w:val="none"/>
                <w:lang w:val="en-US" w:eastAsia="zh-CN"/>
              </w:rPr>
            </w:pPr>
            <w:r>
              <w:rPr>
                <w:rFonts w:hint="eastAsia"/>
                <w:color w:val="auto"/>
                <w:sz w:val="21"/>
                <w:szCs w:val="21"/>
                <w:highlight w:val="none"/>
                <w:lang w:val="en-US" w:eastAsia="zh-CN"/>
              </w:rPr>
              <w:t>喷涂设备</w:t>
            </w:r>
          </w:p>
        </w:tc>
        <w:tc>
          <w:tcPr>
            <w:tcW w:w="492" w:type="pct"/>
            <w:shd w:val="clear" w:color="auto" w:fill="auto"/>
            <w:noWrap w:val="0"/>
            <w:vAlign w:val="center"/>
          </w:tcPr>
          <w:p w14:paraId="51801626">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6930C4FC">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2D1180CE">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40</w:t>
            </w:r>
          </w:p>
        </w:tc>
        <w:tc>
          <w:tcPr>
            <w:tcW w:w="350" w:type="pct"/>
            <w:shd w:val="clear" w:color="auto" w:fill="auto"/>
            <w:noWrap w:val="0"/>
            <w:vAlign w:val="center"/>
          </w:tcPr>
          <w:p w14:paraId="2FE12698">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53</w:t>
            </w:r>
          </w:p>
        </w:tc>
        <w:tc>
          <w:tcPr>
            <w:tcW w:w="348" w:type="pct"/>
            <w:shd w:val="clear" w:color="auto" w:fill="auto"/>
            <w:noWrap w:val="0"/>
            <w:vAlign w:val="center"/>
          </w:tcPr>
          <w:p w14:paraId="2ED62C03">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4CF9B808">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w:t>
            </w:r>
          </w:p>
        </w:tc>
        <w:tc>
          <w:tcPr>
            <w:tcW w:w="491" w:type="pct"/>
            <w:shd w:val="clear" w:color="auto" w:fill="auto"/>
            <w:noWrap w:val="0"/>
            <w:vAlign w:val="center"/>
          </w:tcPr>
          <w:p w14:paraId="4F474B60">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61</w:t>
            </w:r>
          </w:p>
        </w:tc>
        <w:tc>
          <w:tcPr>
            <w:tcW w:w="237" w:type="pct"/>
            <w:vMerge w:val="continue"/>
            <w:shd w:val="clear" w:color="auto" w:fill="auto"/>
            <w:noWrap w:val="0"/>
            <w:vAlign w:val="center"/>
          </w:tcPr>
          <w:p w14:paraId="692F4D6D">
            <w:pPr>
              <w:pStyle w:val="78"/>
              <w:bidi w:val="0"/>
              <w:ind w:firstLine="0" w:firstLineChars="0"/>
              <w:rPr>
                <w:rFonts w:hint="default"/>
                <w:color w:val="auto"/>
                <w:sz w:val="21"/>
                <w:szCs w:val="21"/>
                <w:highlight w:val="none"/>
                <w:lang w:val="en-US" w:eastAsia="zh-CN"/>
              </w:rPr>
            </w:pPr>
          </w:p>
        </w:tc>
        <w:tc>
          <w:tcPr>
            <w:tcW w:w="426" w:type="pct"/>
            <w:shd w:val="clear" w:color="auto" w:fill="auto"/>
            <w:noWrap w:val="0"/>
            <w:vAlign w:val="center"/>
          </w:tcPr>
          <w:p w14:paraId="4ECCEB12">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09B4A83A">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w:t>
            </w:r>
          </w:p>
        </w:tc>
        <w:tc>
          <w:tcPr>
            <w:tcW w:w="302" w:type="pct"/>
            <w:vMerge w:val="continue"/>
            <w:shd w:val="clear" w:color="auto" w:fill="auto"/>
            <w:noWrap w:val="0"/>
            <w:vAlign w:val="center"/>
          </w:tcPr>
          <w:p w14:paraId="7EAF7FFB">
            <w:pPr>
              <w:pStyle w:val="78"/>
              <w:bidi w:val="0"/>
              <w:ind w:firstLine="0" w:firstLineChars="0"/>
              <w:rPr>
                <w:rFonts w:hint="eastAsia"/>
                <w:color w:val="FF0000"/>
                <w:sz w:val="21"/>
                <w:szCs w:val="21"/>
                <w:highlight w:val="none"/>
              </w:rPr>
            </w:pPr>
          </w:p>
        </w:tc>
      </w:tr>
      <w:tr w14:paraId="4B0C2A0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339" w:type="pct"/>
            <w:vMerge w:val="continue"/>
            <w:shd w:val="clear" w:color="auto" w:fill="auto"/>
            <w:noWrap w:val="0"/>
            <w:vAlign w:val="center"/>
          </w:tcPr>
          <w:p w14:paraId="33E6F0C7">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67CC02E1">
            <w:pPr>
              <w:bidi w:val="0"/>
              <w:jc w:val="center"/>
              <w:rPr>
                <w:rFonts w:hint="default"/>
                <w:color w:val="auto"/>
                <w:sz w:val="21"/>
                <w:szCs w:val="21"/>
                <w:highlight w:val="none"/>
                <w:lang w:val="en-US" w:eastAsia="zh-CN"/>
              </w:rPr>
            </w:pPr>
            <w:r>
              <w:rPr>
                <w:rFonts w:hint="eastAsia"/>
                <w:color w:val="auto"/>
                <w:sz w:val="21"/>
                <w:szCs w:val="21"/>
                <w:highlight w:val="none"/>
                <w:lang w:val="en-US" w:eastAsia="zh-CN"/>
              </w:rPr>
              <w:t>喷涂设备</w:t>
            </w:r>
          </w:p>
        </w:tc>
        <w:tc>
          <w:tcPr>
            <w:tcW w:w="492" w:type="pct"/>
            <w:shd w:val="clear" w:color="auto" w:fill="auto"/>
            <w:noWrap w:val="0"/>
            <w:vAlign w:val="center"/>
          </w:tcPr>
          <w:p w14:paraId="2D2257C5">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28CCF78B">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39A82F8A">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40</w:t>
            </w:r>
          </w:p>
        </w:tc>
        <w:tc>
          <w:tcPr>
            <w:tcW w:w="350" w:type="pct"/>
            <w:shd w:val="clear" w:color="auto" w:fill="auto"/>
            <w:noWrap w:val="0"/>
            <w:vAlign w:val="center"/>
          </w:tcPr>
          <w:p w14:paraId="6CABA9F2">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60</w:t>
            </w:r>
          </w:p>
        </w:tc>
        <w:tc>
          <w:tcPr>
            <w:tcW w:w="348" w:type="pct"/>
            <w:shd w:val="clear" w:color="auto" w:fill="auto"/>
            <w:noWrap w:val="0"/>
            <w:vAlign w:val="center"/>
          </w:tcPr>
          <w:p w14:paraId="7FC3A3EF">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09704503">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w:t>
            </w:r>
          </w:p>
        </w:tc>
        <w:tc>
          <w:tcPr>
            <w:tcW w:w="491" w:type="pct"/>
            <w:shd w:val="clear" w:color="auto" w:fill="auto"/>
            <w:noWrap w:val="0"/>
            <w:vAlign w:val="center"/>
          </w:tcPr>
          <w:p w14:paraId="2E51B383">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61</w:t>
            </w:r>
          </w:p>
        </w:tc>
        <w:tc>
          <w:tcPr>
            <w:tcW w:w="237" w:type="pct"/>
            <w:vMerge w:val="continue"/>
            <w:shd w:val="clear" w:color="auto" w:fill="auto"/>
            <w:noWrap w:val="0"/>
            <w:vAlign w:val="center"/>
          </w:tcPr>
          <w:p w14:paraId="479F96C8">
            <w:pPr>
              <w:pStyle w:val="78"/>
              <w:bidi w:val="0"/>
              <w:ind w:firstLine="0" w:firstLineChars="0"/>
              <w:rPr>
                <w:rFonts w:hint="default"/>
                <w:color w:val="auto"/>
                <w:sz w:val="21"/>
                <w:szCs w:val="21"/>
                <w:highlight w:val="none"/>
                <w:lang w:val="en-US" w:eastAsia="zh-CN"/>
              </w:rPr>
            </w:pPr>
          </w:p>
        </w:tc>
        <w:tc>
          <w:tcPr>
            <w:tcW w:w="426" w:type="pct"/>
            <w:shd w:val="clear" w:color="auto" w:fill="auto"/>
            <w:noWrap w:val="0"/>
            <w:vAlign w:val="center"/>
          </w:tcPr>
          <w:p w14:paraId="754DA535">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5635BAE0">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w:t>
            </w:r>
          </w:p>
        </w:tc>
        <w:tc>
          <w:tcPr>
            <w:tcW w:w="302" w:type="pct"/>
            <w:vMerge w:val="continue"/>
            <w:shd w:val="clear" w:color="auto" w:fill="auto"/>
            <w:noWrap w:val="0"/>
            <w:vAlign w:val="center"/>
          </w:tcPr>
          <w:p w14:paraId="18943AE1">
            <w:pPr>
              <w:pStyle w:val="78"/>
              <w:bidi w:val="0"/>
              <w:ind w:firstLine="0" w:firstLineChars="0"/>
              <w:rPr>
                <w:rFonts w:hint="eastAsia"/>
                <w:color w:val="FF0000"/>
                <w:sz w:val="21"/>
                <w:szCs w:val="21"/>
                <w:highlight w:val="none"/>
              </w:rPr>
            </w:pPr>
          </w:p>
        </w:tc>
      </w:tr>
      <w:tr w14:paraId="5B2B736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4DB8401D">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32E41CC0">
            <w:pPr>
              <w:bidi w:val="0"/>
              <w:jc w:val="center"/>
              <w:rPr>
                <w:rFonts w:hint="default"/>
                <w:color w:val="auto"/>
                <w:sz w:val="21"/>
                <w:szCs w:val="21"/>
                <w:highlight w:val="none"/>
                <w:lang w:val="en-US" w:eastAsia="zh-CN"/>
              </w:rPr>
            </w:pPr>
            <w:r>
              <w:rPr>
                <w:rFonts w:hint="eastAsia"/>
                <w:color w:val="auto"/>
                <w:sz w:val="21"/>
                <w:szCs w:val="21"/>
                <w:highlight w:val="none"/>
                <w:lang w:val="en-US" w:eastAsia="zh-CN"/>
              </w:rPr>
              <w:t>喷涂设备</w:t>
            </w:r>
          </w:p>
        </w:tc>
        <w:tc>
          <w:tcPr>
            <w:tcW w:w="492" w:type="pct"/>
            <w:shd w:val="clear" w:color="auto" w:fill="auto"/>
            <w:noWrap w:val="0"/>
            <w:vAlign w:val="center"/>
          </w:tcPr>
          <w:p w14:paraId="0D9BB376">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56E451AF">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105485D2">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40</w:t>
            </w:r>
          </w:p>
        </w:tc>
        <w:tc>
          <w:tcPr>
            <w:tcW w:w="350" w:type="pct"/>
            <w:shd w:val="clear" w:color="auto" w:fill="auto"/>
            <w:noWrap w:val="0"/>
            <w:vAlign w:val="center"/>
          </w:tcPr>
          <w:p w14:paraId="7E64FD4B">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72</w:t>
            </w:r>
          </w:p>
        </w:tc>
        <w:tc>
          <w:tcPr>
            <w:tcW w:w="348" w:type="pct"/>
            <w:shd w:val="clear" w:color="auto" w:fill="auto"/>
            <w:noWrap w:val="0"/>
            <w:vAlign w:val="center"/>
          </w:tcPr>
          <w:p w14:paraId="4DC19C7C">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66475841">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w:t>
            </w:r>
          </w:p>
        </w:tc>
        <w:tc>
          <w:tcPr>
            <w:tcW w:w="491" w:type="pct"/>
            <w:shd w:val="clear" w:color="auto" w:fill="auto"/>
            <w:noWrap w:val="0"/>
            <w:vAlign w:val="center"/>
          </w:tcPr>
          <w:p w14:paraId="464C26A1">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61</w:t>
            </w:r>
          </w:p>
        </w:tc>
        <w:tc>
          <w:tcPr>
            <w:tcW w:w="237" w:type="pct"/>
            <w:vMerge w:val="continue"/>
            <w:shd w:val="clear" w:color="auto" w:fill="auto"/>
            <w:noWrap w:val="0"/>
            <w:vAlign w:val="center"/>
          </w:tcPr>
          <w:p w14:paraId="6239D32D">
            <w:pPr>
              <w:pStyle w:val="78"/>
              <w:bidi w:val="0"/>
              <w:ind w:firstLine="0" w:firstLineChars="0"/>
              <w:rPr>
                <w:rFonts w:hint="default"/>
                <w:color w:val="auto"/>
                <w:sz w:val="21"/>
                <w:szCs w:val="21"/>
                <w:highlight w:val="none"/>
                <w:lang w:val="en-US" w:eastAsia="zh-CN"/>
              </w:rPr>
            </w:pPr>
          </w:p>
        </w:tc>
        <w:tc>
          <w:tcPr>
            <w:tcW w:w="426" w:type="pct"/>
            <w:shd w:val="clear" w:color="auto" w:fill="auto"/>
            <w:noWrap w:val="0"/>
            <w:vAlign w:val="center"/>
          </w:tcPr>
          <w:p w14:paraId="05916AF1">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5B91E9B0">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w:t>
            </w:r>
          </w:p>
        </w:tc>
        <w:tc>
          <w:tcPr>
            <w:tcW w:w="302" w:type="pct"/>
            <w:vMerge w:val="continue"/>
            <w:shd w:val="clear" w:color="auto" w:fill="auto"/>
            <w:noWrap w:val="0"/>
            <w:vAlign w:val="center"/>
          </w:tcPr>
          <w:p w14:paraId="1CF34430">
            <w:pPr>
              <w:pStyle w:val="78"/>
              <w:bidi w:val="0"/>
              <w:ind w:firstLine="0" w:firstLineChars="0"/>
              <w:rPr>
                <w:rFonts w:hint="eastAsia"/>
                <w:color w:val="FF0000"/>
                <w:sz w:val="21"/>
                <w:szCs w:val="21"/>
                <w:highlight w:val="none"/>
              </w:rPr>
            </w:pPr>
          </w:p>
        </w:tc>
      </w:tr>
      <w:tr w14:paraId="5121017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7D3573B6">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13E8D3C3">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喷涂设备</w:t>
            </w:r>
          </w:p>
        </w:tc>
        <w:tc>
          <w:tcPr>
            <w:tcW w:w="492" w:type="pct"/>
            <w:shd w:val="clear" w:color="auto" w:fill="auto"/>
            <w:noWrap w:val="0"/>
            <w:vAlign w:val="center"/>
          </w:tcPr>
          <w:p w14:paraId="0BF281D7">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6AF80344">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7F31037F">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40</w:t>
            </w:r>
          </w:p>
        </w:tc>
        <w:tc>
          <w:tcPr>
            <w:tcW w:w="350" w:type="pct"/>
            <w:shd w:val="clear" w:color="auto" w:fill="auto"/>
            <w:noWrap w:val="0"/>
            <w:vAlign w:val="center"/>
          </w:tcPr>
          <w:p w14:paraId="61212E1F">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80</w:t>
            </w:r>
          </w:p>
        </w:tc>
        <w:tc>
          <w:tcPr>
            <w:tcW w:w="348" w:type="pct"/>
            <w:shd w:val="clear" w:color="auto" w:fill="auto"/>
            <w:noWrap w:val="0"/>
            <w:vAlign w:val="center"/>
          </w:tcPr>
          <w:p w14:paraId="6BE8B724">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663A29D3">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w:t>
            </w:r>
          </w:p>
        </w:tc>
        <w:tc>
          <w:tcPr>
            <w:tcW w:w="491" w:type="pct"/>
            <w:shd w:val="clear" w:color="auto" w:fill="auto"/>
            <w:noWrap w:val="0"/>
            <w:vAlign w:val="center"/>
          </w:tcPr>
          <w:p w14:paraId="66336D99">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61</w:t>
            </w:r>
          </w:p>
        </w:tc>
        <w:tc>
          <w:tcPr>
            <w:tcW w:w="237" w:type="pct"/>
            <w:vMerge w:val="continue"/>
            <w:shd w:val="clear" w:color="auto" w:fill="auto"/>
            <w:noWrap w:val="0"/>
            <w:vAlign w:val="center"/>
          </w:tcPr>
          <w:p w14:paraId="0E6D02B0">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48C035F7">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74A0B35A">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w:t>
            </w:r>
          </w:p>
        </w:tc>
        <w:tc>
          <w:tcPr>
            <w:tcW w:w="302" w:type="pct"/>
            <w:vMerge w:val="continue"/>
            <w:shd w:val="clear" w:color="auto" w:fill="auto"/>
            <w:noWrap w:val="0"/>
            <w:vAlign w:val="center"/>
          </w:tcPr>
          <w:p w14:paraId="7963765C">
            <w:pPr>
              <w:pStyle w:val="78"/>
              <w:bidi w:val="0"/>
              <w:ind w:firstLine="0" w:firstLineChars="0"/>
              <w:rPr>
                <w:rFonts w:hint="eastAsia"/>
                <w:color w:val="FF0000"/>
                <w:sz w:val="21"/>
                <w:szCs w:val="21"/>
                <w:highlight w:val="none"/>
              </w:rPr>
            </w:pPr>
          </w:p>
        </w:tc>
      </w:tr>
      <w:tr w14:paraId="78B1B8C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16E00828">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451339B2">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喷涂设备</w:t>
            </w:r>
          </w:p>
        </w:tc>
        <w:tc>
          <w:tcPr>
            <w:tcW w:w="492" w:type="pct"/>
            <w:shd w:val="clear" w:color="auto" w:fill="auto"/>
            <w:noWrap w:val="0"/>
            <w:vAlign w:val="center"/>
          </w:tcPr>
          <w:p w14:paraId="4508ECDD">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13459944">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507595A3">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350" w:type="pct"/>
            <w:shd w:val="clear" w:color="auto" w:fill="auto"/>
            <w:noWrap w:val="0"/>
            <w:vAlign w:val="center"/>
          </w:tcPr>
          <w:p w14:paraId="58EFDD44">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60</w:t>
            </w:r>
          </w:p>
        </w:tc>
        <w:tc>
          <w:tcPr>
            <w:tcW w:w="348" w:type="pct"/>
            <w:shd w:val="clear" w:color="auto" w:fill="auto"/>
            <w:noWrap w:val="0"/>
            <w:vAlign w:val="center"/>
          </w:tcPr>
          <w:p w14:paraId="4E3A8053">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4896216A">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w:t>
            </w:r>
          </w:p>
        </w:tc>
        <w:tc>
          <w:tcPr>
            <w:tcW w:w="491" w:type="pct"/>
            <w:shd w:val="clear" w:color="auto" w:fill="auto"/>
            <w:noWrap w:val="0"/>
            <w:vAlign w:val="center"/>
          </w:tcPr>
          <w:p w14:paraId="1AC8BB84">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61</w:t>
            </w:r>
          </w:p>
        </w:tc>
        <w:tc>
          <w:tcPr>
            <w:tcW w:w="237" w:type="pct"/>
            <w:vMerge w:val="continue"/>
            <w:shd w:val="clear" w:color="auto" w:fill="auto"/>
            <w:noWrap w:val="0"/>
            <w:vAlign w:val="center"/>
          </w:tcPr>
          <w:p w14:paraId="608772A5">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21F801E1">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5B1A912B">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w:t>
            </w:r>
          </w:p>
        </w:tc>
        <w:tc>
          <w:tcPr>
            <w:tcW w:w="302" w:type="pct"/>
            <w:vMerge w:val="continue"/>
            <w:shd w:val="clear" w:color="auto" w:fill="auto"/>
            <w:noWrap w:val="0"/>
            <w:vAlign w:val="center"/>
          </w:tcPr>
          <w:p w14:paraId="68682CCE">
            <w:pPr>
              <w:pStyle w:val="78"/>
              <w:bidi w:val="0"/>
              <w:ind w:firstLine="0" w:firstLineChars="0"/>
              <w:rPr>
                <w:rFonts w:hint="eastAsia"/>
                <w:color w:val="FF0000"/>
                <w:sz w:val="21"/>
                <w:szCs w:val="21"/>
                <w:highlight w:val="none"/>
              </w:rPr>
            </w:pPr>
          </w:p>
        </w:tc>
      </w:tr>
      <w:tr w14:paraId="35530B3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74817449">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4C7AAA31">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喷涂设备</w:t>
            </w:r>
          </w:p>
        </w:tc>
        <w:tc>
          <w:tcPr>
            <w:tcW w:w="492" w:type="pct"/>
            <w:shd w:val="clear" w:color="auto" w:fill="auto"/>
            <w:noWrap w:val="0"/>
            <w:vAlign w:val="center"/>
          </w:tcPr>
          <w:p w14:paraId="3A130837">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2BC8F51B">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7F45C63F">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350" w:type="pct"/>
            <w:shd w:val="clear" w:color="auto" w:fill="auto"/>
            <w:noWrap w:val="0"/>
            <w:vAlign w:val="center"/>
          </w:tcPr>
          <w:p w14:paraId="015663B3">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69</w:t>
            </w:r>
          </w:p>
        </w:tc>
        <w:tc>
          <w:tcPr>
            <w:tcW w:w="348" w:type="pct"/>
            <w:shd w:val="clear" w:color="auto" w:fill="auto"/>
            <w:noWrap w:val="0"/>
            <w:vAlign w:val="center"/>
          </w:tcPr>
          <w:p w14:paraId="2453AE79">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518D3ABE">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w:t>
            </w:r>
          </w:p>
        </w:tc>
        <w:tc>
          <w:tcPr>
            <w:tcW w:w="491" w:type="pct"/>
            <w:shd w:val="clear" w:color="auto" w:fill="auto"/>
            <w:noWrap w:val="0"/>
            <w:vAlign w:val="center"/>
          </w:tcPr>
          <w:p w14:paraId="5C5995E7">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61</w:t>
            </w:r>
          </w:p>
        </w:tc>
        <w:tc>
          <w:tcPr>
            <w:tcW w:w="237" w:type="pct"/>
            <w:vMerge w:val="continue"/>
            <w:shd w:val="clear" w:color="auto" w:fill="auto"/>
            <w:noWrap w:val="0"/>
            <w:vAlign w:val="center"/>
          </w:tcPr>
          <w:p w14:paraId="6AB45629">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069C0E37">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50479E95">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w:t>
            </w:r>
          </w:p>
        </w:tc>
        <w:tc>
          <w:tcPr>
            <w:tcW w:w="302" w:type="pct"/>
            <w:vMerge w:val="continue"/>
            <w:shd w:val="clear" w:color="auto" w:fill="auto"/>
            <w:noWrap w:val="0"/>
            <w:vAlign w:val="center"/>
          </w:tcPr>
          <w:p w14:paraId="3717B474">
            <w:pPr>
              <w:pStyle w:val="78"/>
              <w:bidi w:val="0"/>
              <w:ind w:firstLine="0" w:firstLineChars="0"/>
              <w:rPr>
                <w:rFonts w:hint="eastAsia"/>
                <w:color w:val="FF0000"/>
                <w:sz w:val="21"/>
                <w:szCs w:val="21"/>
                <w:highlight w:val="none"/>
              </w:rPr>
            </w:pPr>
          </w:p>
        </w:tc>
      </w:tr>
      <w:tr w14:paraId="468050B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30FB2ABD">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2754AF9D">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喷涂设备</w:t>
            </w:r>
          </w:p>
        </w:tc>
        <w:tc>
          <w:tcPr>
            <w:tcW w:w="492" w:type="pct"/>
            <w:shd w:val="clear" w:color="auto" w:fill="auto"/>
            <w:noWrap w:val="0"/>
            <w:vAlign w:val="center"/>
          </w:tcPr>
          <w:p w14:paraId="4E7B75C9">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142BE7E7">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4C408E26">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350" w:type="pct"/>
            <w:shd w:val="clear" w:color="auto" w:fill="auto"/>
            <w:noWrap w:val="0"/>
            <w:vAlign w:val="center"/>
          </w:tcPr>
          <w:p w14:paraId="3E934D02">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78</w:t>
            </w:r>
          </w:p>
        </w:tc>
        <w:tc>
          <w:tcPr>
            <w:tcW w:w="348" w:type="pct"/>
            <w:shd w:val="clear" w:color="auto" w:fill="auto"/>
            <w:noWrap w:val="0"/>
            <w:vAlign w:val="center"/>
          </w:tcPr>
          <w:p w14:paraId="16B1A4CB">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6FD9D94C">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w:t>
            </w:r>
          </w:p>
        </w:tc>
        <w:tc>
          <w:tcPr>
            <w:tcW w:w="491" w:type="pct"/>
            <w:shd w:val="clear" w:color="auto" w:fill="auto"/>
            <w:noWrap w:val="0"/>
            <w:vAlign w:val="center"/>
          </w:tcPr>
          <w:p w14:paraId="4529EF14">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61</w:t>
            </w:r>
          </w:p>
        </w:tc>
        <w:tc>
          <w:tcPr>
            <w:tcW w:w="237" w:type="pct"/>
            <w:vMerge w:val="continue"/>
            <w:shd w:val="clear" w:color="auto" w:fill="auto"/>
            <w:noWrap w:val="0"/>
            <w:vAlign w:val="center"/>
          </w:tcPr>
          <w:p w14:paraId="271965FA">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0EB7CD47">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56178D39">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w:t>
            </w:r>
          </w:p>
        </w:tc>
        <w:tc>
          <w:tcPr>
            <w:tcW w:w="302" w:type="pct"/>
            <w:vMerge w:val="continue"/>
            <w:shd w:val="clear" w:color="auto" w:fill="auto"/>
            <w:noWrap w:val="0"/>
            <w:vAlign w:val="center"/>
          </w:tcPr>
          <w:p w14:paraId="1C7C97D1">
            <w:pPr>
              <w:pStyle w:val="78"/>
              <w:bidi w:val="0"/>
              <w:ind w:firstLine="0" w:firstLineChars="0"/>
              <w:rPr>
                <w:rFonts w:hint="eastAsia"/>
                <w:color w:val="FF0000"/>
                <w:sz w:val="21"/>
                <w:szCs w:val="21"/>
                <w:highlight w:val="none"/>
              </w:rPr>
            </w:pPr>
          </w:p>
        </w:tc>
      </w:tr>
      <w:tr w14:paraId="41C8830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55FD1634">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0181E48F">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喷涂设备</w:t>
            </w:r>
          </w:p>
        </w:tc>
        <w:tc>
          <w:tcPr>
            <w:tcW w:w="492" w:type="pct"/>
            <w:shd w:val="clear" w:color="auto" w:fill="auto"/>
            <w:noWrap w:val="0"/>
            <w:vAlign w:val="center"/>
          </w:tcPr>
          <w:p w14:paraId="32B52C0B">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633F587B">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2C2A76BB">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350" w:type="pct"/>
            <w:shd w:val="clear" w:color="auto" w:fill="auto"/>
            <w:noWrap w:val="0"/>
            <w:vAlign w:val="center"/>
          </w:tcPr>
          <w:p w14:paraId="222989AD">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87</w:t>
            </w:r>
          </w:p>
        </w:tc>
        <w:tc>
          <w:tcPr>
            <w:tcW w:w="348" w:type="pct"/>
            <w:shd w:val="clear" w:color="auto" w:fill="auto"/>
            <w:noWrap w:val="0"/>
            <w:vAlign w:val="center"/>
          </w:tcPr>
          <w:p w14:paraId="11FB4500">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466DB33A">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w:t>
            </w:r>
          </w:p>
        </w:tc>
        <w:tc>
          <w:tcPr>
            <w:tcW w:w="491" w:type="pct"/>
            <w:shd w:val="clear" w:color="auto" w:fill="auto"/>
            <w:noWrap w:val="0"/>
            <w:vAlign w:val="center"/>
          </w:tcPr>
          <w:p w14:paraId="4A00E097">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61</w:t>
            </w:r>
          </w:p>
        </w:tc>
        <w:tc>
          <w:tcPr>
            <w:tcW w:w="237" w:type="pct"/>
            <w:vMerge w:val="continue"/>
            <w:shd w:val="clear" w:color="auto" w:fill="auto"/>
            <w:noWrap w:val="0"/>
            <w:vAlign w:val="center"/>
          </w:tcPr>
          <w:p w14:paraId="7CFDE4AA">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6AD3A57A">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6F5E8997">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w:t>
            </w:r>
          </w:p>
        </w:tc>
        <w:tc>
          <w:tcPr>
            <w:tcW w:w="302" w:type="pct"/>
            <w:vMerge w:val="continue"/>
            <w:shd w:val="clear" w:color="auto" w:fill="auto"/>
            <w:noWrap w:val="0"/>
            <w:vAlign w:val="center"/>
          </w:tcPr>
          <w:p w14:paraId="5E61641C">
            <w:pPr>
              <w:pStyle w:val="78"/>
              <w:bidi w:val="0"/>
              <w:ind w:firstLine="0" w:firstLineChars="0"/>
              <w:rPr>
                <w:rFonts w:hint="eastAsia"/>
                <w:color w:val="FF0000"/>
                <w:sz w:val="21"/>
                <w:szCs w:val="21"/>
                <w:highlight w:val="none"/>
              </w:rPr>
            </w:pPr>
          </w:p>
        </w:tc>
      </w:tr>
      <w:tr w14:paraId="1E2BB9A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153890F1">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04C501F2">
            <w:pPr>
              <w:bidi w:val="0"/>
              <w:jc w:val="center"/>
              <w:rPr>
                <w:rFonts w:hint="default"/>
                <w:color w:val="auto"/>
                <w:sz w:val="21"/>
                <w:szCs w:val="21"/>
                <w:highlight w:val="none"/>
                <w:lang w:val="en-US" w:eastAsia="zh-CN"/>
              </w:rPr>
            </w:pPr>
            <w:r>
              <w:rPr>
                <w:rFonts w:hint="eastAsia"/>
                <w:color w:val="auto"/>
                <w:sz w:val="21"/>
                <w:szCs w:val="21"/>
                <w:highlight w:val="none"/>
                <w:lang w:val="en-US" w:eastAsia="zh-CN"/>
              </w:rPr>
              <w:t>烘干炉</w:t>
            </w:r>
          </w:p>
        </w:tc>
        <w:tc>
          <w:tcPr>
            <w:tcW w:w="492" w:type="pct"/>
            <w:shd w:val="clear" w:color="auto" w:fill="auto"/>
            <w:noWrap w:val="0"/>
            <w:vAlign w:val="center"/>
          </w:tcPr>
          <w:p w14:paraId="3E2FDDB1">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75</w:t>
            </w:r>
          </w:p>
        </w:tc>
        <w:tc>
          <w:tcPr>
            <w:tcW w:w="360" w:type="pct"/>
            <w:vMerge w:val="continue"/>
            <w:shd w:val="clear" w:color="auto" w:fill="auto"/>
            <w:noWrap w:val="0"/>
            <w:vAlign w:val="center"/>
          </w:tcPr>
          <w:p w14:paraId="4059E53E">
            <w:pPr>
              <w:pStyle w:val="78"/>
              <w:bidi w:val="0"/>
              <w:ind w:firstLine="0" w:firstLineChars="0"/>
              <w:rPr>
                <w:rFonts w:hint="eastAsia"/>
                <w:color w:val="auto"/>
                <w:sz w:val="21"/>
                <w:szCs w:val="21"/>
                <w:highlight w:val="none"/>
              </w:rPr>
            </w:pPr>
          </w:p>
        </w:tc>
        <w:tc>
          <w:tcPr>
            <w:tcW w:w="676" w:type="dxa"/>
            <w:shd w:val="clear" w:color="auto" w:fill="auto"/>
            <w:noWrap w:val="0"/>
            <w:vAlign w:val="center"/>
          </w:tcPr>
          <w:p w14:paraId="6908179B">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8</w:t>
            </w:r>
          </w:p>
        </w:tc>
        <w:tc>
          <w:tcPr>
            <w:tcW w:w="350" w:type="pct"/>
            <w:shd w:val="clear" w:color="auto" w:fill="auto"/>
            <w:noWrap w:val="0"/>
            <w:vAlign w:val="center"/>
          </w:tcPr>
          <w:p w14:paraId="75DADFE1">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60</w:t>
            </w:r>
          </w:p>
        </w:tc>
        <w:tc>
          <w:tcPr>
            <w:tcW w:w="348" w:type="pct"/>
            <w:shd w:val="clear" w:color="auto" w:fill="auto"/>
            <w:noWrap w:val="0"/>
            <w:vAlign w:val="center"/>
          </w:tcPr>
          <w:p w14:paraId="753B0FE7">
            <w:pPr>
              <w:bidi w:val="0"/>
              <w:ind w:firstLine="0" w:firstLineChars="0"/>
              <w:jc w:val="center"/>
              <w:rPr>
                <w:rFonts w:hint="eastAsia"/>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5A1DF11F">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491" w:type="pct"/>
            <w:shd w:val="clear" w:color="auto" w:fill="auto"/>
            <w:noWrap w:val="0"/>
            <w:vAlign w:val="center"/>
          </w:tcPr>
          <w:p w14:paraId="15882FB1">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58</w:t>
            </w:r>
          </w:p>
        </w:tc>
        <w:tc>
          <w:tcPr>
            <w:tcW w:w="237" w:type="pct"/>
            <w:vMerge w:val="continue"/>
            <w:shd w:val="clear" w:color="auto" w:fill="auto"/>
            <w:noWrap w:val="0"/>
            <w:vAlign w:val="center"/>
          </w:tcPr>
          <w:p w14:paraId="50261EA1">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40AEF209">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6B9E8361">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32</w:t>
            </w:r>
          </w:p>
        </w:tc>
        <w:tc>
          <w:tcPr>
            <w:tcW w:w="302" w:type="pct"/>
            <w:vMerge w:val="continue"/>
            <w:shd w:val="clear" w:color="auto" w:fill="auto"/>
            <w:noWrap w:val="0"/>
            <w:vAlign w:val="center"/>
          </w:tcPr>
          <w:p w14:paraId="78FC07C6">
            <w:pPr>
              <w:pStyle w:val="78"/>
              <w:bidi w:val="0"/>
              <w:ind w:firstLine="0" w:firstLineChars="0"/>
              <w:rPr>
                <w:rFonts w:hint="eastAsia"/>
                <w:color w:val="FF0000"/>
                <w:sz w:val="21"/>
                <w:szCs w:val="21"/>
                <w:highlight w:val="none"/>
              </w:rPr>
            </w:pPr>
          </w:p>
        </w:tc>
      </w:tr>
      <w:tr w14:paraId="23C2C4A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29B3A449">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78874635">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烘干炉</w:t>
            </w:r>
          </w:p>
        </w:tc>
        <w:tc>
          <w:tcPr>
            <w:tcW w:w="492" w:type="pct"/>
            <w:shd w:val="clear" w:color="auto" w:fill="auto"/>
            <w:noWrap w:val="0"/>
            <w:vAlign w:val="center"/>
          </w:tcPr>
          <w:p w14:paraId="71D89BBE">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75</w:t>
            </w:r>
          </w:p>
        </w:tc>
        <w:tc>
          <w:tcPr>
            <w:tcW w:w="360" w:type="pct"/>
            <w:vMerge w:val="continue"/>
            <w:shd w:val="clear" w:color="auto" w:fill="auto"/>
            <w:noWrap w:val="0"/>
            <w:vAlign w:val="center"/>
          </w:tcPr>
          <w:p w14:paraId="10E518B3">
            <w:pPr>
              <w:pStyle w:val="78"/>
              <w:bidi w:val="0"/>
              <w:ind w:firstLine="0" w:firstLineChars="0"/>
              <w:rPr>
                <w:rFonts w:hint="eastAsia"/>
                <w:color w:val="auto"/>
                <w:sz w:val="21"/>
                <w:szCs w:val="21"/>
                <w:highlight w:val="none"/>
              </w:rPr>
            </w:pPr>
          </w:p>
        </w:tc>
        <w:tc>
          <w:tcPr>
            <w:tcW w:w="676" w:type="dxa"/>
            <w:shd w:val="clear" w:color="auto" w:fill="auto"/>
            <w:noWrap w:val="0"/>
            <w:vAlign w:val="center"/>
          </w:tcPr>
          <w:p w14:paraId="531A690E">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15</w:t>
            </w:r>
          </w:p>
        </w:tc>
        <w:tc>
          <w:tcPr>
            <w:tcW w:w="350" w:type="pct"/>
            <w:shd w:val="clear" w:color="auto" w:fill="auto"/>
            <w:noWrap w:val="0"/>
            <w:vAlign w:val="center"/>
          </w:tcPr>
          <w:p w14:paraId="181E006F">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60</w:t>
            </w:r>
          </w:p>
        </w:tc>
        <w:tc>
          <w:tcPr>
            <w:tcW w:w="348" w:type="pct"/>
            <w:shd w:val="clear" w:color="auto" w:fill="auto"/>
            <w:noWrap w:val="0"/>
            <w:vAlign w:val="center"/>
          </w:tcPr>
          <w:p w14:paraId="2BCAC0AC">
            <w:pPr>
              <w:bidi w:val="0"/>
              <w:ind w:firstLine="0" w:firstLineChars="0"/>
              <w:jc w:val="center"/>
              <w:rPr>
                <w:rFonts w:hint="eastAsia"/>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4AE932AB">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491" w:type="pct"/>
            <w:shd w:val="clear" w:color="auto" w:fill="auto"/>
            <w:noWrap w:val="0"/>
            <w:vAlign w:val="center"/>
          </w:tcPr>
          <w:p w14:paraId="793F1327">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58</w:t>
            </w:r>
          </w:p>
        </w:tc>
        <w:tc>
          <w:tcPr>
            <w:tcW w:w="237" w:type="pct"/>
            <w:vMerge w:val="continue"/>
            <w:shd w:val="clear" w:color="auto" w:fill="auto"/>
            <w:noWrap w:val="0"/>
            <w:vAlign w:val="center"/>
          </w:tcPr>
          <w:p w14:paraId="3515AD63">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2416EEC8">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44BF6AF4">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32</w:t>
            </w:r>
          </w:p>
        </w:tc>
        <w:tc>
          <w:tcPr>
            <w:tcW w:w="302" w:type="pct"/>
            <w:vMerge w:val="continue"/>
            <w:shd w:val="clear" w:color="auto" w:fill="auto"/>
            <w:noWrap w:val="0"/>
            <w:vAlign w:val="center"/>
          </w:tcPr>
          <w:p w14:paraId="7224B0FE">
            <w:pPr>
              <w:pStyle w:val="78"/>
              <w:bidi w:val="0"/>
              <w:ind w:firstLine="0" w:firstLineChars="0"/>
              <w:rPr>
                <w:rFonts w:hint="eastAsia"/>
                <w:color w:val="FF0000"/>
                <w:sz w:val="21"/>
                <w:szCs w:val="21"/>
                <w:highlight w:val="none"/>
              </w:rPr>
            </w:pPr>
          </w:p>
        </w:tc>
      </w:tr>
      <w:tr w14:paraId="44B7BD6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736F376B">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5CF2A2A9">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烘干炉</w:t>
            </w:r>
          </w:p>
        </w:tc>
        <w:tc>
          <w:tcPr>
            <w:tcW w:w="492" w:type="pct"/>
            <w:shd w:val="clear" w:color="auto" w:fill="auto"/>
            <w:noWrap w:val="0"/>
            <w:vAlign w:val="center"/>
          </w:tcPr>
          <w:p w14:paraId="7FD458DD">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75</w:t>
            </w:r>
          </w:p>
        </w:tc>
        <w:tc>
          <w:tcPr>
            <w:tcW w:w="360" w:type="pct"/>
            <w:vMerge w:val="continue"/>
            <w:shd w:val="clear" w:color="auto" w:fill="auto"/>
            <w:noWrap w:val="0"/>
            <w:vAlign w:val="center"/>
          </w:tcPr>
          <w:p w14:paraId="5E3103CB">
            <w:pPr>
              <w:pStyle w:val="78"/>
              <w:bidi w:val="0"/>
              <w:ind w:firstLine="0" w:firstLineChars="0"/>
              <w:rPr>
                <w:rFonts w:hint="eastAsia"/>
                <w:color w:val="auto"/>
                <w:sz w:val="21"/>
                <w:szCs w:val="21"/>
                <w:highlight w:val="none"/>
              </w:rPr>
            </w:pPr>
          </w:p>
        </w:tc>
        <w:tc>
          <w:tcPr>
            <w:tcW w:w="676" w:type="dxa"/>
            <w:shd w:val="clear" w:color="auto" w:fill="auto"/>
            <w:noWrap w:val="0"/>
            <w:vAlign w:val="center"/>
          </w:tcPr>
          <w:p w14:paraId="37777B7D">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25</w:t>
            </w:r>
          </w:p>
        </w:tc>
        <w:tc>
          <w:tcPr>
            <w:tcW w:w="350" w:type="pct"/>
            <w:shd w:val="clear" w:color="auto" w:fill="auto"/>
            <w:noWrap w:val="0"/>
            <w:vAlign w:val="center"/>
          </w:tcPr>
          <w:p w14:paraId="2F96AD35">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60</w:t>
            </w:r>
          </w:p>
        </w:tc>
        <w:tc>
          <w:tcPr>
            <w:tcW w:w="348" w:type="pct"/>
            <w:shd w:val="clear" w:color="auto" w:fill="auto"/>
            <w:noWrap w:val="0"/>
            <w:vAlign w:val="center"/>
          </w:tcPr>
          <w:p w14:paraId="36B7D808">
            <w:pPr>
              <w:bidi w:val="0"/>
              <w:ind w:firstLine="0" w:firstLineChars="0"/>
              <w:jc w:val="center"/>
              <w:rPr>
                <w:rFonts w:hint="eastAsia"/>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24E8911C">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491" w:type="pct"/>
            <w:shd w:val="clear" w:color="auto" w:fill="auto"/>
            <w:noWrap w:val="0"/>
            <w:vAlign w:val="center"/>
          </w:tcPr>
          <w:p w14:paraId="37B3501E">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58</w:t>
            </w:r>
          </w:p>
        </w:tc>
        <w:tc>
          <w:tcPr>
            <w:tcW w:w="237" w:type="pct"/>
            <w:vMerge w:val="continue"/>
            <w:shd w:val="clear" w:color="auto" w:fill="auto"/>
            <w:noWrap w:val="0"/>
            <w:vAlign w:val="center"/>
          </w:tcPr>
          <w:p w14:paraId="0E310ECD">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63EA5D94">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7DF790B9">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32</w:t>
            </w:r>
          </w:p>
        </w:tc>
        <w:tc>
          <w:tcPr>
            <w:tcW w:w="302" w:type="pct"/>
            <w:vMerge w:val="continue"/>
            <w:shd w:val="clear" w:color="auto" w:fill="auto"/>
            <w:noWrap w:val="0"/>
            <w:vAlign w:val="center"/>
          </w:tcPr>
          <w:p w14:paraId="1A93D47D">
            <w:pPr>
              <w:pStyle w:val="78"/>
              <w:bidi w:val="0"/>
              <w:ind w:firstLine="0" w:firstLineChars="0"/>
              <w:rPr>
                <w:rFonts w:hint="eastAsia"/>
                <w:color w:val="FF0000"/>
                <w:sz w:val="21"/>
                <w:szCs w:val="21"/>
                <w:highlight w:val="none"/>
              </w:rPr>
            </w:pPr>
          </w:p>
        </w:tc>
      </w:tr>
      <w:tr w14:paraId="7EE3B88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2436E80B">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5996DD71">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烘干炉</w:t>
            </w:r>
          </w:p>
        </w:tc>
        <w:tc>
          <w:tcPr>
            <w:tcW w:w="492" w:type="pct"/>
            <w:shd w:val="clear" w:color="auto" w:fill="auto"/>
            <w:noWrap w:val="0"/>
            <w:vAlign w:val="center"/>
          </w:tcPr>
          <w:p w14:paraId="3765E1D8">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75</w:t>
            </w:r>
          </w:p>
        </w:tc>
        <w:tc>
          <w:tcPr>
            <w:tcW w:w="360" w:type="pct"/>
            <w:vMerge w:val="continue"/>
            <w:shd w:val="clear" w:color="auto" w:fill="auto"/>
            <w:noWrap w:val="0"/>
            <w:vAlign w:val="center"/>
          </w:tcPr>
          <w:p w14:paraId="1E61CD3F">
            <w:pPr>
              <w:pStyle w:val="78"/>
              <w:bidi w:val="0"/>
              <w:ind w:firstLine="0" w:firstLineChars="0"/>
              <w:rPr>
                <w:rFonts w:hint="eastAsia"/>
                <w:color w:val="auto"/>
                <w:sz w:val="21"/>
                <w:szCs w:val="21"/>
                <w:highlight w:val="none"/>
              </w:rPr>
            </w:pPr>
          </w:p>
        </w:tc>
        <w:tc>
          <w:tcPr>
            <w:tcW w:w="676" w:type="dxa"/>
            <w:shd w:val="clear" w:color="auto" w:fill="auto"/>
            <w:noWrap w:val="0"/>
            <w:vAlign w:val="center"/>
          </w:tcPr>
          <w:p w14:paraId="0F24F3C5">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7D57ED30">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60</w:t>
            </w:r>
          </w:p>
        </w:tc>
        <w:tc>
          <w:tcPr>
            <w:tcW w:w="348" w:type="pct"/>
            <w:shd w:val="clear" w:color="auto" w:fill="auto"/>
            <w:noWrap w:val="0"/>
            <w:vAlign w:val="center"/>
          </w:tcPr>
          <w:p w14:paraId="02ACCCB8">
            <w:pPr>
              <w:bidi w:val="0"/>
              <w:ind w:firstLine="0" w:firstLineChars="0"/>
              <w:jc w:val="center"/>
              <w:rPr>
                <w:rFonts w:hint="eastAsia"/>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4488C113">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491" w:type="pct"/>
            <w:shd w:val="clear" w:color="auto" w:fill="auto"/>
            <w:noWrap w:val="0"/>
            <w:vAlign w:val="center"/>
          </w:tcPr>
          <w:p w14:paraId="3EFB1DF8">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58</w:t>
            </w:r>
          </w:p>
        </w:tc>
        <w:tc>
          <w:tcPr>
            <w:tcW w:w="237" w:type="pct"/>
            <w:vMerge w:val="continue"/>
            <w:shd w:val="clear" w:color="auto" w:fill="auto"/>
            <w:noWrap w:val="0"/>
            <w:vAlign w:val="center"/>
          </w:tcPr>
          <w:p w14:paraId="1B2AB9E7">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1C40A7AA">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10EF0DFE">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32</w:t>
            </w:r>
          </w:p>
        </w:tc>
        <w:tc>
          <w:tcPr>
            <w:tcW w:w="302" w:type="pct"/>
            <w:vMerge w:val="continue"/>
            <w:shd w:val="clear" w:color="auto" w:fill="auto"/>
            <w:noWrap w:val="0"/>
            <w:vAlign w:val="center"/>
          </w:tcPr>
          <w:p w14:paraId="624C7AF0">
            <w:pPr>
              <w:pStyle w:val="78"/>
              <w:bidi w:val="0"/>
              <w:ind w:firstLine="0" w:firstLineChars="0"/>
              <w:rPr>
                <w:rFonts w:hint="eastAsia"/>
                <w:color w:val="FF0000"/>
                <w:sz w:val="21"/>
                <w:szCs w:val="21"/>
                <w:highlight w:val="none"/>
              </w:rPr>
            </w:pPr>
          </w:p>
        </w:tc>
      </w:tr>
      <w:tr w14:paraId="03AA393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567C8183">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23AAF76A">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烘干炉</w:t>
            </w:r>
          </w:p>
        </w:tc>
        <w:tc>
          <w:tcPr>
            <w:tcW w:w="492" w:type="pct"/>
            <w:shd w:val="clear" w:color="auto" w:fill="auto"/>
            <w:noWrap w:val="0"/>
            <w:vAlign w:val="center"/>
          </w:tcPr>
          <w:p w14:paraId="68426B2F">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75</w:t>
            </w:r>
          </w:p>
        </w:tc>
        <w:tc>
          <w:tcPr>
            <w:tcW w:w="360" w:type="pct"/>
            <w:vMerge w:val="continue"/>
            <w:shd w:val="clear" w:color="auto" w:fill="auto"/>
            <w:noWrap w:val="0"/>
            <w:vAlign w:val="center"/>
          </w:tcPr>
          <w:p w14:paraId="241D86A6">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492895AE">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40</w:t>
            </w:r>
          </w:p>
        </w:tc>
        <w:tc>
          <w:tcPr>
            <w:tcW w:w="350" w:type="pct"/>
            <w:shd w:val="clear" w:color="auto" w:fill="auto"/>
            <w:noWrap w:val="0"/>
            <w:vAlign w:val="center"/>
          </w:tcPr>
          <w:p w14:paraId="161BA20C">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60</w:t>
            </w:r>
          </w:p>
        </w:tc>
        <w:tc>
          <w:tcPr>
            <w:tcW w:w="348" w:type="pct"/>
            <w:shd w:val="clear" w:color="auto" w:fill="auto"/>
            <w:noWrap w:val="0"/>
            <w:vAlign w:val="center"/>
          </w:tcPr>
          <w:p w14:paraId="1F2532A7">
            <w:pPr>
              <w:bidi w:val="0"/>
              <w:ind w:firstLine="0" w:firstLineChars="0"/>
              <w:jc w:val="center"/>
              <w:rPr>
                <w:rFonts w:hint="eastAsia"/>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459F2B03">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491" w:type="pct"/>
            <w:shd w:val="clear" w:color="auto" w:fill="auto"/>
            <w:noWrap w:val="0"/>
            <w:vAlign w:val="center"/>
          </w:tcPr>
          <w:p w14:paraId="25425DE6">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58</w:t>
            </w:r>
          </w:p>
        </w:tc>
        <w:tc>
          <w:tcPr>
            <w:tcW w:w="237" w:type="pct"/>
            <w:vMerge w:val="continue"/>
            <w:shd w:val="clear" w:color="auto" w:fill="auto"/>
            <w:noWrap w:val="0"/>
            <w:vAlign w:val="center"/>
          </w:tcPr>
          <w:p w14:paraId="033FECF4">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1995A83B">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7BAB2826">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32</w:t>
            </w:r>
          </w:p>
        </w:tc>
        <w:tc>
          <w:tcPr>
            <w:tcW w:w="302" w:type="pct"/>
            <w:vMerge w:val="continue"/>
            <w:shd w:val="clear" w:color="auto" w:fill="auto"/>
            <w:noWrap w:val="0"/>
            <w:vAlign w:val="center"/>
          </w:tcPr>
          <w:p w14:paraId="438155C4">
            <w:pPr>
              <w:pStyle w:val="78"/>
              <w:bidi w:val="0"/>
              <w:ind w:firstLine="0" w:firstLineChars="0"/>
              <w:rPr>
                <w:rFonts w:hint="eastAsia"/>
                <w:color w:val="FF0000"/>
                <w:sz w:val="21"/>
                <w:szCs w:val="21"/>
                <w:highlight w:val="none"/>
              </w:rPr>
            </w:pPr>
          </w:p>
        </w:tc>
      </w:tr>
      <w:tr w14:paraId="2C958A0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219AF5C0">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1016DC12">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烘干炉</w:t>
            </w:r>
          </w:p>
        </w:tc>
        <w:tc>
          <w:tcPr>
            <w:tcW w:w="492" w:type="pct"/>
            <w:shd w:val="clear" w:color="auto" w:fill="auto"/>
            <w:noWrap w:val="0"/>
            <w:vAlign w:val="center"/>
          </w:tcPr>
          <w:p w14:paraId="2B6392BF">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75</w:t>
            </w:r>
          </w:p>
        </w:tc>
        <w:tc>
          <w:tcPr>
            <w:tcW w:w="360" w:type="pct"/>
            <w:vMerge w:val="continue"/>
            <w:shd w:val="clear" w:color="auto" w:fill="auto"/>
            <w:noWrap w:val="0"/>
            <w:vAlign w:val="center"/>
          </w:tcPr>
          <w:p w14:paraId="7D9CB979">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63730D54">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40</w:t>
            </w:r>
          </w:p>
        </w:tc>
        <w:tc>
          <w:tcPr>
            <w:tcW w:w="350" w:type="pct"/>
            <w:shd w:val="clear" w:color="auto" w:fill="auto"/>
            <w:noWrap w:val="0"/>
            <w:vAlign w:val="center"/>
          </w:tcPr>
          <w:p w14:paraId="3EAD2BAB">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72</w:t>
            </w:r>
          </w:p>
        </w:tc>
        <w:tc>
          <w:tcPr>
            <w:tcW w:w="348" w:type="pct"/>
            <w:shd w:val="clear" w:color="auto" w:fill="auto"/>
            <w:noWrap w:val="0"/>
            <w:vAlign w:val="center"/>
          </w:tcPr>
          <w:p w14:paraId="71AE5498">
            <w:pPr>
              <w:bidi w:val="0"/>
              <w:ind w:firstLine="0" w:firstLineChars="0"/>
              <w:jc w:val="center"/>
              <w:rPr>
                <w:rFonts w:hint="eastAsia"/>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37A1BD0E">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491" w:type="pct"/>
            <w:shd w:val="clear" w:color="auto" w:fill="auto"/>
            <w:noWrap w:val="0"/>
            <w:vAlign w:val="center"/>
          </w:tcPr>
          <w:p w14:paraId="1BC7E968">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58</w:t>
            </w:r>
          </w:p>
        </w:tc>
        <w:tc>
          <w:tcPr>
            <w:tcW w:w="237" w:type="pct"/>
            <w:vMerge w:val="continue"/>
            <w:shd w:val="clear" w:color="auto" w:fill="auto"/>
            <w:noWrap w:val="0"/>
            <w:vAlign w:val="center"/>
          </w:tcPr>
          <w:p w14:paraId="2E3B7EE2">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69483EE4">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4D7B9DB0">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32</w:t>
            </w:r>
          </w:p>
        </w:tc>
        <w:tc>
          <w:tcPr>
            <w:tcW w:w="302" w:type="pct"/>
            <w:vMerge w:val="continue"/>
            <w:shd w:val="clear" w:color="auto" w:fill="auto"/>
            <w:noWrap w:val="0"/>
            <w:vAlign w:val="center"/>
          </w:tcPr>
          <w:p w14:paraId="61B8FCA6">
            <w:pPr>
              <w:pStyle w:val="78"/>
              <w:bidi w:val="0"/>
              <w:ind w:firstLine="0" w:firstLineChars="0"/>
              <w:rPr>
                <w:rFonts w:hint="eastAsia"/>
                <w:color w:val="FF0000"/>
                <w:sz w:val="21"/>
                <w:szCs w:val="21"/>
                <w:highlight w:val="none"/>
              </w:rPr>
            </w:pPr>
          </w:p>
        </w:tc>
      </w:tr>
      <w:tr w14:paraId="1CB8652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1E1527CA">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3A325417">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烘干炉</w:t>
            </w:r>
          </w:p>
        </w:tc>
        <w:tc>
          <w:tcPr>
            <w:tcW w:w="492" w:type="pct"/>
            <w:shd w:val="clear" w:color="auto" w:fill="auto"/>
            <w:noWrap w:val="0"/>
            <w:vAlign w:val="center"/>
          </w:tcPr>
          <w:p w14:paraId="0CD964BE">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75</w:t>
            </w:r>
          </w:p>
        </w:tc>
        <w:tc>
          <w:tcPr>
            <w:tcW w:w="360" w:type="pct"/>
            <w:vMerge w:val="continue"/>
            <w:shd w:val="clear" w:color="auto" w:fill="auto"/>
            <w:noWrap w:val="0"/>
            <w:vAlign w:val="center"/>
          </w:tcPr>
          <w:p w14:paraId="2ABFEAA6">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0B0F6A7F">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40</w:t>
            </w:r>
          </w:p>
        </w:tc>
        <w:tc>
          <w:tcPr>
            <w:tcW w:w="350" w:type="pct"/>
            <w:shd w:val="clear" w:color="auto" w:fill="auto"/>
            <w:noWrap w:val="0"/>
            <w:vAlign w:val="center"/>
          </w:tcPr>
          <w:p w14:paraId="6EF5B4C1">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66</w:t>
            </w:r>
          </w:p>
        </w:tc>
        <w:tc>
          <w:tcPr>
            <w:tcW w:w="348" w:type="pct"/>
            <w:shd w:val="clear" w:color="auto" w:fill="auto"/>
            <w:noWrap w:val="0"/>
            <w:vAlign w:val="center"/>
          </w:tcPr>
          <w:p w14:paraId="55B76593">
            <w:pPr>
              <w:bidi w:val="0"/>
              <w:ind w:firstLine="0" w:firstLineChars="0"/>
              <w:jc w:val="center"/>
              <w:rPr>
                <w:rFonts w:hint="eastAsia"/>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5B428481">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491" w:type="pct"/>
            <w:shd w:val="clear" w:color="auto" w:fill="auto"/>
            <w:noWrap w:val="0"/>
            <w:vAlign w:val="center"/>
          </w:tcPr>
          <w:p w14:paraId="6711DF84">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58</w:t>
            </w:r>
          </w:p>
        </w:tc>
        <w:tc>
          <w:tcPr>
            <w:tcW w:w="237" w:type="pct"/>
            <w:vMerge w:val="continue"/>
            <w:shd w:val="clear" w:color="auto" w:fill="auto"/>
            <w:noWrap w:val="0"/>
            <w:vAlign w:val="center"/>
          </w:tcPr>
          <w:p w14:paraId="7ADDA1D8">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1F5AB112">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0D77A464">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32</w:t>
            </w:r>
          </w:p>
        </w:tc>
        <w:tc>
          <w:tcPr>
            <w:tcW w:w="302" w:type="pct"/>
            <w:vMerge w:val="continue"/>
            <w:shd w:val="clear" w:color="auto" w:fill="auto"/>
            <w:noWrap w:val="0"/>
            <w:vAlign w:val="center"/>
          </w:tcPr>
          <w:p w14:paraId="1CD08C3C">
            <w:pPr>
              <w:pStyle w:val="78"/>
              <w:bidi w:val="0"/>
              <w:ind w:firstLine="0" w:firstLineChars="0"/>
              <w:rPr>
                <w:rFonts w:hint="eastAsia"/>
                <w:color w:val="FF0000"/>
                <w:sz w:val="21"/>
                <w:szCs w:val="21"/>
                <w:highlight w:val="none"/>
              </w:rPr>
            </w:pPr>
          </w:p>
        </w:tc>
      </w:tr>
      <w:tr w14:paraId="351A1BF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1C0FE884">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02C59FF4">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烘干炉</w:t>
            </w:r>
          </w:p>
        </w:tc>
        <w:tc>
          <w:tcPr>
            <w:tcW w:w="492" w:type="pct"/>
            <w:shd w:val="clear" w:color="auto" w:fill="auto"/>
            <w:noWrap w:val="0"/>
            <w:vAlign w:val="center"/>
          </w:tcPr>
          <w:p w14:paraId="366704CF">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75</w:t>
            </w:r>
          </w:p>
        </w:tc>
        <w:tc>
          <w:tcPr>
            <w:tcW w:w="360" w:type="pct"/>
            <w:vMerge w:val="continue"/>
            <w:shd w:val="clear" w:color="auto" w:fill="auto"/>
            <w:noWrap w:val="0"/>
            <w:vAlign w:val="center"/>
          </w:tcPr>
          <w:p w14:paraId="1BCE6E27">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2050FF76">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40</w:t>
            </w:r>
          </w:p>
        </w:tc>
        <w:tc>
          <w:tcPr>
            <w:tcW w:w="350" w:type="pct"/>
            <w:shd w:val="clear" w:color="auto" w:fill="auto"/>
            <w:noWrap w:val="0"/>
            <w:vAlign w:val="center"/>
          </w:tcPr>
          <w:p w14:paraId="685BC172">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60</w:t>
            </w:r>
          </w:p>
        </w:tc>
        <w:tc>
          <w:tcPr>
            <w:tcW w:w="348" w:type="pct"/>
            <w:shd w:val="clear" w:color="auto" w:fill="auto"/>
            <w:noWrap w:val="0"/>
            <w:vAlign w:val="center"/>
          </w:tcPr>
          <w:p w14:paraId="7DAABA63">
            <w:pPr>
              <w:bidi w:val="0"/>
              <w:ind w:firstLine="0" w:firstLineChars="0"/>
              <w:jc w:val="center"/>
              <w:rPr>
                <w:rFonts w:hint="eastAsia"/>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51BBF218">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491" w:type="pct"/>
            <w:shd w:val="clear" w:color="auto" w:fill="auto"/>
            <w:noWrap w:val="0"/>
            <w:vAlign w:val="center"/>
          </w:tcPr>
          <w:p w14:paraId="7FB73640">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58</w:t>
            </w:r>
          </w:p>
        </w:tc>
        <w:tc>
          <w:tcPr>
            <w:tcW w:w="237" w:type="pct"/>
            <w:vMerge w:val="continue"/>
            <w:shd w:val="clear" w:color="auto" w:fill="auto"/>
            <w:noWrap w:val="0"/>
            <w:vAlign w:val="center"/>
          </w:tcPr>
          <w:p w14:paraId="463B5FB0">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3DB28B7B">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0FF8A434">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32</w:t>
            </w:r>
          </w:p>
        </w:tc>
        <w:tc>
          <w:tcPr>
            <w:tcW w:w="302" w:type="pct"/>
            <w:vMerge w:val="continue"/>
            <w:shd w:val="clear" w:color="auto" w:fill="auto"/>
            <w:noWrap w:val="0"/>
            <w:vAlign w:val="center"/>
          </w:tcPr>
          <w:p w14:paraId="18924CB6">
            <w:pPr>
              <w:pStyle w:val="78"/>
              <w:bidi w:val="0"/>
              <w:ind w:firstLine="0" w:firstLineChars="0"/>
              <w:rPr>
                <w:rFonts w:hint="eastAsia"/>
                <w:color w:val="FF0000"/>
                <w:sz w:val="21"/>
                <w:szCs w:val="21"/>
                <w:highlight w:val="none"/>
              </w:rPr>
            </w:pPr>
          </w:p>
        </w:tc>
      </w:tr>
      <w:tr w14:paraId="0366279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48BB49A2">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01B43604">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烘干炉</w:t>
            </w:r>
          </w:p>
        </w:tc>
        <w:tc>
          <w:tcPr>
            <w:tcW w:w="492" w:type="pct"/>
            <w:shd w:val="clear" w:color="auto" w:fill="auto"/>
            <w:noWrap w:val="0"/>
            <w:vAlign w:val="center"/>
          </w:tcPr>
          <w:p w14:paraId="04BB9227">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75</w:t>
            </w:r>
          </w:p>
        </w:tc>
        <w:tc>
          <w:tcPr>
            <w:tcW w:w="360" w:type="pct"/>
            <w:vMerge w:val="continue"/>
            <w:shd w:val="clear" w:color="auto" w:fill="auto"/>
            <w:noWrap w:val="0"/>
            <w:vAlign w:val="center"/>
          </w:tcPr>
          <w:p w14:paraId="684373C8">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41E1A65A">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350" w:type="pct"/>
            <w:shd w:val="clear" w:color="auto" w:fill="auto"/>
            <w:noWrap w:val="0"/>
            <w:vAlign w:val="center"/>
          </w:tcPr>
          <w:p w14:paraId="108AE786">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60</w:t>
            </w:r>
          </w:p>
        </w:tc>
        <w:tc>
          <w:tcPr>
            <w:tcW w:w="348" w:type="pct"/>
            <w:shd w:val="clear" w:color="auto" w:fill="auto"/>
            <w:noWrap w:val="0"/>
            <w:vAlign w:val="center"/>
          </w:tcPr>
          <w:p w14:paraId="729455E4">
            <w:pPr>
              <w:bidi w:val="0"/>
              <w:ind w:firstLine="0" w:firstLineChars="0"/>
              <w:jc w:val="center"/>
              <w:rPr>
                <w:rFonts w:hint="eastAsia"/>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2113A49F">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491" w:type="pct"/>
            <w:shd w:val="clear" w:color="auto" w:fill="auto"/>
            <w:noWrap w:val="0"/>
            <w:vAlign w:val="center"/>
          </w:tcPr>
          <w:p w14:paraId="244BC66A">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58</w:t>
            </w:r>
          </w:p>
        </w:tc>
        <w:tc>
          <w:tcPr>
            <w:tcW w:w="237" w:type="pct"/>
            <w:vMerge w:val="continue"/>
            <w:shd w:val="clear" w:color="auto" w:fill="auto"/>
            <w:noWrap w:val="0"/>
            <w:vAlign w:val="center"/>
          </w:tcPr>
          <w:p w14:paraId="64ACB911">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553A987F">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6DCF102B">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32</w:t>
            </w:r>
          </w:p>
        </w:tc>
        <w:tc>
          <w:tcPr>
            <w:tcW w:w="302" w:type="pct"/>
            <w:vMerge w:val="continue"/>
            <w:shd w:val="clear" w:color="auto" w:fill="auto"/>
            <w:noWrap w:val="0"/>
            <w:vAlign w:val="center"/>
          </w:tcPr>
          <w:p w14:paraId="72F2BA5B">
            <w:pPr>
              <w:pStyle w:val="78"/>
              <w:bidi w:val="0"/>
              <w:ind w:firstLine="0" w:firstLineChars="0"/>
              <w:rPr>
                <w:rFonts w:hint="eastAsia"/>
                <w:color w:val="FF0000"/>
                <w:sz w:val="21"/>
                <w:szCs w:val="21"/>
                <w:highlight w:val="none"/>
              </w:rPr>
            </w:pPr>
          </w:p>
        </w:tc>
      </w:tr>
      <w:tr w14:paraId="3AB169A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7CDB6725">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609324E3">
            <w:pPr>
              <w:bidi w:val="0"/>
              <w:jc w:val="center"/>
              <w:rPr>
                <w:rFonts w:hint="default"/>
                <w:color w:val="auto"/>
                <w:sz w:val="21"/>
                <w:szCs w:val="21"/>
                <w:highlight w:val="none"/>
                <w:lang w:val="en-US" w:eastAsia="zh-CN"/>
              </w:rPr>
            </w:pPr>
            <w:r>
              <w:rPr>
                <w:rFonts w:hint="eastAsia"/>
                <w:color w:val="auto"/>
                <w:sz w:val="21"/>
                <w:szCs w:val="21"/>
                <w:highlight w:val="none"/>
                <w:lang w:val="en-US" w:eastAsia="zh-CN"/>
              </w:rPr>
              <w:t>固化炉</w:t>
            </w:r>
          </w:p>
        </w:tc>
        <w:tc>
          <w:tcPr>
            <w:tcW w:w="492" w:type="pct"/>
            <w:shd w:val="clear" w:color="auto" w:fill="auto"/>
            <w:noWrap w:val="0"/>
            <w:vAlign w:val="center"/>
          </w:tcPr>
          <w:p w14:paraId="5215572C">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75</w:t>
            </w:r>
          </w:p>
        </w:tc>
        <w:tc>
          <w:tcPr>
            <w:tcW w:w="360" w:type="pct"/>
            <w:vMerge w:val="continue"/>
            <w:shd w:val="clear" w:color="auto" w:fill="auto"/>
            <w:noWrap w:val="0"/>
            <w:vAlign w:val="center"/>
          </w:tcPr>
          <w:p w14:paraId="5D9E8C87">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2366914E">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10</w:t>
            </w:r>
          </w:p>
        </w:tc>
        <w:tc>
          <w:tcPr>
            <w:tcW w:w="350" w:type="pct"/>
            <w:shd w:val="clear" w:color="auto" w:fill="auto"/>
            <w:noWrap w:val="0"/>
            <w:vAlign w:val="center"/>
          </w:tcPr>
          <w:p w14:paraId="6BCBF9C8">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72</w:t>
            </w:r>
          </w:p>
        </w:tc>
        <w:tc>
          <w:tcPr>
            <w:tcW w:w="348" w:type="pct"/>
            <w:shd w:val="clear" w:color="auto" w:fill="auto"/>
            <w:noWrap w:val="0"/>
            <w:vAlign w:val="center"/>
          </w:tcPr>
          <w:p w14:paraId="3AB1F945">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365" w:type="pct"/>
            <w:shd w:val="clear" w:color="auto" w:fill="auto"/>
            <w:noWrap w:val="0"/>
            <w:vAlign w:val="center"/>
          </w:tcPr>
          <w:p w14:paraId="5D9A8E11">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491" w:type="pct"/>
            <w:shd w:val="clear" w:color="auto" w:fill="auto"/>
            <w:noWrap w:val="0"/>
            <w:vAlign w:val="center"/>
          </w:tcPr>
          <w:p w14:paraId="1BCD49E5">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64</w:t>
            </w:r>
          </w:p>
        </w:tc>
        <w:tc>
          <w:tcPr>
            <w:tcW w:w="237" w:type="pct"/>
            <w:vMerge w:val="continue"/>
            <w:shd w:val="clear" w:color="auto" w:fill="auto"/>
            <w:noWrap w:val="0"/>
            <w:vAlign w:val="center"/>
          </w:tcPr>
          <w:p w14:paraId="4D7D1684">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01CE88FB">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449F8F31">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38</w:t>
            </w:r>
          </w:p>
        </w:tc>
        <w:tc>
          <w:tcPr>
            <w:tcW w:w="302" w:type="pct"/>
            <w:vMerge w:val="continue"/>
            <w:shd w:val="clear" w:color="auto" w:fill="auto"/>
            <w:noWrap w:val="0"/>
            <w:vAlign w:val="center"/>
          </w:tcPr>
          <w:p w14:paraId="133BE72F">
            <w:pPr>
              <w:pStyle w:val="78"/>
              <w:bidi w:val="0"/>
              <w:ind w:firstLine="0" w:firstLineChars="0"/>
              <w:rPr>
                <w:rFonts w:hint="eastAsia"/>
                <w:color w:val="FF0000"/>
                <w:sz w:val="21"/>
                <w:szCs w:val="21"/>
                <w:highlight w:val="none"/>
              </w:rPr>
            </w:pPr>
          </w:p>
        </w:tc>
      </w:tr>
      <w:tr w14:paraId="32A9AED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5C1D5108">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63DF4275">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固化炉</w:t>
            </w:r>
          </w:p>
        </w:tc>
        <w:tc>
          <w:tcPr>
            <w:tcW w:w="492" w:type="pct"/>
            <w:shd w:val="clear" w:color="auto" w:fill="auto"/>
            <w:noWrap w:val="0"/>
            <w:vAlign w:val="center"/>
          </w:tcPr>
          <w:p w14:paraId="65E1436D">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75</w:t>
            </w:r>
          </w:p>
        </w:tc>
        <w:tc>
          <w:tcPr>
            <w:tcW w:w="360" w:type="pct"/>
            <w:vMerge w:val="continue"/>
            <w:shd w:val="clear" w:color="auto" w:fill="auto"/>
            <w:noWrap w:val="0"/>
            <w:vAlign w:val="center"/>
          </w:tcPr>
          <w:p w14:paraId="3F57CE59">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6DADB3AC">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45</w:t>
            </w:r>
          </w:p>
        </w:tc>
        <w:tc>
          <w:tcPr>
            <w:tcW w:w="350" w:type="pct"/>
            <w:shd w:val="clear" w:color="auto" w:fill="auto"/>
            <w:noWrap w:val="0"/>
            <w:vAlign w:val="center"/>
          </w:tcPr>
          <w:p w14:paraId="2A40120E">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50</w:t>
            </w:r>
          </w:p>
        </w:tc>
        <w:tc>
          <w:tcPr>
            <w:tcW w:w="348" w:type="pct"/>
            <w:shd w:val="clear" w:color="auto" w:fill="auto"/>
            <w:noWrap w:val="0"/>
            <w:vAlign w:val="center"/>
          </w:tcPr>
          <w:p w14:paraId="47C41206">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365" w:type="pct"/>
            <w:shd w:val="clear" w:color="auto" w:fill="auto"/>
            <w:noWrap w:val="0"/>
            <w:vAlign w:val="center"/>
          </w:tcPr>
          <w:p w14:paraId="2BB3247B">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491" w:type="pct"/>
            <w:shd w:val="clear" w:color="auto" w:fill="auto"/>
            <w:noWrap w:val="0"/>
            <w:vAlign w:val="center"/>
          </w:tcPr>
          <w:p w14:paraId="586A2F64">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64</w:t>
            </w:r>
          </w:p>
        </w:tc>
        <w:tc>
          <w:tcPr>
            <w:tcW w:w="237" w:type="pct"/>
            <w:vMerge w:val="continue"/>
            <w:shd w:val="clear" w:color="auto" w:fill="auto"/>
            <w:noWrap w:val="0"/>
            <w:vAlign w:val="center"/>
          </w:tcPr>
          <w:p w14:paraId="0F1C8421">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3833DA0C">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64EBA2CE">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38</w:t>
            </w:r>
          </w:p>
        </w:tc>
        <w:tc>
          <w:tcPr>
            <w:tcW w:w="302" w:type="pct"/>
            <w:vMerge w:val="continue"/>
            <w:shd w:val="clear" w:color="auto" w:fill="auto"/>
            <w:noWrap w:val="0"/>
            <w:vAlign w:val="center"/>
          </w:tcPr>
          <w:p w14:paraId="57CFAFF7">
            <w:pPr>
              <w:pStyle w:val="78"/>
              <w:bidi w:val="0"/>
              <w:ind w:firstLine="0" w:firstLineChars="0"/>
              <w:rPr>
                <w:rFonts w:hint="eastAsia"/>
                <w:color w:val="FF0000"/>
                <w:sz w:val="21"/>
                <w:szCs w:val="21"/>
                <w:highlight w:val="none"/>
              </w:rPr>
            </w:pPr>
          </w:p>
        </w:tc>
      </w:tr>
      <w:tr w14:paraId="18EB9D0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1815C9B7">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01658475">
            <w:pPr>
              <w:bidi w:val="0"/>
              <w:jc w:val="center"/>
              <w:rPr>
                <w:rFonts w:hint="default"/>
                <w:color w:val="auto"/>
                <w:sz w:val="21"/>
                <w:szCs w:val="21"/>
                <w:highlight w:val="none"/>
                <w:lang w:val="en-US" w:eastAsia="zh-CN"/>
              </w:rPr>
            </w:pPr>
            <w:r>
              <w:rPr>
                <w:rFonts w:hint="eastAsia"/>
                <w:color w:val="auto"/>
                <w:sz w:val="21"/>
                <w:szCs w:val="21"/>
                <w:highlight w:val="none"/>
                <w:lang w:val="en-US" w:eastAsia="zh-CN"/>
              </w:rPr>
              <w:t>焊接机</w:t>
            </w:r>
          </w:p>
        </w:tc>
        <w:tc>
          <w:tcPr>
            <w:tcW w:w="492" w:type="pct"/>
            <w:shd w:val="clear" w:color="auto" w:fill="auto"/>
            <w:noWrap w:val="0"/>
            <w:vAlign w:val="center"/>
          </w:tcPr>
          <w:p w14:paraId="453924E1">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023A17D4">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4E91A1BD">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8</w:t>
            </w:r>
          </w:p>
        </w:tc>
        <w:tc>
          <w:tcPr>
            <w:tcW w:w="350" w:type="pct"/>
            <w:shd w:val="clear" w:color="auto" w:fill="auto"/>
            <w:noWrap w:val="0"/>
            <w:vAlign w:val="center"/>
          </w:tcPr>
          <w:p w14:paraId="069F279F">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36</w:t>
            </w:r>
          </w:p>
        </w:tc>
        <w:tc>
          <w:tcPr>
            <w:tcW w:w="348" w:type="pct"/>
            <w:shd w:val="clear" w:color="auto" w:fill="auto"/>
            <w:noWrap w:val="0"/>
            <w:vAlign w:val="center"/>
          </w:tcPr>
          <w:p w14:paraId="5FE62804">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4F694ED1">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2.5</w:t>
            </w:r>
          </w:p>
        </w:tc>
        <w:tc>
          <w:tcPr>
            <w:tcW w:w="491" w:type="pct"/>
            <w:shd w:val="clear" w:color="auto" w:fill="auto"/>
            <w:noWrap w:val="0"/>
            <w:vAlign w:val="center"/>
          </w:tcPr>
          <w:p w14:paraId="75E46191">
            <w:pPr>
              <w:bidi w:val="0"/>
              <w:ind w:firstLine="0" w:firstLineChars="0"/>
              <w:jc w:val="center"/>
              <w:rPr>
                <w:rFonts w:hint="default" w:ascii="Times New Roman" w:hAnsi="Times New Roman" w:cs="Times New Roman"/>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61</w:t>
            </w:r>
          </w:p>
        </w:tc>
        <w:tc>
          <w:tcPr>
            <w:tcW w:w="237" w:type="pct"/>
            <w:vMerge w:val="continue"/>
            <w:shd w:val="clear" w:color="auto" w:fill="auto"/>
            <w:noWrap w:val="0"/>
            <w:vAlign w:val="center"/>
          </w:tcPr>
          <w:p w14:paraId="478F871A">
            <w:pPr>
              <w:pStyle w:val="78"/>
              <w:bidi w:val="0"/>
              <w:ind w:firstLine="0" w:firstLineChars="0"/>
              <w:rPr>
                <w:rFonts w:hint="eastAsia"/>
                <w:color w:val="FF0000"/>
                <w:sz w:val="21"/>
                <w:szCs w:val="21"/>
                <w:highlight w:val="none"/>
                <w:lang w:val="en-US" w:eastAsia="zh-CN"/>
              </w:rPr>
            </w:pPr>
          </w:p>
        </w:tc>
        <w:tc>
          <w:tcPr>
            <w:tcW w:w="426" w:type="pct"/>
            <w:shd w:val="clear" w:color="auto" w:fill="auto"/>
            <w:noWrap w:val="0"/>
            <w:vAlign w:val="center"/>
          </w:tcPr>
          <w:p w14:paraId="3D37B01D">
            <w:pPr>
              <w:bidi w:val="0"/>
              <w:ind w:firstLine="0" w:firstLineChars="0"/>
              <w:jc w:val="center"/>
              <w:rPr>
                <w:rFonts w:hint="default" w:ascii="Times New Roman" w:hAnsi="Times New Roman" w:cs="Times New Roman"/>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18D1EEB7">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35</w:t>
            </w:r>
          </w:p>
        </w:tc>
        <w:tc>
          <w:tcPr>
            <w:tcW w:w="302" w:type="pct"/>
            <w:vMerge w:val="continue"/>
            <w:shd w:val="clear" w:color="auto" w:fill="auto"/>
            <w:noWrap w:val="0"/>
            <w:vAlign w:val="center"/>
          </w:tcPr>
          <w:p w14:paraId="271F38E8">
            <w:pPr>
              <w:pStyle w:val="78"/>
              <w:bidi w:val="0"/>
              <w:ind w:firstLine="0" w:firstLineChars="0"/>
              <w:rPr>
                <w:rFonts w:hint="eastAsia"/>
                <w:color w:val="FF0000"/>
                <w:sz w:val="21"/>
                <w:szCs w:val="21"/>
                <w:highlight w:val="none"/>
              </w:rPr>
            </w:pPr>
          </w:p>
        </w:tc>
      </w:tr>
      <w:tr w14:paraId="517D6D8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5A1BBC5F">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052C0338">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焊接机</w:t>
            </w:r>
          </w:p>
        </w:tc>
        <w:tc>
          <w:tcPr>
            <w:tcW w:w="492" w:type="pct"/>
            <w:shd w:val="clear" w:color="auto" w:fill="auto"/>
            <w:noWrap w:val="0"/>
            <w:vAlign w:val="center"/>
          </w:tcPr>
          <w:p w14:paraId="4DD374F3">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08F4CF7B">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631D4AF8">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8</w:t>
            </w:r>
          </w:p>
        </w:tc>
        <w:tc>
          <w:tcPr>
            <w:tcW w:w="350" w:type="pct"/>
            <w:shd w:val="clear" w:color="auto" w:fill="auto"/>
            <w:noWrap w:val="0"/>
            <w:vAlign w:val="center"/>
          </w:tcPr>
          <w:p w14:paraId="7CE96097">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40</w:t>
            </w:r>
          </w:p>
        </w:tc>
        <w:tc>
          <w:tcPr>
            <w:tcW w:w="348" w:type="pct"/>
            <w:shd w:val="clear" w:color="auto" w:fill="auto"/>
            <w:noWrap w:val="0"/>
            <w:vAlign w:val="center"/>
          </w:tcPr>
          <w:p w14:paraId="1C4EE8F6">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4E3B0359">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2.5</w:t>
            </w:r>
          </w:p>
        </w:tc>
        <w:tc>
          <w:tcPr>
            <w:tcW w:w="491" w:type="pct"/>
            <w:shd w:val="clear" w:color="auto" w:fill="auto"/>
            <w:noWrap w:val="0"/>
            <w:vAlign w:val="center"/>
          </w:tcPr>
          <w:p w14:paraId="7FAA6D9A">
            <w:pPr>
              <w:bidi w:val="0"/>
              <w:ind w:firstLine="0" w:firstLineChars="0"/>
              <w:jc w:val="center"/>
              <w:rPr>
                <w:rFonts w:hint="default" w:ascii="Times New Roman" w:hAnsi="Times New Roman" w:cs="Times New Roman"/>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61</w:t>
            </w:r>
          </w:p>
        </w:tc>
        <w:tc>
          <w:tcPr>
            <w:tcW w:w="237" w:type="pct"/>
            <w:vMerge w:val="continue"/>
            <w:shd w:val="clear" w:color="auto" w:fill="auto"/>
            <w:noWrap w:val="0"/>
            <w:vAlign w:val="center"/>
          </w:tcPr>
          <w:p w14:paraId="77F99901">
            <w:pPr>
              <w:pStyle w:val="78"/>
              <w:bidi w:val="0"/>
              <w:ind w:firstLine="0" w:firstLineChars="0"/>
              <w:rPr>
                <w:rFonts w:hint="eastAsia"/>
                <w:color w:val="FF0000"/>
                <w:sz w:val="21"/>
                <w:szCs w:val="21"/>
                <w:highlight w:val="none"/>
                <w:lang w:val="en-US" w:eastAsia="zh-CN"/>
              </w:rPr>
            </w:pPr>
          </w:p>
        </w:tc>
        <w:tc>
          <w:tcPr>
            <w:tcW w:w="426" w:type="pct"/>
            <w:shd w:val="clear" w:color="auto" w:fill="auto"/>
            <w:noWrap w:val="0"/>
            <w:vAlign w:val="center"/>
          </w:tcPr>
          <w:p w14:paraId="2031234D">
            <w:pPr>
              <w:bidi w:val="0"/>
              <w:ind w:firstLine="0" w:firstLineChars="0"/>
              <w:jc w:val="center"/>
              <w:rPr>
                <w:rFonts w:hint="default" w:ascii="Times New Roman" w:hAnsi="Times New Roman" w:cs="Times New Roman"/>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05F6CE79">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35</w:t>
            </w:r>
          </w:p>
        </w:tc>
        <w:tc>
          <w:tcPr>
            <w:tcW w:w="302" w:type="pct"/>
            <w:vMerge w:val="continue"/>
            <w:shd w:val="clear" w:color="auto" w:fill="auto"/>
            <w:noWrap w:val="0"/>
            <w:vAlign w:val="center"/>
          </w:tcPr>
          <w:p w14:paraId="1A7EE1EE">
            <w:pPr>
              <w:pStyle w:val="78"/>
              <w:bidi w:val="0"/>
              <w:ind w:firstLine="0" w:firstLineChars="0"/>
              <w:rPr>
                <w:rFonts w:hint="eastAsia"/>
                <w:color w:val="FF0000"/>
                <w:sz w:val="21"/>
                <w:szCs w:val="21"/>
                <w:highlight w:val="none"/>
              </w:rPr>
            </w:pPr>
          </w:p>
        </w:tc>
      </w:tr>
      <w:tr w14:paraId="40059AA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6960DDE5">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219C95F2">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焊接机</w:t>
            </w:r>
          </w:p>
        </w:tc>
        <w:tc>
          <w:tcPr>
            <w:tcW w:w="492" w:type="pct"/>
            <w:shd w:val="clear" w:color="auto" w:fill="auto"/>
            <w:noWrap w:val="0"/>
            <w:vAlign w:val="center"/>
          </w:tcPr>
          <w:p w14:paraId="1E9892BF">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3815B295">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2C9A8271">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10</w:t>
            </w:r>
          </w:p>
        </w:tc>
        <w:tc>
          <w:tcPr>
            <w:tcW w:w="350" w:type="pct"/>
            <w:shd w:val="clear" w:color="auto" w:fill="auto"/>
            <w:noWrap w:val="0"/>
            <w:vAlign w:val="center"/>
          </w:tcPr>
          <w:p w14:paraId="13CE4DE3">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36</w:t>
            </w:r>
          </w:p>
        </w:tc>
        <w:tc>
          <w:tcPr>
            <w:tcW w:w="348" w:type="pct"/>
            <w:shd w:val="clear" w:color="auto" w:fill="auto"/>
            <w:noWrap w:val="0"/>
            <w:vAlign w:val="center"/>
          </w:tcPr>
          <w:p w14:paraId="7AAE0B56">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23A391F6">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491" w:type="pct"/>
            <w:shd w:val="clear" w:color="auto" w:fill="auto"/>
            <w:noWrap w:val="0"/>
            <w:vAlign w:val="center"/>
          </w:tcPr>
          <w:p w14:paraId="20737735">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237" w:type="pct"/>
            <w:vMerge w:val="continue"/>
            <w:shd w:val="clear" w:color="auto" w:fill="auto"/>
            <w:noWrap w:val="0"/>
            <w:vAlign w:val="center"/>
          </w:tcPr>
          <w:p w14:paraId="4C87B015">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5850A1A5">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3761D5C5">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29</w:t>
            </w:r>
          </w:p>
        </w:tc>
        <w:tc>
          <w:tcPr>
            <w:tcW w:w="302" w:type="pct"/>
            <w:vMerge w:val="continue"/>
            <w:shd w:val="clear" w:color="auto" w:fill="auto"/>
            <w:noWrap w:val="0"/>
            <w:vAlign w:val="center"/>
          </w:tcPr>
          <w:p w14:paraId="078E2FA5">
            <w:pPr>
              <w:pStyle w:val="78"/>
              <w:bidi w:val="0"/>
              <w:ind w:firstLine="0" w:firstLineChars="0"/>
              <w:rPr>
                <w:rFonts w:hint="eastAsia"/>
                <w:color w:val="FF0000"/>
                <w:sz w:val="21"/>
                <w:szCs w:val="21"/>
                <w:highlight w:val="none"/>
              </w:rPr>
            </w:pPr>
          </w:p>
        </w:tc>
      </w:tr>
      <w:tr w14:paraId="50093CD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22DD035B">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047012DF">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焊接机</w:t>
            </w:r>
          </w:p>
        </w:tc>
        <w:tc>
          <w:tcPr>
            <w:tcW w:w="492" w:type="pct"/>
            <w:shd w:val="clear" w:color="auto" w:fill="auto"/>
            <w:noWrap w:val="0"/>
            <w:vAlign w:val="center"/>
          </w:tcPr>
          <w:p w14:paraId="364B0B7D">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592F631A">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62BB7ED8">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10</w:t>
            </w:r>
          </w:p>
        </w:tc>
        <w:tc>
          <w:tcPr>
            <w:tcW w:w="350" w:type="pct"/>
            <w:shd w:val="clear" w:color="auto" w:fill="auto"/>
            <w:noWrap w:val="0"/>
            <w:vAlign w:val="center"/>
          </w:tcPr>
          <w:p w14:paraId="0086B7F0">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40</w:t>
            </w:r>
          </w:p>
        </w:tc>
        <w:tc>
          <w:tcPr>
            <w:tcW w:w="348" w:type="pct"/>
            <w:shd w:val="clear" w:color="auto" w:fill="auto"/>
            <w:noWrap w:val="0"/>
            <w:vAlign w:val="center"/>
          </w:tcPr>
          <w:p w14:paraId="0E78E2B0">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61875FC7">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491" w:type="pct"/>
            <w:shd w:val="clear" w:color="auto" w:fill="auto"/>
            <w:noWrap w:val="0"/>
            <w:vAlign w:val="center"/>
          </w:tcPr>
          <w:p w14:paraId="535CCC8B">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237" w:type="pct"/>
            <w:vMerge w:val="continue"/>
            <w:shd w:val="clear" w:color="auto" w:fill="auto"/>
            <w:noWrap w:val="0"/>
            <w:vAlign w:val="center"/>
          </w:tcPr>
          <w:p w14:paraId="0679780D">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71979C46">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43F749BF">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29</w:t>
            </w:r>
          </w:p>
        </w:tc>
        <w:tc>
          <w:tcPr>
            <w:tcW w:w="302" w:type="pct"/>
            <w:vMerge w:val="continue"/>
            <w:shd w:val="clear" w:color="auto" w:fill="auto"/>
            <w:noWrap w:val="0"/>
            <w:vAlign w:val="center"/>
          </w:tcPr>
          <w:p w14:paraId="6BBCB7C2">
            <w:pPr>
              <w:pStyle w:val="78"/>
              <w:bidi w:val="0"/>
              <w:ind w:firstLine="0" w:firstLineChars="0"/>
              <w:rPr>
                <w:rFonts w:hint="eastAsia"/>
                <w:color w:val="FF0000"/>
                <w:sz w:val="21"/>
                <w:szCs w:val="21"/>
                <w:highlight w:val="none"/>
              </w:rPr>
            </w:pPr>
          </w:p>
        </w:tc>
      </w:tr>
      <w:tr w14:paraId="00141EC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54893A6A">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13EC25AD">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焊接机</w:t>
            </w:r>
          </w:p>
        </w:tc>
        <w:tc>
          <w:tcPr>
            <w:tcW w:w="492" w:type="pct"/>
            <w:shd w:val="clear" w:color="auto" w:fill="auto"/>
            <w:noWrap w:val="0"/>
            <w:vAlign w:val="center"/>
          </w:tcPr>
          <w:p w14:paraId="06915742">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35186974">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1B33B6CC">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10</w:t>
            </w:r>
          </w:p>
        </w:tc>
        <w:tc>
          <w:tcPr>
            <w:tcW w:w="350" w:type="pct"/>
            <w:shd w:val="clear" w:color="auto" w:fill="auto"/>
            <w:noWrap w:val="0"/>
            <w:vAlign w:val="center"/>
          </w:tcPr>
          <w:p w14:paraId="36477A6D">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42</w:t>
            </w:r>
          </w:p>
        </w:tc>
        <w:tc>
          <w:tcPr>
            <w:tcW w:w="348" w:type="pct"/>
            <w:shd w:val="clear" w:color="auto" w:fill="auto"/>
            <w:noWrap w:val="0"/>
            <w:vAlign w:val="center"/>
          </w:tcPr>
          <w:p w14:paraId="34885031">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023C87E4">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491" w:type="pct"/>
            <w:shd w:val="clear" w:color="auto" w:fill="auto"/>
            <w:noWrap w:val="0"/>
            <w:vAlign w:val="center"/>
          </w:tcPr>
          <w:p w14:paraId="0162129B">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237" w:type="pct"/>
            <w:vMerge w:val="continue"/>
            <w:shd w:val="clear" w:color="auto" w:fill="auto"/>
            <w:noWrap w:val="0"/>
            <w:vAlign w:val="center"/>
          </w:tcPr>
          <w:p w14:paraId="5D418129">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040FC40F">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3A1A39F9">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29</w:t>
            </w:r>
          </w:p>
        </w:tc>
        <w:tc>
          <w:tcPr>
            <w:tcW w:w="302" w:type="pct"/>
            <w:vMerge w:val="continue"/>
            <w:shd w:val="clear" w:color="auto" w:fill="auto"/>
            <w:noWrap w:val="0"/>
            <w:vAlign w:val="center"/>
          </w:tcPr>
          <w:p w14:paraId="619D978C">
            <w:pPr>
              <w:pStyle w:val="78"/>
              <w:bidi w:val="0"/>
              <w:ind w:firstLine="0" w:firstLineChars="0"/>
              <w:rPr>
                <w:rFonts w:hint="eastAsia"/>
                <w:color w:val="FF0000"/>
                <w:sz w:val="21"/>
                <w:szCs w:val="21"/>
                <w:highlight w:val="none"/>
              </w:rPr>
            </w:pPr>
          </w:p>
        </w:tc>
      </w:tr>
      <w:tr w14:paraId="5310A9D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1600A8B1">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6DC36DFC">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焊接机</w:t>
            </w:r>
          </w:p>
        </w:tc>
        <w:tc>
          <w:tcPr>
            <w:tcW w:w="492" w:type="pct"/>
            <w:shd w:val="clear" w:color="auto" w:fill="auto"/>
            <w:noWrap w:val="0"/>
            <w:vAlign w:val="center"/>
          </w:tcPr>
          <w:p w14:paraId="5362B190">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54A80E79">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140DECA6">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16</w:t>
            </w:r>
          </w:p>
        </w:tc>
        <w:tc>
          <w:tcPr>
            <w:tcW w:w="350" w:type="pct"/>
            <w:shd w:val="clear" w:color="auto" w:fill="auto"/>
            <w:noWrap w:val="0"/>
            <w:vAlign w:val="center"/>
          </w:tcPr>
          <w:p w14:paraId="50024DAD">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36</w:t>
            </w:r>
          </w:p>
        </w:tc>
        <w:tc>
          <w:tcPr>
            <w:tcW w:w="348" w:type="pct"/>
            <w:shd w:val="clear" w:color="auto" w:fill="auto"/>
            <w:noWrap w:val="0"/>
            <w:vAlign w:val="center"/>
          </w:tcPr>
          <w:p w14:paraId="5AEEB6D2">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728ACCB2">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3.5</w:t>
            </w:r>
          </w:p>
        </w:tc>
        <w:tc>
          <w:tcPr>
            <w:tcW w:w="491" w:type="pct"/>
            <w:shd w:val="clear" w:color="auto" w:fill="auto"/>
            <w:noWrap w:val="0"/>
            <w:vAlign w:val="center"/>
          </w:tcPr>
          <w:p w14:paraId="70444E91">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59</w:t>
            </w:r>
          </w:p>
        </w:tc>
        <w:tc>
          <w:tcPr>
            <w:tcW w:w="237" w:type="pct"/>
            <w:vMerge w:val="continue"/>
            <w:shd w:val="clear" w:color="auto" w:fill="auto"/>
            <w:noWrap w:val="0"/>
            <w:vAlign w:val="center"/>
          </w:tcPr>
          <w:p w14:paraId="0C4089F8">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7DD7CA15">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611768E8">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33</w:t>
            </w:r>
          </w:p>
        </w:tc>
        <w:tc>
          <w:tcPr>
            <w:tcW w:w="302" w:type="pct"/>
            <w:vMerge w:val="continue"/>
            <w:shd w:val="clear" w:color="auto" w:fill="auto"/>
            <w:noWrap w:val="0"/>
            <w:vAlign w:val="center"/>
          </w:tcPr>
          <w:p w14:paraId="1B20D5A3">
            <w:pPr>
              <w:pStyle w:val="78"/>
              <w:bidi w:val="0"/>
              <w:ind w:firstLine="0" w:firstLineChars="0"/>
              <w:rPr>
                <w:rFonts w:hint="eastAsia"/>
                <w:color w:val="FF0000"/>
                <w:sz w:val="21"/>
                <w:szCs w:val="21"/>
                <w:highlight w:val="none"/>
              </w:rPr>
            </w:pPr>
          </w:p>
        </w:tc>
      </w:tr>
      <w:tr w14:paraId="6A65B97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6220A187">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4EE607F7">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焊接机</w:t>
            </w:r>
          </w:p>
        </w:tc>
        <w:tc>
          <w:tcPr>
            <w:tcW w:w="492" w:type="pct"/>
            <w:shd w:val="clear" w:color="auto" w:fill="auto"/>
            <w:noWrap w:val="0"/>
            <w:vAlign w:val="center"/>
          </w:tcPr>
          <w:p w14:paraId="26DF5B33">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7D810834">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33DDBBDA">
            <w:pPr>
              <w:pStyle w:val="78"/>
              <w:bidi w:val="0"/>
              <w:ind w:firstLine="0" w:firstLineChars="0"/>
              <w:rPr>
                <w:rFonts w:hint="default" w:ascii="Times New Roman" w:hAnsi="Times New Roman" w:eastAsia="宋体" w:cs="宋体"/>
                <w:snapToGrid w:val="0"/>
                <w:color w:val="auto"/>
                <w:kern w:val="2"/>
                <w:sz w:val="21"/>
                <w:szCs w:val="21"/>
                <w:highlight w:val="none"/>
                <w:lang w:val="en-US" w:eastAsia="zh-CN" w:bidi="ar-SA"/>
              </w:rPr>
            </w:pPr>
            <w:r>
              <w:rPr>
                <w:rFonts w:hint="eastAsia"/>
                <w:color w:val="auto"/>
                <w:sz w:val="21"/>
                <w:szCs w:val="21"/>
                <w:highlight w:val="none"/>
                <w:lang w:val="en-US" w:eastAsia="zh-CN"/>
              </w:rPr>
              <w:t>16</w:t>
            </w:r>
          </w:p>
        </w:tc>
        <w:tc>
          <w:tcPr>
            <w:tcW w:w="350" w:type="pct"/>
            <w:shd w:val="clear" w:color="auto" w:fill="auto"/>
            <w:noWrap w:val="0"/>
            <w:vAlign w:val="center"/>
          </w:tcPr>
          <w:p w14:paraId="3CF4EE24">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40</w:t>
            </w:r>
          </w:p>
        </w:tc>
        <w:tc>
          <w:tcPr>
            <w:tcW w:w="348" w:type="pct"/>
            <w:shd w:val="clear" w:color="auto" w:fill="auto"/>
            <w:noWrap w:val="0"/>
            <w:vAlign w:val="center"/>
          </w:tcPr>
          <w:p w14:paraId="367BF17A">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608F6F29">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3.5</w:t>
            </w:r>
          </w:p>
        </w:tc>
        <w:tc>
          <w:tcPr>
            <w:tcW w:w="491" w:type="pct"/>
            <w:shd w:val="clear" w:color="auto" w:fill="auto"/>
            <w:noWrap w:val="0"/>
            <w:vAlign w:val="center"/>
          </w:tcPr>
          <w:p w14:paraId="317B819B">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59</w:t>
            </w:r>
          </w:p>
        </w:tc>
        <w:tc>
          <w:tcPr>
            <w:tcW w:w="237" w:type="pct"/>
            <w:vMerge w:val="continue"/>
            <w:shd w:val="clear" w:color="auto" w:fill="auto"/>
            <w:noWrap w:val="0"/>
            <w:vAlign w:val="center"/>
          </w:tcPr>
          <w:p w14:paraId="70AE8000">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671C349E">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3F978240">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33</w:t>
            </w:r>
          </w:p>
        </w:tc>
        <w:tc>
          <w:tcPr>
            <w:tcW w:w="302" w:type="pct"/>
            <w:vMerge w:val="continue"/>
            <w:shd w:val="clear" w:color="auto" w:fill="auto"/>
            <w:noWrap w:val="0"/>
            <w:vAlign w:val="center"/>
          </w:tcPr>
          <w:p w14:paraId="4BC38620">
            <w:pPr>
              <w:pStyle w:val="78"/>
              <w:bidi w:val="0"/>
              <w:ind w:firstLine="0" w:firstLineChars="0"/>
              <w:rPr>
                <w:rFonts w:hint="eastAsia"/>
                <w:color w:val="FF0000"/>
                <w:sz w:val="21"/>
                <w:szCs w:val="21"/>
                <w:highlight w:val="none"/>
              </w:rPr>
            </w:pPr>
          </w:p>
        </w:tc>
      </w:tr>
      <w:tr w14:paraId="682DABF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479F8CCD">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5EE0A33E">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焊接机</w:t>
            </w:r>
          </w:p>
        </w:tc>
        <w:tc>
          <w:tcPr>
            <w:tcW w:w="492" w:type="pct"/>
            <w:shd w:val="clear" w:color="auto" w:fill="auto"/>
            <w:noWrap w:val="0"/>
            <w:vAlign w:val="center"/>
          </w:tcPr>
          <w:p w14:paraId="1A43FD6F">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22111B3C">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7E56AACF">
            <w:pPr>
              <w:pStyle w:val="78"/>
              <w:bidi w:val="0"/>
              <w:ind w:firstLine="0" w:firstLineChars="0"/>
              <w:rPr>
                <w:rFonts w:hint="default" w:ascii="Times New Roman" w:hAnsi="Times New Roman" w:eastAsia="宋体" w:cs="宋体"/>
                <w:snapToGrid w:val="0"/>
                <w:color w:val="auto"/>
                <w:kern w:val="2"/>
                <w:sz w:val="21"/>
                <w:szCs w:val="21"/>
                <w:highlight w:val="none"/>
                <w:lang w:val="en-US" w:eastAsia="zh-CN" w:bidi="ar-SA"/>
              </w:rPr>
            </w:pPr>
            <w:r>
              <w:rPr>
                <w:rFonts w:hint="eastAsia"/>
                <w:color w:val="auto"/>
                <w:sz w:val="21"/>
                <w:szCs w:val="21"/>
                <w:highlight w:val="none"/>
                <w:lang w:val="en-US" w:eastAsia="zh-CN"/>
              </w:rPr>
              <w:t>16</w:t>
            </w:r>
          </w:p>
        </w:tc>
        <w:tc>
          <w:tcPr>
            <w:tcW w:w="350" w:type="pct"/>
            <w:shd w:val="clear" w:color="auto" w:fill="auto"/>
            <w:noWrap w:val="0"/>
            <w:vAlign w:val="center"/>
          </w:tcPr>
          <w:p w14:paraId="65ABA45C">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42</w:t>
            </w:r>
          </w:p>
        </w:tc>
        <w:tc>
          <w:tcPr>
            <w:tcW w:w="348" w:type="pct"/>
            <w:shd w:val="clear" w:color="auto" w:fill="auto"/>
            <w:noWrap w:val="0"/>
            <w:vAlign w:val="center"/>
          </w:tcPr>
          <w:p w14:paraId="3FEC0B19">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60AB7FF2">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3.5</w:t>
            </w:r>
          </w:p>
        </w:tc>
        <w:tc>
          <w:tcPr>
            <w:tcW w:w="491" w:type="pct"/>
            <w:shd w:val="clear" w:color="auto" w:fill="auto"/>
            <w:noWrap w:val="0"/>
            <w:vAlign w:val="center"/>
          </w:tcPr>
          <w:p w14:paraId="4A4D5CDF">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59</w:t>
            </w:r>
          </w:p>
        </w:tc>
        <w:tc>
          <w:tcPr>
            <w:tcW w:w="237" w:type="pct"/>
            <w:vMerge w:val="continue"/>
            <w:shd w:val="clear" w:color="auto" w:fill="auto"/>
            <w:noWrap w:val="0"/>
            <w:vAlign w:val="center"/>
          </w:tcPr>
          <w:p w14:paraId="569A08CA">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00189625">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06F3521F">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33</w:t>
            </w:r>
          </w:p>
        </w:tc>
        <w:tc>
          <w:tcPr>
            <w:tcW w:w="302" w:type="pct"/>
            <w:vMerge w:val="continue"/>
            <w:shd w:val="clear" w:color="auto" w:fill="auto"/>
            <w:noWrap w:val="0"/>
            <w:vAlign w:val="center"/>
          </w:tcPr>
          <w:p w14:paraId="28D615FF">
            <w:pPr>
              <w:pStyle w:val="78"/>
              <w:bidi w:val="0"/>
              <w:ind w:firstLine="0" w:firstLineChars="0"/>
              <w:rPr>
                <w:rFonts w:hint="eastAsia"/>
                <w:color w:val="FF0000"/>
                <w:sz w:val="21"/>
                <w:szCs w:val="21"/>
                <w:highlight w:val="none"/>
              </w:rPr>
            </w:pPr>
          </w:p>
        </w:tc>
      </w:tr>
      <w:tr w14:paraId="513CF49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3495DBAF">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6A71620C">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焊接机</w:t>
            </w:r>
          </w:p>
        </w:tc>
        <w:tc>
          <w:tcPr>
            <w:tcW w:w="492" w:type="pct"/>
            <w:shd w:val="clear" w:color="auto" w:fill="auto"/>
            <w:noWrap w:val="0"/>
            <w:vAlign w:val="center"/>
          </w:tcPr>
          <w:p w14:paraId="61CC80F5">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0C6B2820">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0E8AA11D">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1CB4227A">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36</w:t>
            </w:r>
          </w:p>
        </w:tc>
        <w:tc>
          <w:tcPr>
            <w:tcW w:w="348" w:type="pct"/>
            <w:shd w:val="clear" w:color="auto" w:fill="auto"/>
            <w:noWrap w:val="0"/>
            <w:vAlign w:val="center"/>
          </w:tcPr>
          <w:p w14:paraId="2E61E5FC">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679ECD3C">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2.5</w:t>
            </w:r>
          </w:p>
        </w:tc>
        <w:tc>
          <w:tcPr>
            <w:tcW w:w="837" w:type="dxa"/>
            <w:shd w:val="clear" w:color="auto" w:fill="auto"/>
            <w:noWrap w:val="0"/>
            <w:vAlign w:val="center"/>
          </w:tcPr>
          <w:p w14:paraId="1A4DA202">
            <w:pPr>
              <w:bidi w:val="0"/>
              <w:ind w:firstLine="0" w:firstLineChars="0"/>
              <w:jc w:val="center"/>
              <w:rPr>
                <w:rFonts w:hint="eastAsia"/>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61</w:t>
            </w:r>
          </w:p>
        </w:tc>
        <w:tc>
          <w:tcPr>
            <w:tcW w:w="237" w:type="pct"/>
            <w:vMerge w:val="continue"/>
            <w:shd w:val="clear" w:color="auto" w:fill="auto"/>
            <w:noWrap w:val="0"/>
            <w:vAlign w:val="center"/>
          </w:tcPr>
          <w:p w14:paraId="3698478D">
            <w:pPr>
              <w:pStyle w:val="78"/>
              <w:bidi w:val="0"/>
              <w:ind w:firstLine="0" w:firstLineChars="0"/>
              <w:rPr>
                <w:rFonts w:hint="eastAsia"/>
                <w:color w:val="FF0000"/>
                <w:sz w:val="21"/>
                <w:szCs w:val="21"/>
                <w:highlight w:val="none"/>
                <w:lang w:val="en-US" w:eastAsia="zh-CN"/>
              </w:rPr>
            </w:pPr>
          </w:p>
        </w:tc>
        <w:tc>
          <w:tcPr>
            <w:tcW w:w="426" w:type="pct"/>
            <w:shd w:val="clear" w:color="auto" w:fill="auto"/>
            <w:noWrap w:val="0"/>
            <w:vAlign w:val="center"/>
          </w:tcPr>
          <w:p w14:paraId="3A2A87CE">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542" w:type="dxa"/>
            <w:shd w:val="clear" w:color="auto" w:fill="auto"/>
            <w:noWrap w:val="0"/>
            <w:vAlign w:val="center"/>
          </w:tcPr>
          <w:p w14:paraId="779EBB9D">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w:t>
            </w:r>
          </w:p>
        </w:tc>
        <w:tc>
          <w:tcPr>
            <w:tcW w:w="302" w:type="pct"/>
            <w:vMerge w:val="continue"/>
            <w:shd w:val="clear" w:color="auto" w:fill="auto"/>
            <w:noWrap w:val="0"/>
            <w:vAlign w:val="center"/>
          </w:tcPr>
          <w:p w14:paraId="6746CFB3">
            <w:pPr>
              <w:pStyle w:val="78"/>
              <w:bidi w:val="0"/>
              <w:ind w:firstLine="0" w:firstLineChars="0"/>
              <w:rPr>
                <w:rFonts w:hint="eastAsia"/>
                <w:color w:val="FF0000"/>
                <w:sz w:val="21"/>
                <w:szCs w:val="21"/>
                <w:highlight w:val="none"/>
              </w:rPr>
            </w:pPr>
          </w:p>
        </w:tc>
      </w:tr>
      <w:tr w14:paraId="26605E4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6B5CA3F6">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7B66086C">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焊接机</w:t>
            </w:r>
          </w:p>
        </w:tc>
        <w:tc>
          <w:tcPr>
            <w:tcW w:w="492" w:type="pct"/>
            <w:shd w:val="clear" w:color="auto" w:fill="auto"/>
            <w:noWrap w:val="0"/>
            <w:vAlign w:val="center"/>
          </w:tcPr>
          <w:p w14:paraId="3E72CD0D">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31D1D611">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06592403">
            <w:pPr>
              <w:pStyle w:val="78"/>
              <w:bidi w:val="0"/>
              <w:ind w:firstLine="0" w:firstLineChars="0"/>
              <w:rPr>
                <w:rFonts w:hint="eastAsia" w:ascii="Times New Roman" w:hAnsi="Times New Roman" w:eastAsia="宋体" w:cs="宋体"/>
                <w:snapToGrid w:val="0"/>
                <w:color w:val="auto"/>
                <w:kern w:val="2"/>
                <w:sz w:val="21"/>
                <w:szCs w:val="21"/>
                <w:highlight w:val="none"/>
                <w:lang w:val="en-US" w:eastAsia="zh-CN" w:bidi="ar-SA"/>
              </w:rPr>
            </w:pPr>
            <w:r>
              <w:rPr>
                <w:rFonts w:hint="eastAsia"/>
                <w:color w:val="auto"/>
                <w:sz w:val="21"/>
                <w:szCs w:val="21"/>
                <w:highlight w:val="none"/>
                <w:lang w:val="en-US" w:eastAsia="zh-CN"/>
              </w:rPr>
              <w:t>30</w:t>
            </w:r>
          </w:p>
        </w:tc>
        <w:tc>
          <w:tcPr>
            <w:tcW w:w="350" w:type="pct"/>
            <w:shd w:val="clear" w:color="auto" w:fill="auto"/>
            <w:noWrap w:val="0"/>
            <w:vAlign w:val="center"/>
          </w:tcPr>
          <w:p w14:paraId="29F486DE">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40</w:t>
            </w:r>
          </w:p>
        </w:tc>
        <w:tc>
          <w:tcPr>
            <w:tcW w:w="348" w:type="pct"/>
            <w:shd w:val="clear" w:color="auto" w:fill="auto"/>
            <w:noWrap w:val="0"/>
            <w:vAlign w:val="center"/>
          </w:tcPr>
          <w:p w14:paraId="3D5B6B71">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0AD0C286">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2.5</w:t>
            </w:r>
          </w:p>
        </w:tc>
        <w:tc>
          <w:tcPr>
            <w:tcW w:w="837" w:type="dxa"/>
            <w:shd w:val="clear" w:color="auto" w:fill="auto"/>
            <w:noWrap w:val="0"/>
            <w:vAlign w:val="center"/>
          </w:tcPr>
          <w:p w14:paraId="7CA897FA">
            <w:pPr>
              <w:bidi w:val="0"/>
              <w:ind w:firstLine="0" w:firstLineChars="0"/>
              <w:jc w:val="center"/>
              <w:rPr>
                <w:rFonts w:hint="eastAsia"/>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61</w:t>
            </w:r>
          </w:p>
        </w:tc>
        <w:tc>
          <w:tcPr>
            <w:tcW w:w="237" w:type="pct"/>
            <w:vMerge w:val="continue"/>
            <w:shd w:val="clear" w:color="auto" w:fill="auto"/>
            <w:noWrap w:val="0"/>
            <w:vAlign w:val="center"/>
          </w:tcPr>
          <w:p w14:paraId="2F24FD62">
            <w:pPr>
              <w:pStyle w:val="78"/>
              <w:bidi w:val="0"/>
              <w:ind w:firstLine="0" w:firstLineChars="0"/>
              <w:rPr>
                <w:rFonts w:hint="eastAsia"/>
                <w:color w:val="FF0000"/>
                <w:sz w:val="21"/>
                <w:szCs w:val="21"/>
                <w:highlight w:val="none"/>
                <w:lang w:val="en-US" w:eastAsia="zh-CN"/>
              </w:rPr>
            </w:pPr>
          </w:p>
        </w:tc>
        <w:tc>
          <w:tcPr>
            <w:tcW w:w="426" w:type="pct"/>
            <w:shd w:val="clear" w:color="auto" w:fill="auto"/>
            <w:noWrap w:val="0"/>
            <w:vAlign w:val="center"/>
          </w:tcPr>
          <w:p w14:paraId="0777DEB8">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542" w:type="dxa"/>
            <w:shd w:val="clear" w:color="auto" w:fill="auto"/>
            <w:noWrap w:val="0"/>
            <w:vAlign w:val="center"/>
          </w:tcPr>
          <w:p w14:paraId="6395B89D">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w:t>
            </w:r>
          </w:p>
        </w:tc>
        <w:tc>
          <w:tcPr>
            <w:tcW w:w="302" w:type="pct"/>
            <w:vMerge w:val="continue"/>
            <w:shd w:val="clear" w:color="auto" w:fill="auto"/>
            <w:noWrap w:val="0"/>
            <w:vAlign w:val="center"/>
          </w:tcPr>
          <w:p w14:paraId="0D252D11">
            <w:pPr>
              <w:pStyle w:val="78"/>
              <w:bidi w:val="0"/>
              <w:ind w:firstLine="0" w:firstLineChars="0"/>
              <w:rPr>
                <w:rFonts w:hint="eastAsia"/>
                <w:color w:val="FF0000"/>
                <w:sz w:val="21"/>
                <w:szCs w:val="21"/>
                <w:highlight w:val="none"/>
              </w:rPr>
            </w:pPr>
          </w:p>
        </w:tc>
      </w:tr>
      <w:tr w14:paraId="170460F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35A9097D">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185DF365">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焊接机</w:t>
            </w:r>
          </w:p>
        </w:tc>
        <w:tc>
          <w:tcPr>
            <w:tcW w:w="492" w:type="pct"/>
            <w:shd w:val="clear" w:color="auto" w:fill="auto"/>
            <w:noWrap w:val="0"/>
            <w:vAlign w:val="center"/>
          </w:tcPr>
          <w:p w14:paraId="390247E8">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2A1C4F9A">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7FAE1F7D">
            <w:pPr>
              <w:pStyle w:val="78"/>
              <w:bidi w:val="0"/>
              <w:ind w:firstLine="0" w:firstLineChars="0"/>
              <w:rPr>
                <w:rFonts w:hint="eastAsia" w:ascii="Times New Roman" w:hAnsi="Times New Roman" w:eastAsia="宋体" w:cs="宋体"/>
                <w:snapToGrid w:val="0"/>
                <w:color w:val="auto"/>
                <w:kern w:val="2"/>
                <w:sz w:val="21"/>
                <w:szCs w:val="21"/>
                <w:highlight w:val="none"/>
                <w:lang w:val="en-US" w:eastAsia="zh-CN" w:bidi="ar-SA"/>
              </w:rPr>
            </w:pPr>
            <w:r>
              <w:rPr>
                <w:rFonts w:hint="eastAsia"/>
                <w:color w:val="auto"/>
                <w:sz w:val="21"/>
                <w:szCs w:val="21"/>
                <w:highlight w:val="none"/>
                <w:lang w:val="en-US" w:eastAsia="zh-CN"/>
              </w:rPr>
              <w:t>30</w:t>
            </w:r>
          </w:p>
        </w:tc>
        <w:tc>
          <w:tcPr>
            <w:tcW w:w="350" w:type="pct"/>
            <w:shd w:val="clear" w:color="auto" w:fill="auto"/>
            <w:noWrap w:val="0"/>
            <w:vAlign w:val="center"/>
          </w:tcPr>
          <w:p w14:paraId="5553F2E2">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42</w:t>
            </w:r>
          </w:p>
        </w:tc>
        <w:tc>
          <w:tcPr>
            <w:tcW w:w="348" w:type="pct"/>
            <w:shd w:val="clear" w:color="auto" w:fill="auto"/>
            <w:noWrap w:val="0"/>
            <w:vAlign w:val="center"/>
          </w:tcPr>
          <w:p w14:paraId="1CFB7F5B">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65" w:type="pct"/>
            <w:shd w:val="clear" w:color="auto" w:fill="auto"/>
            <w:noWrap w:val="0"/>
            <w:vAlign w:val="center"/>
          </w:tcPr>
          <w:p w14:paraId="6D97CB5D">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2.5</w:t>
            </w:r>
          </w:p>
        </w:tc>
        <w:tc>
          <w:tcPr>
            <w:tcW w:w="837" w:type="dxa"/>
            <w:shd w:val="clear" w:color="auto" w:fill="auto"/>
            <w:noWrap w:val="0"/>
            <w:vAlign w:val="center"/>
          </w:tcPr>
          <w:p w14:paraId="7B3B2EB4">
            <w:pPr>
              <w:bidi w:val="0"/>
              <w:ind w:firstLine="0" w:firstLineChars="0"/>
              <w:jc w:val="center"/>
              <w:rPr>
                <w:rFonts w:hint="eastAsia"/>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61</w:t>
            </w:r>
          </w:p>
        </w:tc>
        <w:tc>
          <w:tcPr>
            <w:tcW w:w="237" w:type="pct"/>
            <w:vMerge w:val="continue"/>
            <w:shd w:val="clear" w:color="auto" w:fill="auto"/>
            <w:noWrap w:val="0"/>
            <w:vAlign w:val="center"/>
          </w:tcPr>
          <w:p w14:paraId="642D6BD5">
            <w:pPr>
              <w:pStyle w:val="78"/>
              <w:bidi w:val="0"/>
              <w:ind w:firstLine="0" w:firstLineChars="0"/>
              <w:rPr>
                <w:rFonts w:hint="eastAsia"/>
                <w:color w:val="FF0000"/>
                <w:sz w:val="21"/>
                <w:szCs w:val="21"/>
                <w:highlight w:val="none"/>
                <w:lang w:val="en-US" w:eastAsia="zh-CN"/>
              </w:rPr>
            </w:pPr>
          </w:p>
        </w:tc>
        <w:tc>
          <w:tcPr>
            <w:tcW w:w="426" w:type="pct"/>
            <w:shd w:val="clear" w:color="auto" w:fill="auto"/>
            <w:noWrap w:val="0"/>
            <w:vAlign w:val="center"/>
          </w:tcPr>
          <w:p w14:paraId="5868A877">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542" w:type="dxa"/>
            <w:shd w:val="clear" w:color="auto" w:fill="auto"/>
            <w:noWrap w:val="0"/>
            <w:vAlign w:val="center"/>
          </w:tcPr>
          <w:p w14:paraId="2B0B48DA">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w:t>
            </w:r>
          </w:p>
        </w:tc>
        <w:tc>
          <w:tcPr>
            <w:tcW w:w="302" w:type="pct"/>
            <w:vMerge w:val="continue"/>
            <w:shd w:val="clear" w:color="auto" w:fill="auto"/>
            <w:noWrap w:val="0"/>
            <w:vAlign w:val="center"/>
          </w:tcPr>
          <w:p w14:paraId="03DBAC0F">
            <w:pPr>
              <w:pStyle w:val="78"/>
              <w:bidi w:val="0"/>
              <w:ind w:firstLine="0" w:firstLineChars="0"/>
              <w:rPr>
                <w:rFonts w:hint="eastAsia"/>
                <w:color w:val="FF0000"/>
                <w:sz w:val="21"/>
                <w:szCs w:val="21"/>
                <w:highlight w:val="none"/>
              </w:rPr>
            </w:pPr>
          </w:p>
        </w:tc>
      </w:tr>
      <w:tr w14:paraId="0F88BF4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7254FB46">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4E0B7AAD">
            <w:pPr>
              <w:bidi w:val="0"/>
              <w:jc w:val="center"/>
              <w:rPr>
                <w:rFonts w:hint="default"/>
                <w:color w:val="auto"/>
                <w:sz w:val="21"/>
                <w:szCs w:val="21"/>
                <w:highlight w:val="none"/>
                <w:lang w:val="en-US" w:eastAsia="zh-CN"/>
              </w:rPr>
            </w:pPr>
            <w:r>
              <w:rPr>
                <w:rFonts w:hint="eastAsia"/>
                <w:color w:val="auto"/>
                <w:sz w:val="21"/>
                <w:szCs w:val="21"/>
                <w:highlight w:val="none"/>
                <w:lang w:val="en-US" w:eastAsia="zh-CN"/>
              </w:rPr>
              <w:t>破碎机</w:t>
            </w:r>
          </w:p>
        </w:tc>
        <w:tc>
          <w:tcPr>
            <w:tcW w:w="492" w:type="pct"/>
            <w:shd w:val="clear" w:color="auto" w:fill="auto"/>
            <w:noWrap w:val="0"/>
            <w:vAlign w:val="center"/>
          </w:tcPr>
          <w:p w14:paraId="3B6B7813">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3E81EDB3">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553655F2">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33</w:t>
            </w:r>
          </w:p>
        </w:tc>
        <w:tc>
          <w:tcPr>
            <w:tcW w:w="350" w:type="pct"/>
            <w:shd w:val="clear" w:color="auto" w:fill="auto"/>
            <w:noWrap w:val="0"/>
            <w:vAlign w:val="center"/>
          </w:tcPr>
          <w:p w14:paraId="21E348CD">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180</w:t>
            </w:r>
          </w:p>
        </w:tc>
        <w:tc>
          <w:tcPr>
            <w:tcW w:w="348" w:type="pct"/>
            <w:shd w:val="clear" w:color="auto" w:fill="auto"/>
            <w:noWrap w:val="0"/>
            <w:vAlign w:val="center"/>
          </w:tcPr>
          <w:p w14:paraId="45BA12D8">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365" w:type="pct"/>
            <w:shd w:val="clear" w:color="auto" w:fill="auto"/>
            <w:noWrap w:val="0"/>
            <w:vAlign w:val="center"/>
          </w:tcPr>
          <w:p w14:paraId="2CB88701">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491" w:type="pct"/>
            <w:shd w:val="clear" w:color="auto" w:fill="auto"/>
            <w:noWrap w:val="0"/>
            <w:vAlign w:val="center"/>
          </w:tcPr>
          <w:p w14:paraId="35806DFD">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69</w:t>
            </w:r>
          </w:p>
        </w:tc>
        <w:tc>
          <w:tcPr>
            <w:tcW w:w="237" w:type="pct"/>
            <w:vMerge w:val="restart"/>
            <w:shd w:val="clear" w:color="auto" w:fill="auto"/>
            <w:noWrap w:val="0"/>
            <w:vAlign w:val="center"/>
          </w:tcPr>
          <w:p w14:paraId="1F5BF392">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580h</w:t>
            </w:r>
          </w:p>
        </w:tc>
        <w:tc>
          <w:tcPr>
            <w:tcW w:w="426" w:type="pct"/>
            <w:shd w:val="clear" w:color="auto" w:fill="auto"/>
            <w:noWrap w:val="0"/>
            <w:vAlign w:val="center"/>
          </w:tcPr>
          <w:p w14:paraId="219FEFEB">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080C9EAE">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43</w:t>
            </w:r>
          </w:p>
        </w:tc>
        <w:tc>
          <w:tcPr>
            <w:tcW w:w="302" w:type="pct"/>
            <w:vMerge w:val="continue"/>
            <w:shd w:val="clear" w:color="auto" w:fill="auto"/>
            <w:noWrap w:val="0"/>
            <w:vAlign w:val="center"/>
          </w:tcPr>
          <w:p w14:paraId="02286F5B">
            <w:pPr>
              <w:pStyle w:val="78"/>
              <w:bidi w:val="0"/>
              <w:ind w:firstLine="0" w:firstLineChars="0"/>
              <w:rPr>
                <w:rFonts w:hint="eastAsia"/>
                <w:color w:val="FF0000"/>
                <w:sz w:val="21"/>
                <w:szCs w:val="21"/>
                <w:highlight w:val="none"/>
              </w:rPr>
            </w:pPr>
          </w:p>
        </w:tc>
      </w:tr>
      <w:tr w14:paraId="0FBA81F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73131D15">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58A39EA1">
            <w:pPr>
              <w:bidi w:val="0"/>
              <w:jc w:val="center"/>
              <w:rPr>
                <w:rFonts w:hint="default"/>
                <w:color w:val="auto"/>
                <w:sz w:val="21"/>
                <w:szCs w:val="21"/>
                <w:highlight w:val="none"/>
                <w:lang w:val="en-US" w:eastAsia="zh-CN"/>
              </w:rPr>
            </w:pPr>
            <w:r>
              <w:rPr>
                <w:rFonts w:hint="eastAsia"/>
                <w:color w:val="auto"/>
                <w:sz w:val="21"/>
                <w:szCs w:val="21"/>
                <w:highlight w:val="none"/>
                <w:lang w:val="en-US" w:eastAsia="zh-CN"/>
              </w:rPr>
              <w:t>破碎机</w:t>
            </w:r>
          </w:p>
        </w:tc>
        <w:tc>
          <w:tcPr>
            <w:tcW w:w="492" w:type="pct"/>
            <w:shd w:val="clear" w:color="auto" w:fill="auto"/>
            <w:noWrap w:val="0"/>
            <w:vAlign w:val="center"/>
          </w:tcPr>
          <w:p w14:paraId="10ACD3B4">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1406A1EB">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100BBC92">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38</w:t>
            </w:r>
          </w:p>
        </w:tc>
        <w:tc>
          <w:tcPr>
            <w:tcW w:w="350" w:type="pct"/>
            <w:shd w:val="clear" w:color="auto" w:fill="auto"/>
            <w:noWrap w:val="0"/>
            <w:vAlign w:val="center"/>
          </w:tcPr>
          <w:p w14:paraId="1AB370A3">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180</w:t>
            </w:r>
          </w:p>
        </w:tc>
        <w:tc>
          <w:tcPr>
            <w:tcW w:w="348" w:type="pct"/>
            <w:shd w:val="clear" w:color="auto" w:fill="auto"/>
            <w:noWrap w:val="0"/>
            <w:vAlign w:val="center"/>
          </w:tcPr>
          <w:p w14:paraId="4A4E0C0A">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365" w:type="pct"/>
            <w:shd w:val="clear" w:color="auto" w:fill="auto"/>
            <w:noWrap w:val="0"/>
            <w:vAlign w:val="center"/>
          </w:tcPr>
          <w:p w14:paraId="64B258A6">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491" w:type="pct"/>
            <w:shd w:val="clear" w:color="auto" w:fill="auto"/>
            <w:noWrap w:val="0"/>
            <w:vAlign w:val="center"/>
          </w:tcPr>
          <w:p w14:paraId="08799877">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69</w:t>
            </w:r>
          </w:p>
        </w:tc>
        <w:tc>
          <w:tcPr>
            <w:tcW w:w="237" w:type="pct"/>
            <w:vMerge w:val="continue"/>
            <w:shd w:val="clear" w:color="auto" w:fill="auto"/>
            <w:noWrap w:val="0"/>
            <w:vAlign w:val="center"/>
          </w:tcPr>
          <w:p w14:paraId="0DEF867A">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310B88B0">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7A9C15C9">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43</w:t>
            </w:r>
          </w:p>
        </w:tc>
        <w:tc>
          <w:tcPr>
            <w:tcW w:w="302" w:type="pct"/>
            <w:vMerge w:val="continue"/>
            <w:shd w:val="clear" w:color="auto" w:fill="auto"/>
            <w:noWrap w:val="0"/>
            <w:vAlign w:val="center"/>
          </w:tcPr>
          <w:p w14:paraId="2EAD8B73">
            <w:pPr>
              <w:pStyle w:val="78"/>
              <w:bidi w:val="0"/>
              <w:ind w:firstLine="0" w:firstLineChars="0"/>
              <w:rPr>
                <w:rFonts w:hint="eastAsia"/>
                <w:color w:val="FF0000"/>
                <w:sz w:val="21"/>
                <w:szCs w:val="21"/>
                <w:highlight w:val="none"/>
              </w:rPr>
            </w:pPr>
          </w:p>
        </w:tc>
      </w:tr>
      <w:tr w14:paraId="131525B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09F65F81">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007E865F">
            <w:pPr>
              <w:bidi w:val="0"/>
              <w:jc w:val="center"/>
              <w:rPr>
                <w:rFonts w:hint="default"/>
                <w:color w:val="auto"/>
                <w:sz w:val="21"/>
                <w:szCs w:val="21"/>
                <w:highlight w:val="none"/>
                <w:lang w:val="en-US" w:eastAsia="zh-CN"/>
              </w:rPr>
            </w:pPr>
            <w:r>
              <w:rPr>
                <w:rFonts w:hint="eastAsia"/>
                <w:color w:val="auto"/>
                <w:sz w:val="21"/>
                <w:szCs w:val="21"/>
                <w:highlight w:val="none"/>
                <w:lang w:val="en-US" w:eastAsia="zh-CN"/>
              </w:rPr>
              <w:t>空压机</w:t>
            </w:r>
          </w:p>
        </w:tc>
        <w:tc>
          <w:tcPr>
            <w:tcW w:w="492" w:type="pct"/>
            <w:shd w:val="clear" w:color="auto" w:fill="auto"/>
            <w:noWrap w:val="0"/>
            <w:vAlign w:val="center"/>
          </w:tcPr>
          <w:p w14:paraId="7A635338">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48C33CFA">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168FA746">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30</w:t>
            </w:r>
          </w:p>
        </w:tc>
        <w:tc>
          <w:tcPr>
            <w:tcW w:w="350" w:type="pct"/>
            <w:shd w:val="clear" w:color="auto" w:fill="auto"/>
            <w:noWrap w:val="0"/>
            <w:vAlign w:val="center"/>
          </w:tcPr>
          <w:p w14:paraId="666193FE">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105</w:t>
            </w:r>
          </w:p>
        </w:tc>
        <w:tc>
          <w:tcPr>
            <w:tcW w:w="348" w:type="pct"/>
            <w:shd w:val="clear" w:color="auto" w:fill="auto"/>
            <w:noWrap w:val="0"/>
            <w:vAlign w:val="center"/>
          </w:tcPr>
          <w:p w14:paraId="60EF7670">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365" w:type="pct"/>
            <w:shd w:val="clear" w:color="auto" w:fill="auto"/>
            <w:noWrap w:val="0"/>
            <w:vAlign w:val="center"/>
          </w:tcPr>
          <w:p w14:paraId="72A38984">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w:t>
            </w:r>
          </w:p>
        </w:tc>
        <w:tc>
          <w:tcPr>
            <w:tcW w:w="491" w:type="pct"/>
            <w:shd w:val="clear" w:color="auto" w:fill="auto"/>
            <w:noWrap w:val="0"/>
            <w:vAlign w:val="center"/>
          </w:tcPr>
          <w:p w14:paraId="3D5E7D88">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57</w:t>
            </w:r>
          </w:p>
        </w:tc>
        <w:tc>
          <w:tcPr>
            <w:tcW w:w="237" w:type="pct"/>
            <w:vMerge w:val="restart"/>
            <w:shd w:val="clear" w:color="auto" w:fill="auto"/>
            <w:noWrap w:val="0"/>
            <w:vAlign w:val="center"/>
          </w:tcPr>
          <w:p w14:paraId="4A403742">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6960h</w:t>
            </w:r>
          </w:p>
        </w:tc>
        <w:tc>
          <w:tcPr>
            <w:tcW w:w="426" w:type="pct"/>
            <w:shd w:val="clear" w:color="auto" w:fill="auto"/>
            <w:noWrap w:val="0"/>
            <w:vAlign w:val="center"/>
          </w:tcPr>
          <w:p w14:paraId="64A30F01">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0E0C1C1D">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31</w:t>
            </w:r>
          </w:p>
        </w:tc>
        <w:tc>
          <w:tcPr>
            <w:tcW w:w="302" w:type="pct"/>
            <w:vMerge w:val="continue"/>
            <w:shd w:val="clear" w:color="auto" w:fill="auto"/>
            <w:noWrap w:val="0"/>
            <w:vAlign w:val="center"/>
          </w:tcPr>
          <w:p w14:paraId="38D4EAAD">
            <w:pPr>
              <w:pStyle w:val="78"/>
              <w:bidi w:val="0"/>
              <w:ind w:firstLine="0" w:firstLineChars="0"/>
              <w:rPr>
                <w:rFonts w:hint="eastAsia"/>
                <w:color w:val="FF0000"/>
                <w:sz w:val="21"/>
                <w:szCs w:val="21"/>
                <w:highlight w:val="none"/>
              </w:rPr>
            </w:pPr>
          </w:p>
        </w:tc>
      </w:tr>
      <w:tr w14:paraId="6FE04D7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468C39D4">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7A4649DF">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空压机</w:t>
            </w:r>
          </w:p>
        </w:tc>
        <w:tc>
          <w:tcPr>
            <w:tcW w:w="492" w:type="pct"/>
            <w:shd w:val="clear" w:color="auto" w:fill="auto"/>
            <w:noWrap w:val="0"/>
            <w:vAlign w:val="center"/>
          </w:tcPr>
          <w:p w14:paraId="231C5ACF">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17BF9067">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3546B4EA">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32</w:t>
            </w:r>
          </w:p>
        </w:tc>
        <w:tc>
          <w:tcPr>
            <w:tcW w:w="350" w:type="pct"/>
            <w:shd w:val="clear" w:color="auto" w:fill="auto"/>
            <w:noWrap w:val="0"/>
            <w:vAlign w:val="center"/>
          </w:tcPr>
          <w:p w14:paraId="61D0B14E">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105</w:t>
            </w:r>
          </w:p>
        </w:tc>
        <w:tc>
          <w:tcPr>
            <w:tcW w:w="348" w:type="pct"/>
            <w:shd w:val="clear" w:color="auto" w:fill="auto"/>
            <w:noWrap w:val="0"/>
            <w:vAlign w:val="center"/>
          </w:tcPr>
          <w:p w14:paraId="75BCA6D6">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365" w:type="pct"/>
            <w:shd w:val="clear" w:color="auto" w:fill="auto"/>
            <w:noWrap w:val="0"/>
            <w:vAlign w:val="center"/>
          </w:tcPr>
          <w:p w14:paraId="36BBC5F1">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4</w:t>
            </w:r>
          </w:p>
        </w:tc>
        <w:tc>
          <w:tcPr>
            <w:tcW w:w="491" w:type="pct"/>
            <w:shd w:val="clear" w:color="auto" w:fill="auto"/>
            <w:noWrap w:val="0"/>
            <w:vAlign w:val="center"/>
          </w:tcPr>
          <w:p w14:paraId="03309D88">
            <w:pPr>
              <w:pStyle w:val="78"/>
              <w:bidi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57</w:t>
            </w:r>
          </w:p>
        </w:tc>
        <w:tc>
          <w:tcPr>
            <w:tcW w:w="237" w:type="pct"/>
            <w:vMerge w:val="continue"/>
            <w:shd w:val="clear" w:color="auto" w:fill="auto"/>
            <w:noWrap w:val="0"/>
            <w:vAlign w:val="center"/>
          </w:tcPr>
          <w:p w14:paraId="346D0DE4">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0DE34957">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668FA05F">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31</w:t>
            </w:r>
          </w:p>
        </w:tc>
        <w:tc>
          <w:tcPr>
            <w:tcW w:w="302" w:type="pct"/>
            <w:vMerge w:val="continue"/>
            <w:shd w:val="clear" w:color="auto" w:fill="auto"/>
            <w:noWrap w:val="0"/>
            <w:vAlign w:val="center"/>
          </w:tcPr>
          <w:p w14:paraId="27714577">
            <w:pPr>
              <w:pStyle w:val="78"/>
              <w:bidi w:val="0"/>
              <w:ind w:firstLine="0" w:firstLineChars="0"/>
              <w:rPr>
                <w:rFonts w:hint="eastAsia"/>
                <w:color w:val="FF0000"/>
                <w:sz w:val="21"/>
                <w:szCs w:val="21"/>
                <w:highlight w:val="none"/>
              </w:rPr>
            </w:pPr>
          </w:p>
        </w:tc>
      </w:tr>
      <w:tr w14:paraId="0FFD890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4A19C3F7">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0A1F5436">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空压机</w:t>
            </w:r>
          </w:p>
        </w:tc>
        <w:tc>
          <w:tcPr>
            <w:tcW w:w="492" w:type="pct"/>
            <w:shd w:val="clear" w:color="auto" w:fill="auto"/>
            <w:noWrap w:val="0"/>
            <w:vAlign w:val="center"/>
          </w:tcPr>
          <w:p w14:paraId="7966BEE9">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3546E88D">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4C34731F">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34</w:t>
            </w:r>
          </w:p>
        </w:tc>
        <w:tc>
          <w:tcPr>
            <w:tcW w:w="350" w:type="pct"/>
            <w:shd w:val="clear" w:color="auto" w:fill="auto"/>
            <w:noWrap w:val="0"/>
            <w:vAlign w:val="center"/>
          </w:tcPr>
          <w:p w14:paraId="3C8BC36F">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105</w:t>
            </w:r>
          </w:p>
        </w:tc>
        <w:tc>
          <w:tcPr>
            <w:tcW w:w="348" w:type="pct"/>
            <w:shd w:val="clear" w:color="auto" w:fill="auto"/>
            <w:noWrap w:val="0"/>
            <w:vAlign w:val="center"/>
          </w:tcPr>
          <w:p w14:paraId="25DB7D00">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365" w:type="pct"/>
            <w:shd w:val="clear" w:color="auto" w:fill="auto"/>
            <w:noWrap w:val="0"/>
            <w:vAlign w:val="center"/>
          </w:tcPr>
          <w:p w14:paraId="307A134D">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2</w:t>
            </w:r>
          </w:p>
        </w:tc>
        <w:tc>
          <w:tcPr>
            <w:tcW w:w="491" w:type="pct"/>
            <w:shd w:val="clear" w:color="auto" w:fill="auto"/>
            <w:noWrap w:val="0"/>
            <w:vAlign w:val="center"/>
          </w:tcPr>
          <w:p w14:paraId="6A8FC02C">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63</w:t>
            </w:r>
          </w:p>
        </w:tc>
        <w:tc>
          <w:tcPr>
            <w:tcW w:w="237" w:type="pct"/>
            <w:vMerge w:val="continue"/>
            <w:shd w:val="clear" w:color="auto" w:fill="auto"/>
            <w:noWrap w:val="0"/>
            <w:vAlign w:val="center"/>
          </w:tcPr>
          <w:p w14:paraId="4C272B19">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515417F0">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0CD38A80">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37</w:t>
            </w:r>
          </w:p>
        </w:tc>
        <w:tc>
          <w:tcPr>
            <w:tcW w:w="302" w:type="pct"/>
            <w:vMerge w:val="continue"/>
            <w:shd w:val="clear" w:color="auto" w:fill="auto"/>
            <w:noWrap w:val="0"/>
            <w:vAlign w:val="center"/>
          </w:tcPr>
          <w:p w14:paraId="50DAD09B">
            <w:pPr>
              <w:pStyle w:val="78"/>
              <w:bidi w:val="0"/>
              <w:ind w:firstLine="0" w:firstLineChars="0"/>
              <w:rPr>
                <w:rFonts w:hint="eastAsia"/>
                <w:color w:val="FF0000"/>
                <w:sz w:val="21"/>
                <w:szCs w:val="21"/>
                <w:highlight w:val="none"/>
              </w:rPr>
            </w:pPr>
          </w:p>
        </w:tc>
      </w:tr>
      <w:tr w14:paraId="0604730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6B5EDA1D">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527EC940">
            <w:pPr>
              <w:bidi w:val="0"/>
              <w:jc w:val="center"/>
              <w:rPr>
                <w:rFonts w:hint="eastAsia"/>
                <w:color w:val="auto"/>
                <w:sz w:val="21"/>
                <w:szCs w:val="21"/>
                <w:highlight w:val="none"/>
                <w:lang w:val="en-US" w:eastAsia="zh-CN"/>
              </w:rPr>
            </w:pPr>
            <w:r>
              <w:rPr>
                <w:rFonts w:hint="eastAsia"/>
                <w:color w:val="auto"/>
                <w:sz w:val="21"/>
                <w:szCs w:val="21"/>
                <w:highlight w:val="none"/>
                <w:lang w:val="en-US" w:eastAsia="zh-CN"/>
              </w:rPr>
              <w:t>空压机</w:t>
            </w:r>
          </w:p>
        </w:tc>
        <w:tc>
          <w:tcPr>
            <w:tcW w:w="492" w:type="pct"/>
            <w:shd w:val="clear" w:color="auto" w:fill="auto"/>
            <w:noWrap w:val="0"/>
            <w:vAlign w:val="center"/>
          </w:tcPr>
          <w:p w14:paraId="33690E27">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765C7A27">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6195296B">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36</w:t>
            </w:r>
          </w:p>
        </w:tc>
        <w:tc>
          <w:tcPr>
            <w:tcW w:w="350" w:type="pct"/>
            <w:shd w:val="clear" w:color="auto" w:fill="auto"/>
            <w:noWrap w:val="0"/>
            <w:vAlign w:val="center"/>
          </w:tcPr>
          <w:p w14:paraId="494167CE">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105</w:t>
            </w:r>
          </w:p>
        </w:tc>
        <w:tc>
          <w:tcPr>
            <w:tcW w:w="348" w:type="pct"/>
            <w:shd w:val="clear" w:color="auto" w:fill="auto"/>
            <w:noWrap w:val="0"/>
            <w:vAlign w:val="center"/>
          </w:tcPr>
          <w:p w14:paraId="56AA1FCF">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365" w:type="pct"/>
            <w:shd w:val="clear" w:color="auto" w:fill="auto"/>
            <w:noWrap w:val="0"/>
            <w:vAlign w:val="center"/>
          </w:tcPr>
          <w:p w14:paraId="2F16F2DF">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2</w:t>
            </w:r>
          </w:p>
        </w:tc>
        <w:tc>
          <w:tcPr>
            <w:tcW w:w="491" w:type="pct"/>
            <w:shd w:val="clear" w:color="auto" w:fill="auto"/>
            <w:noWrap w:val="0"/>
            <w:vAlign w:val="center"/>
          </w:tcPr>
          <w:p w14:paraId="01AB41B2">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63</w:t>
            </w:r>
          </w:p>
        </w:tc>
        <w:tc>
          <w:tcPr>
            <w:tcW w:w="237" w:type="pct"/>
            <w:vMerge w:val="continue"/>
            <w:shd w:val="clear" w:color="auto" w:fill="auto"/>
            <w:noWrap w:val="0"/>
            <w:vAlign w:val="center"/>
          </w:tcPr>
          <w:p w14:paraId="54E979EA">
            <w:pPr>
              <w:pStyle w:val="78"/>
              <w:bidi w:val="0"/>
              <w:ind w:firstLine="0" w:firstLineChars="0"/>
              <w:rPr>
                <w:rFonts w:hint="eastAsia"/>
                <w:color w:val="auto"/>
                <w:sz w:val="21"/>
                <w:szCs w:val="21"/>
                <w:highlight w:val="none"/>
                <w:lang w:val="en-US" w:eastAsia="zh-CN"/>
              </w:rPr>
            </w:pPr>
          </w:p>
        </w:tc>
        <w:tc>
          <w:tcPr>
            <w:tcW w:w="426" w:type="pct"/>
            <w:shd w:val="clear" w:color="auto" w:fill="auto"/>
            <w:noWrap w:val="0"/>
            <w:vAlign w:val="center"/>
          </w:tcPr>
          <w:p w14:paraId="0A0506CF">
            <w:pPr>
              <w:bidi w:val="0"/>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0C6AD3C7">
            <w:pPr>
              <w:pStyle w:val="78"/>
              <w:bidi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37</w:t>
            </w:r>
          </w:p>
        </w:tc>
        <w:tc>
          <w:tcPr>
            <w:tcW w:w="302" w:type="pct"/>
            <w:vMerge w:val="continue"/>
            <w:shd w:val="clear" w:color="auto" w:fill="auto"/>
            <w:noWrap w:val="0"/>
            <w:vAlign w:val="center"/>
          </w:tcPr>
          <w:p w14:paraId="4CFD54E7">
            <w:pPr>
              <w:pStyle w:val="78"/>
              <w:bidi w:val="0"/>
              <w:ind w:firstLine="0" w:firstLineChars="0"/>
              <w:rPr>
                <w:rFonts w:hint="eastAsia"/>
                <w:color w:val="FF0000"/>
                <w:sz w:val="21"/>
                <w:szCs w:val="21"/>
                <w:highlight w:val="none"/>
              </w:rPr>
            </w:pPr>
          </w:p>
        </w:tc>
      </w:tr>
      <w:tr w14:paraId="7C03649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544D96D7">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2196E8A6">
            <w:pPr>
              <w:bidi w:val="0"/>
              <w:jc w:val="center"/>
              <w:rPr>
                <w:rFonts w:hint="default"/>
                <w:color w:val="auto"/>
                <w:sz w:val="21"/>
                <w:szCs w:val="21"/>
                <w:highlight w:val="none"/>
                <w:lang w:val="en-US" w:eastAsia="zh-CN"/>
              </w:rPr>
            </w:pPr>
            <w:r>
              <w:rPr>
                <w:rFonts w:hint="eastAsia"/>
                <w:color w:val="auto"/>
                <w:sz w:val="21"/>
                <w:szCs w:val="21"/>
                <w:highlight w:val="none"/>
                <w:lang w:val="en-US" w:eastAsia="zh-CN"/>
              </w:rPr>
              <w:t>抛光机</w:t>
            </w:r>
          </w:p>
        </w:tc>
        <w:tc>
          <w:tcPr>
            <w:tcW w:w="492" w:type="pct"/>
            <w:shd w:val="clear" w:color="auto" w:fill="auto"/>
            <w:noWrap w:val="0"/>
            <w:vAlign w:val="center"/>
          </w:tcPr>
          <w:p w14:paraId="419B7274">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4728C476">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480425F8">
            <w:pPr>
              <w:pStyle w:val="78"/>
              <w:bidi w:val="0"/>
              <w:ind w:firstLine="0" w:firstLineChars="0"/>
              <w:rPr>
                <w:rFonts w:hint="eastAsia" w:ascii="Times New Roman" w:hAnsi="Times New Roman" w:eastAsia="宋体" w:cs="宋体"/>
                <w:snapToGrid w:val="0"/>
                <w:color w:val="auto"/>
                <w:kern w:val="2"/>
                <w:sz w:val="21"/>
                <w:szCs w:val="21"/>
                <w:highlight w:val="none"/>
                <w:lang w:val="en-US" w:eastAsia="zh-CN" w:bidi="ar-SA"/>
              </w:rPr>
            </w:pPr>
            <w:r>
              <w:rPr>
                <w:rFonts w:hint="eastAsia"/>
                <w:color w:val="auto"/>
                <w:sz w:val="21"/>
                <w:szCs w:val="21"/>
                <w:highlight w:val="none"/>
                <w:lang w:val="en-US" w:eastAsia="zh-CN"/>
              </w:rPr>
              <w:t>10</w:t>
            </w:r>
          </w:p>
        </w:tc>
        <w:tc>
          <w:tcPr>
            <w:tcW w:w="350" w:type="pct"/>
            <w:shd w:val="clear" w:color="auto" w:fill="auto"/>
            <w:noWrap w:val="0"/>
            <w:vAlign w:val="center"/>
          </w:tcPr>
          <w:p w14:paraId="322F4CBC">
            <w:pPr>
              <w:pStyle w:val="78"/>
              <w:bidi w:val="0"/>
              <w:ind w:firstLine="0" w:firstLineChars="0"/>
              <w:rPr>
                <w:rFonts w:hint="eastAsia" w:ascii="Times New Roman" w:hAnsi="Times New Roman" w:eastAsia="宋体" w:cs="宋体"/>
                <w:snapToGrid w:val="0"/>
                <w:color w:val="auto"/>
                <w:kern w:val="2"/>
                <w:sz w:val="21"/>
                <w:szCs w:val="21"/>
                <w:highlight w:val="none"/>
                <w:lang w:val="en-US" w:eastAsia="zh-CN" w:bidi="ar-SA"/>
              </w:rPr>
            </w:pPr>
            <w:r>
              <w:rPr>
                <w:rFonts w:hint="eastAsia"/>
                <w:color w:val="auto"/>
                <w:sz w:val="21"/>
                <w:szCs w:val="21"/>
                <w:highlight w:val="none"/>
                <w:lang w:val="en-US" w:eastAsia="zh-CN"/>
              </w:rPr>
              <w:t>5</w:t>
            </w:r>
          </w:p>
        </w:tc>
        <w:tc>
          <w:tcPr>
            <w:tcW w:w="348" w:type="pct"/>
            <w:shd w:val="clear" w:color="auto" w:fill="auto"/>
            <w:noWrap w:val="0"/>
            <w:vAlign w:val="center"/>
          </w:tcPr>
          <w:p w14:paraId="027E6E6D">
            <w:pPr>
              <w:pStyle w:val="78"/>
              <w:bidi w:val="0"/>
              <w:ind w:firstLine="0" w:firstLineChars="0"/>
              <w:rPr>
                <w:rFonts w:hint="eastAsia" w:ascii="Times New Roman" w:hAnsi="Times New Roman" w:eastAsia="宋体" w:cs="宋体"/>
                <w:snapToGrid w:val="0"/>
                <w:color w:val="auto"/>
                <w:kern w:val="2"/>
                <w:sz w:val="21"/>
                <w:szCs w:val="21"/>
                <w:highlight w:val="none"/>
                <w:lang w:val="en-US" w:eastAsia="zh-CN" w:bidi="ar-SA"/>
              </w:rPr>
            </w:pPr>
            <w:r>
              <w:rPr>
                <w:rFonts w:hint="eastAsia"/>
                <w:color w:val="auto"/>
                <w:sz w:val="21"/>
                <w:szCs w:val="21"/>
                <w:highlight w:val="none"/>
                <w:lang w:val="en-US" w:eastAsia="zh-CN"/>
              </w:rPr>
              <w:t>1</w:t>
            </w:r>
          </w:p>
        </w:tc>
        <w:tc>
          <w:tcPr>
            <w:tcW w:w="365" w:type="pct"/>
            <w:shd w:val="clear" w:color="auto" w:fill="auto"/>
            <w:noWrap w:val="0"/>
            <w:vAlign w:val="center"/>
          </w:tcPr>
          <w:p w14:paraId="60655247">
            <w:pPr>
              <w:pStyle w:val="78"/>
              <w:bidi w:val="0"/>
              <w:ind w:firstLine="0" w:firstLineChars="0"/>
              <w:rPr>
                <w:rFonts w:hint="eastAsia" w:ascii="Times New Roman" w:hAnsi="Times New Roman" w:eastAsia="宋体" w:cs="宋体"/>
                <w:snapToGrid w:val="0"/>
                <w:color w:val="auto"/>
                <w:kern w:val="2"/>
                <w:sz w:val="21"/>
                <w:szCs w:val="21"/>
                <w:highlight w:val="none"/>
                <w:lang w:val="en-US" w:eastAsia="zh-CN" w:bidi="ar-SA"/>
              </w:rPr>
            </w:pPr>
            <w:r>
              <w:rPr>
                <w:rFonts w:hint="eastAsia"/>
                <w:color w:val="auto"/>
                <w:sz w:val="21"/>
                <w:szCs w:val="21"/>
                <w:highlight w:val="none"/>
                <w:lang w:val="en-US" w:eastAsia="zh-CN"/>
              </w:rPr>
              <w:t>1</w:t>
            </w:r>
          </w:p>
        </w:tc>
        <w:tc>
          <w:tcPr>
            <w:tcW w:w="491" w:type="pct"/>
            <w:shd w:val="clear" w:color="auto" w:fill="auto"/>
            <w:noWrap w:val="0"/>
            <w:vAlign w:val="center"/>
          </w:tcPr>
          <w:p w14:paraId="023C2F03">
            <w:pPr>
              <w:pStyle w:val="78"/>
              <w:bidi w:val="0"/>
              <w:ind w:firstLine="0" w:firstLineChars="0"/>
              <w:rPr>
                <w:rFonts w:hint="eastAsia"/>
                <w:color w:val="FF0000"/>
                <w:sz w:val="21"/>
                <w:szCs w:val="21"/>
                <w:highlight w:val="none"/>
                <w:lang w:val="en-US" w:eastAsia="zh-CN"/>
              </w:rPr>
            </w:pPr>
            <w:r>
              <w:rPr>
                <w:rFonts w:hint="eastAsia"/>
                <w:color w:val="auto"/>
                <w:sz w:val="21"/>
                <w:szCs w:val="21"/>
                <w:highlight w:val="none"/>
                <w:lang w:val="en-US" w:eastAsia="zh-CN"/>
              </w:rPr>
              <w:t>69</w:t>
            </w:r>
          </w:p>
        </w:tc>
        <w:tc>
          <w:tcPr>
            <w:tcW w:w="237" w:type="pct"/>
            <w:vMerge w:val="continue"/>
            <w:shd w:val="clear" w:color="auto" w:fill="auto"/>
            <w:noWrap w:val="0"/>
            <w:vAlign w:val="center"/>
          </w:tcPr>
          <w:p w14:paraId="78702E15">
            <w:pPr>
              <w:pStyle w:val="78"/>
              <w:bidi w:val="0"/>
              <w:ind w:firstLine="0" w:firstLineChars="0"/>
              <w:rPr>
                <w:rFonts w:hint="eastAsia"/>
                <w:color w:val="FF0000"/>
                <w:sz w:val="21"/>
                <w:szCs w:val="21"/>
                <w:highlight w:val="none"/>
                <w:lang w:val="en-US" w:eastAsia="zh-CN"/>
              </w:rPr>
            </w:pPr>
          </w:p>
        </w:tc>
        <w:tc>
          <w:tcPr>
            <w:tcW w:w="426" w:type="pct"/>
            <w:shd w:val="clear" w:color="auto" w:fill="auto"/>
            <w:noWrap w:val="0"/>
            <w:vAlign w:val="center"/>
          </w:tcPr>
          <w:p w14:paraId="297D4424">
            <w:pPr>
              <w:bidi w:val="0"/>
              <w:ind w:firstLine="0" w:firstLineChars="0"/>
              <w:jc w:val="center"/>
              <w:rPr>
                <w:rFonts w:hint="default" w:ascii="Times New Roman" w:hAnsi="Times New Roman" w:cs="Times New Roman"/>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53781E1F">
            <w:pPr>
              <w:pStyle w:val="78"/>
              <w:bidi w:val="0"/>
              <w:ind w:firstLine="0" w:firstLineChars="0"/>
              <w:rPr>
                <w:rFonts w:hint="eastAsia"/>
                <w:color w:val="FF0000"/>
                <w:sz w:val="21"/>
                <w:szCs w:val="21"/>
                <w:highlight w:val="none"/>
                <w:lang w:val="en-US" w:eastAsia="zh-CN"/>
              </w:rPr>
            </w:pPr>
            <w:r>
              <w:rPr>
                <w:rFonts w:hint="eastAsia"/>
                <w:color w:val="auto"/>
                <w:sz w:val="21"/>
                <w:szCs w:val="21"/>
                <w:highlight w:val="none"/>
                <w:lang w:val="en-US" w:eastAsia="zh-CN"/>
              </w:rPr>
              <w:t>43</w:t>
            </w:r>
          </w:p>
        </w:tc>
        <w:tc>
          <w:tcPr>
            <w:tcW w:w="302" w:type="pct"/>
            <w:vMerge w:val="continue"/>
            <w:shd w:val="clear" w:color="auto" w:fill="auto"/>
            <w:noWrap w:val="0"/>
            <w:vAlign w:val="center"/>
          </w:tcPr>
          <w:p w14:paraId="266A6964">
            <w:pPr>
              <w:pStyle w:val="78"/>
              <w:bidi w:val="0"/>
              <w:ind w:firstLine="0" w:firstLineChars="0"/>
              <w:rPr>
                <w:rFonts w:hint="eastAsia"/>
                <w:color w:val="FF0000"/>
                <w:sz w:val="21"/>
                <w:szCs w:val="21"/>
                <w:highlight w:val="none"/>
              </w:rPr>
            </w:pPr>
          </w:p>
        </w:tc>
      </w:tr>
      <w:tr w14:paraId="0E8E053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39" w:type="pct"/>
            <w:vMerge w:val="continue"/>
            <w:shd w:val="clear" w:color="auto" w:fill="auto"/>
            <w:noWrap w:val="0"/>
            <w:vAlign w:val="center"/>
          </w:tcPr>
          <w:p w14:paraId="0383C24B">
            <w:pPr>
              <w:pStyle w:val="78"/>
              <w:bidi w:val="0"/>
              <w:rPr>
                <w:rFonts w:hint="default"/>
                <w:color w:val="FF0000"/>
                <w:sz w:val="21"/>
                <w:szCs w:val="21"/>
                <w:highlight w:val="none"/>
                <w:lang w:val="en-US" w:eastAsia="zh-CN"/>
              </w:rPr>
            </w:pPr>
          </w:p>
        </w:tc>
        <w:tc>
          <w:tcPr>
            <w:tcW w:w="571" w:type="pct"/>
            <w:shd w:val="clear" w:color="auto" w:fill="auto"/>
            <w:noWrap w:val="0"/>
            <w:vAlign w:val="center"/>
          </w:tcPr>
          <w:p w14:paraId="6B9E480A">
            <w:pPr>
              <w:bidi w:val="0"/>
              <w:jc w:val="center"/>
              <w:rPr>
                <w:rFonts w:hint="default"/>
                <w:color w:val="auto"/>
                <w:sz w:val="21"/>
                <w:szCs w:val="21"/>
                <w:highlight w:val="none"/>
                <w:lang w:val="en-US" w:eastAsia="zh-CN"/>
              </w:rPr>
            </w:pPr>
            <w:r>
              <w:rPr>
                <w:rFonts w:hint="eastAsia"/>
                <w:color w:val="auto"/>
                <w:sz w:val="21"/>
                <w:szCs w:val="21"/>
                <w:highlight w:val="none"/>
                <w:lang w:val="en-US" w:eastAsia="zh-CN"/>
              </w:rPr>
              <w:t>打磨机</w:t>
            </w:r>
          </w:p>
        </w:tc>
        <w:tc>
          <w:tcPr>
            <w:tcW w:w="492" w:type="pct"/>
            <w:shd w:val="clear" w:color="auto" w:fill="auto"/>
            <w:noWrap w:val="0"/>
            <w:vAlign w:val="center"/>
          </w:tcPr>
          <w:p w14:paraId="3BF5C813">
            <w:pPr>
              <w:bidi w:val="0"/>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360" w:type="pct"/>
            <w:vMerge w:val="continue"/>
            <w:shd w:val="clear" w:color="auto" w:fill="auto"/>
            <w:noWrap w:val="0"/>
            <w:vAlign w:val="center"/>
          </w:tcPr>
          <w:p w14:paraId="76CD9EC8">
            <w:pPr>
              <w:pStyle w:val="78"/>
              <w:bidi w:val="0"/>
              <w:ind w:firstLine="0" w:firstLineChars="0"/>
              <w:rPr>
                <w:rFonts w:hint="eastAsia"/>
                <w:color w:val="auto"/>
                <w:sz w:val="21"/>
                <w:szCs w:val="21"/>
                <w:highlight w:val="none"/>
              </w:rPr>
            </w:pPr>
          </w:p>
        </w:tc>
        <w:tc>
          <w:tcPr>
            <w:tcW w:w="396" w:type="pct"/>
            <w:shd w:val="clear" w:color="auto" w:fill="auto"/>
            <w:noWrap w:val="0"/>
            <w:vAlign w:val="center"/>
          </w:tcPr>
          <w:p w14:paraId="78D2C5C3">
            <w:pPr>
              <w:pStyle w:val="78"/>
              <w:bidi w:val="0"/>
              <w:ind w:firstLine="0" w:firstLineChars="0"/>
              <w:rPr>
                <w:rFonts w:hint="default" w:ascii="Times New Roman" w:hAnsi="Times New Roman" w:eastAsia="宋体" w:cs="宋体"/>
                <w:snapToGrid w:val="0"/>
                <w:color w:val="auto"/>
                <w:kern w:val="2"/>
                <w:sz w:val="21"/>
                <w:szCs w:val="21"/>
                <w:highlight w:val="none"/>
                <w:lang w:val="en-US" w:eastAsia="zh-CN" w:bidi="ar-SA"/>
              </w:rPr>
            </w:pPr>
            <w:r>
              <w:rPr>
                <w:rFonts w:hint="eastAsia"/>
                <w:color w:val="auto"/>
                <w:sz w:val="21"/>
                <w:szCs w:val="21"/>
                <w:highlight w:val="none"/>
                <w:lang w:val="en-US" w:eastAsia="zh-CN"/>
              </w:rPr>
              <w:t>25</w:t>
            </w:r>
          </w:p>
        </w:tc>
        <w:tc>
          <w:tcPr>
            <w:tcW w:w="350" w:type="pct"/>
            <w:shd w:val="clear" w:color="auto" w:fill="auto"/>
            <w:noWrap w:val="0"/>
            <w:vAlign w:val="center"/>
          </w:tcPr>
          <w:p w14:paraId="23724E5F">
            <w:pPr>
              <w:pStyle w:val="78"/>
              <w:bidi w:val="0"/>
              <w:ind w:firstLine="0" w:firstLineChars="0"/>
              <w:rPr>
                <w:rFonts w:hint="eastAsia" w:ascii="Times New Roman" w:hAnsi="Times New Roman" w:eastAsia="宋体" w:cs="宋体"/>
                <w:snapToGrid w:val="0"/>
                <w:color w:val="auto"/>
                <w:kern w:val="2"/>
                <w:sz w:val="21"/>
                <w:szCs w:val="21"/>
                <w:highlight w:val="none"/>
                <w:lang w:val="en-US" w:eastAsia="zh-CN" w:bidi="ar-SA"/>
              </w:rPr>
            </w:pPr>
            <w:r>
              <w:rPr>
                <w:rFonts w:hint="eastAsia"/>
                <w:color w:val="auto"/>
                <w:sz w:val="21"/>
                <w:szCs w:val="21"/>
                <w:highlight w:val="none"/>
                <w:lang w:val="en-US" w:eastAsia="zh-CN"/>
              </w:rPr>
              <w:t>5</w:t>
            </w:r>
          </w:p>
        </w:tc>
        <w:tc>
          <w:tcPr>
            <w:tcW w:w="348" w:type="pct"/>
            <w:shd w:val="clear" w:color="auto" w:fill="auto"/>
            <w:noWrap w:val="0"/>
            <w:vAlign w:val="center"/>
          </w:tcPr>
          <w:p w14:paraId="018ABD44">
            <w:pPr>
              <w:pStyle w:val="78"/>
              <w:bidi w:val="0"/>
              <w:ind w:firstLine="0" w:firstLineChars="0"/>
              <w:rPr>
                <w:rFonts w:hint="default" w:ascii="Times New Roman" w:hAnsi="Times New Roman" w:eastAsia="宋体" w:cs="宋体"/>
                <w:snapToGrid w:val="0"/>
                <w:color w:val="auto"/>
                <w:kern w:val="2"/>
                <w:sz w:val="21"/>
                <w:szCs w:val="21"/>
                <w:highlight w:val="none"/>
                <w:lang w:val="en-US" w:eastAsia="zh-CN" w:bidi="ar-SA"/>
              </w:rPr>
            </w:pPr>
            <w:r>
              <w:rPr>
                <w:rFonts w:hint="eastAsia"/>
                <w:color w:val="auto"/>
                <w:sz w:val="21"/>
                <w:szCs w:val="21"/>
                <w:highlight w:val="none"/>
                <w:lang w:val="en-US" w:eastAsia="zh-CN"/>
              </w:rPr>
              <w:t>1</w:t>
            </w:r>
          </w:p>
        </w:tc>
        <w:tc>
          <w:tcPr>
            <w:tcW w:w="365" w:type="pct"/>
            <w:shd w:val="clear" w:color="auto" w:fill="auto"/>
            <w:noWrap w:val="0"/>
            <w:vAlign w:val="center"/>
          </w:tcPr>
          <w:p w14:paraId="00EC5D3D">
            <w:pPr>
              <w:pStyle w:val="78"/>
              <w:bidi w:val="0"/>
              <w:ind w:firstLine="0" w:firstLineChars="0"/>
              <w:rPr>
                <w:rFonts w:hint="default" w:ascii="Times New Roman" w:hAnsi="Times New Roman" w:eastAsia="宋体" w:cs="宋体"/>
                <w:snapToGrid w:val="0"/>
                <w:color w:val="auto"/>
                <w:kern w:val="2"/>
                <w:sz w:val="21"/>
                <w:szCs w:val="21"/>
                <w:highlight w:val="none"/>
                <w:lang w:val="en-US" w:eastAsia="zh-CN" w:bidi="ar-SA"/>
              </w:rPr>
            </w:pPr>
            <w:r>
              <w:rPr>
                <w:rFonts w:hint="eastAsia"/>
                <w:color w:val="auto"/>
                <w:sz w:val="21"/>
                <w:szCs w:val="21"/>
                <w:highlight w:val="none"/>
                <w:lang w:val="en-US" w:eastAsia="zh-CN"/>
              </w:rPr>
              <w:t>1</w:t>
            </w:r>
          </w:p>
        </w:tc>
        <w:tc>
          <w:tcPr>
            <w:tcW w:w="491" w:type="pct"/>
            <w:shd w:val="clear" w:color="auto" w:fill="auto"/>
            <w:noWrap w:val="0"/>
            <w:vAlign w:val="center"/>
          </w:tcPr>
          <w:p w14:paraId="2CCF0512">
            <w:pPr>
              <w:pStyle w:val="78"/>
              <w:bidi w:val="0"/>
              <w:ind w:firstLine="0" w:firstLineChars="0"/>
              <w:rPr>
                <w:rFonts w:hint="eastAsia"/>
                <w:color w:val="FF0000"/>
                <w:sz w:val="21"/>
                <w:szCs w:val="21"/>
                <w:highlight w:val="none"/>
                <w:lang w:val="en-US" w:eastAsia="zh-CN"/>
              </w:rPr>
            </w:pPr>
            <w:r>
              <w:rPr>
                <w:rFonts w:hint="eastAsia"/>
                <w:color w:val="auto"/>
                <w:sz w:val="21"/>
                <w:szCs w:val="21"/>
                <w:highlight w:val="none"/>
                <w:lang w:val="en-US" w:eastAsia="zh-CN"/>
              </w:rPr>
              <w:t>69</w:t>
            </w:r>
          </w:p>
        </w:tc>
        <w:tc>
          <w:tcPr>
            <w:tcW w:w="237" w:type="pct"/>
            <w:vMerge w:val="continue"/>
            <w:shd w:val="clear" w:color="auto" w:fill="auto"/>
            <w:noWrap w:val="0"/>
            <w:vAlign w:val="center"/>
          </w:tcPr>
          <w:p w14:paraId="104CA8B0">
            <w:pPr>
              <w:pStyle w:val="78"/>
              <w:bidi w:val="0"/>
              <w:ind w:firstLine="0" w:firstLineChars="0"/>
              <w:rPr>
                <w:rFonts w:hint="eastAsia"/>
                <w:color w:val="FF0000"/>
                <w:sz w:val="21"/>
                <w:szCs w:val="21"/>
                <w:highlight w:val="none"/>
                <w:lang w:val="en-US" w:eastAsia="zh-CN"/>
              </w:rPr>
            </w:pPr>
          </w:p>
        </w:tc>
        <w:tc>
          <w:tcPr>
            <w:tcW w:w="426" w:type="pct"/>
            <w:shd w:val="clear" w:color="auto" w:fill="auto"/>
            <w:noWrap w:val="0"/>
            <w:vAlign w:val="center"/>
          </w:tcPr>
          <w:p w14:paraId="5A60AD65">
            <w:pPr>
              <w:bidi w:val="0"/>
              <w:ind w:firstLine="0" w:firstLineChars="0"/>
              <w:jc w:val="center"/>
              <w:rPr>
                <w:rFonts w:hint="default" w:ascii="Times New Roman" w:hAnsi="Times New Roman" w:cs="Times New Roman"/>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18" w:type="pct"/>
            <w:shd w:val="clear" w:color="auto" w:fill="auto"/>
            <w:noWrap w:val="0"/>
            <w:vAlign w:val="center"/>
          </w:tcPr>
          <w:p w14:paraId="20CC40A3">
            <w:pPr>
              <w:pStyle w:val="78"/>
              <w:bidi w:val="0"/>
              <w:ind w:firstLine="0" w:firstLineChars="0"/>
              <w:rPr>
                <w:rFonts w:hint="eastAsia"/>
                <w:color w:val="FF0000"/>
                <w:sz w:val="21"/>
                <w:szCs w:val="21"/>
                <w:highlight w:val="none"/>
                <w:lang w:val="en-US" w:eastAsia="zh-CN"/>
              </w:rPr>
            </w:pPr>
            <w:r>
              <w:rPr>
                <w:rFonts w:hint="eastAsia"/>
                <w:color w:val="auto"/>
                <w:sz w:val="21"/>
                <w:szCs w:val="21"/>
                <w:highlight w:val="none"/>
                <w:lang w:val="en-US" w:eastAsia="zh-CN"/>
              </w:rPr>
              <w:t>43</w:t>
            </w:r>
          </w:p>
        </w:tc>
        <w:tc>
          <w:tcPr>
            <w:tcW w:w="302" w:type="pct"/>
            <w:vMerge w:val="continue"/>
            <w:shd w:val="clear" w:color="auto" w:fill="auto"/>
            <w:noWrap w:val="0"/>
            <w:vAlign w:val="center"/>
          </w:tcPr>
          <w:p w14:paraId="058EFBD3">
            <w:pPr>
              <w:pStyle w:val="78"/>
              <w:bidi w:val="0"/>
              <w:ind w:firstLine="0" w:firstLineChars="0"/>
              <w:rPr>
                <w:rFonts w:hint="eastAsia"/>
                <w:color w:val="FF0000"/>
                <w:sz w:val="21"/>
                <w:szCs w:val="21"/>
                <w:highlight w:val="none"/>
              </w:rPr>
            </w:pPr>
          </w:p>
        </w:tc>
      </w:tr>
    </w:tbl>
    <w:p w14:paraId="13C74D3D">
      <w:pPr>
        <w:pStyle w:val="52"/>
        <w:spacing w:line="240" w:lineRule="auto"/>
        <w:ind w:left="0" w:leftChars="0" w:firstLine="0" w:firstLineChars="0"/>
        <w:rPr>
          <w:rFonts w:hint="default" w:eastAsia="宋体"/>
          <w:color w:val="auto"/>
          <w:lang w:val="en-US" w:eastAsia="zh-CN"/>
        </w:rPr>
      </w:pPr>
      <w:r>
        <w:rPr>
          <w:rFonts w:hint="eastAsia"/>
          <w:b/>
          <w:bCs/>
          <w:color w:val="auto"/>
          <w:sz w:val="21"/>
          <w:szCs w:val="21"/>
          <w:lang w:val="en-US" w:eastAsia="zh-CN"/>
        </w:rPr>
        <w:t>注：以厂房西南角为坐标（0,0）点。</w:t>
      </w:r>
    </w:p>
    <w:p w14:paraId="061A36CD">
      <w:pPr>
        <w:bidi w:val="0"/>
        <w:jc w:val="center"/>
        <w:rPr>
          <w:rFonts w:hint="default" w:ascii="Times New Roman" w:hAnsi="Times New Roman" w:eastAsia="宋体" w:cs="Times New Roman"/>
          <w:b/>
          <w:bCs/>
          <w:snapToGrid w:val="0"/>
          <w:color w:val="auto"/>
          <w:kern w:val="0"/>
          <w:sz w:val="24"/>
          <w:szCs w:val="24"/>
          <w:lang w:val="en-US" w:eastAsia="zh-CN" w:bidi="ar"/>
        </w:rPr>
      </w:pPr>
      <w:r>
        <w:rPr>
          <w:rFonts w:hint="default" w:ascii="Times New Roman" w:hAnsi="Times New Roman" w:eastAsia="宋体" w:cs="Times New Roman"/>
          <w:b/>
          <w:bCs/>
          <w:snapToGrid w:val="0"/>
          <w:color w:val="auto"/>
          <w:kern w:val="0"/>
          <w:sz w:val="24"/>
          <w:szCs w:val="24"/>
          <w:lang w:val="en-US" w:eastAsia="zh-CN" w:bidi="ar"/>
        </w:rPr>
        <w:t>表</w:t>
      </w:r>
      <w:r>
        <w:rPr>
          <w:rFonts w:hint="eastAsia" w:ascii="Times New Roman" w:hAnsi="Times New Roman" w:eastAsia="宋体" w:cs="Times New Roman"/>
          <w:b/>
          <w:bCs/>
          <w:snapToGrid w:val="0"/>
          <w:color w:val="auto"/>
          <w:kern w:val="0"/>
          <w:sz w:val="24"/>
          <w:szCs w:val="24"/>
          <w:lang w:val="en-US" w:eastAsia="zh-CN" w:bidi="ar"/>
        </w:rPr>
        <w:t>3.3</w:t>
      </w:r>
      <w:r>
        <w:rPr>
          <w:rFonts w:hint="default" w:ascii="Times New Roman" w:hAnsi="Times New Roman" w:eastAsia="宋体" w:cs="Times New Roman"/>
          <w:b/>
          <w:bCs/>
          <w:snapToGrid w:val="0"/>
          <w:color w:val="auto"/>
          <w:kern w:val="0"/>
          <w:sz w:val="24"/>
          <w:szCs w:val="24"/>
          <w:lang w:val="en-US" w:eastAsia="zh-CN" w:bidi="ar"/>
        </w:rPr>
        <w:t>-</w:t>
      </w:r>
      <w:r>
        <w:rPr>
          <w:rFonts w:hint="eastAsia" w:ascii="Times New Roman" w:hAnsi="Times New Roman" w:eastAsia="宋体" w:cs="Times New Roman"/>
          <w:b/>
          <w:bCs/>
          <w:snapToGrid w:val="0"/>
          <w:color w:val="auto"/>
          <w:kern w:val="0"/>
          <w:sz w:val="24"/>
          <w:szCs w:val="24"/>
          <w:lang w:val="en-US" w:eastAsia="zh-CN" w:bidi="ar"/>
        </w:rPr>
        <w:t xml:space="preserve">5  </w:t>
      </w:r>
      <w:r>
        <w:rPr>
          <w:rFonts w:hint="default" w:ascii="Times New Roman" w:hAnsi="Times New Roman" w:eastAsia="宋体" w:cs="Times New Roman"/>
          <w:b/>
          <w:bCs/>
          <w:snapToGrid w:val="0"/>
          <w:color w:val="auto"/>
          <w:kern w:val="0"/>
          <w:sz w:val="24"/>
          <w:szCs w:val="24"/>
          <w:lang w:val="en-US" w:eastAsia="zh-CN" w:bidi="ar"/>
        </w:rPr>
        <w:t>工业企业噪声源强调查清单（室外声源）</w:t>
      </w:r>
    </w:p>
    <w:tbl>
      <w:tblPr>
        <w:tblStyle w:val="22"/>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559"/>
        <w:gridCol w:w="1049"/>
        <w:gridCol w:w="742"/>
        <w:gridCol w:w="624"/>
        <w:gridCol w:w="607"/>
        <w:gridCol w:w="1804"/>
        <w:gridCol w:w="2329"/>
        <w:gridCol w:w="805"/>
      </w:tblGrid>
      <w:tr w14:paraId="48783D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28" w:type="pct"/>
            <w:vMerge w:val="restart"/>
            <w:vAlign w:val="center"/>
          </w:tcPr>
          <w:p w14:paraId="6F42E2BC">
            <w:pPr>
              <w:keepNext w:val="0"/>
              <w:keepLines w:val="0"/>
              <w:suppressLineNumbers w:val="0"/>
              <w:spacing w:before="100" w:beforeAutospacing="1" w:after="100" w:afterAutospacing="1" w:line="276" w:lineRule="auto"/>
              <w:ind w:left="0" w:right="0"/>
              <w:jc w:val="center"/>
              <w:rPr>
                <w:rFonts w:ascii="Times New Roman" w:hAnsi="Times New Roman" w:cs="Times New Roman"/>
                <w:b/>
                <w:color w:val="auto"/>
                <w:szCs w:val="21"/>
              </w:rPr>
            </w:pPr>
            <w:r>
              <w:rPr>
                <w:rFonts w:ascii="Times New Roman" w:hAnsi="Times New Roman" w:cs="Times New Roman"/>
                <w:b/>
                <w:color w:val="auto"/>
                <w:szCs w:val="21"/>
              </w:rPr>
              <w:t>序号</w:t>
            </w:r>
          </w:p>
        </w:tc>
        <w:tc>
          <w:tcPr>
            <w:tcW w:w="615" w:type="pct"/>
            <w:vMerge w:val="restart"/>
            <w:vAlign w:val="center"/>
          </w:tcPr>
          <w:p w14:paraId="6E0D566B">
            <w:pPr>
              <w:keepNext w:val="0"/>
              <w:keepLines w:val="0"/>
              <w:suppressLineNumbers w:val="0"/>
              <w:spacing w:before="100" w:beforeAutospacing="1" w:after="100" w:afterAutospacing="1" w:line="276" w:lineRule="auto"/>
              <w:ind w:left="0" w:right="0"/>
              <w:jc w:val="center"/>
              <w:rPr>
                <w:rFonts w:ascii="Times New Roman" w:hAnsi="Times New Roman" w:cs="Times New Roman"/>
                <w:b/>
                <w:color w:val="auto"/>
                <w:szCs w:val="21"/>
              </w:rPr>
            </w:pPr>
            <w:r>
              <w:rPr>
                <w:rFonts w:ascii="Times New Roman" w:hAnsi="Times New Roman" w:cs="Times New Roman"/>
                <w:b/>
                <w:color w:val="auto"/>
                <w:szCs w:val="21"/>
              </w:rPr>
              <w:t>声源名称</w:t>
            </w:r>
          </w:p>
        </w:tc>
        <w:tc>
          <w:tcPr>
            <w:tcW w:w="1157" w:type="pct"/>
            <w:gridSpan w:val="3"/>
            <w:vAlign w:val="center"/>
          </w:tcPr>
          <w:p w14:paraId="21A2C97F">
            <w:pPr>
              <w:keepNext w:val="0"/>
              <w:keepLines w:val="0"/>
              <w:suppressLineNumbers w:val="0"/>
              <w:spacing w:before="100" w:beforeAutospacing="1" w:after="100" w:afterAutospacing="1" w:line="276" w:lineRule="auto"/>
              <w:ind w:left="0" w:right="0"/>
              <w:jc w:val="center"/>
              <w:rPr>
                <w:rFonts w:ascii="Times New Roman" w:hAnsi="Times New Roman" w:cs="Times New Roman"/>
                <w:b/>
                <w:color w:val="auto"/>
                <w:szCs w:val="21"/>
              </w:rPr>
            </w:pPr>
            <w:r>
              <w:rPr>
                <w:rFonts w:hint="eastAsia" w:ascii="Times New Roman" w:hAnsi="Times New Roman" w:cs="Times New Roman"/>
                <w:b/>
                <w:color w:val="auto"/>
                <w:szCs w:val="21"/>
              </w:rPr>
              <w:t>空间相对位置/m</w:t>
            </w:r>
          </w:p>
        </w:tc>
        <w:tc>
          <w:tcPr>
            <w:tcW w:w="1058" w:type="pct"/>
            <w:vAlign w:val="center"/>
          </w:tcPr>
          <w:p w14:paraId="23C4AC31">
            <w:pPr>
              <w:keepNext w:val="0"/>
              <w:keepLines w:val="0"/>
              <w:suppressLineNumbers w:val="0"/>
              <w:spacing w:before="100" w:beforeAutospacing="1" w:after="100" w:afterAutospacing="1" w:line="276" w:lineRule="auto"/>
              <w:ind w:left="0" w:right="0"/>
              <w:jc w:val="center"/>
              <w:rPr>
                <w:rFonts w:ascii="Times New Roman" w:hAnsi="Times New Roman" w:cs="Times New Roman"/>
                <w:b/>
                <w:color w:val="auto"/>
                <w:szCs w:val="21"/>
              </w:rPr>
            </w:pPr>
            <w:r>
              <w:rPr>
                <w:rFonts w:ascii="Times New Roman" w:hAnsi="Times New Roman" w:cs="Times New Roman"/>
                <w:b/>
                <w:color w:val="auto"/>
                <w:szCs w:val="21"/>
              </w:rPr>
              <w:t>声源源强</w:t>
            </w:r>
          </w:p>
        </w:tc>
        <w:tc>
          <w:tcPr>
            <w:tcW w:w="1366" w:type="pct"/>
            <w:vMerge w:val="restart"/>
            <w:vAlign w:val="center"/>
          </w:tcPr>
          <w:p w14:paraId="2987C63A">
            <w:pPr>
              <w:keepNext w:val="0"/>
              <w:keepLines w:val="0"/>
              <w:suppressLineNumbers w:val="0"/>
              <w:spacing w:before="100" w:beforeAutospacing="1" w:after="100" w:afterAutospacing="1" w:line="276" w:lineRule="auto"/>
              <w:ind w:left="0" w:right="0"/>
              <w:jc w:val="center"/>
              <w:rPr>
                <w:rFonts w:ascii="Times New Roman" w:hAnsi="Times New Roman" w:cs="Times New Roman"/>
                <w:b/>
                <w:color w:val="auto"/>
                <w:szCs w:val="21"/>
              </w:rPr>
            </w:pPr>
            <w:r>
              <w:rPr>
                <w:rFonts w:ascii="Times New Roman" w:hAnsi="Times New Roman" w:cs="Times New Roman"/>
                <w:b/>
                <w:color w:val="auto"/>
                <w:szCs w:val="21"/>
              </w:rPr>
              <w:t>声源控制措施</w:t>
            </w:r>
          </w:p>
        </w:tc>
        <w:tc>
          <w:tcPr>
            <w:tcW w:w="472" w:type="pct"/>
            <w:vMerge w:val="restart"/>
            <w:vAlign w:val="center"/>
          </w:tcPr>
          <w:p w14:paraId="5E8B8C8E">
            <w:pPr>
              <w:keepNext w:val="0"/>
              <w:keepLines w:val="0"/>
              <w:suppressLineNumbers w:val="0"/>
              <w:spacing w:before="100" w:beforeAutospacing="1" w:after="100" w:afterAutospacing="1" w:line="276" w:lineRule="auto"/>
              <w:ind w:left="0" w:right="0"/>
              <w:jc w:val="center"/>
              <w:rPr>
                <w:rFonts w:ascii="Times New Roman" w:hAnsi="Times New Roman" w:cs="Times New Roman"/>
                <w:b/>
                <w:color w:val="auto"/>
                <w:szCs w:val="21"/>
              </w:rPr>
            </w:pPr>
            <w:r>
              <w:rPr>
                <w:rFonts w:ascii="Times New Roman" w:hAnsi="Times New Roman" w:cs="Times New Roman"/>
                <w:b/>
                <w:color w:val="auto"/>
                <w:szCs w:val="21"/>
              </w:rPr>
              <w:t>运行时段</w:t>
            </w:r>
          </w:p>
        </w:tc>
      </w:tr>
      <w:tr w14:paraId="553A54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28" w:type="pct"/>
            <w:vMerge w:val="continue"/>
            <w:vAlign w:val="center"/>
          </w:tcPr>
          <w:p w14:paraId="5AF0CE20">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auto"/>
                <w:szCs w:val="21"/>
              </w:rPr>
            </w:pPr>
          </w:p>
        </w:tc>
        <w:tc>
          <w:tcPr>
            <w:tcW w:w="615" w:type="pct"/>
            <w:vMerge w:val="continue"/>
            <w:vAlign w:val="center"/>
          </w:tcPr>
          <w:p w14:paraId="0114D969">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auto"/>
                <w:szCs w:val="21"/>
              </w:rPr>
            </w:pPr>
          </w:p>
        </w:tc>
        <w:tc>
          <w:tcPr>
            <w:tcW w:w="435" w:type="pct"/>
            <w:vAlign w:val="center"/>
          </w:tcPr>
          <w:p w14:paraId="500F38CE">
            <w:pPr>
              <w:keepNext w:val="0"/>
              <w:keepLines w:val="0"/>
              <w:suppressLineNumbers w:val="0"/>
              <w:spacing w:before="100" w:beforeAutospacing="1" w:after="100" w:afterAutospacing="1" w:line="276" w:lineRule="auto"/>
              <w:ind w:left="0" w:right="0"/>
              <w:jc w:val="center"/>
              <w:rPr>
                <w:rFonts w:ascii="Times New Roman" w:hAnsi="Times New Roman" w:cs="Times New Roman"/>
                <w:b/>
                <w:color w:val="auto"/>
                <w:szCs w:val="21"/>
              </w:rPr>
            </w:pPr>
            <w:r>
              <w:rPr>
                <w:rFonts w:ascii="Times New Roman" w:hAnsi="Times New Roman" w:cs="Times New Roman"/>
                <w:b/>
                <w:color w:val="auto"/>
                <w:szCs w:val="21"/>
              </w:rPr>
              <w:t>X</w:t>
            </w:r>
          </w:p>
        </w:tc>
        <w:tc>
          <w:tcPr>
            <w:tcW w:w="366" w:type="pct"/>
            <w:vAlign w:val="center"/>
          </w:tcPr>
          <w:p w14:paraId="02156652">
            <w:pPr>
              <w:keepNext w:val="0"/>
              <w:keepLines w:val="0"/>
              <w:suppressLineNumbers w:val="0"/>
              <w:spacing w:before="100" w:beforeAutospacing="1" w:after="100" w:afterAutospacing="1" w:line="276" w:lineRule="auto"/>
              <w:ind w:left="0" w:right="0"/>
              <w:jc w:val="center"/>
              <w:rPr>
                <w:rFonts w:ascii="Times New Roman" w:hAnsi="Times New Roman" w:cs="Times New Roman"/>
                <w:b/>
                <w:color w:val="auto"/>
                <w:szCs w:val="21"/>
              </w:rPr>
            </w:pPr>
            <w:r>
              <w:rPr>
                <w:rFonts w:ascii="Times New Roman" w:hAnsi="Times New Roman" w:cs="Times New Roman"/>
                <w:b/>
                <w:color w:val="auto"/>
                <w:szCs w:val="21"/>
              </w:rPr>
              <w:t>Y</w:t>
            </w:r>
          </w:p>
        </w:tc>
        <w:tc>
          <w:tcPr>
            <w:tcW w:w="356" w:type="pct"/>
            <w:vAlign w:val="center"/>
          </w:tcPr>
          <w:p w14:paraId="3B478C0A">
            <w:pPr>
              <w:keepNext w:val="0"/>
              <w:keepLines w:val="0"/>
              <w:suppressLineNumbers w:val="0"/>
              <w:spacing w:before="100" w:beforeAutospacing="1" w:after="100" w:afterAutospacing="1" w:line="276" w:lineRule="auto"/>
              <w:ind w:left="0" w:right="0"/>
              <w:jc w:val="center"/>
              <w:rPr>
                <w:rFonts w:ascii="Times New Roman" w:hAnsi="Times New Roman" w:cs="Times New Roman"/>
                <w:b/>
                <w:color w:val="auto"/>
                <w:szCs w:val="21"/>
              </w:rPr>
            </w:pPr>
            <w:r>
              <w:rPr>
                <w:rFonts w:ascii="Times New Roman" w:hAnsi="Times New Roman" w:cs="Times New Roman"/>
                <w:b/>
                <w:color w:val="auto"/>
                <w:szCs w:val="21"/>
              </w:rPr>
              <w:t>Z</w:t>
            </w:r>
          </w:p>
        </w:tc>
        <w:tc>
          <w:tcPr>
            <w:tcW w:w="1058" w:type="pct"/>
            <w:vAlign w:val="center"/>
          </w:tcPr>
          <w:p w14:paraId="64BD18E9">
            <w:pPr>
              <w:keepNext w:val="0"/>
              <w:keepLines w:val="0"/>
              <w:suppressLineNumbers w:val="0"/>
              <w:spacing w:before="100" w:beforeAutospacing="1" w:after="100" w:afterAutospacing="1" w:line="276" w:lineRule="auto"/>
              <w:ind w:left="0" w:right="0"/>
              <w:jc w:val="center"/>
              <w:rPr>
                <w:rFonts w:ascii="Times New Roman" w:hAnsi="Times New Roman" w:cs="Times New Roman"/>
                <w:b/>
                <w:color w:val="auto"/>
                <w:szCs w:val="21"/>
              </w:rPr>
            </w:pPr>
            <w:r>
              <w:rPr>
                <w:rFonts w:ascii="Times New Roman" w:hAnsi="Times New Roman" w:cs="Times New Roman"/>
                <w:b/>
                <w:color w:val="auto"/>
                <w:szCs w:val="21"/>
              </w:rPr>
              <w:t>声压级/dB（A）</w:t>
            </w:r>
          </w:p>
        </w:tc>
        <w:tc>
          <w:tcPr>
            <w:tcW w:w="1366" w:type="pct"/>
            <w:vMerge w:val="continue"/>
            <w:vAlign w:val="center"/>
          </w:tcPr>
          <w:p w14:paraId="04D3918C">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auto"/>
                <w:szCs w:val="21"/>
              </w:rPr>
            </w:pPr>
          </w:p>
        </w:tc>
        <w:tc>
          <w:tcPr>
            <w:tcW w:w="472" w:type="pct"/>
            <w:vMerge w:val="continue"/>
            <w:vAlign w:val="center"/>
          </w:tcPr>
          <w:p w14:paraId="145BC9F2">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auto"/>
                <w:szCs w:val="21"/>
              </w:rPr>
            </w:pPr>
          </w:p>
        </w:tc>
      </w:tr>
      <w:tr w14:paraId="3C791B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28" w:type="pct"/>
            <w:vAlign w:val="center"/>
          </w:tcPr>
          <w:p w14:paraId="3574AB8E">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auto"/>
                <w:szCs w:val="21"/>
              </w:rPr>
            </w:pPr>
            <w:r>
              <w:rPr>
                <w:rFonts w:ascii="Times New Roman" w:hAnsi="Times New Roman" w:cs="Times New Roman"/>
                <w:color w:val="auto"/>
                <w:szCs w:val="21"/>
              </w:rPr>
              <w:t>1</w:t>
            </w:r>
          </w:p>
        </w:tc>
        <w:tc>
          <w:tcPr>
            <w:tcW w:w="615" w:type="pct"/>
            <w:vAlign w:val="center"/>
          </w:tcPr>
          <w:p w14:paraId="3CCB383A">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auto"/>
                <w:szCs w:val="21"/>
              </w:rPr>
            </w:pPr>
            <w:r>
              <w:rPr>
                <w:rFonts w:ascii="Times New Roman" w:hAnsi="Times New Roman" w:cs="Times New Roman"/>
                <w:color w:val="auto"/>
                <w:szCs w:val="21"/>
              </w:rPr>
              <w:t>风机</w:t>
            </w:r>
          </w:p>
        </w:tc>
        <w:tc>
          <w:tcPr>
            <w:tcW w:w="742" w:type="dxa"/>
            <w:vAlign w:val="center"/>
          </w:tcPr>
          <w:p w14:paraId="67E2BA26">
            <w:pPr>
              <w:pStyle w:val="83"/>
              <w:spacing w:line="240" w:lineRule="auto"/>
              <w:ind w:left="19" w:leftChars="9" w:right="19" w:rightChars="9" w:firstLine="0" w:firstLine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lang w:val="en-US" w:eastAsia="zh-CN"/>
              </w:rPr>
              <w:t>70</w:t>
            </w:r>
          </w:p>
        </w:tc>
        <w:tc>
          <w:tcPr>
            <w:tcW w:w="624" w:type="dxa"/>
            <w:vAlign w:val="center"/>
          </w:tcPr>
          <w:p w14:paraId="58CA98EE">
            <w:pPr>
              <w:pStyle w:val="83"/>
              <w:spacing w:line="240" w:lineRule="auto"/>
              <w:ind w:left="19" w:leftChars="9" w:right="19" w:rightChars="9" w:firstLine="0" w:firstLine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lang w:val="en-US" w:eastAsia="zh-CN"/>
              </w:rPr>
              <w:t>190</w:t>
            </w:r>
          </w:p>
        </w:tc>
        <w:tc>
          <w:tcPr>
            <w:tcW w:w="356" w:type="pct"/>
            <w:vAlign w:val="center"/>
          </w:tcPr>
          <w:p w14:paraId="422936E9">
            <w:pPr>
              <w:keepNext w:val="0"/>
              <w:keepLines w:val="0"/>
              <w:suppressLineNumbers w:val="0"/>
              <w:spacing w:before="100" w:beforeAutospacing="1" w:after="100" w:afterAutospacing="1" w:line="276" w:lineRule="auto"/>
              <w:ind w:left="0" w:right="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2</w:t>
            </w:r>
          </w:p>
        </w:tc>
        <w:tc>
          <w:tcPr>
            <w:tcW w:w="1058" w:type="pct"/>
            <w:vAlign w:val="center"/>
          </w:tcPr>
          <w:p w14:paraId="3A1BD3C8">
            <w:pPr>
              <w:keepNext w:val="0"/>
              <w:keepLines w:val="0"/>
              <w:suppressLineNumbers w:val="0"/>
              <w:spacing w:before="100" w:beforeAutospacing="1" w:after="100" w:afterAutospacing="1" w:line="276" w:lineRule="auto"/>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80</w:t>
            </w:r>
          </w:p>
        </w:tc>
        <w:tc>
          <w:tcPr>
            <w:tcW w:w="1366" w:type="pct"/>
            <w:vMerge w:val="restart"/>
            <w:vAlign w:val="center"/>
          </w:tcPr>
          <w:p w14:paraId="1DAEE46A">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auto"/>
                <w:szCs w:val="21"/>
              </w:rPr>
            </w:pPr>
            <w:r>
              <w:rPr>
                <w:rFonts w:hint="eastAsia" w:ascii="Times New Roman" w:hAnsi="Times New Roman" w:cs="Times New Roman"/>
                <w:color w:val="auto"/>
                <w:szCs w:val="21"/>
              </w:rPr>
              <w:t>风机设置隔声罩，</w:t>
            </w:r>
            <w:r>
              <w:rPr>
                <w:rFonts w:hint="eastAsia" w:ascii="Times New Roman" w:hAnsi="Times New Roman" w:eastAsia="宋体" w:cs="Times New Roman"/>
                <w:color w:val="auto"/>
                <w:szCs w:val="21"/>
                <w:lang w:val="en-US" w:eastAsia="zh-CN"/>
              </w:rPr>
              <w:t>软连接、</w:t>
            </w:r>
            <w:r>
              <w:rPr>
                <w:rFonts w:hint="eastAsia" w:ascii="Times New Roman" w:hAnsi="Times New Roman" w:cs="Times New Roman"/>
                <w:color w:val="auto"/>
                <w:szCs w:val="21"/>
              </w:rPr>
              <w:t>在风机的进风口和出风口安装消声器，风机基础进行减振</w:t>
            </w:r>
          </w:p>
        </w:tc>
        <w:tc>
          <w:tcPr>
            <w:tcW w:w="472" w:type="pct"/>
            <w:vMerge w:val="restart"/>
            <w:vAlign w:val="center"/>
          </w:tcPr>
          <w:p w14:paraId="406EE815">
            <w:pPr>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rPr>
              <w:t>昼</w:t>
            </w:r>
            <w:r>
              <w:rPr>
                <w:rFonts w:ascii="Times New Roman" w:hAnsi="Times New Roman" w:eastAsia="宋体" w:cs="Times New Roman"/>
                <w:color w:val="auto"/>
                <w:szCs w:val="21"/>
              </w:rPr>
              <w:t>间</w:t>
            </w:r>
            <w:r>
              <w:rPr>
                <w:rFonts w:hint="eastAsia" w:ascii="Times New Roman" w:hAnsi="Times New Roman" w:eastAsia="宋体" w:cs="Times New Roman"/>
                <w:color w:val="auto"/>
                <w:szCs w:val="21"/>
                <w:lang w:eastAsia="zh-CN"/>
              </w:rPr>
              <w:t>、</w:t>
            </w:r>
            <w:r>
              <w:rPr>
                <w:rFonts w:hint="eastAsia" w:ascii="Times New Roman" w:hAnsi="Times New Roman" w:eastAsia="宋体" w:cs="Times New Roman"/>
                <w:color w:val="auto"/>
                <w:szCs w:val="21"/>
                <w:lang w:val="en-US" w:eastAsia="zh-CN"/>
              </w:rPr>
              <w:t>夜间</w:t>
            </w:r>
          </w:p>
        </w:tc>
      </w:tr>
      <w:tr w14:paraId="0263C2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28" w:type="pct"/>
            <w:vAlign w:val="center"/>
          </w:tcPr>
          <w:p w14:paraId="78788876">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auto"/>
                <w:szCs w:val="21"/>
              </w:rPr>
            </w:pPr>
            <w:r>
              <w:rPr>
                <w:rFonts w:hint="eastAsia" w:ascii="Times New Roman" w:hAnsi="Times New Roman" w:cs="Times New Roman"/>
                <w:color w:val="auto"/>
                <w:szCs w:val="21"/>
              </w:rPr>
              <w:t>2</w:t>
            </w:r>
          </w:p>
        </w:tc>
        <w:tc>
          <w:tcPr>
            <w:tcW w:w="615" w:type="pct"/>
            <w:vAlign w:val="center"/>
          </w:tcPr>
          <w:p w14:paraId="4321933D">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auto"/>
                <w:szCs w:val="21"/>
              </w:rPr>
            </w:pPr>
            <w:r>
              <w:rPr>
                <w:rFonts w:ascii="Times New Roman" w:hAnsi="Times New Roman" w:cs="Times New Roman"/>
                <w:color w:val="auto"/>
                <w:szCs w:val="21"/>
              </w:rPr>
              <w:t>风机</w:t>
            </w:r>
          </w:p>
        </w:tc>
        <w:tc>
          <w:tcPr>
            <w:tcW w:w="742" w:type="dxa"/>
            <w:vAlign w:val="center"/>
          </w:tcPr>
          <w:p w14:paraId="3B65E34E">
            <w:pPr>
              <w:pStyle w:val="83"/>
              <w:spacing w:line="240" w:lineRule="auto"/>
              <w:ind w:left="19" w:leftChars="9" w:right="19" w:rightChars="9" w:firstLine="0" w:firstLine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lang w:val="en-US" w:eastAsia="zh-CN"/>
              </w:rPr>
              <w:t>130</w:t>
            </w:r>
          </w:p>
        </w:tc>
        <w:tc>
          <w:tcPr>
            <w:tcW w:w="624" w:type="dxa"/>
            <w:vAlign w:val="center"/>
          </w:tcPr>
          <w:p w14:paraId="586168D1">
            <w:pPr>
              <w:pStyle w:val="83"/>
              <w:spacing w:line="240" w:lineRule="auto"/>
              <w:ind w:left="19" w:leftChars="9" w:right="19" w:rightChars="9" w:firstLine="0" w:firstLine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lang w:val="en-US" w:eastAsia="zh-CN"/>
              </w:rPr>
              <w:t>190</w:t>
            </w:r>
          </w:p>
        </w:tc>
        <w:tc>
          <w:tcPr>
            <w:tcW w:w="356" w:type="pct"/>
            <w:vAlign w:val="center"/>
          </w:tcPr>
          <w:p w14:paraId="044641D5">
            <w:pPr>
              <w:keepNext w:val="0"/>
              <w:keepLines w:val="0"/>
              <w:suppressLineNumbers w:val="0"/>
              <w:spacing w:before="100" w:beforeAutospacing="1" w:after="100" w:afterAutospacing="1" w:line="276" w:lineRule="auto"/>
              <w:ind w:left="0" w:right="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2</w:t>
            </w:r>
          </w:p>
        </w:tc>
        <w:tc>
          <w:tcPr>
            <w:tcW w:w="1058" w:type="pct"/>
            <w:vAlign w:val="center"/>
          </w:tcPr>
          <w:p w14:paraId="69F51A7C">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auto"/>
                <w:szCs w:val="21"/>
              </w:rPr>
            </w:pPr>
            <w:r>
              <w:rPr>
                <w:rFonts w:ascii="Times New Roman" w:hAnsi="Times New Roman" w:cs="Times New Roman"/>
                <w:color w:val="auto"/>
                <w:szCs w:val="21"/>
              </w:rPr>
              <w:t>90</w:t>
            </w:r>
          </w:p>
        </w:tc>
        <w:tc>
          <w:tcPr>
            <w:tcW w:w="1366" w:type="pct"/>
            <w:vMerge w:val="continue"/>
            <w:vAlign w:val="center"/>
          </w:tcPr>
          <w:p w14:paraId="36F80E20">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auto"/>
                <w:szCs w:val="21"/>
              </w:rPr>
            </w:pPr>
          </w:p>
        </w:tc>
        <w:tc>
          <w:tcPr>
            <w:tcW w:w="472" w:type="pct"/>
            <w:vMerge w:val="continue"/>
            <w:vAlign w:val="center"/>
          </w:tcPr>
          <w:p w14:paraId="22BEE1D7">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FF0000"/>
                <w:szCs w:val="21"/>
              </w:rPr>
            </w:pPr>
          </w:p>
        </w:tc>
      </w:tr>
      <w:tr w14:paraId="570595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28" w:type="pct"/>
            <w:vAlign w:val="center"/>
          </w:tcPr>
          <w:p w14:paraId="03FB96ED">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auto"/>
                <w:szCs w:val="21"/>
              </w:rPr>
            </w:pPr>
            <w:r>
              <w:rPr>
                <w:rFonts w:hint="eastAsia" w:ascii="Times New Roman" w:hAnsi="Times New Roman" w:cs="Times New Roman"/>
                <w:color w:val="auto"/>
                <w:szCs w:val="21"/>
              </w:rPr>
              <w:t>3</w:t>
            </w:r>
          </w:p>
        </w:tc>
        <w:tc>
          <w:tcPr>
            <w:tcW w:w="615" w:type="pct"/>
            <w:vAlign w:val="center"/>
          </w:tcPr>
          <w:p w14:paraId="38FC19D0">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auto"/>
                <w:szCs w:val="21"/>
              </w:rPr>
            </w:pPr>
            <w:r>
              <w:rPr>
                <w:rFonts w:ascii="Times New Roman" w:hAnsi="Times New Roman" w:cs="Times New Roman"/>
                <w:color w:val="auto"/>
                <w:szCs w:val="21"/>
              </w:rPr>
              <w:t>风机</w:t>
            </w:r>
          </w:p>
        </w:tc>
        <w:tc>
          <w:tcPr>
            <w:tcW w:w="742" w:type="dxa"/>
            <w:vAlign w:val="center"/>
          </w:tcPr>
          <w:p w14:paraId="20A87686">
            <w:pPr>
              <w:pStyle w:val="83"/>
              <w:spacing w:line="240" w:lineRule="auto"/>
              <w:ind w:left="19" w:leftChars="9" w:right="19" w:rightChars="9" w:firstLine="0" w:firstLine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lang w:val="en-US" w:eastAsia="zh-CN"/>
              </w:rPr>
              <w:t>120</w:t>
            </w:r>
          </w:p>
        </w:tc>
        <w:tc>
          <w:tcPr>
            <w:tcW w:w="624" w:type="dxa"/>
            <w:vAlign w:val="center"/>
          </w:tcPr>
          <w:p w14:paraId="56D45D65">
            <w:pPr>
              <w:pStyle w:val="83"/>
              <w:spacing w:line="240" w:lineRule="auto"/>
              <w:ind w:left="19" w:leftChars="9" w:right="19" w:rightChars="9" w:firstLine="0" w:firstLine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lang w:val="en-US" w:eastAsia="zh-CN"/>
              </w:rPr>
              <w:t>190</w:t>
            </w:r>
          </w:p>
        </w:tc>
        <w:tc>
          <w:tcPr>
            <w:tcW w:w="356" w:type="pct"/>
            <w:vAlign w:val="center"/>
          </w:tcPr>
          <w:p w14:paraId="2F706435">
            <w:pPr>
              <w:keepNext w:val="0"/>
              <w:keepLines w:val="0"/>
              <w:suppressLineNumbers w:val="0"/>
              <w:spacing w:before="100" w:beforeAutospacing="1" w:after="100" w:afterAutospacing="1" w:line="276" w:lineRule="auto"/>
              <w:ind w:left="0" w:right="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2</w:t>
            </w:r>
          </w:p>
        </w:tc>
        <w:tc>
          <w:tcPr>
            <w:tcW w:w="1058" w:type="pct"/>
            <w:vAlign w:val="center"/>
          </w:tcPr>
          <w:p w14:paraId="201924A1">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auto"/>
                <w:szCs w:val="21"/>
              </w:rPr>
            </w:pPr>
            <w:r>
              <w:rPr>
                <w:rFonts w:hint="eastAsia" w:ascii="Times New Roman" w:hAnsi="Times New Roman" w:cs="Times New Roman"/>
                <w:color w:val="auto"/>
                <w:szCs w:val="21"/>
              </w:rPr>
              <w:t>90</w:t>
            </w:r>
          </w:p>
        </w:tc>
        <w:tc>
          <w:tcPr>
            <w:tcW w:w="1366" w:type="pct"/>
            <w:vMerge w:val="continue"/>
            <w:vAlign w:val="center"/>
          </w:tcPr>
          <w:p w14:paraId="039C52F5">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auto"/>
                <w:szCs w:val="21"/>
              </w:rPr>
            </w:pPr>
          </w:p>
        </w:tc>
        <w:tc>
          <w:tcPr>
            <w:tcW w:w="472" w:type="pct"/>
            <w:vMerge w:val="continue"/>
            <w:vAlign w:val="center"/>
          </w:tcPr>
          <w:p w14:paraId="756C29E4">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FF0000"/>
                <w:szCs w:val="21"/>
              </w:rPr>
            </w:pPr>
          </w:p>
        </w:tc>
      </w:tr>
      <w:tr w14:paraId="326A29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28" w:type="pct"/>
            <w:vAlign w:val="center"/>
          </w:tcPr>
          <w:p w14:paraId="0E35C1AF">
            <w:pPr>
              <w:keepNext w:val="0"/>
              <w:keepLines w:val="0"/>
              <w:suppressLineNumbers w:val="0"/>
              <w:spacing w:before="100" w:beforeAutospacing="1" w:after="100" w:afterAutospacing="1" w:line="276" w:lineRule="auto"/>
              <w:ind w:left="0" w:right="0"/>
              <w:jc w:val="center"/>
              <w:rPr>
                <w:rFonts w:hint="eastAsia" w:ascii="Times New Roman" w:hAnsi="Times New Roman" w:cs="Times New Roman"/>
                <w:color w:val="auto"/>
                <w:szCs w:val="21"/>
              </w:rPr>
            </w:pPr>
            <w:r>
              <w:rPr>
                <w:rFonts w:hint="eastAsia" w:ascii="Times New Roman" w:hAnsi="Times New Roman" w:cs="Times New Roman"/>
                <w:color w:val="auto"/>
                <w:szCs w:val="21"/>
                <w:lang w:val="en-US" w:eastAsia="zh-CN"/>
              </w:rPr>
              <w:t>4</w:t>
            </w:r>
          </w:p>
        </w:tc>
        <w:tc>
          <w:tcPr>
            <w:tcW w:w="615" w:type="pct"/>
            <w:vAlign w:val="center"/>
          </w:tcPr>
          <w:p w14:paraId="30F316F1">
            <w:pPr>
              <w:keepNext w:val="0"/>
              <w:keepLines w:val="0"/>
              <w:suppressLineNumbers w:val="0"/>
              <w:spacing w:before="100" w:beforeAutospacing="1" w:after="100" w:afterAutospacing="1" w:line="276" w:lineRule="auto"/>
              <w:ind w:left="0" w:right="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风机</w:t>
            </w:r>
          </w:p>
        </w:tc>
        <w:tc>
          <w:tcPr>
            <w:tcW w:w="742" w:type="dxa"/>
            <w:vAlign w:val="center"/>
          </w:tcPr>
          <w:p w14:paraId="2CB9510B">
            <w:pPr>
              <w:pStyle w:val="83"/>
              <w:spacing w:line="240" w:lineRule="auto"/>
              <w:ind w:left="19" w:leftChars="9" w:right="19" w:rightChars="9" w:firstLine="0" w:firstLine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lang w:val="en-US" w:eastAsia="zh-CN"/>
              </w:rPr>
              <w:t>10</w:t>
            </w:r>
          </w:p>
        </w:tc>
        <w:tc>
          <w:tcPr>
            <w:tcW w:w="624" w:type="dxa"/>
            <w:vAlign w:val="center"/>
          </w:tcPr>
          <w:p w14:paraId="2861645B">
            <w:pPr>
              <w:pStyle w:val="83"/>
              <w:spacing w:line="240" w:lineRule="auto"/>
              <w:ind w:left="19" w:leftChars="9" w:right="19" w:rightChars="9" w:firstLine="0" w:firstLineChars="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lang w:val="en-US" w:eastAsia="zh-CN"/>
              </w:rPr>
              <w:t>60</w:t>
            </w:r>
          </w:p>
        </w:tc>
        <w:tc>
          <w:tcPr>
            <w:tcW w:w="356" w:type="pct"/>
            <w:vAlign w:val="center"/>
          </w:tcPr>
          <w:p w14:paraId="467ECBEF">
            <w:pPr>
              <w:keepNext w:val="0"/>
              <w:keepLines w:val="0"/>
              <w:suppressLineNumbers w:val="0"/>
              <w:spacing w:before="100" w:beforeAutospacing="1" w:after="100" w:afterAutospacing="1" w:line="276" w:lineRule="auto"/>
              <w:ind w:left="0" w:right="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2</w:t>
            </w:r>
          </w:p>
        </w:tc>
        <w:tc>
          <w:tcPr>
            <w:tcW w:w="1058" w:type="pct"/>
            <w:vAlign w:val="center"/>
          </w:tcPr>
          <w:p w14:paraId="72C9A642">
            <w:pPr>
              <w:keepNext w:val="0"/>
              <w:keepLines w:val="0"/>
              <w:suppressLineNumbers w:val="0"/>
              <w:spacing w:before="100" w:beforeAutospacing="1" w:after="100" w:afterAutospacing="1" w:line="276" w:lineRule="auto"/>
              <w:ind w:left="0" w:right="0"/>
              <w:jc w:val="center"/>
              <w:rPr>
                <w:rFonts w:hint="eastAsia" w:ascii="Times New Roman" w:hAnsi="Times New Roman" w:cs="Times New Roman"/>
                <w:color w:val="auto"/>
                <w:szCs w:val="21"/>
              </w:rPr>
            </w:pPr>
            <w:r>
              <w:rPr>
                <w:rFonts w:hint="eastAsia" w:ascii="Times New Roman" w:hAnsi="Times New Roman" w:cs="Times New Roman"/>
                <w:color w:val="auto"/>
                <w:szCs w:val="21"/>
              </w:rPr>
              <w:t>90</w:t>
            </w:r>
          </w:p>
        </w:tc>
        <w:tc>
          <w:tcPr>
            <w:tcW w:w="1366" w:type="pct"/>
            <w:vMerge w:val="continue"/>
            <w:vAlign w:val="center"/>
          </w:tcPr>
          <w:p w14:paraId="3B020771">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auto"/>
                <w:szCs w:val="21"/>
              </w:rPr>
            </w:pPr>
          </w:p>
        </w:tc>
        <w:tc>
          <w:tcPr>
            <w:tcW w:w="472" w:type="pct"/>
            <w:vMerge w:val="continue"/>
            <w:vAlign w:val="center"/>
          </w:tcPr>
          <w:p w14:paraId="558BD9D1">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FF0000"/>
                <w:szCs w:val="21"/>
              </w:rPr>
            </w:pPr>
          </w:p>
        </w:tc>
      </w:tr>
      <w:tr w14:paraId="130F7C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28" w:type="pct"/>
            <w:vAlign w:val="center"/>
          </w:tcPr>
          <w:p w14:paraId="39759024">
            <w:pPr>
              <w:keepNext w:val="0"/>
              <w:keepLines w:val="0"/>
              <w:suppressLineNumbers w:val="0"/>
              <w:spacing w:before="100" w:beforeAutospacing="1" w:after="100" w:afterAutospacing="1" w:line="276" w:lineRule="auto"/>
              <w:ind w:left="0" w:right="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w:t>
            </w:r>
          </w:p>
        </w:tc>
        <w:tc>
          <w:tcPr>
            <w:tcW w:w="615" w:type="pct"/>
            <w:vAlign w:val="center"/>
          </w:tcPr>
          <w:p w14:paraId="1B6BD525">
            <w:pPr>
              <w:keepNext w:val="0"/>
              <w:keepLines w:val="0"/>
              <w:suppressLineNumbers w:val="0"/>
              <w:spacing w:before="100" w:beforeAutospacing="1" w:after="100" w:afterAutospacing="1" w:line="276" w:lineRule="auto"/>
              <w:ind w:left="0" w:right="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水泵</w:t>
            </w:r>
          </w:p>
        </w:tc>
        <w:tc>
          <w:tcPr>
            <w:tcW w:w="435" w:type="pct"/>
            <w:vAlign w:val="center"/>
          </w:tcPr>
          <w:p w14:paraId="792ABE51">
            <w:pPr>
              <w:keepNext w:val="0"/>
              <w:keepLines w:val="0"/>
              <w:suppressLineNumbers w:val="0"/>
              <w:spacing w:before="100" w:beforeAutospacing="1" w:after="100" w:afterAutospacing="1" w:line="276" w:lineRule="auto"/>
              <w:ind w:left="0" w:right="0"/>
              <w:jc w:val="center"/>
              <w:rPr>
                <w:rFonts w:hint="eastAsia" w:ascii="Times New Roman" w:hAnsi="Times New Roman" w:cs="Times New Roman"/>
                <w:color w:val="auto"/>
                <w:szCs w:val="21"/>
              </w:rPr>
            </w:pPr>
            <w:r>
              <w:rPr>
                <w:rFonts w:hint="eastAsia" w:ascii="Times New Roman" w:hAnsi="Times New Roman" w:cs="Times New Roman" w:eastAsiaTheme="minorEastAsia"/>
                <w:color w:val="auto"/>
                <w:szCs w:val="21"/>
                <w:highlight w:val="none"/>
                <w:lang w:val="en-US" w:eastAsia="zh-CN"/>
              </w:rPr>
              <w:t>105</w:t>
            </w:r>
          </w:p>
        </w:tc>
        <w:tc>
          <w:tcPr>
            <w:tcW w:w="366" w:type="pct"/>
            <w:vAlign w:val="center"/>
          </w:tcPr>
          <w:p w14:paraId="4D0EBDA4">
            <w:pPr>
              <w:keepNext w:val="0"/>
              <w:keepLines w:val="0"/>
              <w:suppressLineNumbers w:val="0"/>
              <w:spacing w:before="100" w:beforeAutospacing="1" w:after="100" w:afterAutospacing="1" w:line="276" w:lineRule="auto"/>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192</w:t>
            </w:r>
          </w:p>
        </w:tc>
        <w:tc>
          <w:tcPr>
            <w:tcW w:w="356" w:type="pct"/>
            <w:vAlign w:val="center"/>
          </w:tcPr>
          <w:p w14:paraId="475CE150">
            <w:pPr>
              <w:keepNext w:val="0"/>
              <w:keepLines w:val="0"/>
              <w:suppressLineNumbers w:val="0"/>
              <w:spacing w:before="100" w:beforeAutospacing="1" w:after="100" w:afterAutospacing="1" w:line="276" w:lineRule="auto"/>
              <w:ind w:left="0" w:right="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w:t>
            </w:r>
          </w:p>
        </w:tc>
        <w:tc>
          <w:tcPr>
            <w:tcW w:w="1058" w:type="pct"/>
            <w:vAlign w:val="center"/>
          </w:tcPr>
          <w:p w14:paraId="6ED1972E">
            <w:pPr>
              <w:keepNext w:val="0"/>
              <w:keepLines w:val="0"/>
              <w:suppressLineNumbers w:val="0"/>
              <w:spacing w:before="100" w:beforeAutospacing="1" w:after="100" w:afterAutospacing="1" w:line="276" w:lineRule="auto"/>
              <w:ind w:left="0" w:right="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85</w:t>
            </w:r>
          </w:p>
        </w:tc>
        <w:tc>
          <w:tcPr>
            <w:tcW w:w="1366" w:type="pct"/>
            <w:vMerge w:val="restart"/>
            <w:vAlign w:val="center"/>
          </w:tcPr>
          <w:p w14:paraId="318A5A3A">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auto"/>
                <w:szCs w:val="21"/>
                <w:highlight w:val="yellow"/>
              </w:rPr>
            </w:pPr>
            <w:r>
              <w:rPr>
                <w:rFonts w:hint="eastAsia" w:ascii="Times New Roman" w:hAnsi="Times New Roman" w:cs="Times New Roman"/>
                <w:color w:val="auto"/>
                <w:szCs w:val="21"/>
              </w:rPr>
              <w:t>设置隔声罩，基础进行减振</w:t>
            </w:r>
          </w:p>
        </w:tc>
        <w:tc>
          <w:tcPr>
            <w:tcW w:w="472" w:type="pct"/>
            <w:vMerge w:val="continue"/>
            <w:vAlign w:val="center"/>
          </w:tcPr>
          <w:p w14:paraId="17FD2366">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FF0000"/>
                <w:szCs w:val="21"/>
              </w:rPr>
            </w:pPr>
          </w:p>
        </w:tc>
      </w:tr>
      <w:tr w14:paraId="2510A1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28" w:type="pct"/>
            <w:vAlign w:val="center"/>
          </w:tcPr>
          <w:p w14:paraId="1534CEDF">
            <w:pPr>
              <w:keepNext w:val="0"/>
              <w:keepLines w:val="0"/>
              <w:suppressLineNumbers w:val="0"/>
              <w:spacing w:before="100" w:beforeAutospacing="1" w:after="100" w:afterAutospacing="1" w:line="276" w:lineRule="auto"/>
              <w:ind w:left="0" w:right="0"/>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eastAsiaTheme="minorEastAsia"/>
                <w:color w:val="auto"/>
                <w:szCs w:val="21"/>
                <w:lang w:val="en-US" w:eastAsia="zh-CN"/>
              </w:rPr>
              <w:t>6</w:t>
            </w:r>
          </w:p>
        </w:tc>
        <w:tc>
          <w:tcPr>
            <w:tcW w:w="615" w:type="pct"/>
            <w:vAlign w:val="center"/>
          </w:tcPr>
          <w:p w14:paraId="439809D4">
            <w:pPr>
              <w:keepNext w:val="0"/>
              <w:keepLines w:val="0"/>
              <w:suppressLineNumbers w:val="0"/>
              <w:spacing w:before="100" w:beforeAutospacing="1" w:after="100" w:afterAutospacing="1" w:line="276" w:lineRule="auto"/>
              <w:ind w:left="0" w:right="0"/>
              <w:jc w:val="center"/>
              <w:rPr>
                <w:rFonts w:hint="eastAsia"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冷却塔</w:t>
            </w:r>
          </w:p>
        </w:tc>
        <w:tc>
          <w:tcPr>
            <w:tcW w:w="435" w:type="pct"/>
            <w:vAlign w:val="center"/>
          </w:tcPr>
          <w:p w14:paraId="020D3192">
            <w:pPr>
              <w:keepNext w:val="0"/>
              <w:keepLines w:val="0"/>
              <w:suppressLineNumbers w:val="0"/>
              <w:spacing w:before="100" w:beforeAutospacing="1" w:after="100" w:afterAutospacing="1" w:line="276" w:lineRule="auto"/>
              <w:ind w:left="0" w:right="0"/>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eastAsiaTheme="minorEastAsia"/>
                <w:color w:val="auto"/>
                <w:szCs w:val="21"/>
                <w:highlight w:val="none"/>
                <w:lang w:val="en-US" w:eastAsia="zh-CN"/>
              </w:rPr>
              <w:t>140</w:t>
            </w:r>
          </w:p>
        </w:tc>
        <w:tc>
          <w:tcPr>
            <w:tcW w:w="366" w:type="pct"/>
            <w:vAlign w:val="center"/>
          </w:tcPr>
          <w:p w14:paraId="3A217EBA">
            <w:pPr>
              <w:keepNext w:val="0"/>
              <w:keepLines w:val="0"/>
              <w:suppressLineNumbers w:val="0"/>
              <w:spacing w:before="100" w:beforeAutospacing="1" w:after="100" w:afterAutospacing="1" w:line="276" w:lineRule="auto"/>
              <w:ind w:left="0" w:right="0"/>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190</w:t>
            </w:r>
          </w:p>
        </w:tc>
        <w:tc>
          <w:tcPr>
            <w:tcW w:w="356" w:type="pct"/>
            <w:vAlign w:val="center"/>
          </w:tcPr>
          <w:p w14:paraId="51603378">
            <w:pPr>
              <w:keepNext w:val="0"/>
              <w:keepLines w:val="0"/>
              <w:suppressLineNumbers w:val="0"/>
              <w:spacing w:before="100" w:beforeAutospacing="1" w:after="100" w:afterAutospacing="1" w:line="276" w:lineRule="auto"/>
              <w:ind w:left="0" w:right="0"/>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2</w:t>
            </w:r>
          </w:p>
        </w:tc>
        <w:tc>
          <w:tcPr>
            <w:tcW w:w="1058" w:type="pct"/>
            <w:vAlign w:val="center"/>
          </w:tcPr>
          <w:p w14:paraId="6F8D75F3">
            <w:pPr>
              <w:keepNext w:val="0"/>
              <w:keepLines w:val="0"/>
              <w:suppressLineNumbers w:val="0"/>
              <w:spacing w:before="100" w:beforeAutospacing="1" w:after="100" w:afterAutospacing="1" w:line="276" w:lineRule="auto"/>
              <w:ind w:left="0" w:right="0"/>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80</w:t>
            </w:r>
          </w:p>
        </w:tc>
        <w:tc>
          <w:tcPr>
            <w:tcW w:w="1366" w:type="pct"/>
            <w:vMerge w:val="continue"/>
            <w:vAlign w:val="center"/>
          </w:tcPr>
          <w:p w14:paraId="270A27D9">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FF0000"/>
                <w:szCs w:val="21"/>
                <w:highlight w:val="yellow"/>
              </w:rPr>
            </w:pPr>
          </w:p>
        </w:tc>
        <w:tc>
          <w:tcPr>
            <w:tcW w:w="472" w:type="pct"/>
            <w:vMerge w:val="continue"/>
            <w:vAlign w:val="center"/>
          </w:tcPr>
          <w:p w14:paraId="2D252F4B">
            <w:pPr>
              <w:keepNext w:val="0"/>
              <w:keepLines w:val="0"/>
              <w:suppressLineNumbers w:val="0"/>
              <w:spacing w:before="100" w:beforeAutospacing="1" w:after="100" w:afterAutospacing="1" w:line="276" w:lineRule="auto"/>
              <w:ind w:left="0" w:right="0"/>
              <w:jc w:val="center"/>
              <w:rPr>
                <w:rFonts w:ascii="Times New Roman" w:hAnsi="Times New Roman" w:cs="Times New Roman"/>
                <w:color w:val="FF0000"/>
                <w:szCs w:val="21"/>
                <w:highlight w:val="yellow"/>
              </w:rPr>
            </w:pPr>
          </w:p>
        </w:tc>
      </w:tr>
    </w:tbl>
    <w:p w14:paraId="18E4ABFC">
      <w:pPr>
        <w:keepNext w:val="0"/>
        <w:keepLines w:val="0"/>
        <w:suppressLineNumbers w:val="0"/>
        <w:spacing w:before="0" w:beforeAutospacing="0" w:after="0" w:afterAutospacing="0" w:line="360" w:lineRule="auto"/>
        <w:ind w:right="0"/>
        <w:jc w:val="left"/>
        <w:rPr>
          <w:rFonts w:hint="eastAsia" w:ascii="Arial" w:hAnsi="Arial" w:eastAsia="Arial" w:cs="Arial"/>
          <w:b/>
          <w:bCs/>
          <w:snapToGrid w:val="0"/>
          <w:color w:val="auto"/>
          <w:kern w:val="0"/>
          <w:sz w:val="21"/>
          <w:szCs w:val="21"/>
          <w:lang w:val="en-US" w:eastAsia="zh-CN" w:bidi="ar-SA"/>
        </w:rPr>
      </w:pPr>
      <w:r>
        <w:rPr>
          <w:rFonts w:hint="eastAsia" w:ascii="Arial" w:hAnsi="Arial" w:eastAsia="Arial" w:cs="Arial"/>
          <w:b/>
          <w:bCs/>
          <w:snapToGrid w:val="0"/>
          <w:color w:val="auto"/>
          <w:kern w:val="0"/>
          <w:sz w:val="21"/>
          <w:szCs w:val="21"/>
          <w:lang w:val="en-US" w:eastAsia="zh-CN" w:bidi="ar-SA"/>
        </w:rPr>
        <w:t>注：以厂区西南角为坐标原点</w:t>
      </w:r>
      <w:r>
        <w:rPr>
          <w:rFonts w:hint="eastAsia" w:cs="Arial"/>
          <w:b/>
          <w:bCs/>
          <w:snapToGrid w:val="0"/>
          <w:color w:val="auto"/>
          <w:kern w:val="0"/>
          <w:sz w:val="21"/>
          <w:szCs w:val="21"/>
          <w:lang w:val="en-US" w:eastAsia="zh-CN" w:bidi="ar-SA"/>
        </w:rPr>
        <w:t>。</w:t>
      </w:r>
    </w:p>
    <w:p w14:paraId="1720F4C2">
      <w:pPr>
        <w:spacing w:line="360" w:lineRule="auto"/>
        <w:outlineLvl w:val="3"/>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3.3.</w:t>
      </w:r>
      <w:r>
        <w:rPr>
          <w:rFonts w:hint="default" w:ascii="Times New Roman" w:hAnsi="Times New Roman" w:eastAsia="宋体" w:cs="Times New Roman"/>
          <w:b/>
          <w:color w:val="auto"/>
          <w:sz w:val="24"/>
          <w:highlight w:val="none"/>
          <w:lang w:val="en-US" w:eastAsia="zh-CN"/>
        </w:rPr>
        <w:t>2</w:t>
      </w:r>
      <w:r>
        <w:rPr>
          <w:rFonts w:hint="default" w:ascii="Times New Roman" w:hAnsi="Times New Roman" w:cs="Times New Roman"/>
          <w:b/>
          <w:color w:val="auto"/>
          <w:sz w:val="24"/>
          <w:highlight w:val="none"/>
        </w:rPr>
        <w:t>.4固废</w:t>
      </w:r>
    </w:p>
    <w:p w14:paraId="5FC1B562">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项目运营期产生的固体废物主要包括危险废物、一般工业固体废物以及员工生活垃圾。一般工业固体废物主要为废包装材料、注塑工序不合格品、废布料、</w:t>
      </w:r>
      <w:r>
        <w:rPr>
          <w:rFonts w:hint="eastAsia" w:ascii="Times New Roman" w:hAnsi="Times New Roman" w:eastAsia="宋体" w:cs="Times New Roman"/>
          <w:snapToGrid w:val="0"/>
          <w:color w:val="auto"/>
          <w:kern w:val="0"/>
          <w:sz w:val="24"/>
          <w:szCs w:val="24"/>
          <w:lang w:val="en-US" w:eastAsia="zh-CN" w:bidi="ar-SA"/>
        </w:rPr>
        <w:t>陶瓷蓄热体、修整检验工序产生的废边角料及不合格品</w:t>
      </w:r>
      <w:r>
        <w:rPr>
          <w:rFonts w:hint="default" w:ascii="Times New Roman" w:hAnsi="Times New Roman" w:eastAsia="宋体" w:cs="Times New Roman"/>
          <w:color w:val="auto"/>
          <w:sz w:val="24"/>
          <w:szCs w:val="24"/>
          <w:lang w:val="en-US" w:eastAsia="zh-CN"/>
        </w:rPr>
        <w:t>；危险废物主要为除尘器收集粉尘、废布袋</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废包装桶、漆渣、废清洗溶剂、水帘废水、废</w:t>
      </w:r>
      <w:r>
        <w:rPr>
          <w:rFonts w:hint="eastAsia" w:ascii="Times New Roman" w:hAnsi="Times New Roman" w:eastAsia="宋体" w:cs="Times New Roman"/>
          <w:color w:val="auto"/>
          <w:sz w:val="24"/>
          <w:szCs w:val="24"/>
          <w:lang w:val="en-US" w:eastAsia="zh-CN"/>
        </w:rPr>
        <w:t>UV</w:t>
      </w:r>
      <w:r>
        <w:rPr>
          <w:rFonts w:hint="default" w:ascii="Times New Roman" w:hAnsi="Times New Roman" w:eastAsia="宋体" w:cs="Times New Roman"/>
          <w:color w:val="auto"/>
          <w:sz w:val="24"/>
          <w:szCs w:val="24"/>
          <w:lang w:val="en-US" w:eastAsia="zh-CN"/>
        </w:rPr>
        <w:t>灯管、废活性炭、</w:t>
      </w:r>
      <w:r>
        <w:rPr>
          <w:rFonts w:hint="default" w:ascii="Times New Roman" w:hAnsi="Times New Roman" w:eastAsia="宋体" w:cs="Times New Roman"/>
          <w:snapToGrid w:val="0"/>
          <w:color w:val="auto"/>
          <w:kern w:val="0"/>
          <w:sz w:val="24"/>
          <w:szCs w:val="24"/>
          <w:lang w:val="en-US" w:eastAsia="zh-CN" w:bidi="ar-SA"/>
        </w:rPr>
        <w:t>废润滑油</w:t>
      </w:r>
      <w:r>
        <w:rPr>
          <w:rFonts w:hint="eastAsia" w:ascii="Times New Roman" w:hAnsi="Times New Roman" w:eastAsia="宋体" w:cs="Times New Roman"/>
          <w:snapToGrid w:val="0"/>
          <w:color w:val="auto"/>
          <w:kern w:val="0"/>
          <w:sz w:val="24"/>
          <w:szCs w:val="24"/>
          <w:lang w:val="en-US" w:eastAsia="zh-CN" w:bidi="ar-SA"/>
        </w:rPr>
        <w:t>及废润滑油桶</w:t>
      </w:r>
      <w:r>
        <w:rPr>
          <w:rFonts w:hint="default" w:ascii="Times New Roman" w:hAnsi="Times New Roman" w:eastAsia="宋体" w:cs="Times New Roman"/>
          <w:snapToGrid w:val="0"/>
          <w:color w:val="auto"/>
          <w:kern w:val="0"/>
          <w:sz w:val="24"/>
          <w:szCs w:val="24"/>
          <w:lang w:val="en-US" w:eastAsia="zh-CN" w:bidi="ar-SA"/>
        </w:rPr>
        <w:t>、含油抹布、含油手套</w:t>
      </w:r>
      <w:r>
        <w:rPr>
          <w:rFonts w:hint="default" w:ascii="Times New Roman" w:hAnsi="Times New Roman" w:eastAsia="宋体" w:cs="Times New Roman"/>
          <w:color w:val="auto"/>
          <w:sz w:val="24"/>
          <w:szCs w:val="24"/>
          <w:lang w:val="en-US" w:eastAsia="zh-CN"/>
        </w:rPr>
        <w:t>。具体产生情况如下：</w:t>
      </w:r>
    </w:p>
    <w:p w14:paraId="73D382F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1、一般工业固体废物</w:t>
      </w:r>
    </w:p>
    <w:p w14:paraId="63EA357A">
      <w:pPr>
        <w:pStyle w:val="31"/>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（1）废包装材料</w:t>
      </w:r>
    </w:p>
    <w:p w14:paraId="14A1FC2C">
      <w:pPr>
        <w:pStyle w:val="31"/>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项目塑料粒子采用吨袋包装，按照原辅材料包装规格和塑料粒子年用量估算，每年产生废包装材料约1t，收集后外售废旧物资回收公司综合利用。</w:t>
      </w:r>
    </w:p>
    <w:p w14:paraId="0B9395E7">
      <w:pPr>
        <w:pStyle w:val="31"/>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（2）注塑工序产生的不合格品</w:t>
      </w:r>
    </w:p>
    <w:p w14:paraId="11A73637">
      <w:pPr>
        <w:pStyle w:val="31"/>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根据建设单位提供的资料，注塑工序产生的不合格品约占注塑件的1%，本项目注塑粒子用量为4000t/a，经计算，不合格品产生量约为40t/a，破碎后回用于注塑工序。</w:t>
      </w:r>
    </w:p>
    <w:p w14:paraId="0846634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0"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（3）废布料</w:t>
      </w:r>
    </w:p>
    <w:p w14:paraId="48F88511">
      <w:pPr>
        <w:keepNext w:val="0"/>
        <w:keepLines w:val="0"/>
        <w:pageBreakBefore w:val="0"/>
        <w:widowControl/>
        <w:kinsoku w:val="0"/>
        <w:wordWrap/>
        <w:overflowPunct/>
        <w:topLinePunct w:val="0"/>
        <w:autoSpaceDE w:val="0"/>
        <w:autoSpaceDN w:val="0"/>
        <w:bidi w:val="0"/>
        <w:adjustRightInd w:val="0"/>
        <w:snapToGrid w:val="0"/>
        <w:spacing w:line="360" w:lineRule="auto"/>
        <w:ind w:leftChars="0"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本项目包覆工序会产生废布料，产生量约为0.3t/a，产生的废布料收集后外售综合利用。</w:t>
      </w:r>
    </w:p>
    <w:p w14:paraId="42C2BA15">
      <w:pPr>
        <w:keepNext w:val="0"/>
        <w:keepLines w:val="0"/>
        <w:pageBreakBefore w:val="0"/>
        <w:widowControl/>
        <w:kinsoku w:val="0"/>
        <w:wordWrap/>
        <w:overflowPunct/>
        <w:topLinePunct w:val="0"/>
        <w:autoSpaceDE w:val="0"/>
        <w:autoSpaceDN w:val="0"/>
        <w:bidi w:val="0"/>
        <w:adjustRightInd w:val="0"/>
        <w:snapToGrid w:val="0"/>
        <w:spacing w:line="360" w:lineRule="auto"/>
        <w:ind w:leftChars="0"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（4）陶瓷蓄热体</w:t>
      </w:r>
    </w:p>
    <w:p w14:paraId="1A12B976">
      <w:pPr>
        <w:keepNext w:val="0"/>
        <w:keepLines w:val="0"/>
        <w:pageBreakBefore w:val="0"/>
        <w:widowControl/>
        <w:kinsoku w:val="0"/>
        <w:wordWrap/>
        <w:overflowPunct/>
        <w:topLinePunct w:val="0"/>
        <w:autoSpaceDE w:val="0"/>
        <w:autoSpaceDN w:val="0"/>
        <w:bidi w:val="0"/>
        <w:adjustRightInd w:val="0"/>
        <w:snapToGrid w:val="0"/>
        <w:spacing w:line="360" w:lineRule="auto"/>
        <w:ind w:leftChars="0"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本项目涂装车间工序产生的有机废气采用“沸石转轮+RTO设备”进行处理，“沸石转轮+RTO设备”中的陶瓷蓄热体的使用最低年限为5年，故本项目陶瓷蓄热体的更换次数为5年一次，产生量约为1t/5a。该部分固废属于一般固废，收集后外售综合利用。</w:t>
      </w:r>
    </w:p>
    <w:p w14:paraId="29AB673A">
      <w:pPr>
        <w:pStyle w:val="31"/>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（5）修整检验工序产生的废边角料及不合格品</w:t>
      </w:r>
    </w:p>
    <w:p w14:paraId="11DDFF7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color w:val="auto"/>
          <w:sz w:val="24"/>
          <w:szCs w:val="24"/>
          <w:lang w:val="en-US" w:eastAsia="zh-CN"/>
        </w:rPr>
      </w:pPr>
      <w:r>
        <w:rPr>
          <w:rFonts w:hint="eastAsia" w:ascii="Times New Roman" w:hAnsi="Times New Roman" w:eastAsia="宋体" w:cs="Times New Roman"/>
          <w:snapToGrid w:val="0"/>
          <w:color w:val="auto"/>
          <w:kern w:val="0"/>
          <w:sz w:val="24"/>
          <w:szCs w:val="24"/>
          <w:lang w:val="en-US" w:eastAsia="zh-CN" w:bidi="ar-SA"/>
        </w:rPr>
        <w:t>本项目包覆件修整检验工序会产生废边角料及不合格品，产生量按原料使用量的1%估算，本项目包覆件原料用量约为600t/a，因此废边角料及不合格品产生量为6t/a，收集后外售综合利用。</w:t>
      </w:r>
    </w:p>
    <w:p w14:paraId="7C36CBFD">
      <w:pPr>
        <w:pStyle w:val="31"/>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2、危险废物</w:t>
      </w:r>
    </w:p>
    <w:p w14:paraId="0E0ED305">
      <w:pPr>
        <w:pStyle w:val="31"/>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（1）除尘器收集粉尘</w:t>
      </w:r>
    </w:p>
    <w:p w14:paraId="22776C01">
      <w:pPr>
        <w:pStyle w:val="31"/>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打磨、抛光粉尘自带布袋除尘器，经上文分析，收集的粉尘约为2.319t/a。属于危废，沾染油漆废弃物集中收集，暂存于厂内危险废物贮存库，定期交有危险废物处置资质的单位处理处置。</w:t>
      </w:r>
    </w:p>
    <w:p w14:paraId="752A5F0A">
      <w:pPr>
        <w:pStyle w:val="31"/>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（2）废包装桶</w:t>
      </w:r>
    </w:p>
    <w:p w14:paraId="36DDEEE1">
      <w:pPr>
        <w:pStyle w:val="31"/>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项目所用油漆、稀释剂、固化剂、油墨等采用桶装，使用过程会产生废包装桶，产生量约为25t/a。属于危险废物，暂存于厂内危险废物贮存库，定期交有危险废物处置资质的单位处理处置。</w:t>
      </w:r>
    </w:p>
    <w:p w14:paraId="255DBA80">
      <w:pPr>
        <w:pStyle w:val="31"/>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（3）漆渣</w:t>
      </w:r>
    </w:p>
    <w:p w14:paraId="079D0702">
      <w:pPr>
        <w:pStyle w:val="31"/>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eastAsia" w:ascii="Times New Roman" w:hAnsi="Times New Roman" w:eastAsia="宋体" w:cs="Times New Roman"/>
          <w:snapToGrid w:val="0"/>
          <w:color w:val="FF0000"/>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根据物料衡算，漆渣产生量为86.418t/a。属于危险废物，暂存于厂内危险废物贮存库，定期交有危险废物处置资质的单位处理处置。</w:t>
      </w:r>
    </w:p>
    <w:p w14:paraId="4FE0226A">
      <w:pPr>
        <w:pStyle w:val="31"/>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（4）废清洗溶剂</w:t>
      </w:r>
    </w:p>
    <w:p w14:paraId="29211A08">
      <w:pPr>
        <w:pStyle w:val="31"/>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项目清洗溶剂用量为5t/a，根据物料平衡，清洗溶剂约70%回收，项目废清洗溶剂产生量为3.5t/a。属于危险废物，暂存于厂内危险废物贮存库，定期交有危险废物处置资质的单位处理处置。</w:t>
      </w:r>
    </w:p>
    <w:p w14:paraId="44121B8D">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eastAsia="宋体" w:cs="Times New Roman"/>
          <w:snapToGrid w:val="0"/>
          <w:color w:val="auto"/>
          <w:kern w:val="0"/>
          <w:sz w:val="24"/>
          <w:szCs w:val="24"/>
          <w:highlight w:val="none"/>
          <w:lang w:val="en-US" w:eastAsia="zh-CN" w:bidi="ar-SA"/>
        </w:rPr>
        <w:t>（5）水帘废水</w:t>
      </w:r>
    </w:p>
    <w:p w14:paraId="3734EDE1">
      <w:pPr>
        <w:pStyle w:val="31"/>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本项目定期对喷漆</w:t>
      </w:r>
      <w:r>
        <w:rPr>
          <w:rFonts w:hint="eastAsia" w:ascii="Times New Roman" w:hAnsi="Times New Roman" w:eastAsia="宋体" w:cs="Times New Roman"/>
          <w:snapToGrid w:val="0"/>
          <w:color w:val="auto"/>
          <w:kern w:val="0"/>
          <w:sz w:val="24"/>
          <w:szCs w:val="24"/>
          <w:lang w:val="en-US" w:eastAsia="zh-CN" w:bidi="ar-SA"/>
        </w:rPr>
        <w:t>水帘喷漆循环水池</w:t>
      </w:r>
      <w:r>
        <w:rPr>
          <w:rFonts w:hint="default" w:ascii="Times New Roman" w:hAnsi="Times New Roman" w:eastAsia="宋体" w:cs="Times New Roman"/>
          <w:snapToGrid w:val="0"/>
          <w:color w:val="auto"/>
          <w:kern w:val="0"/>
          <w:sz w:val="24"/>
          <w:szCs w:val="24"/>
          <w:lang w:val="en-US" w:eastAsia="zh-CN" w:bidi="ar-SA"/>
        </w:rPr>
        <w:t>进行清理，清理频次为1次/</w:t>
      </w:r>
      <w:r>
        <w:rPr>
          <w:rFonts w:hint="eastAsia" w:ascii="Times New Roman" w:hAnsi="Times New Roman" w:eastAsia="宋体" w:cs="Times New Roman"/>
          <w:snapToGrid w:val="0"/>
          <w:color w:val="auto"/>
          <w:kern w:val="0"/>
          <w:sz w:val="24"/>
          <w:szCs w:val="24"/>
          <w:lang w:val="en-US" w:eastAsia="zh-CN" w:bidi="ar-SA"/>
        </w:rPr>
        <w:t>6</w:t>
      </w:r>
      <w:r>
        <w:rPr>
          <w:rFonts w:hint="default" w:ascii="Times New Roman" w:hAnsi="Times New Roman" w:eastAsia="宋体" w:cs="Times New Roman"/>
          <w:snapToGrid w:val="0"/>
          <w:color w:val="auto"/>
          <w:kern w:val="0"/>
          <w:sz w:val="24"/>
          <w:szCs w:val="24"/>
          <w:lang w:val="en-US" w:eastAsia="zh-CN" w:bidi="ar-SA"/>
        </w:rPr>
        <w:t>月，每次清理量为</w:t>
      </w:r>
      <w:r>
        <w:rPr>
          <w:rFonts w:hint="eastAsia" w:ascii="Times New Roman" w:hAnsi="Times New Roman" w:eastAsia="宋体" w:cs="Times New Roman"/>
          <w:snapToGrid w:val="0"/>
          <w:color w:val="auto"/>
          <w:kern w:val="0"/>
          <w:sz w:val="24"/>
          <w:szCs w:val="24"/>
          <w:lang w:val="en-US" w:eastAsia="zh-CN" w:bidi="ar-SA"/>
        </w:rPr>
        <w:t>200m</w:t>
      </w:r>
      <w:r>
        <w:rPr>
          <w:rFonts w:hint="eastAsia" w:ascii="Times New Roman" w:hAnsi="Times New Roman" w:eastAsia="宋体" w:cs="Times New Roman"/>
          <w:snapToGrid w:val="0"/>
          <w:color w:val="auto"/>
          <w:kern w:val="0"/>
          <w:sz w:val="24"/>
          <w:szCs w:val="24"/>
          <w:vertAlign w:val="superscript"/>
          <w:lang w:val="en-US" w:eastAsia="zh-CN" w:bidi="ar-SA"/>
        </w:rPr>
        <w:t>3</w:t>
      </w:r>
      <w:r>
        <w:rPr>
          <w:rFonts w:hint="default" w:ascii="Times New Roman" w:hAnsi="Times New Roman" w:eastAsia="宋体" w:cs="Times New Roman"/>
          <w:snapToGrid w:val="0"/>
          <w:color w:val="auto"/>
          <w:kern w:val="0"/>
          <w:sz w:val="24"/>
          <w:szCs w:val="24"/>
          <w:lang w:val="en-US" w:eastAsia="zh-CN" w:bidi="ar-SA"/>
        </w:rPr>
        <w:t>，</w:t>
      </w:r>
      <w:r>
        <w:rPr>
          <w:rFonts w:hint="eastAsia" w:ascii="Times New Roman" w:hAnsi="Times New Roman" w:eastAsia="宋体" w:cs="Times New Roman"/>
          <w:snapToGrid w:val="0"/>
          <w:color w:val="auto"/>
          <w:kern w:val="0"/>
          <w:sz w:val="24"/>
          <w:szCs w:val="24"/>
          <w:lang w:val="en-US" w:eastAsia="zh-CN" w:bidi="ar-SA"/>
        </w:rPr>
        <w:t>每年产生400m</w:t>
      </w:r>
      <w:r>
        <w:rPr>
          <w:rFonts w:hint="eastAsia" w:ascii="Times New Roman" w:hAnsi="Times New Roman" w:eastAsia="宋体" w:cs="Times New Roman"/>
          <w:snapToGrid w:val="0"/>
          <w:color w:val="auto"/>
          <w:kern w:val="0"/>
          <w:sz w:val="24"/>
          <w:szCs w:val="24"/>
          <w:vertAlign w:val="superscript"/>
          <w:lang w:val="en-US" w:eastAsia="zh-CN" w:bidi="ar-SA"/>
        </w:rPr>
        <w:t>3</w:t>
      </w:r>
      <w:r>
        <w:rPr>
          <w:rFonts w:hint="eastAsia" w:ascii="Times New Roman" w:hAnsi="Times New Roman" w:eastAsia="宋体" w:cs="Times New Roman"/>
          <w:snapToGrid w:val="0"/>
          <w:color w:val="auto"/>
          <w:kern w:val="0"/>
          <w:sz w:val="24"/>
          <w:szCs w:val="24"/>
          <w:lang w:val="en-US" w:eastAsia="zh-CN" w:bidi="ar-SA"/>
        </w:rPr>
        <w:t>，</w:t>
      </w:r>
      <w:r>
        <w:rPr>
          <w:rFonts w:hint="default" w:ascii="Times New Roman" w:hAnsi="Times New Roman" w:eastAsia="宋体" w:cs="Times New Roman"/>
          <w:snapToGrid w:val="0"/>
          <w:color w:val="auto"/>
          <w:kern w:val="0"/>
          <w:sz w:val="24"/>
          <w:szCs w:val="24"/>
          <w:lang w:val="en-US" w:eastAsia="zh-CN" w:bidi="ar-SA"/>
        </w:rPr>
        <w:t>废</w:t>
      </w:r>
      <w:r>
        <w:rPr>
          <w:rFonts w:hint="eastAsia" w:ascii="Times New Roman" w:hAnsi="Times New Roman" w:eastAsia="宋体" w:cs="Times New Roman"/>
          <w:snapToGrid w:val="0"/>
          <w:color w:val="auto"/>
          <w:kern w:val="0"/>
          <w:sz w:val="24"/>
          <w:szCs w:val="24"/>
          <w:lang w:val="en-US" w:eastAsia="zh-CN" w:bidi="ar-SA"/>
        </w:rPr>
        <w:t>水</w:t>
      </w:r>
      <w:r>
        <w:rPr>
          <w:rFonts w:hint="default" w:ascii="Times New Roman" w:hAnsi="Times New Roman" w:eastAsia="宋体" w:cs="Times New Roman"/>
          <w:snapToGrid w:val="0"/>
          <w:color w:val="auto"/>
          <w:kern w:val="0"/>
          <w:sz w:val="24"/>
          <w:szCs w:val="24"/>
          <w:lang w:val="en-US" w:eastAsia="zh-CN" w:bidi="ar-SA"/>
        </w:rPr>
        <w:t>中含有涂漆废气中有害物质，因此按照危险废物处理，</w:t>
      </w:r>
      <w:r>
        <w:rPr>
          <w:rFonts w:hint="eastAsia" w:ascii="Times New Roman" w:hAnsi="Times New Roman" w:eastAsia="宋体" w:cs="Times New Roman"/>
          <w:snapToGrid w:val="0"/>
          <w:color w:val="auto"/>
          <w:kern w:val="0"/>
          <w:sz w:val="24"/>
          <w:szCs w:val="24"/>
          <w:lang w:val="en-US" w:eastAsia="zh-CN" w:bidi="ar-SA"/>
        </w:rPr>
        <w:t>不暂存，由有资质单位上门清运。</w:t>
      </w:r>
    </w:p>
    <w:p w14:paraId="7406D364">
      <w:pPr>
        <w:pStyle w:val="31"/>
        <w:keepNext w:val="0"/>
        <w:keepLines w:val="0"/>
        <w:pageBreakBefore w:val="0"/>
        <w:widowControl/>
        <w:numPr>
          <w:ilvl w:val="0"/>
          <w:numId w:val="22"/>
        </w:numPr>
        <w:kinsoku w:val="0"/>
        <w:wordWrap/>
        <w:overflowPunct/>
        <w:topLinePunct w:val="0"/>
        <w:autoSpaceDE w:val="0"/>
        <w:autoSpaceDN w:val="0"/>
        <w:bidi w:val="0"/>
        <w:adjustRightInd w:val="0"/>
        <w:snapToGrid w:val="0"/>
        <w:ind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废活性炭</w:t>
      </w:r>
    </w:p>
    <w:p w14:paraId="5D489677">
      <w:pPr>
        <w:pStyle w:val="31"/>
        <w:keepNext w:val="0"/>
        <w:keepLines w:val="0"/>
        <w:pageBreakBefore w:val="0"/>
        <w:widowControl/>
        <w:numPr>
          <w:ilvl w:val="0"/>
          <w:numId w:val="0"/>
        </w:numPr>
        <w:kinsoku w:val="0"/>
        <w:wordWrap/>
        <w:overflowPunct/>
        <w:topLinePunct w:val="0"/>
        <w:autoSpaceDE w:val="0"/>
        <w:autoSpaceDN w:val="0"/>
        <w:bidi w:val="0"/>
        <w:adjustRightInd w:val="0"/>
        <w:snapToGrid w:val="0"/>
        <w:ind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本项目喷涂车间有机废气活性炭吸附装置产生废活性炭，根据本项目处理规模并采用经验数据（《简明通风设计手册》活性炭有效吸附量qe=0.24kg/kg活性炭）估算，吸附有机废气量为14.2665t/a，则活性炭使用量约为59.44375t/a，废活性炭产生量约为73.71t/a。根据生态环境部2020年6月23日发表的《关于印发&lt;2020年挥发性有机物治理攻坚方案&gt;的通知》文件要求，采用活性炭吸附技术的，应选择碘值不低于800毫克/克的活性炭，并按设计要求足量添加、及时更换。活性炭每月更换一次，废活性炭装入专用容器内，暂存于危险废物贮存库，定期交由有资质单位进行处置。</w:t>
      </w:r>
    </w:p>
    <w:p w14:paraId="57D65B06">
      <w:pPr>
        <w:pStyle w:val="31"/>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（7）</w:t>
      </w:r>
      <w:r>
        <w:rPr>
          <w:rFonts w:hint="eastAsia" w:ascii="Times New Roman" w:hAnsi="Times New Roman" w:eastAsia="宋体" w:cs="Times New Roman"/>
          <w:color w:val="auto"/>
          <w:sz w:val="24"/>
          <w:szCs w:val="24"/>
          <w:lang w:val="en-US" w:eastAsia="zh-CN"/>
        </w:rPr>
        <w:t>废UV灯管</w:t>
      </w:r>
    </w:p>
    <w:p w14:paraId="02845707">
      <w:pPr>
        <w:pStyle w:val="31"/>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UV固化过程会产生废UV灯管，产生量约为0.01t/a，为含汞废物，属于危险废物，暂存在危险废物贮存库，定期委托有资质单位进行处置。</w:t>
      </w:r>
    </w:p>
    <w:p w14:paraId="4C5D50C8">
      <w:pPr>
        <w:pStyle w:val="31"/>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（8）废润滑油及废润滑油桶</w:t>
      </w:r>
    </w:p>
    <w:p w14:paraId="070DD863">
      <w:pPr>
        <w:pStyle w:val="31"/>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设备维修养护会产生废润滑油及废润滑油桶，废润滑油产生量约为0.5t/a；项目使用润滑油为200kg/桶的包装方式，按照单个空桶20kg计算，则废润滑油桶产生量为0.1t/a。废润滑油及废润滑油桶属于危险废物，暂存在危险废物贮存库，定期委托有资质单位进行处置。</w:t>
      </w:r>
    </w:p>
    <w:p w14:paraId="45063005">
      <w:pPr>
        <w:pStyle w:val="31"/>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（9）废含油手套及抹布</w:t>
      </w:r>
    </w:p>
    <w:p w14:paraId="02855DF0">
      <w:pPr>
        <w:pStyle w:val="31"/>
        <w:keepNext w:val="0"/>
        <w:keepLines w:val="0"/>
        <w:pageBreakBefore w:val="0"/>
        <w:widowControl/>
        <w:kinsoku w:val="0"/>
        <w:wordWrap/>
        <w:overflowPunct/>
        <w:topLinePunct w:val="0"/>
        <w:autoSpaceDE w:val="0"/>
        <w:autoSpaceDN w:val="0"/>
        <w:bidi w:val="0"/>
        <w:adjustRightInd w:val="0"/>
        <w:snapToGrid w:val="0"/>
        <w:ind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本项目设备维修保养过程中会产生少量的废含油手套及抹布，产生量约为0.02t/a，属于危险废物，暂存在危险废物贮存库，定期委托有资质单位进行处置。</w:t>
      </w:r>
    </w:p>
    <w:p w14:paraId="1B797DCB">
      <w:pPr>
        <w:pStyle w:val="31"/>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（10）废布袋</w:t>
      </w:r>
    </w:p>
    <w:p w14:paraId="1B7376FA">
      <w:pPr>
        <w:pStyle w:val="31"/>
        <w:rPr>
          <w:rFonts w:hint="eastAsia"/>
          <w:lang w:val="en-US" w:eastAsia="zh-CN"/>
        </w:rPr>
      </w:pPr>
      <w:r>
        <w:rPr>
          <w:rFonts w:hint="eastAsia" w:ascii="Times New Roman" w:hAnsi="Times New Roman" w:eastAsia="宋体" w:cs="Times New Roman"/>
          <w:snapToGrid w:val="0"/>
          <w:color w:val="auto"/>
          <w:kern w:val="0"/>
          <w:sz w:val="24"/>
          <w:szCs w:val="24"/>
          <w:lang w:val="en-US" w:eastAsia="zh-CN" w:bidi="ar-SA"/>
        </w:rPr>
        <w:t>本项目打磨抛光颗粒物除尘设施运行过程需要定期更换布袋，废布袋产生量为0.2t/a，捕集物中含有涂漆漆渣，因此按照危险废物处理。暂存在危险废物贮存库，定期委托有资质单位进行处置。</w:t>
      </w:r>
    </w:p>
    <w:p w14:paraId="135FBAD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3、生活垃圾</w:t>
      </w:r>
    </w:p>
    <w:p w14:paraId="548A540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aps w:val="0"/>
          <w:color w:val="auto"/>
          <w:sz w:val="24"/>
          <w:szCs w:val="24"/>
          <w:highlight w:val="none"/>
          <w:lang w:val="en-US" w:eastAsia="zh-CN"/>
        </w:rPr>
      </w:pPr>
      <w:r>
        <w:rPr>
          <w:rFonts w:hint="default" w:ascii="Times New Roman" w:hAnsi="Times New Roman" w:eastAsia="宋体" w:cs="Times New Roman"/>
          <w:caps w:val="0"/>
          <w:color w:val="auto"/>
          <w:sz w:val="24"/>
          <w:highlight w:val="none"/>
        </w:rPr>
        <w:t>本项目职工生活垃圾产生系数按0.5kg/人•d计，项目职工</w:t>
      </w:r>
      <w:r>
        <w:rPr>
          <w:rFonts w:hint="default" w:ascii="Times New Roman" w:hAnsi="Times New Roman" w:cs="Times New Roman"/>
          <w:caps w:val="0"/>
          <w:color w:val="auto"/>
          <w:sz w:val="24"/>
          <w:highlight w:val="none"/>
          <w:lang w:val="en-US" w:eastAsia="zh-CN"/>
        </w:rPr>
        <w:t>400</w:t>
      </w:r>
      <w:r>
        <w:rPr>
          <w:rFonts w:hint="default" w:ascii="Times New Roman" w:hAnsi="Times New Roman" w:eastAsia="宋体" w:cs="Times New Roman"/>
          <w:caps w:val="0"/>
          <w:color w:val="auto"/>
          <w:sz w:val="24"/>
          <w:highlight w:val="none"/>
        </w:rPr>
        <w:t>人，则生活垃圾产生量为</w:t>
      </w:r>
      <w:r>
        <w:rPr>
          <w:rFonts w:hint="eastAsia" w:ascii="Times New Roman" w:hAnsi="Times New Roman" w:cs="Times New Roman"/>
          <w:caps w:val="0"/>
          <w:color w:val="auto"/>
          <w:sz w:val="24"/>
          <w:highlight w:val="none"/>
          <w:lang w:val="en-US" w:eastAsia="zh-CN"/>
        </w:rPr>
        <w:t>58</w:t>
      </w:r>
      <w:r>
        <w:rPr>
          <w:rFonts w:hint="default" w:ascii="Times New Roman" w:hAnsi="Times New Roman" w:eastAsia="宋体" w:cs="Times New Roman"/>
          <w:caps w:val="0"/>
          <w:color w:val="auto"/>
          <w:sz w:val="24"/>
          <w:highlight w:val="none"/>
        </w:rPr>
        <w:t>t/a</w:t>
      </w:r>
      <w:r>
        <w:rPr>
          <w:rFonts w:hint="default" w:ascii="Times New Roman" w:hAnsi="Times New Roman" w:cs="Times New Roman"/>
          <w:caps w:val="0"/>
          <w:color w:val="auto"/>
          <w:sz w:val="24"/>
          <w:highlight w:val="none"/>
          <w:lang w:eastAsia="zh-CN"/>
        </w:rPr>
        <w:t>，</w:t>
      </w:r>
      <w:r>
        <w:rPr>
          <w:rFonts w:hint="default" w:ascii="Times New Roman" w:hAnsi="Times New Roman" w:cs="Times New Roman"/>
          <w:caps w:val="0"/>
          <w:color w:val="auto"/>
          <w:sz w:val="24"/>
          <w:highlight w:val="none"/>
          <w:lang w:val="en-US" w:eastAsia="zh-CN"/>
        </w:rPr>
        <w:t>生活垃圾集中收集，交由环卫部门统一处置</w:t>
      </w:r>
      <w:r>
        <w:rPr>
          <w:rStyle w:val="90"/>
          <w:rFonts w:hint="default" w:ascii="Times New Roman" w:hAnsi="Times New Roman" w:cs="Times New Roman"/>
          <w:caps w:val="0"/>
          <w:color w:val="auto"/>
          <w:sz w:val="24"/>
          <w:szCs w:val="24"/>
          <w:highlight w:val="none"/>
          <w:lang w:eastAsia="zh-CN"/>
        </w:rPr>
        <w:t>。</w:t>
      </w:r>
    </w:p>
    <w:p w14:paraId="24FC727C">
      <w:pPr>
        <w:pStyle w:val="10"/>
        <w:rPr>
          <w:rFonts w:hint="eastAsia" w:ascii="Times New Roman" w:hAnsi="Times New Roman" w:eastAsia="宋体" w:cs="Times New Roman"/>
          <w:snapToGrid w:val="0"/>
          <w:color w:val="auto"/>
          <w:kern w:val="0"/>
          <w:sz w:val="24"/>
          <w:szCs w:val="24"/>
          <w:lang w:val="en-US" w:eastAsia="zh-CN" w:bidi="ar-SA"/>
        </w:rPr>
      </w:pPr>
    </w:p>
    <w:p w14:paraId="7E7D8F81">
      <w:pPr>
        <w:pStyle w:val="28"/>
        <w:rPr>
          <w:rFonts w:hint="eastAsia" w:ascii="Times New Roman" w:hAnsi="Times New Roman" w:eastAsia="宋体" w:cs="Times New Roman"/>
          <w:snapToGrid w:val="0"/>
          <w:color w:val="auto"/>
          <w:kern w:val="0"/>
          <w:sz w:val="24"/>
          <w:szCs w:val="24"/>
          <w:lang w:val="en-US" w:eastAsia="zh-CN" w:bidi="ar-SA"/>
        </w:rPr>
      </w:pPr>
    </w:p>
    <w:p w14:paraId="15CFD6B1">
      <w:pPr>
        <w:pStyle w:val="28"/>
        <w:rPr>
          <w:rFonts w:hint="eastAsia" w:ascii="Times New Roman" w:hAnsi="Times New Roman" w:eastAsia="宋体" w:cs="Times New Roman"/>
          <w:snapToGrid w:val="0"/>
          <w:color w:val="auto"/>
          <w:kern w:val="0"/>
          <w:sz w:val="24"/>
          <w:szCs w:val="24"/>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2FAE88C">
      <w:pPr>
        <w:pStyle w:val="80"/>
        <w:numPr>
          <w:ilvl w:val="0"/>
          <w:numId w:val="0"/>
        </w:numPr>
        <w:spacing w:before="0" w:after="0" w:line="240" w:lineRule="auto"/>
        <w:ind w:leftChars="0"/>
        <w:jc w:val="center"/>
        <w:rPr>
          <w:rFonts w:hint="default" w:ascii="Times New Roman" w:hAnsi="Times New Roman" w:eastAsia="宋体" w:cs="Times New Roman"/>
          <w:b/>
          <w:bCs/>
          <w:snapToGrid w:val="0"/>
          <w:color w:val="auto"/>
          <w:kern w:val="0"/>
          <w:sz w:val="24"/>
          <w:szCs w:val="24"/>
          <w:lang w:val="en-US" w:eastAsia="zh-CN" w:bidi="ar"/>
        </w:rPr>
      </w:pPr>
      <w:r>
        <w:rPr>
          <w:rFonts w:hint="eastAsia" w:ascii="Times New Roman" w:hAnsi="Times New Roman" w:eastAsia="宋体" w:cs="Times New Roman"/>
          <w:b/>
          <w:bCs/>
          <w:snapToGrid w:val="0"/>
          <w:color w:val="auto"/>
          <w:kern w:val="0"/>
          <w:sz w:val="24"/>
          <w:szCs w:val="24"/>
          <w:lang w:val="en-US" w:eastAsia="zh-CN" w:bidi="ar"/>
        </w:rPr>
        <w:t xml:space="preserve">表3.3-6  </w:t>
      </w:r>
      <w:r>
        <w:rPr>
          <w:rFonts w:hint="default" w:ascii="Times New Roman" w:hAnsi="Times New Roman" w:eastAsia="宋体" w:cs="Times New Roman"/>
          <w:b/>
          <w:bCs/>
          <w:snapToGrid w:val="0"/>
          <w:color w:val="auto"/>
          <w:kern w:val="0"/>
          <w:sz w:val="24"/>
          <w:szCs w:val="24"/>
          <w:lang w:val="en-US" w:eastAsia="zh-CN" w:bidi="ar"/>
        </w:rPr>
        <w:t>本项目固体废物分析结果汇总表</w:t>
      </w:r>
    </w:p>
    <w:tbl>
      <w:tblPr>
        <w:tblStyle w:val="2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8"/>
        <w:gridCol w:w="1845"/>
        <w:gridCol w:w="1800"/>
        <w:gridCol w:w="2194"/>
        <w:gridCol w:w="1063"/>
        <w:gridCol w:w="924"/>
        <w:gridCol w:w="2310"/>
        <w:gridCol w:w="1122"/>
        <w:gridCol w:w="1797"/>
      </w:tblGrid>
      <w:tr w14:paraId="7AB7B4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restart"/>
            <w:noWrap w:val="0"/>
            <w:vAlign w:val="center"/>
          </w:tcPr>
          <w:p w14:paraId="28F04546">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工序/生产线</w:t>
            </w:r>
          </w:p>
        </w:tc>
        <w:tc>
          <w:tcPr>
            <w:tcW w:w="651" w:type="pct"/>
            <w:vMerge w:val="restart"/>
            <w:noWrap w:val="0"/>
            <w:vAlign w:val="center"/>
          </w:tcPr>
          <w:p w14:paraId="519B327E">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固体废物名称</w:t>
            </w:r>
          </w:p>
        </w:tc>
        <w:tc>
          <w:tcPr>
            <w:tcW w:w="635" w:type="pct"/>
            <w:vMerge w:val="restart"/>
            <w:noWrap w:val="0"/>
            <w:vAlign w:val="center"/>
          </w:tcPr>
          <w:p w14:paraId="3D91DD58">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固废属性</w:t>
            </w:r>
          </w:p>
        </w:tc>
        <w:tc>
          <w:tcPr>
            <w:tcW w:w="774" w:type="pct"/>
            <w:vMerge w:val="restart"/>
            <w:noWrap w:val="0"/>
            <w:vAlign w:val="center"/>
          </w:tcPr>
          <w:p w14:paraId="54A1DA62">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类别及代码</w:t>
            </w:r>
          </w:p>
        </w:tc>
        <w:tc>
          <w:tcPr>
            <w:tcW w:w="701" w:type="pct"/>
            <w:gridSpan w:val="2"/>
            <w:noWrap w:val="0"/>
            <w:vAlign w:val="center"/>
          </w:tcPr>
          <w:p w14:paraId="45F33E3B">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产生量</w:t>
            </w:r>
          </w:p>
        </w:tc>
        <w:tc>
          <w:tcPr>
            <w:tcW w:w="1211" w:type="pct"/>
            <w:gridSpan w:val="2"/>
            <w:noWrap w:val="0"/>
            <w:vAlign w:val="center"/>
          </w:tcPr>
          <w:p w14:paraId="699A6FA0">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处置措施</w:t>
            </w:r>
          </w:p>
        </w:tc>
        <w:tc>
          <w:tcPr>
            <w:tcW w:w="634" w:type="pct"/>
            <w:vMerge w:val="restart"/>
            <w:noWrap w:val="0"/>
            <w:vAlign w:val="center"/>
          </w:tcPr>
          <w:p w14:paraId="0341691C">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最终去向</w:t>
            </w:r>
          </w:p>
        </w:tc>
      </w:tr>
      <w:tr w14:paraId="5712ED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noWrap w:val="0"/>
            <w:vAlign w:val="center"/>
          </w:tcPr>
          <w:p w14:paraId="2A9536C7">
            <w:pPr>
              <w:pStyle w:val="37"/>
              <w:bidi w:val="0"/>
              <w:rPr>
                <w:rFonts w:hint="default" w:ascii="Times New Roman" w:hAnsi="Times New Roman" w:cs="Times New Roman"/>
                <w:color w:val="auto"/>
                <w:sz w:val="21"/>
                <w:szCs w:val="21"/>
                <w:highlight w:val="none"/>
              </w:rPr>
            </w:pPr>
          </w:p>
        </w:tc>
        <w:tc>
          <w:tcPr>
            <w:tcW w:w="651" w:type="pct"/>
            <w:vMerge w:val="continue"/>
            <w:noWrap w:val="0"/>
            <w:vAlign w:val="center"/>
          </w:tcPr>
          <w:p w14:paraId="7201EB7F">
            <w:pPr>
              <w:pStyle w:val="37"/>
              <w:bidi w:val="0"/>
              <w:rPr>
                <w:rFonts w:hint="default" w:ascii="Times New Roman" w:hAnsi="Times New Roman" w:cs="Times New Roman"/>
                <w:color w:val="auto"/>
                <w:sz w:val="21"/>
                <w:szCs w:val="21"/>
                <w:highlight w:val="none"/>
              </w:rPr>
            </w:pPr>
          </w:p>
        </w:tc>
        <w:tc>
          <w:tcPr>
            <w:tcW w:w="635" w:type="pct"/>
            <w:vMerge w:val="continue"/>
            <w:noWrap w:val="0"/>
            <w:vAlign w:val="center"/>
          </w:tcPr>
          <w:p w14:paraId="7FEB761B">
            <w:pPr>
              <w:pStyle w:val="37"/>
              <w:bidi w:val="0"/>
              <w:rPr>
                <w:rFonts w:hint="default" w:ascii="Times New Roman" w:hAnsi="Times New Roman" w:cs="Times New Roman"/>
                <w:color w:val="auto"/>
                <w:sz w:val="21"/>
                <w:szCs w:val="21"/>
                <w:highlight w:val="none"/>
              </w:rPr>
            </w:pPr>
          </w:p>
        </w:tc>
        <w:tc>
          <w:tcPr>
            <w:tcW w:w="774" w:type="pct"/>
            <w:vMerge w:val="continue"/>
            <w:noWrap w:val="0"/>
            <w:vAlign w:val="center"/>
          </w:tcPr>
          <w:p w14:paraId="1CDCA741">
            <w:pPr>
              <w:pStyle w:val="37"/>
              <w:bidi w:val="0"/>
              <w:rPr>
                <w:rFonts w:hint="default" w:ascii="Times New Roman" w:hAnsi="Times New Roman" w:cs="Times New Roman"/>
                <w:color w:val="auto"/>
                <w:sz w:val="21"/>
                <w:szCs w:val="21"/>
                <w:highlight w:val="none"/>
              </w:rPr>
            </w:pPr>
          </w:p>
        </w:tc>
        <w:tc>
          <w:tcPr>
            <w:tcW w:w="375" w:type="pct"/>
            <w:noWrap w:val="0"/>
            <w:vAlign w:val="center"/>
          </w:tcPr>
          <w:p w14:paraId="641A727B">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核算</w:t>
            </w:r>
          </w:p>
          <w:p w14:paraId="74B37C9E">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方法</w:t>
            </w:r>
          </w:p>
        </w:tc>
        <w:tc>
          <w:tcPr>
            <w:tcW w:w="326" w:type="pct"/>
            <w:noWrap w:val="0"/>
            <w:vAlign w:val="center"/>
          </w:tcPr>
          <w:p w14:paraId="72AEAF12">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产生量</w:t>
            </w:r>
          </w:p>
          <w:p w14:paraId="6D0FE1CB">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（t/a）</w:t>
            </w:r>
          </w:p>
        </w:tc>
        <w:tc>
          <w:tcPr>
            <w:tcW w:w="815" w:type="pct"/>
            <w:noWrap w:val="0"/>
            <w:vAlign w:val="center"/>
          </w:tcPr>
          <w:p w14:paraId="234C3FF2">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工艺</w:t>
            </w:r>
          </w:p>
        </w:tc>
        <w:tc>
          <w:tcPr>
            <w:tcW w:w="396" w:type="pct"/>
            <w:noWrap w:val="0"/>
            <w:vAlign w:val="center"/>
          </w:tcPr>
          <w:p w14:paraId="2A2A847F">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处置量</w:t>
            </w:r>
          </w:p>
          <w:p w14:paraId="6877C235">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（t/a）</w:t>
            </w:r>
          </w:p>
        </w:tc>
        <w:tc>
          <w:tcPr>
            <w:tcW w:w="634" w:type="pct"/>
            <w:vMerge w:val="continue"/>
            <w:noWrap w:val="0"/>
            <w:vAlign w:val="center"/>
          </w:tcPr>
          <w:p w14:paraId="55B479C2">
            <w:pPr>
              <w:pStyle w:val="37"/>
              <w:bidi w:val="0"/>
              <w:rPr>
                <w:rFonts w:hint="default" w:ascii="Times New Roman" w:hAnsi="Times New Roman" w:cs="Times New Roman"/>
                <w:color w:val="FF0000"/>
                <w:sz w:val="21"/>
                <w:szCs w:val="21"/>
                <w:highlight w:val="none"/>
              </w:rPr>
            </w:pPr>
          </w:p>
        </w:tc>
      </w:tr>
      <w:tr w14:paraId="0FA014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1E878C1E">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员工生活</w:t>
            </w:r>
          </w:p>
        </w:tc>
        <w:tc>
          <w:tcPr>
            <w:tcW w:w="651" w:type="pct"/>
            <w:noWrap w:val="0"/>
            <w:vAlign w:val="center"/>
          </w:tcPr>
          <w:p w14:paraId="4FBFDCA8">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生活垃圾</w:t>
            </w:r>
          </w:p>
        </w:tc>
        <w:tc>
          <w:tcPr>
            <w:tcW w:w="635" w:type="pct"/>
            <w:noWrap w:val="0"/>
            <w:vAlign w:val="center"/>
          </w:tcPr>
          <w:p w14:paraId="760BFD11">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774" w:type="pct"/>
            <w:noWrap w:val="0"/>
            <w:vAlign w:val="center"/>
          </w:tcPr>
          <w:p w14:paraId="2B7904DC">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SW64/900-099-S64</w:t>
            </w:r>
          </w:p>
        </w:tc>
        <w:tc>
          <w:tcPr>
            <w:tcW w:w="375" w:type="pct"/>
            <w:noWrap w:val="0"/>
            <w:vAlign w:val="center"/>
          </w:tcPr>
          <w:p w14:paraId="7F0DD442">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系数法</w:t>
            </w:r>
          </w:p>
        </w:tc>
        <w:tc>
          <w:tcPr>
            <w:tcW w:w="326" w:type="pct"/>
            <w:noWrap w:val="0"/>
            <w:vAlign w:val="center"/>
          </w:tcPr>
          <w:p w14:paraId="7207404B">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58</w:t>
            </w:r>
          </w:p>
        </w:tc>
        <w:tc>
          <w:tcPr>
            <w:tcW w:w="815" w:type="pct"/>
            <w:noWrap w:val="0"/>
            <w:vAlign w:val="center"/>
          </w:tcPr>
          <w:p w14:paraId="19034CFC">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市政</w:t>
            </w:r>
            <w:r>
              <w:rPr>
                <w:rFonts w:hint="default" w:ascii="Times New Roman" w:hAnsi="Times New Roman" w:cs="Times New Roman"/>
                <w:color w:val="auto"/>
                <w:sz w:val="21"/>
                <w:szCs w:val="21"/>
                <w:highlight w:val="none"/>
              </w:rPr>
              <w:t>部门</w:t>
            </w:r>
            <w:r>
              <w:rPr>
                <w:rFonts w:hint="default" w:ascii="Times New Roman" w:hAnsi="Times New Roman" w:cs="Times New Roman"/>
                <w:color w:val="auto"/>
                <w:sz w:val="21"/>
                <w:szCs w:val="21"/>
                <w:highlight w:val="none"/>
                <w:lang w:val="en-US" w:eastAsia="zh-CN"/>
              </w:rPr>
              <w:t>收集</w:t>
            </w:r>
            <w:r>
              <w:rPr>
                <w:rFonts w:hint="default" w:ascii="Times New Roman" w:hAnsi="Times New Roman" w:cs="Times New Roman"/>
                <w:color w:val="auto"/>
                <w:sz w:val="21"/>
                <w:szCs w:val="21"/>
                <w:highlight w:val="none"/>
              </w:rPr>
              <w:t>处置</w:t>
            </w:r>
          </w:p>
        </w:tc>
        <w:tc>
          <w:tcPr>
            <w:tcW w:w="396" w:type="pct"/>
            <w:noWrap w:val="0"/>
            <w:vAlign w:val="center"/>
          </w:tcPr>
          <w:p w14:paraId="058294DD">
            <w:pPr>
              <w:pStyle w:val="37"/>
              <w:bidi w:val="0"/>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58</w:t>
            </w:r>
          </w:p>
        </w:tc>
        <w:tc>
          <w:tcPr>
            <w:tcW w:w="634" w:type="pct"/>
            <w:noWrap w:val="0"/>
            <w:vAlign w:val="center"/>
          </w:tcPr>
          <w:p w14:paraId="356B89E0">
            <w:pPr>
              <w:pStyle w:val="37"/>
              <w:bidi w:val="0"/>
              <w:ind w:firstLine="0" w:firstLineChars="0"/>
              <w:rPr>
                <w:rFonts w:hint="default" w:ascii="Times New Roman" w:hAnsi="Times New Roman" w:cs="Times New Roman"/>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市政</w:t>
            </w:r>
            <w:r>
              <w:rPr>
                <w:rFonts w:hint="default" w:ascii="Times New Roman" w:hAnsi="Times New Roman" w:cs="Times New Roman"/>
                <w:color w:val="auto"/>
                <w:sz w:val="21"/>
                <w:szCs w:val="21"/>
                <w:highlight w:val="none"/>
              </w:rPr>
              <w:t>部门</w:t>
            </w:r>
            <w:r>
              <w:rPr>
                <w:rFonts w:hint="default" w:ascii="Times New Roman" w:hAnsi="Times New Roman" w:cs="Times New Roman"/>
                <w:color w:val="auto"/>
                <w:sz w:val="21"/>
                <w:szCs w:val="21"/>
                <w:highlight w:val="none"/>
                <w:lang w:val="en-US" w:eastAsia="zh-CN"/>
              </w:rPr>
              <w:t>收集</w:t>
            </w:r>
            <w:r>
              <w:rPr>
                <w:rFonts w:hint="default" w:ascii="Times New Roman" w:hAnsi="Times New Roman" w:cs="Times New Roman"/>
                <w:color w:val="auto"/>
                <w:sz w:val="21"/>
                <w:szCs w:val="21"/>
                <w:highlight w:val="none"/>
              </w:rPr>
              <w:t>处置</w:t>
            </w:r>
          </w:p>
        </w:tc>
      </w:tr>
      <w:tr w14:paraId="55DEAF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shd w:val="clear" w:color="auto" w:fill="auto"/>
            <w:noWrap w:val="0"/>
            <w:vAlign w:val="center"/>
          </w:tcPr>
          <w:p w14:paraId="3AE2B8BA">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包装</w:t>
            </w:r>
          </w:p>
        </w:tc>
        <w:tc>
          <w:tcPr>
            <w:tcW w:w="651" w:type="pct"/>
            <w:shd w:val="clear" w:color="auto" w:fill="auto"/>
            <w:noWrap w:val="0"/>
            <w:vAlign w:val="center"/>
          </w:tcPr>
          <w:p w14:paraId="5CE99FB2">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废包装材料</w:t>
            </w:r>
          </w:p>
        </w:tc>
        <w:tc>
          <w:tcPr>
            <w:tcW w:w="635" w:type="pct"/>
            <w:shd w:val="clear" w:color="auto" w:fill="auto"/>
            <w:noWrap w:val="0"/>
            <w:vAlign w:val="center"/>
          </w:tcPr>
          <w:p w14:paraId="46115D14">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一般工业固废</w:t>
            </w:r>
          </w:p>
        </w:tc>
        <w:tc>
          <w:tcPr>
            <w:tcW w:w="774" w:type="pct"/>
            <w:shd w:val="clear" w:color="auto" w:fill="auto"/>
            <w:noWrap w:val="0"/>
            <w:vAlign w:val="center"/>
          </w:tcPr>
          <w:p w14:paraId="44F6B4D7">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SW17/900-005-S17</w:t>
            </w:r>
          </w:p>
        </w:tc>
        <w:tc>
          <w:tcPr>
            <w:tcW w:w="375" w:type="pct"/>
            <w:shd w:val="clear" w:color="auto" w:fill="auto"/>
            <w:noWrap w:val="0"/>
            <w:vAlign w:val="center"/>
          </w:tcPr>
          <w:p w14:paraId="1730D494">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类比法</w:t>
            </w:r>
          </w:p>
        </w:tc>
        <w:tc>
          <w:tcPr>
            <w:tcW w:w="326" w:type="pct"/>
            <w:shd w:val="clear" w:color="auto" w:fill="auto"/>
            <w:noWrap w:val="0"/>
            <w:vAlign w:val="center"/>
          </w:tcPr>
          <w:p w14:paraId="75DFC29B">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1</w:t>
            </w:r>
          </w:p>
        </w:tc>
        <w:tc>
          <w:tcPr>
            <w:tcW w:w="815" w:type="pct"/>
            <w:shd w:val="clear" w:color="auto" w:fill="auto"/>
            <w:noWrap w:val="0"/>
            <w:vAlign w:val="center"/>
          </w:tcPr>
          <w:p w14:paraId="00EEF287">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lang w:val="en-US" w:eastAsia="zh-CN"/>
              </w:rPr>
              <w:t>外售综合利用</w:t>
            </w:r>
          </w:p>
        </w:tc>
        <w:tc>
          <w:tcPr>
            <w:tcW w:w="396" w:type="pct"/>
            <w:noWrap w:val="0"/>
            <w:vAlign w:val="center"/>
          </w:tcPr>
          <w:p w14:paraId="5CC725BD">
            <w:pPr>
              <w:pStyle w:val="37"/>
              <w:bidi w:val="0"/>
              <w:ind w:firstLine="0" w:firstLineChars="0"/>
              <w:rPr>
                <w:rFonts w:hint="default" w:ascii="Times New Roman" w:hAnsi="Times New Roman" w:cs="Times New Roman"/>
                <w:color w:val="auto"/>
                <w:sz w:val="21"/>
                <w:szCs w:val="21"/>
                <w:highlight w:val="none"/>
              </w:rPr>
            </w:pPr>
            <w:r>
              <w:rPr>
                <w:rFonts w:hint="eastAsia" w:ascii="Times New Roman" w:hAnsi="Times New Roman" w:cs="Times New Roman"/>
                <w:snapToGrid w:val="0"/>
                <w:color w:val="auto"/>
                <w:kern w:val="0"/>
                <w:sz w:val="21"/>
                <w:szCs w:val="21"/>
                <w:highlight w:val="none"/>
                <w:lang w:val="en-US" w:eastAsia="zh-CN" w:bidi="ar-SA"/>
              </w:rPr>
              <w:t>1</w:t>
            </w:r>
          </w:p>
        </w:tc>
        <w:tc>
          <w:tcPr>
            <w:tcW w:w="634" w:type="pct"/>
            <w:noWrap w:val="0"/>
            <w:vAlign w:val="center"/>
          </w:tcPr>
          <w:p w14:paraId="3E14859A">
            <w:pPr>
              <w:pStyle w:val="37"/>
              <w:bidi w:val="0"/>
              <w:ind w:firstLine="0" w:firstLineChars="0"/>
              <w:rPr>
                <w:rFonts w:hint="default" w:ascii="Times New Roman" w:hAnsi="Times New Roman" w:cs="Times New Roman"/>
                <w:color w:val="FF0000"/>
                <w:sz w:val="21"/>
                <w:szCs w:val="21"/>
                <w:highlight w:val="none"/>
              </w:rPr>
            </w:pPr>
            <w:r>
              <w:rPr>
                <w:rFonts w:hint="default" w:ascii="Times New Roman" w:hAnsi="Times New Roman" w:cs="Times New Roman"/>
                <w:color w:val="auto"/>
                <w:sz w:val="21"/>
                <w:szCs w:val="21"/>
                <w:highlight w:val="none"/>
                <w:lang w:val="en-US" w:eastAsia="zh-CN"/>
              </w:rPr>
              <w:t>外售综合利用</w:t>
            </w:r>
          </w:p>
        </w:tc>
      </w:tr>
      <w:tr w14:paraId="73AF04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71DA314F">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注塑</w:t>
            </w:r>
          </w:p>
        </w:tc>
        <w:tc>
          <w:tcPr>
            <w:tcW w:w="651" w:type="pct"/>
            <w:noWrap w:val="0"/>
            <w:vAlign w:val="center"/>
          </w:tcPr>
          <w:p w14:paraId="37A61DA2">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不合格品</w:t>
            </w:r>
          </w:p>
        </w:tc>
        <w:tc>
          <w:tcPr>
            <w:tcW w:w="635" w:type="pct"/>
            <w:shd w:val="clear" w:color="auto" w:fill="auto"/>
            <w:noWrap w:val="0"/>
            <w:vAlign w:val="center"/>
          </w:tcPr>
          <w:p w14:paraId="7241C5AE">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一般工业固废</w:t>
            </w:r>
          </w:p>
        </w:tc>
        <w:tc>
          <w:tcPr>
            <w:tcW w:w="774" w:type="pct"/>
            <w:noWrap w:val="0"/>
            <w:vAlign w:val="center"/>
          </w:tcPr>
          <w:p w14:paraId="580D9892">
            <w:pPr>
              <w:pStyle w:val="37"/>
              <w:bidi w:val="0"/>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SW17/900-099-S17</w:t>
            </w:r>
          </w:p>
        </w:tc>
        <w:tc>
          <w:tcPr>
            <w:tcW w:w="375" w:type="pct"/>
            <w:shd w:val="clear" w:color="auto" w:fill="auto"/>
            <w:noWrap w:val="0"/>
            <w:vAlign w:val="center"/>
          </w:tcPr>
          <w:p w14:paraId="01D81D1F">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物料衡算</w:t>
            </w:r>
          </w:p>
        </w:tc>
        <w:tc>
          <w:tcPr>
            <w:tcW w:w="326" w:type="pct"/>
            <w:noWrap w:val="0"/>
            <w:vAlign w:val="center"/>
          </w:tcPr>
          <w:p w14:paraId="17D5C0C6">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w:t>
            </w:r>
          </w:p>
        </w:tc>
        <w:tc>
          <w:tcPr>
            <w:tcW w:w="815" w:type="pct"/>
            <w:noWrap w:val="0"/>
            <w:vAlign w:val="center"/>
          </w:tcPr>
          <w:p w14:paraId="5E0961B0">
            <w:pPr>
              <w:pStyle w:val="37"/>
              <w:bidi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回用于注塑工序</w:t>
            </w:r>
          </w:p>
        </w:tc>
        <w:tc>
          <w:tcPr>
            <w:tcW w:w="396" w:type="pct"/>
            <w:noWrap w:val="0"/>
            <w:vAlign w:val="center"/>
          </w:tcPr>
          <w:p w14:paraId="38D41275">
            <w:pPr>
              <w:pStyle w:val="37"/>
              <w:bidi w:val="0"/>
              <w:ind w:firstLine="0" w:firstLineChars="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w:t>
            </w:r>
          </w:p>
        </w:tc>
        <w:tc>
          <w:tcPr>
            <w:tcW w:w="634" w:type="pct"/>
            <w:noWrap w:val="0"/>
            <w:vAlign w:val="center"/>
          </w:tcPr>
          <w:p w14:paraId="6FC14645">
            <w:pPr>
              <w:pStyle w:val="37"/>
              <w:bidi w:val="0"/>
              <w:ind w:firstLine="0" w:firstLineChars="0"/>
              <w:rPr>
                <w:rFonts w:hint="default" w:ascii="Times New Roman" w:hAnsi="Times New Roman" w:cs="Times New Roman"/>
                <w:color w:val="FF0000"/>
                <w:sz w:val="21"/>
                <w:szCs w:val="21"/>
                <w:highlight w:val="none"/>
              </w:rPr>
            </w:pPr>
            <w:r>
              <w:rPr>
                <w:rFonts w:hint="eastAsia" w:ascii="Times New Roman" w:hAnsi="Times New Roman" w:eastAsia="宋体" w:cs="Times New Roman"/>
                <w:color w:val="auto"/>
                <w:sz w:val="21"/>
                <w:szCs w:val="21"/>
                <w:highlight w:val="none"/>
                <w:lang w:val="en-US" w:eastAsia="zh-CN"/>
              </w:rPr>
              <w:t>回用于注塑工序</w:t>
            </w:r>
          </w:p>
        </w:tc>
      </w:tr>
      <w:tr w14:paraId="6EEBF2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09C0B0A1">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包覆</w:t>
            </w:r>
          </w:p>
        </w:tc>
        <w:tc>
          <w:tcPr>
            <w:tcW w:w="651" w:type="pct"/>
            <w:noWrap w:val="0"/>
            <w:vAlign w:val="center"/>
          </w:tcPr>
          <w:p w14:paraId="335054EA">
            <w:pPr>
              <w:pStyle w:val="37"/>
              <w:bidi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废布料</w:t>
            </w:r>
          </w:p>
        </w:tc>
        <w:tc>
          <w:tcPr>
            <w:tcW w:w="635" w:type="pct"/>
            <w:shd w:val="clear" w:color="auto" w:fill="auto"/>
            <w:noWrap w:val="0"/>
            <w:vAlign w:val="center"/>
          </w:tcPr>
          <w:p w14:paraId="05F7AF26">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一般工业固废</w:t>
            </w:r>
          </w:p>
        </w:tc>
        <w:tc>
          <w:tcPr>
            <w:tcW w:w="774" w:type="pct"/>
            <w:noWrap w:val="0"/>
            <w:vAlign w:val="center"/>
          </w:tcPr>
          <w:p w14:paraId="48B774DD">
            <w:pPr>
              <w:pStyle w:val="37"/>
              <w:bidi w:val="0"/>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SW17/900-099-S17</w:t>
            </w:r>
          </w:p>
        </w:tc>
        <w:tc>
          <w:tcPr>
            <w:tcW w:w="375" w:type="pct"/>
            <w:shd w:val="clear" w:color="auto" w:fill="auto"/>
            <w:noWrap w:val="0"/>
            <w:vAlign w:val="center"/>
          </w:tcPr>
          <w:p w14:paraId="4C2D6E65">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类比法</w:t>
            </w:r>
          </w:p>
        </w:tc>
        <w:tc>
          <w:tcPr>
            <w:tcW w:w="326" w:type="pct"/>
            <w:noWrap w:val="0"/>
            <w:vAlign w:val="center"/>
          </w:tcPr>
          <w:p w14:paraId="4073B157">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0.3</w:t>
            </w:r>
          </w:p>
        </w:tc>
        <w:tc>
          <w:tcPr>
            <w:tcW w:w="815" w:type="pct"/>
            <w:noWrap w:val="0"/>
            <w:vAlign w:val="center"/>
          </w:tcPr>
          <w:p w14:paraId="5FBAC800">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外售综合利用</w:t>
            </w:r>
          </w:p>
        </w:tc>
        <w:tc>
          <w:tcPr>
            <w:tcW w:w="396" w:type="pct"/>
            <w:shd w:val="clear" w:color="auto" w:fill="auto"/>
            <w:noWrap w:val="0"/>
            <w:vAlign w:val="center"/>
          </w:tcPr>
          <w:p w14:paraId="1FC05136">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0.3</w:t>
            </w:r>
          </w:p>
        </w:tc>
        <w:tc>
          <w:tcPr>
            <w:tcW w:w="634" w:type="pct"/>
            <w:noWrap w:val="0"/>
            <w:vAlign w:val="center"/>
          </w:tcPr>
          <w:p w14:paraId="6F860EDD">
            <w:pPr>
              <w:pStyle w:val="37"/>
              <w:bidi w:val="0"/>
              <w:ind w:firstLine="0" w:firstLineChars="0"/>
              <w:rPr>
                <w:rFonts w:hint="default" w:ascii="Times New Roman" w:hAnsi="Times New Roman" w:cs="Times New Roman"/>
                <w:color w:val="FF0000"/>
                <w:sz w:val="21"/>
                <w:szCs w:val="21"/>
                <w:highlight w:val="none"/>
              </w:rPr>
            </w:pPr>
            <w:r>
              <w:rPr>
                <w:rFonts w:hint="default" w:ascii="Times New Roman" w:hAnsi="Times New Roman" w:cs="Times New Roman"/>
                <w:color w:val="auto"/>
                <w:sz w:val="21"/>
                <w:szCs w:val="21"/>
                <w:highlight w:val="none"/>
                <w:lang w:val="en-US" w:eastAsia="zh-CN"/>
              </w:rPr>
              <w:t>外售综合利用</w:t>
            </w:r>
          </w:p>
        </w:tc>
      </w:tr>
      <w:tr w14:paraId="5769E4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3BB27FBA">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RTO废气处理装置</w:t>
            </w:r>
          </w:p>
        </w:tc>
        <w:tc>
          <w:tcPr>
            <w:tcW w:w="651" w:type="pct"/>
            <w:noWrap w:val="0"/>
            <w:vAlign w:val="center"/>
          </w:tcPr>
          <w:p w14:paraId="57E59292">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陶瓷蓄热体</w:t>
            </w:r>
          </w:p>
        </w:tc>
        <w:tc>
          <w:tcPr>
            <w:tcW w:w="635" w:type="pct"/>
            <w:shd w:val="clear" w:color="auto" w:fill="auto"/>
            <w:noWrap w:val="0"/>
            <w:vAlign w:val="center"/>
          </w:tcPr>
          <w:p w14:paraId="72E98CD8">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一般工业固废</w:t>
            </w:r>
          </w:p>
        </w:tc>
        <w:tc>
          <w:tcPr>
            <w:tcW w:w="774" w:type="pct"/>
            <w:noWrap w:val="0"/>
            <w:vAlign w:val="center"/>
          </w:tcPr>
          <w:p w14:paraId="79F7BC9E">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SW59/</w:t>
            </w:r>
            <w:r>
              <w:rPr>
                <w:rFonts w:hint="default" w:ascii="Times New Roman" w:hAnsi="Times New Roman" w:cs="Times New Roman"/>
                <w:color w:val="auto"/>
                <w:sz w:val="21"/>
                <w:szCs w:val="21"/>
                <w:highlight w:val="none"/>
                <w:lang w:val="en-US" w:eastAsia="zh-CN"/>
              </w:rPr>
              <w:t>900-099-S59</w:t>
            </w:r>
          </w:p>
        </w:tc>
        <w:tc>
          <w:tcPr>
            <w:tcW w:w="375" w:type="pct"/>
            <w:shd w:val="clear" w:color="auto" w:fill="auto"/>
            <w:noWrap w:val="0"/>
            <w:vAlign w:val="center"/>
          </w:tcPr>
          <w:p w14:paraId="18D2DD5E">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类比法</w:t>
            </w:r>
          </w:p>
        </w:tc>
        <w:tc>
          <w:tcPr>
            <w:tcW w:w="326" w:type="pct"/>
            <w:noWrap w:val="0"/>
            <w:vAlign w:val="center"/>
          </w:tcPr>
          <w:p w14:paraId="78D3198C">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1t/5a</w:t>
            </w:r>
          </w:p>
        </w:tc>
        <w:tc>
          <w:tcPr>
            <w:tcW w:w="815" w:type="pct"/>
            <w:noWrap w:val="0"/>
            <w:vAlign w:val="center"/>
          </w:tcPr>
          <w:p w14:paraId="4211979D">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外售综合利用</w:t>
            </w:r>
          </w:p>
        </w:tc>
        <w:tc>
          <w:tcPr>
            <w:tcW w:w="396" w:type="pct"/>
            <w:shd w:val="clear" w:color="auto" w:fill="auto"/>
            <w:noWrap w:val="0"/>
            <w:vAlign w:val="center"/>
          </w:tcPr>
          <w:p w14:paraId="51FB790B">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1t/5a</w:t>
            </w:r>
          </w:p>
        </w:tc>
        <w:tc>
          <w:tcPr>
            <w:tcW w:w="634" w:type="pct"/>
            <w:noWrap w:val="0"/>
            <w:vAlign w:val="center"/>
          </w:tcPr>
          <w:p w14:paraId="291912D3">
            <w:pPr>
              <w:pStyle w:val="37"/>
              <w:bidi w:val="0"/>
              <w:ind w:firstLine="0" w:firstLineChars="0"/>
              <w:rPr>
                <w:rFonts w:hint="default" w:ascii="Times New Roman" w:hAnsi="Times New Roman" w:cs="Times New Roman"/>
                <w:color w:val="FF0000"/>
                <w:sz w:val="21"/>
                <w:szCs w:val="21"/>
                <w:highlight w:val="none"/>
              </w:rPr>
            </w:pPr>
            <w:r>
              <w:rPr>
                <w:rFonts w:hint="default" w:ascii="Times New Roman" w:hAnsi="Times New Roman" w:cs="Times New Roman"/>
                <w:color w:val="auto"/>
                <w:sz w:val="21"/>
                <w:szCs w:val="21"/>
                <w:highlight w:val="none"/>
                <w:lang w:val="en-US" w:eastAsia="zh-CN"/>
              </w:rPr>
              <w:t>外售综合利用</w:t>
            </w:r>
          </w:p>
        </w:tc>
      </w:tr>
      <w:tr w14:paraId="35C228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27ADF78B">
            <w:pPr>
              <w:pStyle w:val="37"/>
              <w:bidi w:val="0"/>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修整检验</w:t>
            </w:r>
          </w:p>
        </w:tc>
        <w:tc>
          <w:tcPr>
            <w:tcW w:w="651" w:type="pct"/>
            <w:noWrap w:val="0"/>
            <w:vAlign w:val="center"/>
          </w:tcPr>
          <w:p w14:paraId="518861F5">
            <w:pPr>
              <w:pStyle w:val="37"/>
              <w:bidi w:val="0"/>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废边角料及不合格品</w:t>
            </w:r>
          </w:p>
        </w:tc>
        <w:tc>
          <w:tcPr>
            <w:tcW w:w="635" w:type="pct"/>
            <w:shd w:val="clear" w:color="auto" w:fill="auto"/>
            <w:noWrap w:val="0"/>
            <w:vAlign w:val="center"/>
          </w:tcPr>
          <w:p w14:paraId="63335413">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一般工业固废</w:t>
            </w:r>
          </w:p>
        </w:tc>
        <w:tc>
          <w:tcPr>
            <w:tcW w:w="774" w:type="pct"/>
            <w:noWrap w:val="0"/>
            <w:vAlign w:val="center"/>
          </w:tcPr>
          <w:p w14:paraId="62592CF2">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SW59/</w:t>
            </w:r>
            <w:r>
              <w:rPr>
                <w:rFonts w:hint="default" w:ascii="Times New Roman" w:hAnsi="Times New Roman" w:cs="Times New Roman"/>
                <w:color w:val="auto"/>
                <w:sz w:val="21"/>
                <w:szCs w:val="21"/>
                <w:highlight w:val="none"/>
                <w:lang w:val="en-US" w:eastAsia="zh-CN"/>
              </w:rPr>
              <w:t>900-099-S59</w:t>
            </w:r>
          </w:p>
        </w:tc>
        <w:tc>
          <w:tcPr>
            <w:tcW w:w="375" w:type="pct"/>
            <w:shd w:val="clear" w:color="auto" w:fill="auto"/>
            <w:noWrap w:val="0"/>
            <w:vAlign w:val="center"/>
          </w:tcPr>
          <w:p w14:paraId="1AB590CF">
            <w:pPr>
              <w:pStyle w:val="37"/>
              <w:bidi w:val="0"/>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物料衡算</w:t>
            </w:r>
          </w:p>
        </w:tc>
        <w:tc>
          <w:tcPr>
            <w:tcW w:w="326" w:type="pct"/>
            <w:noWrap w:val="0"/>
            <w:vAlign w:val="center"/>
          </w:tcPr>
          <w:p w14:paraId="655557DB">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6t</w:t>
            </w:r>
          </w:p>
        </w:tc>
        <w:tc>
          <w:tcPr>
            <w:tcW w:w="815" w:type="pct"/>
            <w:noWrap w:val="0"/>
            <w:vAlign w:val="center"/>
          </w:tcPr>
          <w:p w14:paraId="56B5AB85">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外售综合利用</w:t>
            </w:r>
          </w:p>
        </w:tc>
        <w:tc>
          <w:tcPr>
            <w:tcW w:w="396" w:type="pct"/>
            <w:shd w:val="clear" w:color="auto" w:fill="auto"/>
            <w:noWrap w:val="0"/>
            <w:vAlign w:val="center"/>
          </w:tcPr>
          <w:p w14:paraId="470FC23F">
            <w:pPr>
              <w:pStyle w:val="37"/>
              <w:bidi w:val="0"/>
              <w:ind w:firstLine="0" w:firstLineChars="0"/>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6t</w:t>
            </w:r>
          </w:p>
        </w:tc>
        <w:tc>
          <w:tcPr>
            <w:tcW w:w="634" w:type="pct"/>
            <w:noWrap w:val="0"/>
            <w:vAlign w:val="center"/>
          </w:tcPr>
          <w:p w14:paraId="3161B8AA">
            <w:pPr>
              <w:pStyle w:val="37"/>
              <w:bidi w:val="0"/>
              <w:ind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外售综合利用</w:t>
            </w:r>
          </w:p>
        </w:tc>
      </w:tr>
      <w:tr w14:paraId="50ED69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14:paraId="5F4F2FC5">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除尘</w:t>
            </w:r>
          </w:p>
        </w:tc>
        <w:tc>
          <w:tcPr>
            <w:tcW w:w="651" w:type="pct"/>
            <w:noWrap w:val="0"/>
            <w:vAlign w:val="center"/>
          </w:tcPr>
          <w:p w14:paraId="02ABF60E">
            <w:pPr>
              <w:pStyle w:val="37"/>
              <w:bidi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除尘器收集粉尘</w:t>
            </w:r>
          </w:p>
        </w:tc>
        <w:tc>
          <w:tcPr>
            <w:tcW w:w="635" w:type="pct"/>
            <w:shd w:val="clear" w:color="auto" w:fill="auto"/>
            <w:noWrap w:val="0"/>
            <w:vAlign w:val="center"/>
          </w:tcPr>
          <w:p w14:paraId="1066EF78">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774" w:type="pct"/>
            <w:noWrap w:val="0"/>
            <w:vAlign w:val="center"/>
          </w:tcPr>
          <w:p w14:paraId="5B361932">
            <w:pPr>
              <w:pStyle w:val="37"/>
              <w:bidi w:val="0"/>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lang w:val="en-US" w:eastAsia="zh-CN"/>
              </w:rPr>
              <w:t>HW12/</w:t>
            </w:r>
            <w:r>
              <w:rPr>
                <w:rFonts w:hint="default" w:ascii="Times New Roman" w:hAnsi="Times New Roman" w:cs="Times New Roman"/>
                <w:color w:val="auto"/>
              </w:rPr>
              <w:t>900-252-12</w:t>
            </w:r>
          </w:p>
        </w:tc>
        <w:tc>
          <w:tcPr>
            <w:tcW w:w="375" w:type="pct"/>
            <w:shd w:val="clear" w:color="auto" w:fill="auto"/>
            <w:noWrap w:val="0"/>
            <w:vAlign w:val="center"/>
          </w:tcPr>
          <w:p w14:paraId="1A007E24">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物料衡算</w:t>
            </w:r>
          </w:p>
        </w:tc>
        <w:tc>
          <w:tcPr>
            <w:tcW w:w="326" w:type="pct"/>
            <w:noWrap w:val="0"/>
            <w:vAlign w:val="center"/>
          </w:tcPr>
          <w:p w14:paraId="7223AC20">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2.319</w:t>
            </w:r>
          </w:p>
        </w:tc>
        <w:tc>
          <w:tcPr>
            <w:tcW w:w="815" w:type="pct"/>
            <w:noWrap w:val="0"/>
            <w:vAlign w:val="center"/>
          </w:tcPr>
          <w:p w14:paraId="0AE79B53">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暂存危险废物贮存库，交有资质单位处置</w:t>
            </w:r>
          </w:p>
        </w:tc>
        <w:tc>
          <w:tcPr>
            <w:tcW w:w="396" w:type="pct"/>
            <w:shd w:val="clear" w:color="auto" w:fill="auto"/>
            <w:noWrap w:val="0"/>
            <w:vAlign w:val="center"/>
          </w:tcPr>
          <w:p w14:paraId="20DE7676">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2.319</w:t>
            </w:r>
          </w:p>
        </w:tc>
        <w:tc>
          <w:tcPr>
            <w:tcW w:w="634" w:type="pct"/>
            <w:noWrap w:val="0"/>
            <w:vAlign w:val="center"/>
          </w:tcPr>
          <w:p w14:paraId="5A90D5DF">
            <w:pPr>
              <w:pStyle w:val="37"/>
              <w:bidi w:val="0"/>
              <w:ind w:firstLine="0" w:firstLineChars="0"/>
              <w:rPr>
                <w:rFonts w:hint="default" w:ascii="Times New Roman" w:hAnsi="Times New Roman" w:cs="Times New Roman"/>
                <w:color w:val="FF0000"/>
                <w:sz w:val="21"/>
                <w:szCs w:val="21"/>
                <w:highlight w:val="none"/>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455E19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shd w:val="clear" w:color="auto" w:fill="auto"/>
            <w:noWrap w:val="0"/>
            <w:vAlign w:val="center"/>
          </w:tcPr>
          <w:p w14:paraId="286EBF03">
            <w:pPr>
              <w:pStyle w:val="37"/>
              <w:bidi w:val="0"/>
              <w:ind w:firstLine="0" w:firstLineChars="0"/>
              <w:rPr>
                <w:rFonts w:hint="eastAsia"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除尘</w:t>
            </w:r>
          </w:p>
        </w:tc>
        <w:tc>
          <w:tcPr>
            <w:tcW w:w="651" w:type="pct"/>
            <w:shd w:val="clear" w:color="auto" w:fill="auto"/>
            <w:noWrap w:val="0"/>
            <w:vAlign w:val="center"/>
          </w:tcPr>
          <w:p w14:paraId="7DA50A8C">
            <w:pPr>
              <w:pStyle w:val="37"/>
              <w:bidi w:val="0"/>
              <w:ind w:firstLine="0" w:firstLineChars="0"/>
              <w:rPr>
                <w:rFonts w:hint="eastAsia"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废布袋</w:t>
            </w:r>
          </w:p>
        </w:tc>
        <w:tc>
          <w:tcPr>
            <w:tcW w:w="635" w:type="pct"/>
            <w:shd w:val="clear" w:color="auto" w:fill="auto"/>
            <w:noWrap w:val="0"/>
            <w:vAlign w:val="center"/>
          </w:tcPr>
          <w:p w14:paraId="32630043">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危险废物</w:t>
            </w:r>
          </w:p>
        </w:tc>
        <w:tc>
          <w:tcPr>
            <w:tcW w:w="774" w:type="pct"/>
            <w:shd w:val="clear" w:color="auto" w:fill="auto"/>
            <w:noWrap w:val="0"/>
            <w:vAlign w:val="center"/>
          </w:tcPr>
          <w:p w14:paraId="0698E749">
            <w:pPr>
              <w:pStyle w:val="37"/>
              <w:bidi w:val="0"/>
              <w:ind w:firstLine="0" w:firstLineChars="0"/>
              <w:rPr>
                <w:rFonts w:hint="eastAsia"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HW49/</w:t>
            </w:r>
            <w:r>
              <w:rPr>
                <w:rFonts w:hint="default" w:ascii="Times New Roman" w:hAnsi="Times New Roman" w:cs="Times New Roman"/>
                <w:color w:val="auto"/>
                <w:szCs w:val="21"/>
              </w:rPr>
              <w:t>900-042-49</w:t>
            </w:r>
          </w:p>
        </w:tc>
        <w:tc>
          <w:tcPr>
            <w:tcW w:w="375" w:type="pct"/>
            <w:shd w:val="clear" w:color="auto" w:fill="auto"/>
            <w:noWrap w:val="0"/>
            <w:vAlign w:val="center"/>
          </w:tcPr>
          <w:p w14:paraId="2BC5061E">
            <w:pPr>
              <w:pStyle w:val="37"/>
              <w:bidi w:val="0"/>
              <w:ind w:firstLine="0" w:firstLineChars="0"/>
              <w:rPr>
                <w:rFonts w:hint="eastAsia"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类比法</w:t>
            </w:r>
          </w:p>
        </w:tc>
        <w:tc>
          <w:tcPr>
            <w:tcW w:w="326" w:type="pct"/>
            <w:shd w:val="clear" w:color="auto" w:fill="auto"/>
            <w:noWrap w:val="0"/>
            <w:vAlign w:val="center"/>
          </w:tcPr>
          <w:p w14:paraId="24560B00">
            <w:pPr>
              <w:pStyle w:val="37"/>
              <w:bidi w:val="0"/>
              <w:ind w:firstLine="0" w:firstLineChars="0"/>
              <w:rPr>
                <w:rFonts w:hint="eastAsia"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0.2</w:t>
            </w:r>
          </w:p>
        </w:tc>
        <w:tc>
          <w:tcPr>
            <w:tcW w:w="815" w:type="pct"/>
            <w:noWrap w:val="0"/>
            <w:vAlign w:val="center"/>
          </w:tcPr>
          <w:p w14:paraId="63B5D0CA">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暂存危险废物贮存库，交有资质单位处置</w:t>
            </w:r>
          </w:p>
        </w:tc>
        <w:tc>
          <w:tcPr>
            <w:tcW w:w="396" w:type="pct"/>
            <w:shd w:val="clear" w:color="auto" w:fill="auto"/>
            <w:noWrap w:val="0"/>
            <w:vAlign w:val="center"/>
          </w:tcPr>
          <w:p w14:paraId="23EDCEC6">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0.2</w:t>
            </w:r>
          </w:p>
        </w:tc>
        <w:tc>
          <w:tcPr>
            <w:tcW w:w="634" w:type="pct"/>
            <w:noWrap w:val="0"/>
            <w:vAlign w:val="center"/>
          </w:tcPr>
          <w:p w14:paraId="1B41A44E">
            <w:pPr>
              <w:pStyle w:val="37"/>
              <w:bidi w:val="0"/>
              <w:ind w:firstLine="0" w:firstLineChars="0"/>
              <w:rPr>
                <w:rFonts w:hint="default" w:ascii="Times New Roman" w:hAnsi="Times New Roman" w:cs="Times New Roman"/>
                <w:color w:val="FF0000"/>
                <w:sz w:val="21"/>
                <w:szCs w:val="21"/>
                <w:highlight w:val="none"/>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1DDB53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shd w:val="clear" w:color="auto" w:fill="auto"/>
            <w:vAlign w:val="center"/>
          </w:tcPr>
          <w:p w14:paraId="64C2BB47">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包装</w:t>
            </w:r>
          </w:p>
        </w:tc>
        <w:tc>
          <w:tcPr>
            <w:tcW w:w="651" w:type="pct"/>
            <w:shd w:val="clear" w:color="auto" w:fill="auto"/>
            <w:vAlign w:val="center"/>
          </w:tcPr>
          <w:p w14:paraId="7F5CAD60">
            <w:pPr>
              <w:pStyle w:val="37"/>
              <w:bidi w:val="0"/>
              <w:ind w:firstLine="0" w:firstLineChars="0"/>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废包装桶（油漆、稀释剂、固化剂、油墨）</w:t>
            </w:r>
          </w:p>
        </w:tc>
        <w:tc>
          <w:tcPr>
            <w:tcW w:w="635" w:type="pct"/>
            <w:shd w:val="clear" w:color="auto" w:fill="auto"/>
            <w:vAlign w:val="center"/>
          </w:tcPr>
          <w:p w14:paraId="47D741B0">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危险废物</w:t>
            </w:r>
          </w:p>
        </w:tc>
        <w:tc>
          <w:tcPr>
            <w:tcW w:w="774" w:type="pct"/>
            <w:shd w:val="clear" w:color="auto" w:fill="auto"/>
            <w:vAlign w:val="center"/>
          </w:tcPr>
          <w:p w14:paraId="5AC122C1">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HW49/900-041-49</w:t>
            </w:r>
          </w:p>
        </w:tc>
        <w:tc>
          <w:tcPr>
            <w:tcW w:w="375" w:type="pct"/>
            <w:shd w:val="clear" w:color="auto" w:fill="auto"/>
            <w:vAlign w:val="center"/>
          </w:tcPr>
          <w:p w14:paraId="750758A7">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类比法</w:t>
            </w:r>
          </w:p>
        </w:tc>
        <w:tc>
          <w:tcPr>
            <w:tcW w:w="326" w:type="pct"/>
            <w:shd w:val="clear" w:color="auto" w:fill="auto"/>
            <w:vAlign w:val="center"/>
          </w:tcPr>
          <w:p w14:paraId="1D8D5CBD">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25</w:t>
            </w:r>
          </w:p>
        </w:tc>
        <w:tc>
          <w:tcPr>
            <w:tcW w:w="815" w:type="pct"/>
            <w:shd w:val="clear" w:color="auto" w:fill="auto"/>
            <w:vAlign w:val="center"/>
          </w:tcPr>
          <w:p w14:paraId="6D87CE51">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暂存危险废物贮存库，交有资质单位处置</w:t>
            </w:r>
          </w:p>
        </w:tc>
        <w:tc>
          <w:tcPr>
            <w:tcW w:w="396" w:type="pct"/>
            <w:shd w:val="clear" w:color="auto" w:fill="auto"/>
            <w:vAlign w:val="center"/>
          </w:tcPr>
          <w:p w14:paraId="0464FE2E">
            <w:pPr>
              <w:pStyle w:val="37"/>
              <w:bidi w:val="0"/>
              <w:ind w:firstLine="0" w:firstLineChars="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25</w:t>
            </w:r>
          </w:p>
        </w:tc>
        <w:tc>
          <w:tcPr>
            <w:tcW w:w="634" w:type="pct"/>
            <w:shd w:val="clear" w:color="auto" w:fill="auto"/>
            <w:vAlign w:val="center"/>
          </w:tcPr>
          <w:p w14:paraId="0D06D49A">
            <w:pPr>
              <w:pStyle w:val="37"/>
              <w:bidi w:val="0"/>
              <w:ind w:firstLine="0" w:firstLineChars="0"/>
              <w:rPr>
                <w:rFonts w:hint="default" w:ascii="Times New Roman" w:hAnsi="Times New Roman" w:cs="Times New Roman"/>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7A82D4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14:paraId="0A526396">
            <w:pPr>
              <w:pStyle w:val="37"/>
              <w:bidi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喷漆</w:t>
            </w:r>
          </w:p>
        </w:tc>
        <w:tc>
          <w:tcPr>
            <w:tcW w:w="651" w:type="pct"/>
            <w:vAlign w:val="center"/>
          </w:tcPr>
          <w:p w14:paraId="434CFB77">
            <w:pPr>
              <w:pStyle w:val="37"/>
              <w:bidi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漆渣</w:t>
            </w:r>
          </w:p>
        </w:tc>
        <w:tc>
          <w:tcPr>
            <w:tcW w:w="635" w:type="pct"/>
            <w:shd w:val="clear" w:color="auto" w:fill="auto"/>
            <w:vAlign w:val="center"/>
          </w:tcPr>
          <w:p w14:paraId="0C95DCC7">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774" w:type="pct"/>
            <w:vAlign w:val="center"/>
          </w:tcPr>
          <w:p w14:paraId="19835DB8">
            <w:pPr>
              <w:pStyle w:val="37"/>
              <w:bidi w:val="0"/>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lang w:val="en-US" w:eastAsia="zh-CN"/>
              </w:rPr>
              <w:t>HW12/</w:t>
            </w:r>
            <w:r>
              <w:rPr>
                <w:rFonts w:hint="default" w:ascii="Times New Roman" w:hAnsi="Times New Roman" w:cs="Times New Roman"/>
                <w:color w:val="auto"/>
              </w:rPr>
              <w:t>900-252-12</w:t>
            </w:r>
          </w:p>
        </w:tc>
        <w:tc>
          <w:tcPr>
            <w:tcW w:w="375" w:type="pct"/>
            <w:shd w:val="clear" w:color="auto" w:fill="auto"/>
            <w:vAlign w:val="center"/>
          </w:tcPr>
          <w:p w14:paraId="1DBF8CEB">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物料衡算</w:t>
            </w:r>
          </w:p>
        </w:tc>
        <w:tc>
          <w:tcPr>
            <w:tcW w:w="326" w:type="pct"/>
            <w:vAlign w:val="center"/>
          </w:tcPr>
          <w:p w14:paraId="5D3F06B0">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86.418</w:t>
            </w:r>
          </w:p>
        </w:tc>
        <w:tc>
          <w:tcPr>
            <w:tcW w:w="815" w:type="pct"/>
            <w:shd w:val="clear" w:color="auto" w:fill="auto"/>
            <w:vAlign w:val="center"/>
          </w:tcPr>
          <w:p w14:paraId="20E9F155">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暂存危险废物贮存库，交有资质单位处置</w:t>
            </w:r>
          </w:p>
        </w:tc>
        <w:tc>
          <w:tcPr>
            <w:tcW w:w="396" w:type="pct"/>
            <w:shd w:val="clear" w:color="auto" w:fill="auto"/>
            <w:vAlign w:val="center"/>
          </w:tcPr>
          <w:p w14:paraId="509DC04F">
            <w:pPr>
              <w:pStyle w:val="37"/>
              <w:bidi w:val="0"/>
              <w:ind w:firstLine="0" w:firstLineChars="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86.418</w:t>
            </w:r>
          </w:p>
        </w:tc>
        <w:tc>
          <w:tcPr>
            <w:tcW w:w="634" w:type="pct"/>
            <w:shd w:val="clear" w:color="auto" w:fill="auto"/>
            <w:vAlign w:val="center"/>
          </w:tcPr>
          <w:p w14:paraId="428F03B7">
            <w:pPr>
              <w:pStyle w:val="37"/>
              <w:bidi w:val="0"/>
              <w:ind w:firstLine="0" w:firstLineChars="0"/>
              <w:rPr>
                <w:rFonts w:hint="default" w:ascii="Times New Roman" w:hAnsi="Times New Roman" w:cs="Times New Roman"/>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7E867D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14:paraId="6A1DF2CD">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清洗</w:t>
            </w:r>
          </w:p>
        </w:tc>
        <w:tc>
          <w:tcPr>
            <w:tcW w:w="651" w:type="pct"/>
            <w:vAlign w:val="center"/>
          </w:tcPr>
          <w:p w14:paraId="440358EA">
            <w:pPr>
              <w:pStyle w:val="37"/>
              <w:bidi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废清洗溶剂</w:t>
            </w:r>
          </w:p>
        </w:tc>
        <w:tc>
          <w:tcPr>
            <w:tcW w:w="635" w:type="pct"/>
            <w:shd w:val="clear" w:color="auto" w:fill="auto"/>
            <w:vAlign w:val="center"/>
          </w:tcPr>
          <w:p w14:paraId="28C3D88B">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774" w:type="pct"/>
            <w:vAlign w:val="center"/>
          </w:tcPr>
          <w:p w14:paraId="08BD1D28">
            <w:pPr>
              <w:pStyle w:val="37"/>
              <w:bidi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HW12/900-256-12</w:t>
            </w:r>
          </w:p>
        </w:tc>
        <w:tc>
          <w:tcPr>
            <w:tcW w:w="375" w:type="pct"/>
            <w:shd w:val="clear" w:color="auto" w:fill="auto"/>
            <w:vAlign w:val="center"/>
          </w:tcPr>
          <w:p w14:paraId="044EBEE2">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物料衡算</w:t>
            </w:r>
          </w:p>
        </w:tc>
        <w:tc>
          <w:tcPr>
            <w:tcW w:w="326" w:type="pct"/>
            <w:vAlign w:val="center"/>
          </w:tcPr>
          <w:p w14:paraId="162BA8DE">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3.5</w:t>
            </w:r>
          </w:p>
        </w:tc>
        <w:tc>
          <w:tcPr>
            <w:tcW w:w="815" w:type="pct"/>
            <w:shd w:val="clear" w:color="auto" w:fill="auto"/>
            <w:vAlign w:val="center"/>
          </w:tcPr>
          <w:p w14:paraId="4EE95917">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暂存危险废物贮存库，交有资质单位处置</w:t>
            </w:r>
          </w:p>
        </w:tc>
        <w:tc>
          <w:tcPr>
            <w:tcW w:w="396" w:type="pct"/>
            <w:shd w:val="clear" w:color="auto" w:fill="auto"/>
            <w:vAlign w:val="center"/>
          </w:tcPr>
          <w:p w14:paraId="0C131A7A">
            <w:pPr>
              <w:pStyle w:val="37"/>
              <w:bidi w:val="0"/>
              <w:ind w:firstLine="0" w:firstLineChars="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3.5</w:t>
            </w:r>
          </w:p>
        </w:tc>
        <w:tc>
          <w:tcPr>
            <w:tcW w:w="634" w:type="pct"/>
            <w:shd w:val="clear" w:color="auto" w:fill="auto"/>
            <w:vAlign w:val="center"/>
          </w:tcPr>
          <w:p w14:paraId="6519223A">
            <w:pPr>
              <w:pStyle w:val="37"/>
              <w:bidi w:val="0"/>
              <w:ind w:firstLine="0" w:firstLineChars="0"/>
              <w:rPr>
                <w:rFonts w:hint="default" w:ascii="Times New Roman" w:hAnsi="Times New Roman" w:cs="Times New Roman"/>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0D269D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14:paraId="32DA8D9D">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喷漆水帘喷漆循环水池</w:t>
            </w:r>
          </w:p>
        </w:tc>
        <w:tc>
          <w:tcPr>
            <w:tcW w:w="651" w:type="pct"/>
            <w:vAlign w:val="center"/>
          </w:tcPr>
          <w:p w14:paraId="7A655DC2">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水帘废水</w:t>
            </w:r>
          </w:p>
        </w:tc>
        <w:tc>
          <w:tcPr>
            <w:tcW w:w="635" w:type="pct"/>
            <w:shd w:val="clear" w:color="auto" w:fill="auto"/>
            <w:vAlign w:val="center"/>
          </w:tcPr>
          <w:p w14:paraId="6AE1F82D">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774" w:type="pct"/>
            <w:vAlign w:val="center"/>
          </w:tcPr>
          <w:p w14:paraId="33982E4E">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HW49/</w:t>
            </w:r>
            <w:r>
              <w:rPr>
                <w:rFonts w:hint="default" w:ascii="Times New Roman" w:hAnsi="Times New Roman" w:cs="Times New Roman"/>
                <w:color w:val="auto"/>
                <w:szCs w:val="21"/>
              </w:rPr>
              <w:t>900-042-49</w:t>
            </w:r>
          </w:p>
        </w:tc>
        <w:tc>
          <w:tcPr>
            <w:tcW w:w="375" w:type="pct"/>
            <w:shd w:val="clear" w:color="auto" w:fill="auto"/>
            <w:vAlign w:val="center"/>
          </w:tcPr>
          <w:p w14:paraId="35548299">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物料衡算</w:t>
            </w:r>
          </w:p>
        </w:tc>
        <w:tc>
          <w:tcPr>
            <w:tcW w:w="326" w:type="pct"/>
            <w:vAlign w:val="center"/>
          </w:tcPr>
          <w:p w14:paraId="56D61689">
            <w:pPr>
              <w:pStyle w:val="37"/>
              <w:bidi w:val="0"/>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lang w:val="en-US" w:eastAsia="zh-CN"/>
              </w:rPr>
              <w:t>400m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/a</w:t>
            </w:r>
          </w:p>
        </w:tc>
        <w:tc>
          <w:tcPr>
            <w:tcW w:w="815" w:type="pct"/>
            <w:shd w:val="clear" w:color="auto" w:fill="auto"/>
            <w:vAlign w:val="center"/>
          </w:tcPr>
          <w:p w14:paraId="203EF98A">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不暂存，由有资质单位上门清运</w:t>
            </w:r>
          </w:p>
        </w:tc>
        <w:tc>
          <w:tcPr>
            <w:tcW w:w="396" w:type="pct"/>
            <w:vAlign w:val="center"/>
          </w:tcPr>
          <w:p w14:paraId="13AF6294">
            <w:pPr>
              <w:pStyle w:val="37"/>
              <w:bidi w:val="0"/>
              <w:ind w:firstLine="0" w:firstLineChars="0"/>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lang w:val="en-US" w:eastAsia="zh-CN"/>
              </w:rPr>
              <w:t>400m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/a</w:t>
            </w:r>
          </w:p>
        </w:tc>
        <w:tc>
          <w:tcPr>
            <w:tcW w:w="634" w:type="pct"/>
            <w:shd w:val="clear" w:color="auto" w:fill="auto"/>
            <w:vAlign w:val="center"/>
          </w:tcPr>
          <w:p w14:paraId="4CCC3891">
            <w:pPr>
              <w:pStyle w:val="37"/>
              <w:bidi w:val="0"/>
              <w:ind w:firstLine="0" w:firstLineChars="0"/>
              <w:rPr>
                <w:rFonts w:hint="default" w:ascii="Times New Roman" w:hAnsi="Times New Roman" w:cs="Times New Roman"/>
                <w:color w:val="FF0000"/>
                <w:sz w:val="21"/>
                <w:szCs w:val="21"/>
                <w:highlight w:val="none"/>
                <w:lang w:val="en-US" w:eastAsia="zh-CN"/>
              </w:rPr>
            </w:pPr>
            <w:r>
              <w:rPr>
                <w:rFonts w:hint="eastAsia" w:ascii="Times New Roman" w:hAnsi="Times New Roman" w:cs="Times New Roman"/>
                <w:color w:val="auto"/>
                <w:sz w:val="21"/>
                <w:szCs w:val="21"/>
                <w:highlight w:val="none"/>
                <w:lang w:val="en-US" w:eastAsia="zh-CN"/>
              </w:rPr>
              <w:t>不暂存，由有资质单位上门清运</w:t>
            </w:r>
          </w:p>
        </w:tc>
      </w:tr>
      <w:tr w14:paraId="6DE45D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shd w:val="clear" w:color="auto" w:fill="auto"/>
            <w:vAlign w:val="center"/>
          </w:tcPr>
          <w:p w14:paraId="0A87FCB5">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废气净化</w:t>
            </w:r>
          </w:p>
        </w:tc>
        <w:tc>
          <w:tcPr>
            <w:tcW w:w="651" w:type="pct"/>
            <w:shd w:val="clear" w:color="auto" w:fill="auto"/>
            <w:vAlign w:val="center"/>
          </w:tcPr>
          <w:p w14:paraId="3A08DE0F">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废活性炭</w:t>
            </w:r>
          </w:p>
        </w:tc>
        <w:tc>
          <w:tcPr>
            <w:tcW w:w="635" w:type="pct"/>
            <w:shd w:val="clear" w:color="auto" w:fill="auto"/>
            <w:vAlign w:val="center"/>
          </w:tcPr>
          <w:p w14:paraId="5FD83904">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危险废物</w:t>
            </w:r>
          </w:p>
        </w:tc>
        <w:tc>
          <w:tcPr>
            <w:tcW w:w="774" w:type="pct"/>
            <w:shd w:val="clear" w:color="auto" w:fill="auto"/>
            <w:vAlign w:val="center"/>
          </w:tcPr>
          <w:p w14:paraId="13B23439">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HW49/900-039-49</w:t>
            </w:r>
          </w:p>
        </w:tc>
        <w:tc>
          <w:tcPr>
            <w:tcW w:w="375" w:type="pct"/>
            <w:shd w:val="clear" w:color="auto" w:fill="auto"/>
            <w:vAlign w:val="center"/>
          </w:tcPr>
          <w:p w14:paraId="4A3F734A">
            <w:pPr>
              <w:pStyle w:val="37"/>
              <w:bidi w:val="0"/>
              <w:ind w:firstLine="0" w:firstLineChars="0"/>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系数法</w:t>
            </w:r>
          </w:p>
        </w:tc>
        <w:tc>
          <w:tcPr>
            <w:tcW w:w="326" w:type="pct"/>
            <w:shd w:val="clear" w:color="auto" w:fill="auto"/>
            <w:vAlign w:val="center"/>
          </w:tcPr>
          <w:p w14:paraId="0CE29C79">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73.71</w:t>
            </w:r>
          </w:p>
        </w:tc>
        <w:tc>
          <w:tcPr>
            <w:tcW w:w="815" w:type="pct"/>
            <w:shd w:val="clear" w:color="auto" w:fill="auto"/>
            <w:vAlign w:val="center"/>
          </w:tcPr>
          <w:p w14:paraId="4E210A3E">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暂存危险废物贮存库，交有资质单位处置</w:t>
            </w:r>
          </w:p>
        </w:tc>
        <w:tc>
          <w:tcPr>
            <w:tcW w:w="396" w:type="pct"/>
            <w:vAlign w:val="center"/>
          </w:tcPr>
          <w:p w14:paraId="7482DE86">
            <w:pPr>
              <w:pStyle w:val="37"/>
              <w:bidi w:val="0"/>
              <w:ind w:firstLine="0" w:firstLineChars="0"/>
              <w:rPr>
                <w:rFonts w:hint="default" w:ascii="Times New Roman" w:hAnsi="Times New Roman" w:cs="Times New Roman"/>
                <w:color w:val="FF000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73.71</w:t>
            </w:r>
          </w:p>
        </w:tc>
        <w:tc>
          <w:tcPr>
            <w:tcW w:w="634" w:type="pct"/>
            <w:shd w:val="clear" w:color="auto" w:fill="auto"/>
            <w:vAlign w:val="center"/>
          </w:tcPr>
          <w:p w14:paraId="28C76BDF">
            <w:pPr>
              <w:pStyle w:val="37"/>
              <w:bidi w:val="0"/>
              <w:ind w:firstLine="0" w:firstLineChars="0"/>
              <w:rPr>
                <w:rFonts w:hint="default" w:ascii="Times New Roman" w:hAnsi="Times New Roman" w:cs="Times New Roman"/>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7E21F5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shd w:val="clear" w:color="auto" w:fill="auto"/>
            <w:vAlign w:val="center"/>
          </w:tcPr>
          <w:p w14:paraId="6F295C84">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固化</w:t>
            </w:r>
          </w:p>
        </w:tc>
        <w:tc>
          <w:tcPr>
            <w:tcW w:w="651" w:type="pct"/>
            <w:shd w:val="clear" w:color="auto" w:fill="auto"/>
            <w:vAlign w:val="center"/>
          </w:tcPr>
          <w:p w14:paraId="40122311">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废UV灯管</w:t>
            </w:r>
          </w:p>
        </w:tc>
        <w:tc>
          <w:tcPr>
            <w:tcW w:w="635" w:type="pct"/>
            <w:shd w:val="clear" w:color="auto" w:fill="auto"/>
            <w:vAlign w:val="center"/>
          </w:tcPr>
          <w:p w14:paraId="11CAC972">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危险废物</w:t>
            </w:r>
          </w:p>
        </w:tc>
        <w:tc>
          <w:tcPr>
            <w:tcW w:w="774" w:type="pct"/>
            <w:shd w:val="clear" w:color="auto" w:fill="auto"/>
            <w:vAlign w:val="center"/>
          </w:tcPr>
          <w:p w14:paraId="7BC1C08B">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en-US" w:bidi="ar-SA"/>
              </w:rPr>
            </w:pPr>
            <w:r>
              <w:rPr>
                <w:rFonts w:hint="eastAsia" w:ascii="Times New Roman" w:hAnsi="Times New Roman" w:eastAsia="宋体" w:cs="Times New Roman"/>
                <w:snapToGrid w:val="0"/>
                <w:color w:val="auto"/>
                <w:kern w:val="0"/>
                <w:sz w:val="21"/>
                <w:szCs w:val="21"/>
                <w:highlight w:val="none"/>
                <w:lang w:val="en-US" w:eastAsia="zh-CN" w:bidi="ar-SA"/>
              </w:rPr>
              <w:t>HW29/</w:t>
            </w:r>
            <w:r>
              <w:rPr>
                <w:rFonts w:hint="default" w:ascii="Times New Roman" w:hAnsi="Times New Roman" w:eastAsia="Arial" w:cs="Times New Roman"/>
                <w:snapToGrid w:val="0"/>
                <w:color w:val="auto"/>
                <w:kern w:val="0"/>
                <w:sz w:val="21"/>
                <w:szCs w:val="21"/>
                <w:highlight w:val="none"/>
                <w:lang w:val="en-US" w:eastAsia="en-US" w:bidi="ar-SA"/>
              </w:rPr>
              <w:t>900-023-29</w:t>
            </w:r>
          </w:p>
        </w:tc>
        <w:tc>
          <w:tcPr>
            <w:tcW w:w="375" w:type="pct"/>
            <w:shd w:val="clear" w:color="auto" w:fill="auto"/>
            <w:vAlign w:val="center"/>
          </w:tcPr>
          <w:p w14:paraId="77357DCA">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类比法</w:t>
            </w:r>
          </w:p>
        </w:tc>
        <w:tc>
          <w:tcPr>
            <w:tcW w:w="326" w:type="pct"/>
            <w:shd w:val="clear" w:color="auto" w:fill="auto"/>
            <w:vAlign w:val="center"/>
          </w:tcPr>
          <w:p w14:paraId="255CB60B">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0.01</w:t>
            </w:r>
          </w:p>
        </w:tc>
        <w:tc>
          <w:tcPr>
            <w:tcW w:w="815" w:type="pct"/>
            <w:shd w:val="clear" w:color="auto" w:fill="auto"/>
            <w:vAlign w:val="center"/>
          </w:tcPr>
          <w:p w14:paraId="1BD7F9CA">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暂存危险废物贮存库，交有资质单位处置</w:t>
            </w:r>
          </w:p>
        </w:tc>
        <w:tc>
          <w:tcPr>
            <w:tcW w:w="396" w:type="pct"/>
            <w:vAlign w:val="center"/>
          </w:tcPr>
          <w:p w14:paraId="5102478E">
            <w:pPr>
              <w:pStyle w:val="37"/>
              <w:bidi w:val="0"/>
              <w:ind w:firstLine="0" w:firstLineChars="0"/>
              <w:rPr>
                <w:rFonts w:hint="default" w:ascii="Times New Roman" w:hAnsi="Times New Roman" w:cs="Times New Roman"/>
                <w:color w:val="FF000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0.01</w:t>
            </w:r>
          </w:p>
        </w:tc>
        <w:tc>
          <w:tcPr>
            <w:tcW w:w="634" w:type="pct"/>
            <w:shd w:val="clear" w:color="auto" w:fill="auto"/>
            <w:vAlign w:val="center"/>
          </w:tcPr>
          <w:p w14:paraId="04F3AC9A">
            <w:pPr>
              <w:pStyle w:val="37"/>
              <w:bidi w:val="0"/>
              <w:ind w:firstLine="0" w:firstLineChars="0"/>
              <w:rPr>
                <w:rFonts w:hint="default" w:ascii="Times New Roman" w:hAnsi="Times New Roman" w:cs="Times New Roman"/>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0E5E18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restart"/>
            <w:shd w:val="clear" w:color="auto" w:fill="auto"/>
            <w:vAlign w:val="center"/>
          </w:tcPr>
          <w:p w14:paraId="48442931">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机修</w:t>
            </w:r>
          </w:p>
        </w:tc>
        <w:tc>
          <w:tcPr>
            <w:tcW w:w="651" w:type="pct"/>
            <w:shd w:val="clear" w:color="auto" w:fill="auto"/>
            <w:vAlign w:val="center"/>
          </w:tcPr>
          <w:p w14:paraId="57BF9977">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废润滑油</w:t>
            </w:r>
          </w:p>
        </w:tc>
        <w:tc>
          <w:tcPr>
            <w:tcW w:w="635" w:type="pct"/>
            <w:shd w:val="clear" w:color="auto" w:fill="auto"/>
            <w:vAlign w:val="center"/>
          </w:tcPr>
          <w:p w14:paraId="47949087">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危险废物</w:t>
            </w:r>
          </w:p>
        </w:tc>
        <w:tc>
          <w:tcPr>
            <w:tcW w:w="774" w:type="pct"/>
            <w:shd w:val="clear" w:color="auto" w:fill="auto"/>
            <w:vAlign w:val="center"/>
          </w:tcPr>
          <w:p w14:paraId="5939D644">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sz w:val="21"/>
                <w:szCs w:val="21"/>
                <w:highlight w:val="none"/>
              </w:rPr>
              <w:t>HW08/900-2</w:t>
            </w:r>
            <w:r>
              <w:rPr>
                <w:rFonts w:hint="default" w:ascii="Times New Roman" w:hAnsi="Times New Roman" w:cs="Times New Roman"/>
                <w:color w:val="auto"/>
                <w:sz w:val="21"/>
                <w:szCs w:val="21"/>
                <w:highlight w:val="none"/>
                <w:lang w:val="en-US" w:eastAsia="zh-CN"/>
              </w:rPr>
              <w:t>14</w:t>
            </w:r>
            <w:r>
              <w:rPr>
                <w:rFonts w:hint="default" w:ascii="Times New Roman" w:hAnsi="Times New Roman" w:cs="Times New Roman"/>
                <w:color w:val="auto"/>
                <w:sz w:val="21"/>
                <w:szCs w:val="21"/>
                <w:highlight w:val="none"/>
              </w:rPr>
              <w:t>-08</w:t>
            </w:r>
          </w:p>
        </w:tc>
        <w:tc>
          <w:tcPr>
            <w:tcW w:w="375" w:type="pct"/>
            <w:shd w:val="clear" w:color="auto" w:fill="auto"/>
            <w:vAlign w:val="center"/>
          </w:tcPr>
          <w:p w14:paraId="36437C72">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类比法</w:t>
            </w:r>
          </w:p>
        </w:tc>
        <w:tc>
          <w:tcPr>
            <w:tcW w:w="326" w:type="pct"/>
            <w:shd w:val="clear" w:color="auto" w:fill="auto"/>
            <w:vAlign w:val="center"/>
          </w:tcPr>
          <w:p w14:paraId="01EAFBA1">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0.5</w:t>
            </w:r>
          </w:p>
        </w:tc>
        <w:tc>
          <w:tcPr>
            <w:tcW w:w="815" w:type="pct"/>
            <w:shd w:val="clear" w:color="auto" w:fill="auto"/>
            <w:vAlign w:val="center"/>
          </w:tcPr>
          <w:p w14:paraId="1B904560">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暂存危险废物贮存库，交有资质单位处置</w:t>
            </w:r>
          </w:p>
        </w:tc>
        <w:tc>
          <w:tcPr>
            <w:tcW w:w="396" w:type="pct"/>
            <w:vAlign w:val="center"/>
          </w:tcPr>
          <w:p w14:paraId="3B9FB0DB">
            <w:pPr>
              <w:pStyle w:val="37"/>
              <w:bidi w:val="0"/>
              <w:ind w:firstLine="0" w:firstLineChars="0"/>
              <w:rPr>
                <w:rFonts w:hint="default" w:ascii="Times New Roman" w:hAnsi="Times New Roman" w:cs="Times New Roman"/>
                <w:color w:val="FF000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0.5</w:t>
            </w:r>
          </w:p>
        </w:tc>
        <w:tc>
          <w:tcPr>
            <w:tcW w:w="634" w:type="pct"/>
            <w:shd w:val="clear" w:color="auto" w:fill="auto"/>
            <w:vAlign w:val="center"/>
          </w:tcPr>
          <w:p w14:paraId="1B9919EF">
            <w:pPr>
              <w:pStyle w:val="37"/>
              <w:bidi w:val="0"/>
              <w:ind w:firstLine="0" w:firstLineChars="0"/>
              <w:rPr>
                <w:rFonts w:hint="default" w:ascii="Times New Roman" w:hAnsi="Times New Roman" w:cs="Times New Roman"/>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44F117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shd w:val="clear" w:color="auto" w:fill="auto"/>
            <w:vAlign w:val="center"/>
          </w:tcPr>
          <w:p w14:paraId="7B1A0A6F">
            <w:pPr>
              <w:pStyle w:val="37"/>
              <w:bidi w:val="0"/>
              <w:ind w:firstLine="0" w:firstLineChars="0"/>
              <w:rPr>
                <w:rFonts w:hint="default" w:ascii="Times New Roman" w:hAnsi="Times New Roman" w:cs="Times New Roman"/>
                <w:color w:val="auto"/>
                <w:sz w:val="21"/>
                <w:szCs w:val="21"/>
                <w:highlight w:val="none"/>
                <w:lang w:val="en-US" w:eastAsia="zh-CN"/>
              </w:rPr>
            </w:pPr>
          </w:p>
        </w:tc>
        <w:tc>
          <w:tcPr>
            <w:tcW w:w="651" w:type="pct"/>
            <w:shd w:val="clear" w:color="auto" w:fill="auto"/>
            <w:vAlign w:val="center"/>
          </w:tcPr>
          <w:p w14:paraId="4CAB227B">
            <w:pPr>
              <w:pStyle w:val="37"/>
              <w:bidi w:val="0"/>
              <w:ind w:firstLine="0" w:firstLineChars="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废润滑油桶</w:t>
            </w:r>
          </w:p>
        </w:tc>
        <w:tc>
          <w:tcPr>
            <w:tcW w:w="635" w:type="pct"/>
            <w:shd w:val="clear" w:color="auto" w:fill="auto"/>
            <w:vAlign w:val="center"/>
          </w:tcPr>
          <w:p w14:paraId="33CCD3BD">
            <w:pPr>
              <w:pStyle w:val="37"/>
              <w:bidi w:val="0"/>
              <w:ind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774" w:type="pct"/>
            <w:shd w:val="clear" w:color="auto" w:fill="auto"/>
            <w:vAlign w:val="center"/>
          </w:tcPr>
          <w:p w14:paraId="1E4158A4">
            <w:pPr>
              <w:pStyle w:val="37"/>
              <w:bidi w:val="0"/>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HW08/900-2</w:t>
            </w:r>
            <w:r>
              <w:rPr>
                <w:rFonts w:hint="eastAsia" w:ascii="Times New Roman" w:hAnsi="Times New Roman" w:cs="Times New Roman"/>
                <w:color w:val="auto"/>
                <w:sz w:val="21"/>
                <w:szCs w:val="21"/>
                <w:highlight w:val="none"/>
                <w:lang w:val="en-US" w:eastAsia="zh-CN"/>
              </w:rPr>
              <w:t>49</w:t>
            </w:r>
            <w:r>
              <w:rPr>
                <w:rFonts w:hint="default" w:ascii="Times New Roman" w:hAnsi="Times New Roman" w:cs="Times New Roman"/>
                <w:color w:val="auto"/>
                <w:sz w:val="21"/>
                <w:szCs w:val="21"/>
                <w:highlight w:val="none"/>
              </w:rPr>
              <w:t>-08</w:t>
            </w:r>
          </w:p>
        </w:tc>
        <w:tc>
          <w:tcPr>
            <w:tcW w:w="375" w:type="pct"/>
            <w:shd w:val="clear" w:color="auto" w:fill="auto"/>
            <w:vAlign w:val="center"/>
          </w:tcPr>
          <w:p w14:paraId="294FC7FD">
            <w:pPr>
              <w:pStyle w:val="37"/>
              <w:bidi w:val="0"/>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物料衡算</w:t>
            </w:r>
          </w:p>
        </w:tc>
        <w:tc>
          <w:tcPr>
            <w:tcW w:w="326" w:type="pct"/>
            <w:shd w:val="clear" w:color="auto" w:fill="auto"/>
            <w:vAlign w:val="center"/>
          </w:tcPr>
          <w:p w14:paraId="34E60684">
            <w:pPr>
              <w:pStyle w:val="37"/>
              <w:bidi w:val="0"/>
              <w:ind w:firstLine="0" w:firstLineChars="0"/>
              <w:rPr>
                <w:rFonts w:hint="default" w:ascii="Times New Roman" w:hAnsi="Times New Roman"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0.1</w:t>
            </w:r>
          </w:p>
        </w:tc>
        <w:tc>
          <w:tcPr>
            <w:tcW w:w="815" w:type="pct"/>
            <w:shd w:val="clear" w:color="auto" w:fill="auto"/>
            <w:vAlign w:val="center"/>
          </w:tcPr>
          <w:p w14:paraId="1A3E1DFE">
            <w:pPr>
              <w:pStyle w:val="37"/>
              <w:bidi w:val="0"/>
              <w:ind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暂存危险废物贮存库，交有资质单位处置</w:t>
            </w:r>
          </w:p>
        </w:tc>
        <w:tc>
          <w:tcPr>
            <w:tcW w:w="396" w:type="pct"/>
            <w:vAlign w:val="center"/>
          </w:tcPr>
          <w:p w14:paraId="1186F367">
            <w:pPr>
              <w:pStyle w:val="37"/>
              <w:bidi w:val="0"/>
              <w:ind w:firstLine="0" w:firstLineChars="0"/>
              <w:rPr>
                <w:rFonts w:hint="default" w:ascii="Times New Roman" w:hAnsi="Times New Roman"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0.1</w:t>
            </w:r>
          </w:p>
        </w:tc>
        <w:tc>
          <w:tcPr>
            <w:tcW w:w="634" w:type="pct"/>
            <w:shd w:val="clear" w:color="auto" w:fill="auto"/>
            <w:vAlign w:val="center"/>
          </w:tcPr>
          <w:p w14:paraId="4019447E">
            <w:pPr>
              <w:pStyle w:val="37"/>
              <w:bidi w:val="0"/>
              <w:ind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13D87F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14:paraId="198C7FFB">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机械保养</w:t>
            </w:r>
            <w:r>
              <w:rPr>
                <w:rFonts w:hint="eastAsia" w:ascii="Times New Roman" w:hAnsi="Times New Roman" w:cs="Times New Roman"/>
                <w:color w:val="auto"/>
                <w:sz w:val="21"/>
                <w:szCs w:val="21"/>
                <w:highlight w:val="none"/>
                <w:lang w:val="en-US" w:eastAsia="zh-CN"/>
              </w:rPr>
              <w:t>和维修</w:t>
            </w:r>
          </w:p>
        </w:tc>
        <w:tc>
          <w:tcPr>
            <w:tcW w:w="651" w:type="pct"/>
            <w:vAlign w:val="center"/>
          </w:tcPr>
          <w:p w14:paraId="6C1C5522">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废含油手套及抹布</w:t>
            </w:r>
          </w:p>
        </w:tc>
        <w:tc>
          <w:tcPr>
            <w:tcW w:w="635" w:type="pct"/>
            <w:shd w:val="clear" w:color="auto" w:fill="auto"/>
            <w:vAlign w:val="center"/>
          </w:tcPr>
          <w:p w14:paraId="71ADF277">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危险废物</w:t>
            </w:r>
          </w:p>
        </w:tc>
        <w:tc>
          <w:tcPr>
            <w:tcW w:w="774" w:type="pct"/>
            <w:shd w:val="clear" w:color="auto" w:fill="auto"/>
            <w:vAlign w:val="center"/>
          </w:tcPr>
          <w:p w14:paraId="20928EBF">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rPr>
              <w:t>HW49/900-041-49</w:t>
            </w:r>
          </w:p>
        </w:tc>
        <w:tc>
          <w:tcPr>
            <w:tcW w:w="375" w:type="pct"/>
            <w:shd w:val="clear" w:color="auto" w:fill="auto"/>
            <w:vAlign w:val="center"/>
          </w:tcPr>
          <w:p w14:paraId="79A3C487">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rPr>
              <w:t>类比法</w:t>
            </w:r>
          </w:p>
        </w:tc>
        <w:tc>
          <w:tcPr>
            <w:tcW w:w="326" w:type="pct"/>
            <w:vAlign w:val="center"/>
          </w:tcPr>
          <w:p w14:paraId="4A35CE47">
            <w:pPr>
              <w:pStyle w:val="37"/>
              <w:bidi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0.02</w:t>
            </w:r>
          </w:p>
        </w:tc>
        <w:tc>
          <w:tcPr>
            <w:tcW w:w="815" w:type="pct"/>
            <w:shd w:val="clear" w:color="auto" w:fill="auto"/>
            <w:vAlign w:val="center"/>
          </w:tcPr>
          <w:p w14:paraId="2E267DCF">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暂存危险废物贮存库，交有资质单位处置</w:t>
            </w:r>
          </w:p>
        </w:tc>
        <w:tc>
          <w:tcPr>
            <w:tcW w:w="396" w:type="pct"/>
            <w:shd w:val="clear" w:color="auto" w:fill="auto"/>
            <w:vAlign w:val="center"/>
          </w:tcPr>
          <w:p w14:paraId="50FE97BD">
            <w:pPr>
              <w:pStyle w:val="37"/>
              <w:bidi w:val="0"/>
              <w:ind w:firstLine="0" w:firstLineChars="0"/>
              <w:rPr>
                <w:rFonts w:hint="default" w:ascii="Times New Roman" w:hAnsi="Times New Roman" w:cs="Times New Roman"/>
                <w:color w:val="FF0000"/>
                <w:sz w:val="21"/>
                <w:szCs w:val="21"/>
                <w:highlight w:val="none"/>
                <w:lang w:val="en-US" w:eastAsia="zh-CN"/>
              </w:rPr>
            </w:pPr>
            <w:r>
              <w:rPr>
                <w:rFonts w:hint="eastAsia" w:ascii="Times New Roman" w:hAnsi="Times New Roman" w:cs="Times New Roman"/>
                <w:color w:val="auto"/>
                <w:sz w:val="21"/>
                <w:szCs w:val="21"/>
                <w:highlight w:val="none"/>
                <w:lang w:val="en-US" w:eastAsia="zh-CN"/>
              </w:rPr>
              <w:t>0.02</w:t>
            </w:r>
          </w:p>
        </w:tc>
        <w:tc>
          <w:tcPr>
            <w:tcW w:w="634" w:type="pct"/>
            <w:shd w:val="clear" w:color="auto" w:fill="auto"/>
            <w:vAlign w:val="center"/>
          </w:tcPr>
          <w:p w14:paraId="4B19EDE6">
            <w:pPr>
              <w:pStyle w:val="37"/>
              <w:bidi w:val="0"/>
              <w:ind w:firstLine="0" w:firstLineChars="0"/>
              <w:rPr>
                <w:rFonts w:hint="default" w:ascii="Times New Roman" w:hAnsi="Times New Roman" w:cs="Times New Roman"/>
                <w:color w:val="FF0000"/>
                <w:sz w:val="21"/>
                <w:szCs w:val="21"/>
                <w:highlight w:val="none"/>
                <w:lang w:val="en-US" w:eastAsia="zh-CN"/>
              </w:rPr>
            </w:pPr>
            <w:r>
              <w:rPr>
                <w:rFonts w:hint="default" w:ascii="Times New Roman" w:hAnsi="Times New Roman" w:cs="Times New Roman"/>
                <w:color w:val="auto"/>
                <w:sz w:val="21"/>
                <w:szCs w:val="21"/>
                <w:highlight w:val="none"/>
                <w:lang w:val="en-US" w:eastAsia="zh-CN"/>
              </w:rPr>
              <w:t>暂存危险废物贮存库，交有资质单位处置</w:t>
            </w:r>
          </w:p>
        </w:tc>
      </w:tr>
    </w:tbl>
    <w:p w14:paraId="448A9B80">
      <w:pPr>
        <w:pStyle w:val="80"/>
        <w:numPr>
          <w:ilvl w:val="0"/>
          <w:numId w:val="0"/>
        </w:numPr>
        <w:spacing w:before="0" w:after="0" w:line="240" w:lineRule="auto"/>
        <w:ind w:leftChars="0"/>
        <w:jc w:val="center"/>
        <w:rPr>
          <w:rFonts w:hint="default" w:ascii="Times New Roman" w:hAnsi="Times New Roman" w:eastAsia="宋体" w:cs="Times New Roman"/>
          <w:b/>
          <w:bCs/>
          <w:snapToGrid w:val="0"/>
          <w:color w:val="auto"/>
          <w:kern w:val="0"/>
          <w:sz w:val="24"/>
          <w:szCs w:val="24"/>
          <w:lang w:val="en-US" w:eastAsia="zh-CN" w:bidi="ar"/>
        </w:rPr>
      </w:pPr>
      <w:r>
        <w:rPr>
          <w:rFonts w:hint="eastAsia" w:ascii="Times New Roman" w:hAnsi="Times New Roman" w:eastAsia="宋体" w:cs="Times New Roman"/>
          <w:b/>
          <w:bCs/>
          <w:snapToGrid w:val="0"/>
          <w:color w:val="auto"/>
          <w:kern w:val="0"/>
          <w:sz w:val="24"/>
          <w:szCs w:val="24"/>
          <w:lang w:val="en-US" w:eastAsia="zh-CN" w:bidi="ar"/>
        </w:rPr>
        <w:t xml:space="preserve">表3.3-7  </w:t>
      </w:r>
      <w:r>
        <w:rPr>
          <w:rFonts w:hint="default" w:ascii="Times New Roman" w:hAnsi="Times New Roman" w:eastAsia="宋体" w:cs="Times New Roman"/>
          <w:b/>
          <w:bCs/>
          <w:snapToGrid w:val="0"/>
          <w:color w:val="auto"/>
          <w:kern w:val="0"/>
          <w:sz w:val="24"/>
          <w:szCs w:val="24"/>
          <w:lang w:val="en-US" w:eastAsia="zh-CN" w:bidi="ar"/>
        </w:rPr>
        <w:t>本项目危险废物汇总表</w:t>
      </w:r>
    </w:p>
    <w:tbl>
      <w:tblPr>
        <w:tblStyle w:val="22"/>
        <w:tblW w:w="5121"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555"/>
        <w:gridCol w:w="1522"/>
        <w:gridCol w:w="850"/>
        <w:gridCol w:w="1405"/>
        <w:gridCol w:w="993"/>
        <w:gridCol w:w="1082"/>
        <w:gridCol w:w="790"/>
        <w:gridCol w:w="1614"/>
        <w:gridCol w:w="1405"/>
        <w:gridCol w:w="990"/>
        <w:gridCol w:w="861"/>
        <w:gridCol w:w="2229"/>
      </w:tblGrid>
      <w:tr w14:paraId="1045B9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blHeader/>
          <w:jc w:val="center"/>
        </w:trPr>
        <w:tc>
          <w:tcPr>
            <w:tcW w:w="194" w:type="pct"/>
            <w:tcBorders>
              <w:tl2br w:val="nil"/>
              <w:tr2bl w:val="nil"/>
            </w:tcBorders>
            <w:vAlign w:val="center"/>
          </w:tcPr>
          <w:p w14:paraId="08423026">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序号</w:t>
            </w:r>
          </w:p>
        </w:tc>
        <w:tc>
          <w:tcPr>
            <w:tcW w:w="532" w:type="pct"/>
            <w:tcBorders>
              <w:tl2br w:val="nil"/>
              <w:tr2bl w:val="nil"/>
            </w:tcBorders>
            <w:vAlign w:val="center"/>
          </w:tcPr>
          <w:p w14:paraId="3E202785">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危险废物名称</w:t>
            </w:r>
          </w:p>
        </w:tc>
        <w:tc>
          <w:tcPr>
            <w:tcW w:w="297" w:type="pct"/>
            <w:tcBorders>
              <w:tl2br w:val="nil"/>
              <w:tr2bl w:val="nil"/>
            </w:tcBorders>
            <w:vAlign w:val="center"/>
          </w:tcPr>
          <w:p w14:paraId="052969DF">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危险废物类别</w:t>
            </w:r>
          </w:p>
        </w:tc>
        <w:tc>
          <w:tcPr>
            <w:tcW w:w="491" w:type="pct"/>
            <w:tcBorders>
              <w:tl2br w:val="nil"/>
              <w:tr2bl w:val="nil"/>
            </w:tcBorders>
            <w:vAlign w:val="center"/>
          </w:tcPr>
          <w:p w14:paraId="2085048B">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危险废物代码</w:t>
            </w:r>
          </w:p>
        </w:tc>
        <w:tc>
          <w:tcPr>
            <w:tcW w:w="347" w:type="pct"/>
            <w:tcBorders>
              <w:tl2br w:val="nil"/>
              <w:tr2bl w:val="nil"/>
            </w:tcBorders>
            <w:vAlign w:val="center"/>
          </w:tcPr>
          <w:p w14:paraId="26659012">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产生量（吨/年）</w:t>
            </w:r>
          </w:p>
        </w:tc>
        <w:tc>
          <w:tcPr>
            <w:tcW w:w="378" w:type="pct"/>
            <w:tcBorders>
              <w:tl2br w:val="nil"/>
              <w:tr2bl w:val="nil"/>
            </w:tcBorders>
            <w:vAlign w:val="center"/>
          </w:tcPr>
          <w:p w14:paraId="51B14E65">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产生工序及装置</w:t>
            </w:r>
          </w:p>
        </w:tc>
        <w:tc>
          <w:tcPr>
            <w:tcW w:w="276" w:type="pct"/>
            <w:tcBorders>
              <w:tl2br w:val="nil"/>
              <w:tr2bl w:val="nil"/>
            </w:tcBorders>
            <w:vAlign w:val="center"/>
          </w:tcPr>
          <w:p w14:paraId="386E456B">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形态</w:t>
            </w:r>
          </w:p>
        </w:tc>
        <w:tc>
          <w:tcPr>
            <w:tcW w:w="564" w:type="pct"/>
            <w:tcBorders>
              <w:tl2br w:val="nil"/>
              <w:tr2bl w:val="nil"/>
            </w:tcBorders>
            <w:vAlign w:val="center"/>
          </w:tcPr>
          <w:p w14:paraId="2F7F6287">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主要成分</w:t>
            </w:r>
          </w:p>
        </w:tc>
        <w:tc>
          <w:tcPr>
            <w:tcW w:w="491" w:type="pct"/>
            <w:tcBorders>
              <w:tl2br w:val="nil"/>
              <w:tr2bl w:val="nil"/>
            </w:tcBorders>
            <w:vAlign w:val="center"/>
          </w:tcPr>
          <w:p w14:paraId="38D003EA">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有害成分</w:t>
            </w:r>
          </w:p>
        </w:tc>
        <w:tc>
          <w:tcPr>
            <w:tcW w:w="346" w:type="pct"/>
            <w:tcBorders>
              <w:tl2br w:val="nil"/>
              <w:tr2bl w:val="nil"/>
            </w:tcBorders>
            <w:vAlign w:val="center"/>
          </w:tcPr>
          <w:p w14:paraId="4AF16FDD">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产废周期</w:t>
            </w:r>
          </w:p>
        </w:tc>
        <w:tc>
          <w:tcPr>
            <w:tcW w:w="301" w:type="pct"/>
            <w:tcBorders>
              <w:tl2br w:val="nil"/>
              <w:tr2bl w:val="nil"/>
            </w:tcBorders>
            <w:vAlign w:val="center"/>
          </w:tcPr>
          <w:p w14:paraId="243712A8">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危险特性</w:t>
            </w:r>
          </w:p>
        </w:tc>
        <w:tc>
          <w:tcPr>
            <w:tcW w:w="779" w:type="pct"/>
            <w:tcBorders>
              <w:tl2br w:val="nil"/>
              <w:tr2bl w:val="nil"/>
            </w:tcBorders>
            <w:vAlign w:val="center"/>
          </w:tcPr>
          <w:p w14:paraId="2734F364">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污染防治措施</w:t>
            </w:r>
          </w:p>
        </w:tc>
      </w:tr>
      <w:tr w14:paraId="6EF59F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194" w:type="pct"/>
            <w:tcBorders>
              <w:tl2br w:val="nil"/>
              <w:tr2bl w:val="nil"/>
            </w:tcBorders>
            <w:vAlign w:val="center"/>
          </w:tcPr>
          <w:p w14:paraId="5CBEC6C8">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1</w:t>
            </w:r>
          </w:p>
        </w:tc>
        <w:tc>
          <w:tcPr>
            <w:tcW w:w="532" w:type="pct"/>
            <w:tcBorders>
              <w:tl2br w:val="nil"/>
              <w:tr2bl w:val="nil"/>
            </w:tcBorders>
            <w:vAlign w:val="center"/>
          </w:tcPr>
          <w:p w14:paraId="3E67CCD5">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除尘器收集粉尘</w:t>
            </w:r>
          </w:p>
        </w:tc>
        <w:tc>
          <w:tcPr>
            <w:tcW w:w="297" w:type="pct"/>
            <w:tcBorders>
              <w:tl2br w:val="nil"/>
              <w:tr2bl w:val="nil"/>
            </w:tcBorders>
            <w:vAlign w:val="center"/>
          </w:tcPr>
          <w:p w14:paraId="043F4722">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HW12</w:t>
            </w:r>
          </w:p>
        </w:tc>
        <w:tc>
          <w:tcPr>
            <w:tcW w:w="491" w:type="pct"/>
            <w:tcBorders>
              <w:tl2br w:val="nil"/>
              <w:tr2bl w:val="nil"/>
            </w:tcBorders>
            <w:vAlign w:val="center"/>
          </w:tcPr>
          <w:p w14:paraId="76706960">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900-252-12</w:t>
            </w:r>
          </w:p>
        </w:tc>
        <w:tc>
          <w:tcPr>
            <w:tcW w:w="347" w:type="pct"/>
            <w:tcBorders>
              <w:tl2br w:val="nil"/>
              <w:tr2bl w:val="nil"/>
            </w:tcBorders>
            <w:vAlign w:val="center"/>
          </w:tcPr>
          <w:p w14:paraId="437FA4D4">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cs="Times New Roman"/>
                <w:color w:val="auto"/>
                <w:sz w:val="21"/>
                <w:szCs w:val="21"/>
                <w:highlight w:val="none"/>
                <w:lang w:val="en-US" w:eastAsia="zh-CN"/>
              </w:rPr>
              <w:t>2.319</w:t>
            </w:r>
          </w:p>
        </w:tc>
        <w:tc>
          <w:tcPr>
            <w:tcW w:w="378" w:type="pct"/>
            <w:tcBorders>
              <w:tl2br w:val="nil"/>
              <w:tr2bl w:val="nil"/>
            </w:tcBorders>
            <w:vAlign w:val="center"/>
          </w:tcPr>
          <w:p w14:paraId="74E580D5">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打磨、抛光</w:t>
            </w:r>
          </w:p>
        </w:tc>
        <w:tc>
          <w:tcPr>
            <w:tcW w:w="276" w:type="pct"/>
            <w:tcBorders>
              <w:tl2br w:val="nil"/>
              <w:tr2bl w:val="nil"/>
            </w:tcBorders>
            <w:vAlign w:val="center"/>
          </w:tcPr>
          <w:p w14:paraId="5B4E6266">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固态</w:t>
            </w:r>
          </w:p>
        </w:tc>
        <w:tc>
          <w:tcPr>
            <w:tcW w:w="564" w:type="pct"/>
            <w:tcBorders>
              <w:tl2br w:val="nil"/>
              <w:tr2bl w:val="nil"/>
            </w:tcBorders>
            <w:vAlign w:val="center"/>
          </w:tcPr>
          <w:p w14:paraId="5B1699F0">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漆渣</w:t>
            </w:r>
          </w:p>
        </w:tc>
        <w:tc>
          <w:tcPr>
            <w:tcW w:w="491" w:type="pct"/>
            <w:tcBorders>
              <w:tl2br w:val="nil"/>
              <w:tr2bl w:val="nil"/>
            </w:tcBorders>
            <w:vAlign w:val="center"/>
          </w:tcPr>
          <w:p w14:paraId="034FCDFC">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漆渣</w:t>
            </w:r>
          </w:p>
        </w:tc>
        <w:tc>
          <w:tcPr>
            <w:tcW w:w="346" w:type="pct"/>
            <w:tcBorders>
              <w:tl2br w:val="nil"/>
              <w:tr2bl w:val="nil"/>
            </w:tcBorders>
            <w:vAlign w:val="center"/>
          </w:tcPr>
          <w:p w14:paraId="119DEA35">
            <w:pPr>
              <w:spacing w:line="240" w:lineRule="auto"/>
              <w:ind w:left="22" w:right="22"/>
              <w:jc w:val="center"/>
              <w:rPr>
                <w:rFonts w:hint="default" w:ascii="Times New Roman" w:hAnsi="Times New Roman" w:cs="Times New Roman"/>
                <w:color w:val="auto"/>
              </w:rPr>
            </w:pPr>
            <w:r>
              <w:rPr>
                <w:rFonts w:hint="default" w:ascii="Times New Roman" w:hAnsi="Times New Roman" w:cs="Times New Roman"/>
                <w:color w:val="auto"/>
              </w:rPr>
              <w:t>间歇</w:t>
            </w:r>
          </w:p>
        </w:tc>
        <w:tc>
          <w:tcPr>
            <w:tcW w:w="301" w:type="pct"/>
            <w:tcBorders>
              <w:tl2br w:val="nil"/>
              <w:tr2bl w:val="nil"/>
            </w:tcBorders>
            <w:vAlign w:val="center"/>
          </w:tcPr>
          <w:p w14:paraId="5A0339BC">
            <w:pPr>
              <w:pStyle w:val="83"/>
              <w:spacing w:line="240" w:lineRule="auto"/>
              <w:ind w:left="22" w:right="22"/>
              <w:rPr>
                <w:rFonts w:hint="default" w:ascii="Times New Roman" w:hAnsi="Times New Roman" w:eastAsia="宋体" w:cs="Times New Roman"/>
                <w:color w:val="auto"/>
                <w:lang w:val="en-US" w:eastAsia="zh-CN"/>
              </w:rPr>
            </w:pPr>
            <w:r>
              <w:rPr>
                <w:rFonts w:hint="default" w:ascii="Times New Roman" w:hAnsi="Times New Roman" w:cs="Times New Roman"/>
                <w:color w:val="auto"/>
              </w:rPr>
              <w:t>毒性、易燃性</w:t>
            </w:r>
          </w:p>
        </w:tc>
        <w:tc>
          <w:tcPr>
            <w:tcW w:w="779" w:type="pct"/>
            <w:tcBorders>
              <w:tl2br w:val="nil"/>
              <w:tr2bl w:val="nil"/>
            </w:tcBorders>
            <w:vAlign w:val="center"/>
          </w:tcPr>
          <w:p w14:paraId="250AD092">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委托有资质单位处置</w:t>
            </w:r>
          </w:p>
        </w:tc>
      </w:tr>
      <w:tr w14:paraId="661731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194" w:type="pct"/>
            <w:tcBorders>
              <w:tl2br w:val="nil"/>
              <w:tr2bl w:val="nil"/>
            </w:tcBorders>
            <w:shd w:val="clear" w:color="auto" w:fill="auto"/>
            <w:vAlign w:val="center"/>
          </w:tcPr>
          <w:p w14:paraId="21BBDBA6">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2</w:t>
            </w:r>
          </w:p>
        </w:tc>
        <w:tc>
          <w:tcPr>
            <w:tcW w:w="532" w:type="pct"/>
            <w:tcBorders>
              <w:tl2br w:val="nil"/>
              <w:tr2bl w:val="nil"/>
            </w:tcBorders>
            <w:vAlign w:val="center"/>
          </w:tcPr>
          <w:p w14:paraId="5CC7B80A">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废布袋</w:t>
            </w:r>
          </w:p>
        </w:tc>
        <w:tc>
          <w:tcPr>
            <w:tcW w:w="297" w:type="pct"/>
            <w:tcBorders>
              <w:tl2br w:val="nil"/>
              <w:tr2bl w:val="nil"/>
            </w:tcBorders>
            <w:vAlign w:val="center"/>
          </w:tcPr>
          <w:p w14:paraId="27225D99">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sz w:val="21"/>
                <w:szCs w:val="21"/>
                <w:highlight w:val="none"/>
              </w:rPr>
              <w:t>HW49</w:t>
            </w:r>
          </w:p>
        </w:tc>
        <w:tc>
          <w:tcPr>
            <w:tcW w:w="491" w:type="pct"/>
            <w:tcBorders>
              <w:tl2br w:val="nil"/>
              <w:tr2bl w:val="nil"/>
            </w:tcBorders>
            <w:vAlign w:val="center"/>
          </w:tcPr>
          <w:p w14:paraId="5D1B918C">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szCs w:val="21"/>
              </w:rPr>
              <w:t>900-042-49</w:t>
            </w:r>
          </w:p>
        </w:tc>
        <w:tc>
          <w:tcPr>
            <w:tcW w:w="347" w:type="pct"/>
            <w:tcBorders>
              <w:tl2br w:val="nil"/>
              <w:tr2bl w:val="nil"/>
            </w:tcBorders>
            <w:vAlign w:val="center"/>
          </w:tcPr>
          <w:p w14:paraId="08DEB1A0">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0.2</w:t>
            </w:r>
          </w:p>
        </w:tc>
        <w:tc>
          <w:tcPr>
            <w:tcW w:w="378" w:type="pct"/>
            <w:tcBorders>
              <w:tl2br w:val="nil"/>
              <w:tr2bl w:val="nil"/>
            </w:tcBorders>
            <w:vAlign w:val="center"/>
          </w:tcPr>
          <w:p w14:paraId="2E5C6E97">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打磨、抛光</w:t>
            </w:r>
          </w:p>
        </w:tc>
        <w:tc>
          <w:tcPr>
            <w:tcW w:w="276" w:type="pct"/>
            <w:tcBorders>
              <w:tl2br w:val="nil"/>
              <w:tr2bl w:val="nil"/>
            </w:tcBorders>
            <w:vAlign w:val="center"/>
          </w:tcPr>
          <w:p w14:paraId="047AB69D">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固态</w:t>
            </w:r>
          </w:p>
        </w:tc>
        <w:tc>
          <w:tcPr>
            <w:tcW w:w="564" w:type="pct"/>
            <w:tcBorders>
              <w:tl2br w:val="nil"/>
              <w:tr2bl w:val="nil"/>
            </w:tcBorders>
            <w:vAlign w:val="center"/>
          </w:tcPr>
          <w:p w14:paraId="4160139D">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漆渣</w:t>
            </w:r>
          </w:p>
        </w:tc>
        <w:tc>
          <w:tcPr>
            <w:tcW w:w="491" w:type="pct"/>
            <w:tcBorders>
              <w:tl2br w:val="nil"/>
              <w:tr2bl w:val="nil"/>
            </w:tcBorders>
            <w:vAlign w:val="center"/>
          </w:tcPr>
          <w:p w14:paraId="2702185E">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漆渣</w:t>
            </w:r>
          </w:p>
        </w:tc>
        <w:tc>
          <w:tcPr>
            <w:tcW w:w="346" w:type="pct"/>
            <w:tcBorders>
              <w:tl2br w:val="nil"/>
              <w:tr2bl w:val="nil"/>
            </w:tcBorders>
            <w:vAlign w:val="center"/>
          </w:tcPr>
          <w:p w14:paraId="73F9893F">
            <w:pPr>
              <w:spacing w:line="240" w:lineRule="auto"/>
              <w:ind w:left="22" w:right="22"/>
              <w:jc w:val="center"/>
              <w:rPr>
                <w:rFonts w:hint="default" w:ascii="Times New Roman" w:hAnsi="Times New Roman" w:cs="Times New Roman"/>
                <w:color w:val="auto"/>
              </w:rPr>
            </w:pPr>
            <w:r>
              <w:rPr>
                <w:rFonts w:hint="default" w:ascii="Times New Roman" w:hAnsi="Times New Roman" w:cs="Times New Roman"/>
                <w:color w:val="auto"/>
              </w:rPr>
              <w:t>间歇</w:t>
            </w:r>
          </w:p>
        </w:tc>
        <w:tc>
          <w:tcPr>
            <w:tcW w:w="301" w:type="pct"/>
            <w:tcBorders>
              <w:tl2br w:val="nil"/>
              <w:tr2bl w:val="nil"/>
            </w:tcBorders>
            <w:vAlign w:val="center"/>
          </w:tcPr>
          <w:p w14:paraId="397C5079">
            <w:pPr>
              <w:pStyle w:val="83"/>
              <w:spacing w:line="240" w:lineRule="auto"/>
              <w:ind w:left="22" w:right="22"/>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毒性、腐蚀性、易燃性、反应性</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感染性</w:t>
            </w:r>
          </w:p>
        </w:tc>
        <w:tc>
          <w:tcPr>
            <w:tcW w:w="779" w:type="pct"/>
            <w:tcBorders>
              <w:tl2br w:val="nil"/>
              <w:tr2bl w:val="nil"/>
            </w:tcBorders>
            <w:vAlign w:val="center"/>
          </w:tcPr>
          <w:p w14:paraId="196A7DF1">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委托有资质单位处置</w:t>
            </w:r>
          </w:p>
        </w:tc>
      </w:tr>
      <w:tr w14:paraId="48718BF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194" w:type="pct"/>
            <w:tcBorders>
              <w:tl2br w:val="nil"/>
              <w:tr2bl w:val="nil"/>
            </w:tcBorders>
            <w:shd w:val="clear" w:color="auto" w:fill="auto"/>
            <w:vAlign w:val="center"/>
          </w:tcPr>
          <w:p w14:paraId="65388CC7">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3</w:t>
            </w:r>
          </w:p>
        </w:tc>
        <w:tc>
          <w:tcPr>
            <w:tcW w:w="532" w:type="pct"/>
            <w:tcBorders>
              <w:tl2br w:val="nil"/>
              <w:tr2bl w:val="nil"/>
            </w:tcBorders>
            <w:shd w:val="clear" w:color="auto" w:fill="auto"/>
            <w:vAlign w:val="center"/>
          </w:tcPr>
          <w:p w14:paraId="653E1A03">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lang w:val="en-US" w:eastAsia="zh-CN"/>
              </w:rPr>
              <w:t>废包装桶（油漆、稀释剂、固化剂、油墨）</w:t>
            </w:r>
          </w:p>
        </w:tc>
        <w:tc>
          <w:tcPr>
            <w:tcW w:w="297" w:type="pct"/>
            <w:tcBorders>
              <w:tl2br w:val="nil"/>
              <w:tr2bl w:val="nil"/>
            </w:tcBorders>
            <w:shd w:val="clear" w:color="auto" w:fill="auto"/>
            <w:vAlign w:val="center"/>
          </w:tcPr>
          <w:p w14:paraId="04783DE7">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HW49</w:t>
            </w:r>
          </w:p>
        </w:tc>
        <w:tc>
          <w:tcPr>
            <w:tcW w:w="491" w:type="pct"/>
            <w:tcBorders>
              <w:tl2br w:val="nil"/>
              <w:tr2bl w:val="nil"/>
            </w:tcBorders>
            <w:shd w:val="clear" w:color="auto" w:fill="auto"/>
            <w:vAlign w:val="center"/>
          </w:tcPr>
          <w:p w14:paraId="52B3D173">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900-041-49</w:t>
            </w:r>
          </w:p>
        </w:tc>
        <w:tc>
          <w:tcPr>
            <w:tcW w:w="347" w:type="pct"/>
            <w:tcBorders>
              <w:tl2br w:val="nil"/>
              <w:tr2bl w:val="nil"/>
            </w:tcBorders>
            <w:shd w:val="clear" w:color="auto" w:fill="auto"/>
            <w:vAlign w:val="center"/>
          </w:tcPr>
          <w:p w14:paraId="3F94387A">
            <w:pPr>
              <w:pStyle w:val="83"/>
              <w:spacing w:line="240" w:lineRule="auto"/>
              <w:ind w:left="19" w:leftChars="9" w:right="19" w:rightChars="9" w:firstLine="0" w:firstLineChars="0"/>
              <w:rPr>
                <w:rFonts w:hint="default" w:ascii="Times New Roman" w:hAnsi="Times New Roman" w:eastAsia="宋体" w:cs="Times New Roman"/>
                <w:snapToGrid w:val="0"/>
                <w:color w:val="auto"/>
                <w:kern w:val="0"/>
                <w:sz w:val="21"/>
                <w:szCs w:val="20"/>
                <w:lang w:val="en-US" w:eastAsia="zh-CN" w:bidi="ar-SA"/>
              </w:rPr>
            </w:pPr>
            <w:r>
              <w:rPr>
                <w:rFonts w:hint="eastAsia" w:ascii="Times New Roman" w:hAnsi="Times New Roman" w:eastAsia="宋体" w:cs="Times New Roman"/>
                <w:color w:val="auto"/>
                <w:lang w:val="en-US" w:eastAsia="zh-CN"/>
              </w:rPr>
              <w:t>25</w:t>
            </w:r>
          </w:p>
        </w:tc>
        <w:tc>
          <w:tcPr>
            <w:tcW w:w="378" w:type="pct"/>
            <w:tcBorders>
              <w:tl2br w:val="nil"/>
              <w:tr2bl w:val="nil"/>
            </w:tcBorders>
            <w:shd w:val="clear" w:color="auto" w:fill="auto"/>
            <w:vAlign w:val="center"/>
          </w:tcPr>
          <w:p w14:paraId="15BD216C">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kern w:val="0"/>
              </w:rPr>
              <w:t>油漆包装</w:t>
            </w:r>
          </w:p>
        </w:tc>
        <w:tc>
          <w:tcPr>
            <w:tcW w:w="276" w:type="pct"/>
            <w:tcBorders>
              <w:tl2br w:val="nil"/>
              <w:tr2bl w:val="nil"/>
            </w:tcBorders>
            <w:shd w:val="clear" w:color="auto" w:fill="auto"/>
            <w:vAlign w:val="center"/>
          </w:tcPr>
          <w:p w14:paraId="522DEA7E">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固态</w:t>
            </w:r>
          </w:p>
        </w:tc>
        <w:tc>
          <w:tcPr>
            <w:tcW w:w="564" w:type="pct"/>
            <w:tcBorders>
              <w:tl2br w:val="nil"/>
              <w:tr2bl w:val="nil"/>
            </w:tcBorders>
            <w:shd w:val="clear" w:color="auto" w:fill="auto"/>
            <w:vAlign w:val="center"/>
          </w:tcPr>
          <w:p w14:paraId="64507047">
            <w:pPr>
              <w:pStyle w:val="83"/>
              <w:spacing w:line="240" w:lineRule="auto"/>
              <w:ind w:left="19" w:leftChars="9" w:right="19" w:rightChars="9" w:firstLine="0" w:firstLineChars="0"/>
              <w:rPr>
                <w:rFonts w:hint="eastAsia" w:ascii="Times New Roman" w:hAnsi="Times New Roman" w:eastAsia="宋体" w:cs="Times New Roman"/>
                <w:snapToGrid w:val="0"/>
                <w:color w:val="auto"/>
                <w:kern w:val="0"/>
                <w:sz w:val="21"/>
                <w:szCs w:val="20"/>
                <w:lang w:val="en-US" w:eastAsia="zh-CN" w:bidi="ar-SA"/>
              </w:rPr>
            </w:pPr>
            <w:r>
              <w:rPr>
                <w:rFonts w:hint="eastAsia" w:ascii="Times New Roman" w:hAnsi="Times New Roman" w:eastAsia="宋体" w:cs="Times New Roman"/>
                <w:snapToGrid w:val="0"/>
                <w:color w:val="auto"/>
                <w:kern w:val="0"/>
                <w:sz w:val="21"/>
                <w:szCs w:val="20"/>
                <w:lang w:val="en-US" w:eastAsia="zh-CN" w:bidi="ar-SA"/>
              </w:rPr>
              <w:t>烃类</w:t>
            </w:r>
          </w:p>
        </w:tc>
        <w:tc>
          <w:tcPr>
            <w:tcW w:w="491" w:type="pct"/>
            <w:tcBorders>
              <w:tl2br w:val="nil"/>
              <w:tr2bl w:val="nil"/>
            </w:tcBorders>
            <w:shd w:val="clear" w:color="auto" w:fill="auto"/>
            <w:vAlign w:val="center"/>
          </w:tcPr>
          <w:p w14:paraId="0FA6A861">
            <w:pPr>
              <w:pStyle w:val="83"/>
              <w:spacing w:line="240" w:lineRule="auto"/>
              <w:ind w:left="19" w:leftChars="9" w:right="19" w:rightChars="9" w:firstLine="0" w:firstLineChars="0"/>
              <w:rPr>
                <w:rFonts w:hint="eastAsia" w:ascii="Times New Roman" w:hAnsi="Times New Roman" w:eastAsia="宋体" w:cs="Times New Roman"/>
                <w:snapToGrid w:val="0"/>
                <w:color w:val="auto"/>
                <w:kern w:val="0"/>
                <w:sz w:val="21"/>
                <w:szCs w:val="20"/>
                <w:lang w:val="en-US" w:eastAsia="zh-CN" w:bidi="ar-SA"/>
              </w:rPr>
            </w:pPr>
            <w:r>
              <w:rPr>
                <w:rFonts w:hint="eastAsia" w:ascii="Times New Roman" w:hAnsi="Times New Roman" w:eastAsia="宋体" w:cs="Times New Roman"/>
                <w:snapToGrid w:val="0"/>
                <w:color w:val="auto"/>
                <w:kern w:val="0"/>
                <w:sz w:val="21"/>
                <w:szCs w:val="20"/>
                <w:lang w:val="en-US" w:eastAsia="zh-CN" w:bidi="ar-SA"/>
              </w:rPr>
              <w:t>烃类</w:t>
            </w:r>
          </w:p>
        </w:tc>
        <w:tc>
          <w:tcPr>
            <w:tcW w:w="346" w:type="pct"/>
            <w:tcBorders>
              <w:tl2br w:val="nil"/>
              <w:tr2bl w:val="nil"/>
            </w:tcBorders>
            <w:shd w:val="clear" w:color="auto" w:fill="auto"/>
            <w:vAlign w:val="center"/>
          </w:tcPr>
          <w:p w14:paraId="56992BE5">
            <w:pPr>
              <w:spacing w:line="240" w:lineRule="auto"/>
              <w:ind w:left="19" w:leftChars="9" w:right="19" w:rightChars="9" w:firstLine="0" w:firstLineChars="0"/>
              <w:jc w:val="center"/>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间歇</w:t>
            </w:r>
          </w:p>
        </w:tc>
        <w:tc>
          <w:tcPr>
            <w:tcW w:w="301" w:type="pct"/>
            <w:tcBorders>
              <w:tl2br w:val="nil"/>
              <w:tr2bl w:val="nil"/>
            </w:tcBorders>
            <w:shd w:val="clear" w:color="auto" w:fill="auto"/>
            <w:vAlign w:val="center"/>
          </w:tcPr>
          <w:p w14:paraId="5853B21A">
            <w:pPr>
              <w:pStyle w:val="83"/>
              <w:spacing w:line="240" w:lineRule="auto"/>
              <w:ind w:left="19" w:leftChars="9" w:right="19" w:rightChars="9" w:firstLine="0" w:firstLineChars="0"/>
              <w:rPr>
                <w:rFonts w:hint="default" w:ascii="Times New Roman" w:hAnsi="Times New Roman" w:eastAsia="宋体" w:cs="Times New Roman"/>
                <w:snapToGrid w:val="0"/>
                <w:color w:val="auto"/>
                <w:kern w:val="0"/>
                <w:sz w:val="21"/>
                <w:szCs w:val="20"/>
                <w:lang w:val="en-US" w:eastAsia="zh-CN" w:bidi="ar-SA"/>
              </w:rPr>
            </w:pPr>
            <w:r>
              <w:rPr>
                <w:rFonts w:hint="default" w:ascii="Times New Roman" w:hAnsi="Times New Roman" w:cs="Times New Roman"/>
                <w:color w:val="auto"/>
              </w:rPr>
              <w:t>毒性</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感染性</w:t>
            </w:r>
          </w:p>
        </w:tc>
        <w:tc>
          <w:tcPr>
            <w:tcW w:w="779" w:type="pct"/>
            <w:tcBorders>
              <w:tl2br w:val="nil"/>
              <w:tr2bl w:val="nil"/>
            </w:tcBorders>
            <w:vAlign w:val="center"/>
          </w:tcPr>
          <w:p w14:paraId="3242A0C4">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委托有资质单位处置</w:t>
            </w:r>
          </w:p>
        </w:tc>
      </w:tr>
      <w:tr w14:paraId="5FC361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194" w:type="pct"/>
            <w:tcBorders>
              <w:tl2br w:val="nil"/>
              <w:tr2bl w:val="nil"/>
            </w:tcBorders>
            <w:shd w:val="clear" w:color="auto" w:fill="auto"/>
            <w:vAlign w:val="center"/>
          </w:tcPr>
          <w:p w14:paraId="3AC0CC8D">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4</w:t>
            </w:r>
          </w:p>
        </w:tc>
        <w:tc>
          <w:tcPr>
            <w:tcW w:w="532" w:type="pct"/>
            <w:tcBorders>
              <w:tl2br w:val="nil"/>
              <w:tr2bl w:val="nil"/>
            </w:tcBorders>
            <w:vAlign w:val="center"/>
          </w:tcPr>
          <w:p w14:paraId="78750040">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漆渣</w:t>
            </w:r>
          </w:p>
        </w:tc>
        <w:tc>
          <w:tcPr>
            <w:tcW w:w="297" w:type="pct"/>
            <w:tcBorders>
              <w:tl2br w:val="nil"/>
              <w:tr2bl w:val="nil"/>
            </w:tcBorders>
            <w:vAlign w:val="center"/>
          </w:tcPr>
          <w:p w14:paraId="41B0F937">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HW12</w:t>
            </w:r>
          </w:p>
        </w:tc>
        <w:tc>
          <w:tcPr>
            <w:tcW w:w="491" w:type="pct"/>
            <w:tcBorders>
              <w:tl2br w:val="nil"/>
              <w:tr2bl w:val="nil"/>
            </w:tcBorders>
            <w:vAlign w:val="center"/>
          </w:tcPr>
          <w:p w14:paraId="65D14E7C">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900-252-12</w:t>
            </w:r>
          </w:p>
        </w:tc>
        <w:tc>
          <w:tcPr>
            <w:tcW w:w="347" w:type="pct"/>
            <w:tcBorders>
              <w:tl2br w:val="nil"/>
              <w:tr2bl w:val="nil"/>
            </w:tcBorders>
            <w:vAlign w:val="center"/>
          </w:tcPr>
          <w:p w14:paraId="24C3F772">
            <w:pPr>
              <w:pStyle w:val="83"/>
              <w:spacing w:line="240" w:lineRule="auto"/>
              <w:ind w:left="19" w:leftChars="9" w:right="19" w:rightChars="9" w:firstLine="0" w:firstLineChars="0"/>
              <w:rPr>
                <w:rFonts w:hint="default" w:ascii="Times New Roman" w:hAnsi="Times New Roman" w:eastAsia="宋体" w:cs="Times New Roman"/>
                <w:color w:val="auto"/>
                <w:lang w:val="en-US" w:eastAsia="zh-CN"/>
              </w:rPr>
            </w:pPr>
            <w:r>
              <w:rPr>
                <w:rFonts w:hint="default" w:ascii="Times New Roman" w:hAnsi="Times New Roman" w:cs="Times New Roman"/>
                <w:color w:val="auto"/>
              </w:rPr>
              <w:t>25.682</w:t>
            </w:r>
          </w:p>
        </w:tc>
        <w:tc>
          <w:tcPr>
            <w:tcW w:w="378" w:type="pct"/>
            <w:tcBorders>
              <w:tl2br w:val="nil"/>
              <w:tr2bl w:val="nil"/>
            </w:tcBorders>
            <w:vAlign w:val="center"/>
          </w:tcPr>
          <w:p w14:paraId="121E00F2">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喷涂</w:t>
            </w:r>
          </w:p>
        </w:tc>
        <w:tc>
          <w:tcPr>
            <w:tcW w:w="276" w:type="pct"/>
            <w:tcBorders>
              <w:tl2br w:val="nil"/>
              <w:tr2bl w:val="nil"/>
            </w:tcBorders>
            <w:vAlign w:val="center"/>
          </w:tcPr>
          <w:p w14:paraId="17BC03D2">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固态</w:t>
            </w:r>
          </w:p>
        </w:tc>
        <w:tc>
          <w:tcPr>
            <w:tcW w:w="564" w:type="pct"/>
            <w:tcBorders>
              <w:tl2br w:val="nil"/>
              <w:tr2bl w:val="nil"/>
            </w:tcBorders>
            <w:vAlign w:val="center"/>
          </w:tcPr>
          <w:p w14:paraId="77860F55">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漆渣</w:t>
            </w:r>
          </w:p>
        </w:tc>
        <w:tc>
          <w:tcPr>
            <w:tcW w:w="491" w:type="pct"/>
            <w:tcBorders>
              <w:tl2br w:val="nil"/>
              <w:tr2bl w:val="nil"/>
            </w:tcBorders>
            <w:vAlign w:val="center"/>
          </w:tcPr>
          <w:p w14:paraId="0C821621">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漆渣</w:t>
            </w:r>
          </w:p>
        </w:tc>
        <w:tc>
          <w:tcPr>
            <w:tcW w:w="346" w:type="pct"/>
            <w:tcBorders>
              <w:tl2br w:val="nil"/>
              <w:tr2bl w:val="nil"/>
            </w:tcBorders>
            <w:vAlign w:val="center"/>
          </w:tcPr>
          <w:p w14:paraId="05FE4EB2">
            <w:pPr>
              <w:spacing w:line="240" w:lineRule="auto"/>
              <w:ind w:left="19" w:leftChars="9" w:right="19" w:rightChars="9" w:firstLine="0" w:firstLineChars="0"/>
              <w:jc w:val="center"/>
              <w:rPr>
                <w:rFonts w:hint="default" w:ascii="Times New Roman" w:hAnsi="Times New Roman" w:cs="Times New Roman"/>
                <w:color w:val="auto"/>
              </w:rPr>
            </w:pPr>
            <w:r>
              <w:rPr>
                <w:rFonts w:hint="default" w:ascii="Times New Roman" w:hAnsi="Times New Roman" w:cs="Times New Roman"/>
                <w:color w:val="auto"/>
              </w:rPr>
              <w:t>间歇</w:t>
            </w:r>
          </w:p>
        </w:tc>
        <w:tc>
          <w:tcPr>
            <w:tcW w:w="301" w:type="pct"/>
            <w:tcBorders>
              <w:tl2br w:val="nil"/>
              <w:tr2bl w:val="nil"/>
            </w:tcBorders>
            <w:vAlign w:val="center"/>
          </w:tcPr>
          <w:p w14:paraId="118A6EE8">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毒性、易燃性</w:t>
            </w:r>
          </w:p>
        </w:tc>
        <w:tc>
          <w:tcPr>
            <w:tcW w:w="779" w:type="pct"/>
            <w:tcBorders>
              <w:tl2br w:val="nil"/>
              <w:tr2bl w:val="nil"/>
            </w:tcBorders>
            <w:vAlign w:val="center"/>
          </w:tcPr>
          <w:p w14:paraId="308F6403">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委托有资质单位处置</w:t>
            </w:r>
          </w:p>
        </w:tc>
      </w:tr>
      <w:tr w14:paraId="510B20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194" w:type="pct"/>
            <w:tcBorders>
              <w:tl2br w:val="nil"/>
              <w:tr2bl w:val="nil"/>
            </w:tcBorders>
            <w:shd w:val="clear" w:color="auto" w:fill="auto"/>
            <w:vAlign w:val="center"/>
          </w:tcPr>
          <w:p w14:paraId="1C34C1F9">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5</w:t>
            </w:r>
          </w:p>
        </w:tc>
        <w:tc>
          <w:tcPr>
            <w:tcW w:w="532" w:type="pct"/>
            <w:tcBorders>
              <w:tl2br w:val="nil"/>
              <w:tr2bl w:val="nil"/>
            </w:tcBorders>
            <w:shd w:val="clear" w:color="auto" w:fill="auto"/>
            <w:vAlign w:val="center"/>
          </w:tcPr>
          <w:p w14:paraId="19D6E02B">
            <w:pPr>
              <w:pStyle w:val="37"/>
              <w:bidi w:val="0"/>
              <w:ind w:firstLine="0" w:firstLineChars="0"/>
              <w:rPr>
                <w:rFonts w:hint="eastAsia" w:ascii="Times New Roman" w:hAnsi="Times New Roman" w:eastAsia="宋体" w:cs="Times New Roman"/>
                <w:color w:val="auto"/>
                <w:lang w:eastAsia="zh-CN"/>
              </w:rPr>
            </w:pPr>
            <w:r>
              <w:rPr>
                <w:rFonts w:hint="eastAsia" w:ascii="Times New Roman" w:hAnsi="Times New Roman" w:eastAsia="宋体" w:cs="Times New Roman"/>
                <w:color w:val="auto"/>
                <w:sz w:val="21"/>
                <w:szCs w:val="21"/>
                <w:highlight w:val="none"/>
                <w:lang w:val="en-US" w:eastAsia="zh-CN"/>
              </w:rPr>
              <w:t>废清洗溶剂</w:t>
            </w:r>
          </w:p>
        </w:tc>
        <w:tc>
          <w:tcPr>
            <w:tcW w:w="297" w:type="pct"/>
            <w:tcBorders>
              <w:tl2br w:val="nil"/>
              <w:tr2bl w:val="nil"/>
            </w:tcBorders>
            <w:shd w:val="clear" w:color="auto" w:fill="auto"/>
            <w:vAlign w:val="center"/>
          </w:tcPr>
          <w:p w14:paraId="33AE1542">
            <w:pPr>
              <w:pStyle w:val="83"/>
              <w:spacing w:line="240" w:lineRule="auto"/>
              <w:ind w:left="19" w:leftChars="9" w:right="19" w:rightChars="9" w:firstLine="0" w:firstLineChars="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HW12</w:t>
            </w:r>
          </w:p>
        </w:tc>
        <w:tc>
          <w:tcPr>
            <w:tcW w:w="491" w:type="pct"/>
            <w:tcBorders>
              <w:tl2br w:val="nil"/>
              <w:tr2bl w:val="nil"/>
            </w:tcBorders>
            <w:shd w:val="clear" w:color="auto" w:fill="auto"/>
            <w:vAlign w:val="center"/>
          </w:tcPr>
          <w:p w14:paraId="3BA41C93">
            <w:pPr>
              <w:pStyle w:val="83"/>
              <w:spacing w:line="240" w:lineRule="auto"/>
              <w:ind w:left="19" w:leftChars="9" w:right="19" w:rightChars="9" w:firstLine="0" w:firstLineChars="0"/>
              <w:rPr>
                <w:rFonts w:hint="default" w:ascii="Times New Roman" w:hAnsi="Times New Roman" w:cs="Times New Roman"/>
                <w:color w:val="auto"/>
                <w:szCs w:val="21"/>
              </w:rPr>
            </w:pPr>
            <w:r>
              <w:rPr>
                <w:rFonts w:hint="eastAsia" w:ascii="Times New Roman" w:hAnsi="Times New Roman" w:eastAsia="宋体" w:cs="Times New Roman"/>
                <w:color w:val="auto"/>
                <w:sz w:val="21"/>
                <w:szCs w:val="21"/>
                <w:highlight w:val="none"/>
                <w:lang w:val="en-US" w:eastAsia="zh-CN"/>
              </w:rPr>
              <w:t>900-256-12</w:t>
            </w:r>
          </w:p>
        </w:tc>
        <w:tc>
          <w:tcPr>
            <w:tcW w:w="347" w:type="pct"/>
            <w:tcBorders>
              <w:tl2br w:val="nil"/>
              <w:tr2bl w:val="nil"/>
            </w:tcBorders>
            <w:shd w:val="clear" w:color="auto" w:fill="auto"/>
            <w:vAlign w:val="center"/>
          </w:tcPr>
          <w:p w14:paraId="504027DD">
            <w:pPr>
              <w:pStyle w:val="83"/>
              <w:spacing w:line="240" w:lineRule="auto"/>
              <w:ind w:left="19" w:leftChars="9" w:right="19" w:rightChars="9" w:firstLine="0" w:firstLineChars="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3.5</w:t>
            </w:r>
          </w:p>
        </w:tc>
        <w:tc>
          <w:tcPr>
            <w:tcW w:w="378" w:type="pct"/>
            <w:tcBorders>
              <w:tl2br w:val="nil"/>
              <w:tr2bl w:val="nil"/>
            </w:tcBorders>
            <w:shd w:val="clear" w:color="auto" w:fill="auto"/>
            <w:vAlign w:val="center"/>
          </w:tcPr>
          <w:p w14:paraId="4331D2B7">
            <w:pPr>
              <w:pStyle w:val="83"/>
              <w:spacing w:line="240" w:lineRule="auto"/>
              <w:ind w:left="19" w:leftChars="9" w:right="19" w:rightChars="9" w:firstLine="0" w:firstLineChars="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清洗</w:t>
            </w:r>
          </w:p>
        </w:tc>
        <w:tc>
          <w:tcPr>
            <w:tcW w:w="276" w:type="pct"/>
            <w:tcBorders>
              <w:tl2br w:val="nil"/>
              <w:tr2bl w:val="nil"/>
            </w:tcBorders>
            <w:shd w:val="clear" w:color="auto" w:fill="auto"/>
            <w:vAlign w:val="center"/>
          </w:tcPr>
          <w:p w14:paraId="07DD1052">
            <w:pPr>
              <w:pStyle w:val="83"/>
              <w:spacing w:line="240" w:lineRule="auto"/>
              <w:ind w:left="19" w:leftChars="9" w:right="19" w:rightChars="9" w:firstLine="0" w:firstLineChars="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液态</w:t>
            </w:r>
          </w:p>
        </w:tc>
        <w:tc>
          <w:tcPr>
            <w:tcW w:w="564" w:type="pct"/>
            <w:tcBorders>
              <w:tl2br w:val="nil"/>
              <w:tr2bl w:val="nil"/>
            </w:tcBorders>
            <w:shd w:val="clear" w:color="auto" w:fill="auto"/>
            <w:vAlign w:val="center"/>
          </w:tcPr>
          <w:p w14:paraId="55E25BAB">
            <w:pPr>
              <w:pStyle w:val="83"/>
              <w:spacing w:line="240" w:lineRule="auto"/>
              <w:ind w:left="19" w:leftChars="9" w:right="19" w:rightChars="9" w:firstLine="0" w:firstLineChars="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有机溶剂</w:t>
            </w:r>
          </w:p>
        </w:tc>
        <w:tc>
          <w:tcPr>
            <w:tcW w:w="491" w:type="pct"/>
            <w:tcBorders>
              <w:tl2br w:val="nil"/>
              <w:tr2bl w:val="nil"/>
            </w:tcBorders>
            <w:shd w:val="clear" w:color="auto" w:fill="auto"/>
            <w:vAlign w:val="center"/>
          </w:tcPr>
          <w:p w14:paraId="4C52F78A">
            <w:pPr>
              <w:pStyle w:val="83"/>
              <w:spacing w:line="240" w:lineRule="auto"/>
              <w:ind w:left="19" w:leftChars="9" w:right="19" w:rightChars="9" w:firstLine="0" w:firstLineChars="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有机溶剂</w:t>
            </w:r>
          </w:p>
        </w:tc>
        <w:tc>
          <w:tcPr>
            <w:tcW w:w="346" w:type="pct"/>
            <w:tcBorders>
              <w:tl2br w:val="nil"/>
              <w:tr2bl w:val="nil"/>
            </w:tcBorders>
            <w:shd w:val="clear" w:color="auto" w:fill="auto"/>
            <w:vAlign w:val="center"/>
          </w:tcPr>
          <w:p w14:paraId="029751FC">
            <w:pPr>
              <w:spacing w:line="240" w:lineRule="auto"/>
              <w:ind w:left="19" w:leftChars="9" w:right="19" w:rightChars="9" w:firstLine="0" w:firstLineChars="0"/>
              <w:jc w:val="center"/>
              <w:rPr>
                <w:rFonts w:hint="default" w:ascii="Times New Roman" w:hAnsi="Times New Roman" w:cs="Times New Roman"/>
                <w:color w:val="auto"/>
              </w:rPr>
            </w:pPr>
            <w:r>
              <w:rPr>
                <w:rFonts w:hint="default" w:ascii="Times New Roman" w:hAnsi="Times New Roman" w:cs="Times New Roman"/>
                <w:color w:val="auto"/>
              </w:rPr>
              <w:t>间歇</w:t>
            </w:r>
          </w:p>
        </w:tc>
        <w:tc>
          <w:tcPr>
            <w:tcW w:w="301" w:type="pct"/>
            <w:tcBorders>
              <w:tl2br w:val="nil"/>
              <w:tr2bl w:val="nil"/>
            </w:tcBorders>
            <w:shd w:val="clear" w:color="auto" w:fill="auto"/>
            <w:vAlign w:val="center"/>
          </w:tcPr>
          <w:p w14:paraId="5FFF4E49">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毒性、</w:t>
            </w:r>
            <w:r>
              <w:rPr>
                <w:rFonts w:hint="eastAsia" w:ascii="Times New Roman" w:hAnsi="Times New Roman" w:eastAsia="宋体" w:cs="Times New Roman"/>
                <w:color w:val="auto"/>
                <w:lang w:val="en-US" w:eastAsia="zh-CN"/>
              </w:rPr>
              <w:t>腐蚀性、</w:t>
            </w:r>
            <w:r>
              <w:rPr>
                <w:rFonts w:hint="default" w:ascii="Times New Roman" w:hAnsi="Times New Roman" w:cs="Times New Roman"/>
                <w:color w:val="auto"/>
              </w:rPr>
              <w:t>易燃性</w:t>
            </w:r>
          </w:p>
        </w:tc>
        <w:tc>
          <w:tcPr>
            <w:tcW w:w="779" w:type="pct"/>
            <w:tcBorders>
              <w:tl2br w:val="nil"/>
              <w:tr2bl w:val="nil"/>
            </w:tcBorders>
            <w:shd w:val="clear" w:color="auto" w:fill="auto"/>
            <w:vAlign w:val="center"/>
          </w:tcPr>
          <w:p w14:paraId="31E8DC7C">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委托有资质单位处置</w:t>
            </w:r>
          </w:p>
        </w:tc>
      </w:tr>
      <w:tr w14:paraId="62429D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94" w:type="pct"/>
            <w:tcBorders>
              <w:tl2br w:val="nil"/>
              <w:tr2bl w:val="nil"/>
            </w:tcBorders>
            <w:shd w:val="clear" w:color="auto" w:fill="auto"/>
            <w:vAlign w:val="center"/>
          </w:tcPr>
          <w:p w14:paraId="0DB7700D">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6</w:t>
            </w:r>
          </w:p>
        </w:tc>
        <w:tc>
          <w:tcPr>
            <w:tcW w:w="532" w:type="pct"/>
            <w:tcBorders>
              <w:tl2br w:val="nil"/>
              <w:tr2bl w:val="nil"/>
            </w:tcBorders>
            <w:shd w:val="clear" w:color="auto" w:fill="auto"/>
            <w:vAlign w:val="center"/>
          </w:tcPr>
          <w:p w14:paraId="1C7B7A03">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sz w:val="21"/>
                <w:szCs w:val="21"/>
                <w:highlight w:val="none"/>
                <w:lang w:val="en-US" w:eastAsia="zh-CN"/>
              </w:rPr>
              <w:t>水帘废水</w:t>
            </w:r>
          </w:p>
        </w:tc>
        <w:tc>
          <w:tcPr>
            <w:tcW w:w="297" w:type="pct"/>
            <w:tcBorders>
              <w:tl2br w:val="nil"/>
              <w:tr2bl w:val="nil"/>
            </w:tcBorders>
            <w:shd w:val="clear" w:color="auto" w:fill="auto"/>
            <w:vAlign w:val="center"/>
          </w:tcPr>
          <w:p w14:paraId="63CB9F6E">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sz w:val="21"/>
                <w:szCs w:val="21"/>
                <w:highlight w:val="none"/>
              </w:rPr>
              <w:t>HW49</w:t>
            </w:r>
          </w:p>
        </w:tc>
        <w:tc>
          <w:tcPr>
            <w:tcW w:w="491" w:type="pct"/>
            <w:tcBorders>
              <w:tl2br w:val="nil"/>
              <w:tr2bl w:val="nil"/>
            </w:tcBorders>
            <w:shd w:val="clear" w:color="auto" w:fill="auto"/>
            <w:vAlign w:val="center"/>
          </w:tcPr>
          <w:p w14:paraId="780B5105">
            <w:pPr>
              <w:pStyle w:val="83"/>
              <w:spacing w:line="240" w:lineRule="auto"/>
              <w:ind w:left="19" w:leftChars="9" w:right="19" w:rightChars="9" w:firstLine="0" w:firstLineChars="0"/>
              <w:rPr>
                <w:rFonts w:hint="default" w:ascii="Times New Roman" w:hAnsi="Times New Roman" w:cs="Times New Roman"/>
                <w:color w:val="auto"/>
                <w:szCs w:val="21"/>
              </w:rPr>
            </w:pPr>
            <w:r>
              <w:rPr>
                <w:rFonts w:hint="default" w:ascii="Times New Roman" w:hAnsi="Times New Roman" w:cs="Times New Roman"/>
                <w:color w:val="auto"/>
                <w:szCs w:val="21"/>
              </w:rPr>
              <w:t>900-042-49</w:t>
            </w:r>
          </w:p>
        </w:tc>
        <w:tc>
          <w:tcPr>
            <w:tcW w:w="347" w:type="pct"/>
            <w:tcBorders>
              <w:tl2br w:val="nil"/>
              <w:tr2bl w:val="nil"/>
            </w:tcBorders>
            <w:shd w:val="clear" w:color="auto" w:fill="auto"/>
            <w:vAlign w:val="center"/>
          </w:tcPr>
          <w:p w14:paraId="545DA194">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cs="Times New Roman"/>
                <w:color w:val="auto"/>
                <w:sz w:val="21"/>
                <w:szCs w:val="21"/>
                <w:highlight w:val="none"/>
                <w:lang w:val="en-US" w:eastAsia="zh-CN"/>
              </w:rPr>
              <w:t>400m</w:t>
            </w:r>
            <w:r>
              <w:rPr>
                <w:rFonts w:hint="eastAsia" w:ascii="Times New Roman" w:hAnsi="Times New Roman" w:cs="Times New Roman"/>
                <w:color w:val="auto"/>
                <w:sz w:val="21"/>
                <w:szCs w:val="21"/>
                <w:highlight w:val="none"/>
                <w:vertAlign w:val="superscript"/>
                <w:lang w:val="en-US" w:eastAsia="zh-CN"/>
              </w:rPr>
              <w:t>3</w:t>
            </w:r>
          </w:p>
        </w:tc>
        <w:tc>
          <w:tcPr>
            <w:tcW w:w="378" w:type="pct"/>
            <w:tcBorders>
              <w:tl2br w:val="nil"/>
              <w:tr2bl w:val="nil"/>
            </w:tcBorders>
            <w:shd w:val="clear" w:color="auto" w:fill="auto"/>
            <w:vAlign w:val="center"/>
          </w:tcPr>
          <w:p w14:paraId="7E80418B">
            <w:pPr>
              <w:pStyle w:val="83"/>
              <w:spacing w:line="240" w:lineRule="auto"/>
              <w:ind w:left="19" w:leftChars="9" w:right="19" w:rightChars="9" w:firstLine="0" w:firstLineChars="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水帘喷雾</w:t>
            </w:r>
          </w:p>
        </w:tc>
        <w:tc>
          <w:tcPr>
            <w:tcW w:w="276" w:type="pct"/>
            <w:tcBorders>
              <w:tl2br w:val="nil"/>
              <w:tr2bl w:val="nil"/>
            </w:tcBorders>
            <w:shd w:val="clear" w:color="auto" w:fill="auto"/>
            <w:vAlign w:val="center"/>
          </w:tcPr>
          <w:p w14:paraId="60B2B625">
            <w:pPr>
              <w:pStyle w:val="83"/>
              <w:spacing w:line="240" w:lineRule="auto"/>
              <w:ind w:left="19" w:leftChars="9" w:right="19" w:rightChars="9" w:firstLine="0" w:firstLineChars="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液态</w:t>
            </w:r>
          </w:p>
        </w:tc>
        <w:tc>
          <w:tcPr>
            <w:tcW w:w="564" w:type="pct"/>
            <w:tcBorders>
              <w:tl2br w:val="nil"/>
              <w:tr2bl w:val="nil"/>
            </w:tcBorders>
            <w:shd w:val="clear" w:color="auto" w:fill="auto"/>
            <w:vAlign w:val="center"/>
          </w:tcPr>
          <w:p w14:paraId="248B3A81">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漆渣</w:t>
            </w:r>
          </w:p>
        </w:tc>
        <w:tc>
          <w:tcPr>
            <w:tcW w:w="491" w:type="pct"/>
            <w:tcBorders>
              <w:tl2br w:val="nil"/>
              <w:tr2bl w:val="nil"/>
            </w:tcBorders>
            <w:shd w:val="clear" w:color="auto" w:fill="auto"/>
            <w:vAlign w:val="center"/>
          </w:tcPr>
          <w:p w14:paraId="464AF43F">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漆渣</w:t>
            </w:r>
          </w:p>
        </w:tc>
        <w:tc>
          <w:tcPr>
            <w:tcW w:w="346" w:type="pct"/>
            <w:tcBorders>
              <w:tl2br w:val="nil"/>
              <w:tr2bl w:val="nil"/>
            </w:tcBorders>
            <w:shd w:val="clear" w:color="auto" w:fill="auto"/>
            <w:vAlign w:val="center"/>
          </w:tcPr>
          <w:p w14:paraId="450D787C">
            <w:pPr>
              <w:spacing w:line="240" w:lineRule="auto"/>
              <w:ind w:left="19" w:leftChars="9" w:right="19" w:rightChars="9" w:firstLine="0" w:firstLineChars="0"/>
              <w:jc w:val="center"/>
              <w:rPr>
                <w:rFonts w:hint="default" w:ascii="Times New Roman" w:hAnsi="Times New Roman" w:cs="Times New Roman"/>
                <w:color w:val="auto"/>
              </w:rPr>
            </w:pPr>
            <w:r>
              <w:rPr>
                <w:rFonts w:hint="default" w:ascii="Times New Roman" w:hAnsi="Times New Roman" w:cs="Times New Roman"/>
                <w:color w:val="auto"/>
              </w:rPr>
              <w:t>间歇</w:t>
            </w:r>
          </w:p>
        </w:tc>
        <w:tc>
          <w:tcPr>
            <w:tcW w:w="301" w:type="pct"/>
            <w:tcBorders>
              <w:tl2br w:val="nil"/>
              <w:tr2bl w:val="nil"/>
            </w:tcBorders>
            <w:shd w:val="clear" w:color="auto" w:fill="auto"/>
            <w:vAlign w:val="center"/>
          </w:tcPr>
          <w:p w14:paraId="149404F3">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lang w:val="en-US" w:eastAsia="zh-CN"/>
              </w:rPr>
              <w:t>毒性、腐蚀性、易燃性、反应性</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感染性</w:t>
            </w:r>
          </w:p>
        </w:tc>
        <w:tc>
          <w:tcPr>
            <w:tcW w:w="779" w:type="pct"/>
            <w:tcBorders>
              <w:tl2br w:val="nil"/>
              <w:tr2bl w:val="nil"/>
            </w:tcBorders>
            <w:shd w:val="clear" w:color="auto" w:fill="auto"/>
            <w:vAlign w:val="center"/>
          </w:tcPr>
          <w:p w14:paraId="7D9012FE">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委托有资质单位处置</w:t>
            </w:r>
          </w:p>
        </w:tc>
      </w:tr>
      <w:tr w14:paraId="6E65294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194" w:type="pct"/>
            <w:tcBorders>
              <w:tl2br w:val="nil"/>
              <w:tr2bl w:val="nil"/>
            </w:tcBorders>
            <w:shd w:val="clear" w:color="auto" w:fill="auto"/>
            <w:vAlign w:val="center"/>
          </w:tcPr>
          <w:p w14:paraId="1CDF3CC8">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7</w:t>
            </w:r>
          </w:p>
        </w:tc>
        <w:tc>
          <w:tcPr>
            <w:tcW w:w="532" w:type="pct"/>
            <w:tcBorders>
              <w:tl2br w:val="nil"/>
              <w:tr2bl w:val="nil"/>
            </w:tcBorders>
            <w:shd w:val="clear" w:color="auto" w:fill="auto"/>
            <w:vAlign w:val="center"/>
          </w:tcPr>
          <w:p w14:paraId="07FE6348">
            <w:pPr>
              <w:pStyle w:val="83"/>
              <w:spacing w:line="240" w:lineRule="auto"/>
              <w:ind w:left="19" w:leftChars="9" w:right="19" w:rightChars="9" w:firstLine="0" w:firstLineChars="0"/>
              <w:rPr>
                <w:rFonts w:hint="default" w:ascii="Times New Roman" w:hAnsi="Times New Roman" w:eastAsia="宋体" w:cs="Times New Roman"/>
                <w:snapToGrid w:val="0"/>
                <w:color w:val="auto"/>
                <w:kern w:val="0"/>
                <w:sz w:val="21"/>
                <w:szCs w:val="20"/>
                <w:lang w:val="en-US" w:eastAsia="zh-CN" w:bidi="ar-SA"/>
              </w:rPr>
            </w:pPr>
            <w:r>
              <w:rPr>
                <w:rFonts w:hint="default" w:ascii="Times New Roman" w:hAnsi="Times New Roman" w:cs="Times New Roman"/>
                <w:color w:val="auto"/>
              </w:rPr>
              <w:t>废活性炭</w:t>
            </w:r>
          </w:p>
        </w:tc>
        <w:tc>
          <w:tcPr>
            <w:tcW w:w="297" w:type="pct"/>
            <w:tcBorders>
              <w:tl2br w:val="nil"/>
              <w:tr2bl w:val="nil"/>
            </w:tcBorders>
            <w:shd w:val="clear" w:color="auto" w:fill="auto"/>
            <w:vAlign w:val="center"/>
          </w:tcPr>
          <w:p w14:paraId="64F6D49D">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HW49</w:t>
            </w:r>
          </w:p>
        </w:tc>
        <w:tc>
          <w:tcPr>
            <w:tcW w:w="491" w:type="pct"/>
            <w:tcBorders>
              <w:tl2br w:val="nil"/>
              <w:tr2bl w:val="nil"/>
            </w:tcBorders>
            <w:shd w:val="clear" w:color="auto" w:fill="auto"/>
            <w:vAlign w:val="center"/>
          </w:tcPr>
          <w:p w14:paraId="4E5FAA90">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rPr>
              <w:t>900-039-49</w:t>
            </w:r>
          </w:p>
        </w:tc>
        <w:tc>
          <w:tcPr>
            <w:tcW w:w="347" w:type="pct"/>
            <w:tcBorders>
              <w:tl2br w:val="nil"/>
              <w:tr2bl w:val="nil"/>
            </w:tcBorders>
            <w:shd w:val="clear" w:color="auto" w:fill="auto"/>
            <w:vAlign w:val="center"/>
          </w:tcPr>
          <w:p w14:paraId="4194D610">
            <w:pPr>
              <w:pStyle w:val="83"/>
              <w:spacing w:line="240" w:lineRule="auto"/>
              <w:ind w:left="19" w:leftChars="9" w:right="19" w:rightChars="9" w:firstLine="0" w:firstLineChars="0"/>
              <w:rPr>
                <w:rFonts w:hint="default" w:ascii="Times New Roman" w:hAnsi="Times New Roman" w:eastAsia="宋体" w:cs="Times New Roman"/>
                <w:snapToGrid w:val="0"/>
                <w:color w:val="auto"/>
                <w:kern w:val="0"/>
                <w:sz w:val="21"/>
                <w:szCs w:val="20"/>
                <w:lang w:val="en-US" w:eastAsia="zh-CN" w:bidi="ar-SA"/>
              </w:rPr>
            </w:pPr>
            <w:r>
              <w:rPr>
                <w:rFonts w:hint="eastAsia" w:ascii="Times New Roman" w:hAnsi="Times New Roman" w:eastAsia="宋体" w:cs="Times New Roman"/>
                <w:color w:val="auto"/>
                <w:lang w:val="en-US" w:eastAsia="zh-CN"/>
              </w:rPr>
              <w:t>73.71</w:t>
            </w:r>
          </w:p>
        </w:tc>
        <w:tc>
          <w:tcPr>
            <w:tcW w:w="378" w:type="pct"/>
            <w:tcBorders>
              <w:tl2br w:val="nil"/>
              <w:tr2bl w:val="nil"/>
            </w:tcBorders>
            <w:shd w:val="clear" w:color="auto" w:fill="auto"/>
            <w:vAlign w:val="center"/>
          </w:tcPr>
          <w:p w14:paraId="26BEB1D8">
            <w:pPr>
              <w:pStyle w:val="83"/>
              <w:spacing w:line="240" w:lineRule="auto"/>
              <w:ind w:left="19" w:leftChars="9" w:right="19" w:rightChars="9" w:firstLine="0" w:firstLineChars="0"/>
              <w:rPr>
                <w:rFonts w:hint="default" w:ascii="Times New Roman" w:hAnsi="Times New Roman" w:eastAsia="宋体" w:cs="Times New Roman"/>
                <w:snapToGrid w:val="0"/>
                <w:color w:val="auto"/>
                <w:kern w:val="0"/>
                <w:sz w:val="21"/>
                <w:szCs w:val="20"/>
                <w:lang w:val="en-US" w:eastAsia="zh-CN" w:bidi="ar-SA"/>
              </w:rPr>
            </w:pPr>
            <w:r>
              <w:rPr>
                <w:rFonts w:hint="default" w:ascii="Times New Roman" w:hAnsi="Times New Roman" w:cs="Times New Roman"/>
                <w:color w:val="auto"/>
              </w:rPr>
              <w:t>有机废气处理</w:t>
            </w:r>
          </w:p>
        </w:tc>
        <w:tc>
          <w:tcPr>
            <w:tcW w:w="276" w:type="pct"/>
            <w:tcBorders>
              <w:tl2br w:val="nil"/>
              <w:tr2bl w:val="nil"/>
            </w:tcBorders>
            <w:shd w:val="clear" w:color="auto" w:fill="auto"/>
            <w:vAlign w:val="center"/>
          </w:tcPr>
          <w:p w14:paraId="08ACE725">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固态</w:t>
            </w:r>
          </w:p>
        </w:tc>
        <w:tc>
          <w:tcPr>
            <w:tcW w:w="564" w:type="pct"/>
            <w:tcBorders>
              <w:tl2br w:val="nil"/>
              <w:tr2bl w:val="nil"/>
            </w:tcBorders>
            <w:shd w:val="clear" w:color="auto" w:fill="auto"/>
            <w:vAlign w:val="center"/>
          </w:tcPr>
          <w:p w14:paraId="0FEFBACD">
            <w:pPr>
              <w:pStyle w:val="83"/>
              <w:spacing w:line="240" w:lineRule="auto"/>
              <w:ind w:left="19" w:leftChars="9" w:right="19" w:rightChars="9" w:firstLine="0" w:firstLineChars="0"/>
              <w:rPr>
                <w:rFonts w:hint="default" w:ascii="Times New Roman" w:hAnsi="Times New Roman" w:eastAsia="宋体" w:cs="Times New Roman"/>
                <w:snapToGrid w:val="0"/>
                <w:color w:val="auto"/>
                <w:kern w:val="0"/>
                <w:sz w:val="21"/>
                <w:szCs w:val="20"/>
                <w:lang w:val="en-US" w:eastAsia="zh-CN" w:bidi="ar-SA"/>
              </w:rPr>
            </w:pPr>
            <w:r>
              <w:rPr>
                <w:rFonts w:hint="default" w:ascii="Times New Roman" w:hAnsi="Times New Roman" w:cs="Times New Roman"/>
                <w:color w:val="auto"/>
              </w:rPr>
              <w:t>废活性炭及有机溶剂</w:t>
            </w:r>
          </w:p>
        </w:tc>
        <w:tc>
          <w:tcPr>
            <w:tcW w:w="491" w:type="pct"/>
            <w:tcBorders>
              <w:tl2br w:val="nil"/>
              <w:tr2bl w:val="nil"/>
            </w:tcBorders>
            <w:shd w:val="clear" w:color="auto" w:fill="auto"/>
            <w:vAlign w:val="center"/>
          </w:tcPr>
          <w:p w14:paraId="73E187AF">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废有机溶剂</w:t>
            </w:r>
          </w:p>
        </w:tc>
        <w:tc>
          <w:tcPr>
            <w:tcW w:w="346" w:type="pct"/>
            <w:tcBorders>
              <w:tl2br w:val="nil"/>
              <w:tr2bl w:val="nil"/>
            </w:tcBorders>
            <w:shd w:val="clear" w:color="auto" w:fill="auto"/>
            <w:vAlign w:val="center"/>
          </w:tcPr>
          <w:p w14:paraId="3280DABF">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间歇</w:t>
            </w:r>
          </w:p>
        </w:tc>
        <w:tc>
          <w:tcPr>
            <w:tcW w:w="301" w:type="pct"/>
            <w:tcBorders>
              <w:tl2br w:val="nil"/>
              <w:tr2bl w:val="nil"/>
            </w:tcBorders>
            <w:shd w:val="clear" w:color="auto" w:fill="auto"/>
            <w:vAlign w:val="center"/>
          </w:tcPr>
          <w:p w14:paraId="654C0897">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毒性</w:t>
            </w:r>
          </w:p>
        </w:tc>
        <w:tc>
          <w:tcPr>
            <w:tcW w:w="779" w:type="pct"/>
            <w:tcBorders>
              <w:tl2br w:val="nil"/>
              <w:tr2bl w:val="nil"/>
            </w:tcBorders>
            <w:shd w:val="clear" w:color="auto" w:fill="auto"/>
            <w:vAlign w:val="center"/>
          </w:tcPr>
          <w:p w14:paraId="651370F9">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委托有资质单位处置</w:t>
            </w:r>
          </w:p>
        </w:tc>
      </w:tr>
      <w:tr w14:paraId="25A7BE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194" w:type="pct"/>
            <w:tcBorders>
              <w:tl2br w:val="nil"/>
              <w:tr2bl w:val="nil"/>
            </w:tcBorders>
            <w:shd w:val="clear" w:color="auto" w:fill="auto"/>
            <w:vAlign w:val="center"/>
          </w:tcPr>
          <w:p w14:paraId="0A1C310A">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8</w:t>
            </w:r>
          </w:p>
        </w:tc>
        <w:tc>
          <w:tcPr>
            <w:tcW w:w="532" w:type="pct"/>
            <w:tcBorders>
              <w:tl2br w:val="nil"/>
              <w:tr2bl w:val="nil"/>
            </w:tcBorders>
            <w:shd w:val="clear" w:color="auto" w:fill="auto"/>
            <w:vAlign w:val="center"/>
          </w:tcPr>
          <w:p w14:paraId="50E5A353">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废UV灯管</w:t>
            </w:r>
          </w:p>
        </w:tc>
        <w:tc>
          <w:tcPr>
            <w:tcW w:w="297" w:type="pct"/>
            <w:tcBorders>
              <w:tl2br w:val="nil"/>
              <w:tr2bl w:val="nil"/>
            </w:tcBorders>
            <w:shd w:val="clear" w:color="auto" w:fill="auto"/>
            <w:vAlign w:val="center"/>
          </w:tcPr>
          <w:p w14:paraId="775501CF">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HW29</w:t>
            </w:r>
          </w:p>
        </w:tc>
        <w:tc>
          <w:tcPr>
            <w:tcW w:w="491" w:type="pct"/>
            <w:tcBorders>
              <w:tl2br w:val="nil"/>
              <w:tr2bl w:val="nil"/>
            </w:tcBorders>
            <w:shd w:val="clear" w:color="auto" w:fill="auto"/>
            <w:vAlign w:val="center"/>
          </w:tcPr>
          <w:p w14:paraId="0EA90D21">
            <w:pPr>
              <w:pStyle w:val="83"/>
              <w:spacing w:line="240" w:lineRule="auto"/>
              <w:ind w:left="22" w:right="22"/>
              <w:rPr>
                <w:rFonts w:hint="default" w:ascii="Times New Roman" w:hAnsi="Times New Roman" w:cs="Times New Roman"/>
                <w:color w:val="auto"/>
                <w:szCs w:val="21"/>
              </w:rPr>
            </w:pPr>
            <w:r>
              <w:rPr>
                <w:rFonts w:hint="default" w:ascii="Times New Roman" w:hAnsi="Times New Roman" w:eastAsia="Arial" w:cs="Times New Roman"/>
                <w:snapToGrid w:val="0"/>
                <w:color w:val="auto"/>
                <w:kern w:val="0"/>
                <w:sz w:val="21"/>
                <w:szCs w:val="21"/>
                <w:highlight w:val="none"/>
                <w:lang w:val="en-US" w:eastAsia="en-US" w:bidi="ar-SA"/>
              </w:rPr>
              <w:t>900-023-29</w:t>
            </w:r>
          </w:p>
        </w:tc>
        <w:tc>
          <w:tcPr>
            <w:tcW w:w="347" w:type="pct"/>
            <w:tcBorders>
              <w:tl2br w:val="nil"/>
              <w:tr2bl w:val="nil"/>
            </w:tcBorders>
            <w:shd w:val="clear" w:color="auto" w:fill="auto"/>
            <w:vAlign w:val="center"/>
          </w:tcPr>
          <w:p w14:paraId="32F196DE">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0.01</w:t>
            </w:r>
          </w:p>
        </w:tc>
        <w:tc>
          <w:tcPr>
            <w:tcW w:w="378" w:type="pct"/>
            <w:tcBorders>
              <w:tl2br w:val="nil"/>
              <w:tr2bl w:val="nil"/>
            </w:tcBorders>
            <w:shd w:val="clear" w:color="auto" w:fill="auto"/>
            <w:vAlign w:val="center"/>
          </w:tcPr>
          <w:p w14:paraId="2ED5F199">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固化</w:t>
            </w:r>
          </w:p>
        </w:tc>
        <w:tc>
          <w:tcPr>
            <w:tcW w:w="276" w:type="pct"/>
            <w:tcBorders>
              <w:tl2br w:val="nil"/>
              <w:tr2bl w:val="nil"/>
            </w:tcBorders>
            <w:shd w:val="clear" w:color="auto" w:fill="auto"/>
            <w:vAlign w:val="center"/>
          </w:tcPr>
          <w:p w14:paraId="692C6BFF">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固态</w:t>
            </w:r>
          </w:p>
        </w:tc>
        <w:tc>
          <w:tcPr>
            <w:tcW w:w="564" w:type="pct"/>
            <w:tcBorders>
              <w:tl2br w:val="nil"/>
              <w:tr2bl w:val="nil"/>
            </w:tcBorders>
            <w:shd w:val="clear" w:color="auto" w:fill="auto"/>
            <w:vAlign w:val="center"/>
          </w:tcPr>
          <w:p w14:paraId="0FE27F90">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汞</w:t>
            </w:r>
          </w:p>
        </w:tc>
        <w:tc>
          <w:tcPr>
            <w:tcW w:w="491" w:type="pct"/>
            <w:tcBorders>
              <w:tl2br w:val="nil"/>
              <w:tr2bl w:val="nil"/>
            </w:tcBorders>
            <w:shd w:val="clear" w:color="auto" w:fill="auto"/>
            <w:vAlign w:val="center"/>
          </w:tcPr>
          <w:p w14:paraId="0C1E95AA">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汞</w:t>
            </w:r>
          </w:p>
        </w:tc>
        <w:tc>
          <w:tcPr>
            <w:tcW w:w="346" w:type="pct"/>
            <w:tcBorders>
              <w:tl2br w:val="nil"/>
              <w:tr2bl w:val="nil"/>
            </w:tcBorders>
            <w:shd w:val="clear" w:color="auto" w:fill="auto"/>
            <w:vAlign w:val="center"/>
          </w:tcPr>
          <w:p w14:paraId="132E666C">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间歇</w:t>
            </w:r>
          </w:p>
        </w:tc>
        <w:tc>
          <w:tcPr>
            <w:tcW w:w="301" w:type="pct"/>
            <w:tcBorders>
              <w:tl2br w:val="nil"/>
              <w:tr2bl w:val="nil"/>
            </w:tcBorders>
            <w:shd w:val="clear" w:color="auto" w:fill="auto"/>
            <w:vAlign w:val="center"/>
          </w:tcPr>
          <w:p w14:paraId="1AC6E29D">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毒性</w:t>
            </w:r>
          </w:p>
        </w:tc>
        <w:tc>
          <w:tcPr>
            <w:tcW w:w="779" w:type="pct"/>
            <w:tcBorders>
              <w:tl2br w:val="nil"/>
              <w:tr2bl w:val="nil"/>
            </w:tcBorders>
            <w:shd w:val="clear" w:color="auto" w:fill="auto"/>
            <w:vAlign w:val="center"/>
          </w:tcPr>
          <w:p w14:paraId="1860E48B">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委托有资质单位处置</w:t>
            </w:r>
          </w:p>
        </w:tc>
      </w:tr>
      <w:tr w14:paraId="24F583D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194" w:type="pct"/>
            <w:tcBorders>
              <w:tl2br w:val="nil"/>
              <w:tr2bl w:val="nil"/>
            </w:tcBorders>
            <w:shd w:val="clear" w:color="auto" w:fill="auto"/>
            <w:vAlign w:val="center"/>
          </w:tcPr>
          <w:p w14:paraId="756DFE26">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9</w:t>
            </w:r>
          </w:p>
        </w:tc>
        <w:tc>
          <w:tcPr>
            <w:tcW w:w="532" w:type="pct"/>
            <w:tcBorders>
              <w:tl2br w:val="nil"/>
              <w:tr2bl w:val="nil"/>
            </w:tcBorders>
            <w:shd w:val="clear" w:color="auto" w:fill="auto"/>
            <w:vAlign w:val="center"/>
          </w:tcPr>
          <w:p w14:paraId="21CB0E46">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zh-CN" w:bidi="ar-SA"/>
              </w:rPr>
            </w:pPr>
            <w:r>
              <w:rPr>
                <w:rFonts w:hint="default" w:ascii="Times New Roman" w:hAnsi="Times New Roman" w:cs="Times New Roman"/>
                <w:color w:val="auto"/>
              </w:rPr>
              <w:t>废</w:t>
            </w:r>
            <w:r>
              <w:rPr>
                <w:rFonts w:hint="eastAsia" w:ascii="Times New Roman" w:hAnsi="Times New Roman" w:eastAsia="宋体" w:cs="Times New Roman"/>
                <w:color w:val="auto"/>
                <w:lang w:val="en-US" w:eastAsia="zh-CN"/>
              </w:rPr>
              <w:t>润滑油</w:t>
            </w:r>
          </w:p>
        </w:tc>
        <w:tc>
          <w:tcPr>
            <w:tcW w:w="297" w:type="pct"/>
            <w:tcBorders>
              <w:tl2br w:val="nil"/>
              <w:tr2bl w:val="nil"/>
            </w:tcBorders>
            <w:shd w:val="clear" w:color="auto" w:fill="auto"/>
            <w:vAlign w:val="center"/>
          </w:tcPr>
          <w:p w14:paraId="5D0175CC">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HW08</w:t>
            </w:r>
          </w:p>
        </w:tc>
        <w:tc>
          <w:tcPr>
            <w:tcW w:w="491" w:type="pct"/>
            <w:tcBorders>
              <w:tl2br w:val="nil"/>
              <w:tr2bl w:val="nil"/>
            </w:tcBorders>
            <w:shd w:val="clear" w:color="auto" w:fill="auto"/>
            <w:vAlign w:val="center"/>
          </w:tcPr>
          <w:p w14:paraId="60C5CD66">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szCs w:val="21"/>
              </w:rPr>
              <w:t>900-21</w:t>
            </w:r>
            <w:r>
              <w:rPr>
                <w:rFonts w:hint="eastAsia" w:ascii="Times New Roman" w:hAnsi="Times New Roman" w:eastAsia="宋体" w:cs="Times New Roman"/>
                <w:color w:val="auto"/>
                <w:szCs w:val="21"/>
                <w:lang w:val="en-US" w:eastAsia="zh-CN"/>
              </w:rPr>
              <w:t>4</w:t>
            </w:r>
            <w:r>
              <w:rPr>
                <w:rFonts w:hint="default" w:ascii="Times New Roman" w:hAnsi="Times New Roman" w:cs="Times New Roman"/>
                <w:color w:val="auto"/>
                <w:szCs w:val="21"/>
              </w:rPr>
              <w:t>-08</w:t>
            </w:r>
          </w:p>
        </w:tc>
        <w:tc>
          <w:tcPr>
            <w:tcW w:w="347" w:type="pct"/>
            <w:tcBorders>
              <w:tl2br w:val="nil"/>
              <w:tr2bl w:val="nil"/>
            </w:tcBorders>
            <w:shd w:val="clear" w:color="auto" w:fill="auto"/>
            <w:vAlign w:val="center"/>
          </w:tcPr>
          <w:p w14:paraId="6B653EA9">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eastAsia" w:ascii="Times New Roman" w:hAnsi="Times New Roman" w:eastAsia="宋体" w:cs="Times New Roman"/>
                <w:color w:val="auto"/>
                <w:lang w:val="en-US" w:eastAsia="zh-CN"/>
              </w:rPr>
              <w:t>0.5</w:t>
            </w:r>
          </w:p>
        </w:tc>
        <w:tc>
          <w:tcPr>
            <w:tcW w:w="378" w:type="pct"/>
            <w:tcBorders>
              <w:tl2br w:val="nil"/>
              <w:tr2bl w:val="nil"/>
            </w:tcBorders>
            <w:shd w:val="clear" w:color="auto" w:fill="auto"/>
            <w:vAlign w:val="center"/>
          </w:tcPr>
          <w:p w14:paraId="44F3E0C6">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eastAsia" w:ascii="Times New Roman" w:hAnsi="Times New Roman" w:eastAsia="宋体" w:cs="Times New Roman"/>
                <w:color w:val="auto"/>
                <w:lang w:val="en-US" w:eastAsia="zh-CN"/>
              </w:rPr>
              <w:t>维修</w:t>
            </w:r>
          </w:p>
        </w:tc>
        <w:tc>
          <w:tcPr>
            <w:tcW w:w="276" w:type="pct"/>
            <w:tcBorders>
              <w:tl2br w:val="nil"/>
              <w:tr2bl w:val="nil"/>
            </w:tcBorders>
            <w:shd w:val="clear" w:color="auto" w:fill="auto"/>
            <w:vAlign w:val="center"/>
          </w:tcPr>
          <w:p w14:paraId="1128FC0E">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液态</w:t>
            </w:r>
          </w:p>
        </w:tc>
        <w:tc>
          <w:tcPr>
            <w:tcW w:w="564" w:type="pct"/>
            <w:tcBorders>
              <w:tl2br w:val="nil"/>
              <w:tr2bl w:val="nil"/>
            </w:tcBorders>
            <w:shd w:val="clear" w:color="auto" w:fill="auto"/>
            <w:vAlign w:val="center"/>
          </w:tcPr>
          <w:p w14:paraId="65D0567F">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eastAsia" w:ascii="Times New Roman" w:hAnsi="Times New Roman" w:eastAsia="宋体" w:cs="Times New Roman"/>
                <w:color w:val="auto"/>
                <w:lang w:val="en-US" w:eastAsia="zh-CN"/>
              </w:rPr>
              <w:t>润滑油</w:t>
            </w:r>
          </w:p>
        </w:tc>
        <w:tc>
          <w:tcPr>
            <w:tcW w:w="491" w:type="pct"/>
            <w:tcBorders>
              <w:tl2br w:val="nil"/>
              <w:tr2bl w:val="nil"/>
            </w:tcBorders>
            <w:shd w:val="clear" w:color="auto" w:fill="auto"/>
            <w:vAlign w:val="center"/>
          </w:tcPr>
          <w:p w14:paraId="4E2F0CDC">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eastAsia" w:ascii="Times New Roman" w:hAnsi="Times New Roman" w:eastAsia="宋体" w:cs="Times New Roman"/>
                <w:color w:val="auto"/>
                <w:lang w:val="en-US" w:eastAsia="zh-CN"/>
              </w:rPr>
              <w:t>润滑油</w:t>
            </w:r>
          </w:p>
        </w:tc>
        <w:tc>
          <w:tcPr>
            <w:tcW w:w="346" w:type="pct"/>
            <w:tcBorders>
              <w:tl2br w:val="nil"/>
              <w:tr2bl w:val="nil"/>
            </w:tcBorders>
            <w:shd w:val="clear" w:color="auto" w:fill="auto"/>
            <w:vAlign w:val="center"/>
          </w:tcPr>
          <w:p w14:paraId="4EB6167B">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间歇</w:t>
            </w:r>
          </w:p>
        </w:tc>
        <w:tc>
          <w:tcPr>
            <w:tcW w:w="301" w:type="pct"/>
            <w:tcBorders>
              <w:tl2br w:val="nil"/>
              <w:tr2bl w:val="nil"/>
            </w:tcBorders>
            <w:shd w:val="clear" w:color="auto" w:fill="auto"/>
            <w:vAlign w:val="center"/>
          </w:tcPr>
          <w:p w14:paraId="08071002">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毒性、易燃性</w:t>
            </w:r>
          </w:p>
        </w:tc>
        <w:tc>
          <w:tcPr>
            <w:tcW w:w="779" w:type="pct"/>
            <w:tcBorders>
              <w:tl2br w:val="nil"/>
              <w:tr2bl w:val="nil"/>
            </w:tcBorders>
            <w:shd w:val="clear" w:color="auto" w:fill="auto"/>
            <w:vAlign w:val="center"/>
          </w:tcPr>
          <w:p w14:paraId="79D13E91">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0"/>
                <w:lang w:val="en-US" w:eastAsia="en-US" w:bidi="ar-SA"/>
              </w:rPr>
            </w:pPr>
            <w:r>
              <w:rPr>
                <w:rFonts w:hint="default" w:ascii="Times New Roman" w:hAnsi="Times New Roman" w:cs="Times New Roman"/>
                <w:color w:val="auto"/>
              </w:rPr>
              <w:t>委托有资质单位处置</w:t>
            </w:r>
          </w:p>
        </w:tc>
      </w:tr>
      <w:tr w14:paraId="7880A8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194" w:type="pct"/>
            <w:tcBorders>
              <w:tl2br w:val="nil"/>
              <w:tr2bl w:val="nil"/>
            </w:tcBorders>
            <w:vAlign w:val="center"/>
          </w:tcPr>
          <w:p w14:paraId="4CE24E2F">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10</w:t>
            </w:r>
          </w:p>
        </w:tc>
        <w:tc>
          <w:tcPr>
            <w:tcW w:w="532" w:type="pct"/>
            <w:tcBorders>
              <w:tl2br w:val="nil"/>
              <w:tr2bl w:val="nil"/>
            </w:tcBorders>
            <w:shd w:val="clear" w:color="auto" w:fill="auto"/>
            <w:vAlign w:val="center"/>
          </w:tcPr>
          <w:p w14:paraId="751D9417">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lang w:val="en-US" w:eastAsia="zh-CN"/>
              </w:rPr>
              <w:t>废含油手套及抹布</w:t>
            </w:r>
          </w:p>
        </w:tc>
        <w:tc>
          <w:tcPr>
            <w:tcW w:w="297" w:type="pct"/>
            <w:tcBorders>
              <w:tl2br w:val="nil"/>
              <w:tr2bl w:val="nil"/>
            </w:tcBorders>
            <w:shd w:val="clear" w:color="auto" w:fill="auto"/>
            <w:vAlign w:val="center"/>
          </w:tcPr>
          <w:p w14:paraId="6541F9B8">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HW49</w:t>
            </w:r>
          </w:p>
        </w:tc>
        <w:tc>
          <w:tcPr>
            <w:tcW w:w="491" w:type="pct"/>
            <w:tcBorders>
              <w:tl2br w:val="nil"/>
              <w:tr2bl w:val="nil"/>
            </w:tcBorders>
            <w:shd w:val="clear" w:color="auto" w:fill="auto"/>
            <w:vAlign w:val="center"/>
          </w:tcPr>
          <w:p w14:paraId="3BAEED7E">
            <w:pPr>
              <w:pStyle w:val="83"/>
              <w:spacing w:line="240" w:lineRule="auto"/>
              <w:ind w:left="22" w:right="22"/>
              <w:rPr>
                <w:rFonts w:hint="default" w:ascii="Times New Roman" w:hAnsi="Times New Roman" w:cs="Times New Roman"/>
                <w:color w:val="auto"/>
                <w:szCs w:val="21"/>
              </w:rPr>
            </w:pPr>
            <w:r>
              <w:rPr>
                <w:rFonts w:hint="default" w:ascii="Times New Roman" w:hAnsi="Times New Roman" w:cs="Times New Roman"/>
                <w:color w:val="auto"/>
                <w:szCs w:val="21"/>
              </w:rPr>
              <w:t xml:space="preserve">900-041-49 </w:t>
            </w:r>
          </w:p>
        </w:tc>
        <w:tc>
          <w:tcPr>
            <w:tcW w:w="347" w:type="pct"/>
            <w:tcBorders>
              <w:tl2br w:val="nil"/>
              <w:tr2bl w:val="nil"/>
            </w:tcBorders>
            <w:shd w:val="clear" w:color="auto" w:fill="auto"/>
            <w:vAlign w:val="center"/>
          </w:tcPr>
          <w:p w14:paraId="2AF2F6B5">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0.01</w:t>
            </w:r>
          </w:p>
        </w:tc>
        <w:tc>
          <w:tcPr>
            <w:tcW w:w="378" w:type="pct"/>
            <w:tcBorders>
              <w:tl2br w:val="nil"/>
              <w:tr2bl w:val="nil"/>
            </w:tcBorders>
            <w:shd w:val="clear" w:color="auto" w:fill="auto"/>
            <w:vAlign w:val="center"/>
          </w:tcPr>
          <w:p w14:paraId="5EA7AFE9">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机械维修</w:t>
            </w:r>
          </w:p>
        </w:tc>
        <w:tc>
          <w:tcPr>
            <w:tcW w:w="276" w:type="pct"/>
            <w:tcBorders>
              <w:tl2br w:val="nil"/>
              <w:tr2bl w:val="nil"/>
            </w:tcBorders>
            <w:shd w:val="clear" w:color="auto" w:fill="auto"/>
            <w:vAlign w:val="center"/>
          </w:tcPr>
          <w:p w14:paraId="708492E6">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固态</w:t>
            </w:r>
          </w:p>
        </w:tc>
        <w:tc>
          <w:tcPr>
            <w:tcW w:w="564" w:type="pct"/>
            <w:tcBorders>
              <w:tl2br w:val="nil"/>
              <w:tr2bl w:val="nil"/>
            </w:tcBorders>
            <w:shd w:val="clear" w:color="auto" w:fill="auto"/>
            <w:vAlign w:val="center"/>
          </w:tcPr>
          <w:p w14:paraId="6FFB280A">
            <w:pPr>
              <w:pStyle w:val="83"/>
              <w:spacing w:line="240" w:lineRule="auto"/>
              <w:ind w:left="22" w:right="22"/>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val="en-US" w:eastAsia="zh-CN"/>
              </w:rPr>
              <w:t>润滑油</w:t>
            </w:r>
          </w:p>
        </w:tc>
        <w:tc>
          <w:tcPr>
            <w:tcW w:w="491" w:type="pct"/>
            <w:tcBorders>
              <w:tl2br w:val="nil"/>
              <w:tr2bl w:val="nil"/>
            </w:tcBorders>
            <w:shd w:val="clear" w:color="auto" w:fill="auto"/>
            <w:vAlign w:val="center"/>
          </w:tcPr>
          <w:p w14:paraId="696B27BE">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润滑油</w:t>
            </w:r>
          </w:p>
        </w:tc>
        <w:tc>
          <w:tcPr>
            <w:tcW w:w="346" w:type="pct"/>
            <w:tcBorders>
              <w:tl2br w:val="nil"/>
              <w:tr2bl w:val="nil"/>
            </w:tcBorders>
            <w:shd w:val="clear" w:color="auto" w:fill="auto"/>
            <w:vAlign w:val="center"/>
          </w:tcPr>
          <w:p w14:paraId="500404B4">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间歇</w:t>
            </w:r>
          </w:p>
        </w:tc>
        <w:tc>
          <w:tcPr>
            <w:tcW w:w="301" w:type="pct"/>
            <w:tcBorders>
              <w:tl2br w:val="nil"/>
              <w:tr2bl w:val="nil"/>
            </w:tcBorders>
            <w:shd w:val="clear" w:color="auto" w:fill="auto"/>
            <w:vAlign w:val="center"/>
          </w:tcPr>
          <w:p w14:paraId="5C40A0A9">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毒性</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感染性</w:t>
            </w:r>
          </w:p>
        </w:tc>
        <w:tc>
          <w:tcPr>
            <w:tcW w:w="779" w:type="pct"/>
            <w:tcBorders>
              <w:tl2br w:val="nil"/>
              <w:tr2bl w:val="nil"/>
            </w:tcBorders>
            <w:shd w:val="clear" w:color="auto" w:fill="auto"/>
            <w:vAlign w:val="center"/>
          </w:tcPr>
          <w:p w14:paraId="027BFFE6">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委托有资质单位处置</w:t>
            </w:r>
          </w:p>
        </w:tc>
      </w:tr>
      <w:tr w14:paraId="484C7BA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jc w:val="center"/>
        </w:trPr>
        <w:tc>
          <w:tcPr>
            <w:tcW w:w="194" w:type="pct"/>
            <w:tcBorders>
              <w:tl2br w:val="nil"/>
              <w:tr2bl w:val="nil"/>
            </w:tcBorders>
            <w:vAlign w:val="center"/>
          </w:tcPr>
          <w:p w14:paraId="1459D432">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11</w:t>
            </w:r>
          </w:p>
        </w:tc>
        <w:tc>
          <w:tcPr>
            <w:tcW w:w="532" w:type="pct"/>
            <w:tcBorders>
              <w:tl2br w:val="nil"/>
              <w:tr2bl w:val="nil"/>
            </w:tcBorders>
            <w:shd w:val="clear" w:color="auto" w:fill="auto"/>
            <w:vAlign w:val="center"/>
          </w:tcPr>
          <w:p w14:paraId="4EFBF529">
            <w:pPr>
              <w:pStyle w:val="83"/>
              <w:spacing w:line="240" w:lineRule="auto"/>
              <w:ind w:left="22" w:right="22"/>
              <w:rPr>
                <w:rFonts w:hint="default" w:ascii="Times New Roman" w:hAnsi="Times New Roman" w:cs="Times New Roman"/>
                <w:color w:val="auto"/>
                <w:lang w:val="en-US" w:eastAsia="zh-CN"/>
              </w:rPr>
            </w:pPr>
            <w:r>
              <w:rPr>
                <w:rFonts w:hint="eastAsia" w:ascii="Times New Roman" w:hAnsi="Times New Roman" w:cs="Times New Roman"/>
                <w:color w:val="auto"/>
                <w:sz w:val="21"/>
                <w:szCs w:val="21"/>
                <w:highlight w:val="none"/>
                <w:lang w:val="en-US" w:eastAsia="zh-CN"/>
              </w:rPr>
              <w:t>废润滑油桶</w:t>
            </w:r>
          </w:p>
        </w:tc>
        <w:tc>
          <w:tcPr>
            <w:tcW w:w="297" w:type="pct"/>
            <w:tcBorders>
              <w:tl2br w:val="nil"/>
              <w:tr2bl w:val="nil"/>
            </w:tcBorders>
            <w:shd w:val="clear" w:color="auto" w:fill="auto"/>
            <w:vAlign w:val="center"/>
          </w:tcPr>
          <w:p w14:paraId="4EF70CD7">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sz w:val="21"/>
                <w:szCs w:val="21"/>
                <w:highlight w:val="none"/>
              </w:rPr>
              <w:t>HW08</w:t>
            </w:r>
          </w:p>
        </w:tc>
        <w:tc>
          <w:tcPr>
            <w:tcW w:w="491" w:type="pct"/>
            <w:tcBorders>
              <w:tl2br w:val="nil"/>
              <w:tr2bl w:val="nil"/>
            </w:tcBorders>
            <w:shd w:val="clear" w:color="auto" w:fill="auto"/>
            <w:vAlign w:val="center"/>
          </w:tcPr>
          <w:p w14:paraId="44147C44">
            <w:pPr>
              <w:pStyle w:val="83"/>
              <w:spacing w:line="240" w:lineRule="auto"/>
              <w:ind w:left="22" w:right="22"/>
              <w:rPr>
                <w:rFonts w:hint="default" w:ascii="Times New Roman" w:hAnsi="Times New Roman" w:cs="Times New Roman"/>
                <w:color w:val="auto"/>
                <w:szCs w:val="21"/>
              </w:rPr>
            </w:pPr>
            <w:r>
              <w:rPr>
                <w:rFonts w:hint="default" w:ascii="Times New Roman" w:hAnsi="Times New Roman" w:cs="Times New Roman"/>
                <w:color w:val="auto"/>
                <w:sz w:val="21"/>
                <w:szCs w:val="21"/>
                <w:highlight w:val="none"/>
              </w:rPr>
              <w:t>900-2</w:t>
            </w:r>
            <w:r>
              <w:rPr>
                <w:rFonts w:hint="eastAsia" w:ascii="Times New Roman" w:hAnsi="Times New Roman" w:cs="Times New Roman"/>
                <w:color w:val="auto"/>
                <w:sz w:val="21"/>
                <w:szCs w:val="21"/>
                <w:highlight w:val="none"/>
                <w:lang w:val="en-US" w:eastAsia="zh-CN"/>
              </w:rPr>
              <w:t>49</w:t>
            </w:r>
            <w:r>
              <w:rPr>
                <w:rFonts w:hint="default" w:ascii="Times New Roman" w:hAnsi="Times New Roman" w:cs="Times New Roman"/>
                <w:color w:val="auto"/>
                <w:sz w:val="21"/>
                <w:szCs w:val="21"/>
                <w:highlight w:val="none"/>
              </w:rPr>
              <w:t>-08</w:t>
            </w:r>
          </w:p>
        </w:tc>
        <w:tc>
          <w:tcPr>
            <w:tcW w:w="347" w:type="pct"/>
            <w:tcBorders>
              <w:tl2br w:val="nil"/>
              <w:tr2bl w:val="nil"/>
            </w:tcBorders>
            <w:shd w:val="clear" w:color="auto" w:fill="auto"/>
            <w:vAlign w:val="center"/>
          </w:tcPr>
          <w:p w14:paraId="4562E1D2">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0.1</w:t>
            </w:r>
          </w:p>
        </w:tc>
        <w:tc>
          <w:tcPr>
            <w:tcW w:w="1082" w:type="dxa"/>
            <w:tcBorders>
              <w:tl2br w:val="nil"/>
              <w:tr2bl w:val="nil"/>
            </w:tcBorders>
            <w:shd w:val="clear" w:color="auto" w:fill="auto"/>
            <w:vAlign w:val="center"/>
          </w:tcPr>
          <w:p w14:paraId="2FEC3083">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机械维修</w:t>
            </w:r>
          </w:p>
        </w:tc>
        <w:tc>
          <w:tcPr>
            <w:tcW w:w="790" w:type="dxa"/>
            <w:tcBorders>
              <w:tl2br w:val="nil"/>
              <w:tr2bl w:val="nil"/>
            </w:tcBorders>
            <w:shd w:val="clear" w:color="auto" w:fill="auto"/>
            <w:vAlign w:val="center"/>
          </w:tcPr>
          <w:p w14:paraId="780B94D4">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固态</w:t>
            </w:r>
          </w:p>
        </w:tc>
        <w:tc>
          <w:tcPr>
            <w:tcW w:w="1614" w:type="dxa"/>
            <w:tcBorders>
              <w:tl2br w:val="nil"/>
              <w:tr2bl w:val="nil"/>
            </w:tcBorders>
            <w:shd w:val="clear" w:color="auto" w:fill="auto"/>
            <w:vAlign w:val="center"/>
          </w:tcPr>
          <w:p w14:paraId="6EF84E51">
            <w:pPr>
              <w:pStyle w:val="83"/>
              <w:spacing w:line="240" w:lineRule="auto"/>
              <w:ind w:left="19" w:leftChars="9" w:right="19" w:rightChars="9" w:firstLine="0" w:firstLineChars="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润滑油</w:t>
            </w:r>
          </w:p>
        </w:tc>
        <w:tc>
          <w:tcPr>
            <w:tcW w:w="1405" w:type="dxa"/>
            <w:tcBorders>
              <w:tl2br w:val="nil"/>
              <w:tr2bl w:val="nil"/>
            </w:tcBorders>
            <w:shd w:val="clear" w:color="auto" w:fill="auto"/>
            <w:vAlign w:val="center"/>
          </w:tcPr>
          <w:p w14:paraId="49C0001D">
            <w:pPr>
              <w:pStyle w:val="83"/>
              <w:spacing w:line="240" w:lineRule="auto"/>
              <w:ind w:left="19" w:leftChars="9" w:right="19" w:rightChars="9" w:firstLine="0" w:firstLineChars="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润滑油</w:t>
            </w:r>
          </w:p>
        </w:tc>
        <w:tc>
          <w:tcPr>
            <w:tcW w:w="990" w:type="dxa"/>
            <w:tcBorders>
              <w:tl2br w:val="nil"/>
              <w:tr2bl w:val="nil"/>
            </w:tcBorders>
            <w:shd w:val="clear" w:color="auto" w:fill="auto"/>
            <w:vAlign w:val="center"/>
          </w:tcPr>
          <w:p w14:paraId="2D09A7EF">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间歇</w:t>
            </w:r>
          </w:p>
        </w:tc>
        <w:tc>
          <w:tcPr>
            <w:tcW w:w="861" w:type="dxa"/>
            <w:tcBorders>
              <w:tl2br w:val="nil"/>
              <w:tr2bl w:val="nil"/>
            </w:tcBorders>
            <w:shd w:val="clear" w:color="auto" w:fill="auto"/>
            <w:vAlign w:val="center"/>
          </w:tcPr>
          <w:p w14:paraId="4AB9471C">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毒性、易燃性</w:t>
            </w:r>
          </w:p>
        </w:tc>
        <w:tc>
          <w:tcPr>
            <w:tcW w:w="2229" w:type="dxa"/>
            <w:tcBorders>
              <w:tl2br w:val="nil"/>
              <w:tr2bl w:val="nil"/>
            </w:tcBorders>
            <w:shd w:val="clear" w:color="auto" w:fill="auto"/>
            <w:vAlign w:val="center"/>
          </w:tcPr>
          <w:p w14:paraId="2367984A">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委托有资质单位处置</w:t>
            </w:r>
          </w:p>
        </w:tc>
      </w:tr>
    </w:tbl>
    <w:p w14:paraId="4C9BB8A6">
      <w:pPr>
        <w:rPr>
          <w:rFonts w:hint="eastAsia"/>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2DBD1A8">
      <w:pPr>
        <w:pStyle w:val="10"/>
        <w:rPr>
          <w:rFonts w:hint="eastAsia"/>
          <w:lang w:val="en-US" w:eastAsia="zh-CN"/>
        </w:rPr>
      </w:pPr>
    </w:p>
    <w:p w14:paraId="0E42BE64">
      <w:pPr>
        <w:spacing w:line="360" w:lineRule="auto"/>
        <w:outlineLvl w:val="3"/>
        <w:rPr>
          <w:rFonts w:hint="eastAsia" w:eastAsia="宋体"/>
          <w:b/>
          <w:color w:val="auto"/>
          <w:sz w:val="24"/>
          <w:highlight w:val="none"/>
          <w:lang w:val="en-US" w:eastAsia="zh-CN"/>
        </w:rPr>
      </w:pPr>
      <w:r>
        <w:rPr>
          <w:b/>
          <w:color w:val="auto"/>
          <w:sz w:val="24"/>
          <w:highlight w:val="none"/>
        </w:rPr>
        <w:t>3.3.</w:t>
      </w:r>
      <w:r>
        <w:rPr>
          <w:rFonts w:hint="eastAsia" w:eastAsia="宋体"/>
          <w:b/>
          <w:color w:val="auto"/>
          <w:sz w:val="24"/>
          <w:highlight w:val="none"/>
          <w:lang w:val="en-US" w:eastAsia="zh-CN"/>
        </w:rPr>
        <w:t>2</w:t>
      </w:r>
      <w:r>
        <w:rPr>
          <w:b/>
          <w:color w:val="auto"/>
          <w:sz w:val="24"/>
          <w:highlight w:val="none"/>
        </w:rPr>
        <w:t>.</w:t>
      </w:r>
      <w:r>
        <w:rPr>
          <w:rFonts w:hint="eastAsia" w:eastAsia="宋体"/>
          <w:b/>
          <w:color w:val="auto"/>
          <w:sz w:val="24"/>
          <w:highlight w:val="none"/>
          <w:lang w:val="en-US" w:eastAsia="zh-CN"/>
        </w:rPr>
        <w:t>5地下水</w:t>
      </w:r>
    </w:p>
    <w:p w14:paraId="587B885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依据《环境影响评价技术导则·地下水环境》（HJ610-2016）要求，本项目为三级评价，根据建设项目自身性质及其对地下水环境影响的特点，为预测和评价建设项目对地下水环境可能造成的影响和危害，并针对这种影响和危害提出防治对策，从而达到预防与控制环境恶化，保护地下水资源的目的，本次评价采用解析法进行预测与评价。</w:t>
      </w:r>
    </w:p>
    <w:p w14:paraId="77C69C5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本项目对地下水可能造成污染的途径或方式主要是油漆库防渗措施不到位及水帘喷漆循环水池底部破裂可能导致污染物下渗，从而污染地下水。预测情景主要分为正常状况、非正常状况两种情景。</w:t>
      </w:r>
    </w:p>
    <w:p w14:paraId="5836935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1、正常状况</w:t>
      </w:r>
    </w:p>
    <w:p w14:paraId="5A2A4B1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正常工况下项目“实行分区防渗”，采取了较为完善的防渗措施，防渗能力符合《危险废物贮存污染控制标准》（GB18597-2023）及《环境影响评价技术导则 地下水环境》（HJ610-2016）中的相关要求，达到相应的防渗要求。正常工况下，项目的营运生产对地下水环境产生影响很小，因此本环评不对正常状况情景进行预测。</w:t>
      </w:r>
    </w:p>
    <w:p w14:paraId="0340CE9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2、非正常状况</w:t>
      </w:r>
    </w:p>
    <w:p w14:paraId="7DA3E80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一般情况下当油漆储罐发生泄漏时，厂内将立即启动环境风险事故应急预案，短时间内，泄漏的油漆收集在围堰内，引起地下水污染的可能性较小；而当水帘喷漆循环水池底部发生防渗系统破坏时，由于破裂位置在水帘喷漆循环水池底部，污水缓慢下至地下，而不容易被发现，该种情况下，地下水受到污染的可能性最大。本次评价选取水帘喷漆循环水池底部防渗系统破坏，含COD废水下渗，引起的地下水含水层污染进行影响分析。</w:t>
      </w:r>
    </w:p>
    <w:p w14:paraId="45E2E5E6">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rPr>
        <w:t>根据《给排水构筑物工程施工及验收规范》(GB50141-2008)，混凝土池允许最大渗水量按池壁和池底浸湿面积计算，钢筋混凝土结构最大允许渗漏量不得超过2L/（m</w:t>
      </w:r>
      <w:r>
        <w:rPr>
          <w:rFonts w:hint="default" w:ascii="Times New Roman" w:hAnsi="Times New Roman" w:eastAsia="宋体" w:cs="Times New Roman"/>
          <w:color w:val="auto"/>
          <w:kern w:val="0"/>
          <w:sz w:val="24"/>
          <w:szCs w:val="24"/>
          <w:highlight w:val="none"/>
          <w:vertAlign w:val="superscript"/>
        </w:rPr>
        <w:t>2</w:t>
      </w:r>
      <w:r>
        <w:rPr>
          <w:rFonts w:hint="default" w:ascii="Times New Roman" w:hAnsi="Times New Roman" w:eastAsia="宋体" w:cs="Times New Roman"/>
          <w:color w:val="auto"/>
          <w:kern w:val="0"/>
          <w:sz w:val="24"/>
          <w:szCs w:val="24"/>
          <w:highlight w:val="none"/>
        </w:rPr>
        <w:t>·d）。在非正常状况下，以</w:t>
      </w:r>
      <w:r>
        <w:rPr>
          <w:rFonts w:hint="eastAsia" w:ascii="Times New Roman" w:hAnsi="Times New Roman" w:cs="Times New Roman"/>
          <w:color w:val="auto"/>
          <w:spacing w:val="15"/>
          <w:sz w:val="24"/>
          <w:szCs w:val="23"/>
          <w:highlight w:val="none"/>
          <w:lang w:val="en-US" w:eastAsia="zh-CN"/>
        </w:rPr>
        <w:t>水帘喷漆循环水池</w:t>
      </w:r>
      <w:r>
        <w:rPr>
          <w:rFonts w:hint="default" w:ascii="Times New Roman" w:hAnsi="Times New Roman" w:eastAsia="宋体" w:cs="Times New Roman"/>
          <w:color w:val="auto"/>
          <w:kern w:val="0"/>
          <w:sz w:val="24"/>
          <w:szCs w:val="24"/>
          <w:highlight w:val="none"/>
        </w:rPr>
        <w:t>防渗层破坏为例进行预测，</w:t>
      </w:r>
      <w:r>
        <w:rPr>
          <w:rFonts w:hint="eastAsia" w:ascii="Times New Roman" w:hAnsi="Times New Roman" w:cs="Times New Roman"/>
          <w:color w:val="auto"/>
          <w:spacing w:val="15"/>
          <w:sz w:val="24"/>
          <w:szCs w:val="23"/>
          <w:highlight w:val="none"/>
          <w:lang w:val="en-US" w:eastAsia="zh-CN"/>
        </w:rPr>
        <w:t>水帘喷漆循环水池</w:t>
      </w:r>
      <w:r>
        <w:rPr>
          <w:rFonts w:hint="eastAsia" w:ascii="Times New Roman" w:hAnsi="Times New Roman" w:eastAsia="宋体" w:cs="Times New Roman"/>
          <w:color w:val="auto"/>
          <w:kern w:val="0"/>
          <w:sz w:val="24"/>
          <w:szCs w:val="24"/>
          <w:highlight w:val="none"/>
          <w:lang w:val="en-US" w:eastAsia="zh-CN"/>
        </w:rPr>
        <w:t>占地面积按400</w:t>
      </w:r>
      <w:r>
        <w:rPr>
          <w:rFonts w:hint="default" w:ascii="Times New Roman" w:hAnsi="Times New Roman" w:eastAsia="宋体" w:cs="Times New Roman"/>
          <w:color w:val="auto"/>
          <w:kern w:val="0"/>
          <w:sz w:val="24"/>
          <w:szCs w:val="24"/>
          <w:highlight w:val="none"/>
        </w:rPr>
        <w:t>m</w:t>
      </w:r>
      <w:r>
        <w:rPr>
          <w:rFonts w:hint="eastAsia" w:ascii="Times New Roman" w:hAnsi="Times New Roman" w:eastAsia="宋体" w:cs="Times New Roman"/>
          <w:color w:val="auto"/>
          <w:kern w:val="0"/>
          <w:sz w:val="24"/>
          <w:szCs w:val="24"/>
          <w:highlight w:val="none"/>
          <w:vertAlign w:val="superscript"/>
          <w:lang w:val="en-US" w:eastAsia="zh-CN"/>
        </w:rPr>
        <w:t>2</w:t>
      </w:r>
      <w:r>
        <w:rPr>
          <w:rFonts w:hint="eastAsia" w:ascii="Times New Roman" w:hAnsi="Times New Roman" w:eastAsia="宋体" w:cs="Times New Roman"/>
          <w:color w:val="auto"/>
          <w:kern w:val="0"/>
          <w:sz w:val="24"/>
          <w:szCs w:val="24"/>
          <w:highlight w:val="none"/>
          <w:vertAlign w:val="baseline"/>
          <w:lang w:val="en-US" w:eastAsia="zh-CN"/>
        </w:rPr>
        <w:t>计</w:t>
      </w:r>
      <w:r>
        <w:rPr>
          <w:rFonts w:hint="eastAsia" w:ascii="Times New Roman" w:hAnsi="Times New Roman" w:eastAsia="宋体" w:cs="Times New Roman"/>
          <w:color w:val="auto"/>
          <w:kern w:val="0"/>
          <w:sz w:val="24"/>
          <w:szCs w:val="24"/>
          <w:highlight w:val="none"/>
          <w:lang w:eastAsia="zh-CN"/>
        </w:rPr>
        <w:t>，</w:t>
      </w:r>
      <w:r>
        <w:rPr>
          <w:rFonts w:hint="eastAsia" w:ascii="Times New Roman" w:hAnsi="Times New Roman" w:eastAsia="宋体" w:cs="Times New Roman"/>
          <w:color w:val="auto"/>
          <w:kern w:val="0"/>
          <w:sz w:val="24"/>
          <w:szCs w:val="24"/>
          <w:highlight w:val="none"/>
          <w:lang w:val="en-US" w:eastAsia="zh-CN"/>
        </w:rPr>
        <w:t>防渗破碎面积按照面积的5%为20m</w:t>
      </w:r>
      <w:r>
        <w:rPr>
          <w:rFonts w:hint="eastAsia" w:ascii="Times New Roman" w:hAnsi="Times New Roman" w:eastAsia="宋体" w:cs="Times New Roman"/>
          <w:color w:val="auto"/>
          <w:kern w:val="0"/>
          <w:sz w:val="24"/>
          <w:szCs w:val="24"/>
          <w:highlight w:val="none"/>
          <w:vertAlign w:val="superscript"/>
          <w:lang w:val="en-US" w:eastAsia="zh-CN"/>
        </w:rPr>
        <w:t>2</w:t>
      </w:r>
      <w:r>
        <w:rPr>
          <w:rFonts w:hint="eastAsia" w:ascii="Times New Roman" w:hAnsi="Times New Roman" w:eastAsia="宋体" w:cs="Times New Roman"/>
          <w:color w:val="auto"/>
          <w:kern w:val="0"/>
          <w:sz w:val="24"/>
          <w:szCs w:val="24"/>
          <w:highlight w:val="none"/>
          <w:lang w:val="en-US" w:eastAsia="zh-CN"/>
        </w:rPr>
        <w:t>。</w:t>
      </w:r>
    </w:p>
    <w:p w14:paraId="0AAE5E66">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则</w:t>
      </w:r>
      <w:r>
        <w:rPr>
          <w:rFonts w:hint="eastAsia" w:ascii="Times New Roman" w:hAnsi="Times New Roman" w:cs="Times New Roman"/>
          <w:color w:val="auto"/>
          <w:spacing w:val="15"/>
          <w:sz w:val="24"/>
          <w:szCs w:val="23"/>
          <w:highlight w:val="none"/>
          <w:lang w:val="en-US" w:eastAsia="zh-CN"/>
        </w:rPr>
        <w:t>水帘喷漆循环水池</w:t>
      </w:r>
      <w:r>
        <w:rPr>
          <w:rFonts w:hint="default" w:ascii="Times New Roman" w:hAnsi="Times New Roman" w:eastAsia="宋体" w:cs="Times New Roman"/>
          <w:color w:val="auto"/>
          <w:kern w:val="0"/>
          <w:sz w:val="24"/>
          <w:szCs w:val="24"/>
          <w:highlight w:val="none"/>
        </w:rPr>
        <w:t>每日的最大允许污水渗透量Q计算如下：</w:t>
      </w:r>
    </w:p>
    <w:p w14:paraId="44936236">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渗漏量=渗漏面积×渗漏强度=2L/（m</w:t>
      </w:r>
      <w:r>
        <w:rPr>
          <w:rFonts w:hint="default" w:ascii="Times New Roman" w:hAnsi="Times New Roman" w:eastAsia="宋体" w:cs="Times New Roman"/>
          <w:color w:val="auto"/>
          <w:kern w:val="0"/>
          <w:sz w:val="24"/>
          <w:szCs w:val="24"/>
          <w:highlight w:val="none"/>
          <w:vertAlign w:val="superscript"/>
        </w:rPr>
        <w:t>2</w:t>
      </w:r>
      <w:r>
        <w:rPr>
          <w:rFonts w:hint="default" w:ascii="Times New Roman" w:hAnsi="Times New Roman" w:eastAsia="宋体" w:cs="Times New Roman"/>
          <w:color w:val="auto"/>
          <w:kern w:val="0"/>
          <w:sz w:val="24"/>
          <w:szCs w:val="24"/>
          <w:highlight w:val="none"/>
        </w:rPr>
        <w:t>·d）×</w:t>
      </w:r>
      <w:r>
        <w:rPr>
          <w:rFonts w:hint="eastAsia" w:ascii="Times New Roman" w:hAnsi="Times New Roman" w:eastAsia="宋体" w:cs="Times New Roman"/>
          <w:color w:val="auto"/>
          <w:kern w:val="0"/>
          <w:sz w:val="24"/>
          <w:szCs w:val="24"/>
          <w:highlight w:val="none"/>
          <w:lang w:val="en-US" w:eastAsia="zh-CN"/>
        </w:rPr>
        <w:t>20</w:t>
      </w:r>
      <w:r>
        <w:rPr>
          <w:rFonts w:hint="default" w:ascii="Times New Roman" w:hAnsi="Times New Roman" w:eastAsia="宋体" w:cs="Times New Roman"/>
          <w:color w:val="auto"/>
          <w:kern w:val="0"/>
          <w:sz w:val="24"/>
          <w:szCs w:val="24"/>
          <w:highlight w:val="none"/>
        </w:rPr>
        <w:t>m</w:t>
      </w:r>
      <w:r>
        <w:rPr>
          <w:rFonts w:hint="default" w:ascii="Times New Roman" w:hAnsi="Times New Roman" w:eastAsia="宋体" w:cs="Times New Roman"/>
          <w:color w:val="auto"/>
          <w:kern w:val="0"/>
          <w:sz w:val="24"/>
          <w:szCs w:val="24"/>
          <w:highlight w:val="none"/>
          <w:vertAlign w:val="superscript"/>
        </w:rPr>
        <w:t>2</w:t>
      </w:r>
      <w:r>
        <w:rPr>
          <w:rFonts w:hint="default" w:ascii="Times New Roman" w:hAnsi="Times New Roman" w:eastAsia="宋体" w:cs="Times New Roman"/>
          <w:color w:val="auto"/>
          <w:kern w:val="0"/>
          <w:sz w:val="24"/>
          <w:szCs w:val="24"/>
          <w:highlight w:val="none"/>
        </w:rPr>
        <w:t>×</w:t>
      </w:r>
      <w:r>
        <w:rPr>
          <w:rFonts w:hint="eastAsia" w:ascii="Times New Roman" w:hAnsi="Times New Roman" w:eastAsia="宋体" w:cs="Times New Roman"/>
          <w:color w:val="auto"/>
          <w:kern w:val="0"/>
          <w:sz w:val="24"/>
          <w:szCs w:val="24"/>
          <w:highlight w:val="none"/>
          <w:lang w:val="en-US" w:eastAsia="zh-CN"/>
        </w:rPr>
        <w:t>10</w:t>
      </w:r>
      <w:r>
        <w:rPr>
          <w:rFonts w:hint="default" w:ascii="Times New Roman" w:hAnsi="Times New Roman" w:eastAsia="宋体" w:cs="Times New Roman"/>
          <w:color w:val="auto"/>
          <w:kern w:val="0"/>
          <w:sz w:val="24"/>
          <w:szCs w:val="24"/>
          <w:highlight w:val="none"/>
        </w:rPr>
        <w:t>=</w:t>
      </w:r>
      <w:r>
        <w:rPr>
          <w:rFonts w:hint="eastAsia" w:ascii="Times New Roman" w:hAnsi="Times New Roman" w:eastAsia="宋体" w:cs="Times New Roman"/>
          <w:color w:val="auto"/>
          <w:kern w:val="0"/>
          <w:sz w:val="24"/>
          <w:szCs w:val="24"/>
          <w:highlight w:val="none"/>
          <w:lang w:val="en-US" w:eastAsia="zh-CN"/>
        </w:rPr>
        <w:t>400</w:t>
      </w:r>
      <w:r>
        <w:rPr>
          <w:rFonts w:hint="default" w:ascii="Times New Roman" w:hAnsi="Times New Roman" w:eastAsia="宋体" w:cs="Times New Roman"/>
          <w:color w:val="auto"/>
          <w:kern w:val="0"/>
          <w:sz w:val="24"/>
          <w:szCs w:val="24"/>
          <w:highlight w:val="none"/>
        </w:rPr>
        <w:t>L/d</w:t>
      </w:r>
    </w:p>
    <w:p w14:paraId="124109BB">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泄漏浓度为COD20000mg/L。</w:t>
      </w:r>
    </w:p>
    <w:p w14:paraId="58A849D9">
      <w:pPr>
        <w:spacing w:line="360" w:lineRule="auto"/>
        <w:outlineLvl w:val="3"/>
        <w:rPr>
          <w:rFonts w:hint="default"/>
          <w:b/>
          <w:color w:val="auto"/>
          <w:sz w:val="24"/>
          <w:highlight w:val="none"/>
          <w:lang w:val="en-US"/>
        </w:rPr>
      </w:pPr>
      <w:r>
        <w:rPr>
          <w:b/>
          <w:color w:val="auto"/>
          <w:sz w:val="24"/>
          <w:highlight w:val="none"/>
        </w:rPr>
        <w:t>3.3.</w:t>
      </w:r>
      <w:r>
        <w:rPr>
          <w:rFonts w:hint="eastAsia" w:eastAsia="宋体"/>
          <w:b/>
          <w:color w:val="auto"/>
          <w:sz w:val="24"/>
          <w:highlight w:val="none"/>
          <w:lang w:val="en-US" w:eastAsia="zh-CN"/>
        </w:rPr>
        <w:t>2</w:t>
      </w:r>
      <w:r>
        <w:rPr>
          <w:b/>
          <w:color w:val="auto"/>
          <w:sz w:val="24"/>
          <w:highlight w:val="none"/>
        </w:rPr>
        <w:t>.</w:t>
      </w:r>
      <w:r>
        <w:rPr>
          <w:rFonts w:hint="eastAsia" w:eastAsia="宋体"/>
          <w:b/>
          <w:color w:val="auto"/>
          <w:sz w:val="24"/>
          <w:highlight w:val="none"/>
          <w:lang w:val="en-US" w:eastAsia="zh-CN"/>
        </w:rPr>
        <w:t>6土壤</w:t>
      </w:r>
    </w:p>
    <w:p w14:paraId="1C557D26">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本项目为污染影响型项目，土壤环境影响评价等级为一级，主要污染途径为大气沉降，其中挥发性有机物（</w:t>
      </w:r>
      <w:r>
        <w:rPr>
          <w:rFonts w:hint="eastAsia" w:ascii="Times New Roman" w:hAnsi="Times New Roman" w:eastAsia="宋体" w:cs="Times New Roman"/>
          <w:snapToGrid w:val="0"/>
          <w:color w:val="auto"/>
          <w:kern w:val="0"/>
          <w:sz w:val="24"/>
          <w:szCs w:val="24"/>
          <w:lang w:val="en-US" w:eastAsia="zh-CN" w:bidi="ar-SA"/>
        </w:rPr>
        <w:t>非甲烷总烃、甲苯、苯乙烯</w:t>
      </w:r>
      <w:r>
        <w:rPr>
          <w:rFonts w:hint="default" w:ascii="Times New Roman" w:hAnsi="Times New Roman" w:eastAsia="宋体" w:cs="Times New Roman"/>
          <w:snapToGrid w:val="0"/>
          <w:color w:val="auto"/>
          <w:kern w:val="0"/>
          <w:sz w:val="24"/>
          <w:szCs w:val="24"/>
          <w:lang w:val="en-US" w:eastAsia="zh-CN" w:bidi="ar-SA"/>
        </w:rPr>
        <w:t>）为本项目的特征因子，因此本次预测选取</w:t>
      </w:r>
      <w:r>
        <w:rPr>
          <w:rFonts w:hint="eastAsia" w:ascii="Times New Roman" w:hAnsi="Times New Roman" w:eastAsia="宋体" w:cs="Times New Roman"/>
          <w:snapToGrid w:val="0"/>
          <w:color w:val="auto"/>
          <w:kern w:val="0"/>
          <w:sz w:val="24"/>
          <w:szCs w:val="24"/>
          <w:lang w:val="en-US" w:eastAsia="zh-CN" w:bidi="ar-SA"/>
        </w:rPr>
        <w:t>非甲烷总烃、甲苯、苯乙烯</w:t>
      </w:r>
      <w:r>
        <w:rPr>
          <w:rFonts w:hint="default" w:ascii="Times New Roman" w:hAnsi="Times New Roman" w:eastAsia="宋体" w:cs="Times New Roman"/>
          <w:snapToGrid w:val="0"/>
          <w:color w:val="auto"/>
          <w:kern w:val="0"/>
          <w:sz w:val="24"/>
          <w:szCs w:val="24"/>
          <w:lang w:val="en-US" w:eastAsia="zh-CN" w:bidi="ar-SA"/>
        </w:rPr>
        <w:t>为特征因子。具体源强及预测计算过程见5.2.</w:t>
      </w:r>
      <w:r>
        <w:rPr>
          <w:rFonts w:hint="eastAsia" w:ascii="Times New Roman" w:hAnsi="Times New Roman" w:eastAsia="宋体" w:cs="Times New Roman"/>
          <w:snapToGrid w:val="0"/>
          <w:color w:val="auto"/>
          <w:kern w:val="0"/>
          <w:sz w:val="24"/>
          <w:szCs w:val="24"/>
          <w:lang w:val="en-US" w:eastAsia="zh-CN" w:bidi="ar-SA"/>
        </w:rPr>
        <w:t>5</w:t>
      </w:r>
      <w:r>
        <w:rPr>
          <w:rFonts w:hint="default" w:ascii="Times New Roman" w:hAnsi="Times New Roman" w:eastAsia="宋体" w:cs="Times New Roman"/>
          <w:snapToGrid w:val="0"/>
          <w:color w:val="auto"/>
          <w:kern w:val="0"/>
          <w:sz w:val="24"/>
          <w:szCs w:val="24"/>
          <w:lang w:val="en-US" w:eastAsia="zh-CN" w:bidi="ar-SA"/>
        </w:rPr>
        <w:t>章节。</w:t>
      </w:r>
    </w:p>
    <w:p w14:paraId="1E58035E">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6"/>
          <w:sz w:val="32"/>
          <w:szCs w:val="32"/>
          <w:lang w:val="en-US" w:eastAsia="zh-CN"/>
        </w:rPr>
      </w:pPr>
      <w:bookmarkStart w:id="23" w:name="_Toc15078"/>
      <w:r>
        <w:rPr>
          <w:rFonts w:hint="eastAsia" w:ascii="Times New Roman" w:hAnsi="Times New Roman" w:eastAsia="微软雅黑" w:cs="Times New Roman"/>
          <w:color w:val="auto"/>
          <w:spacing w:val="6"/>
          <w:sz w:val="32"/>
          <w:szCs w:val="32"/>
          <w:lang w:val="en-US" w:eastAsia="zh-CN"/>
        </w:rPr>
        <w:t>3.4 环境风险</w:t>
      </w:r>
      <w:bookmarkEnd w:id="23"/>
    </w:p>
    <w:p w14:paraId="68ADE107">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本次评价对项目所涉及的主要危险化学品（按最大</w:t>
      </w:r>
      <w:r>
        <w:rPr>
          <w:rFonts w:hint="eastAsia" w:ascii="Times New Roman" w:hAnsi="Times New Roman" w:eastAsia="宋体" w:cs="Times New Roman"/>
          <w:snapToGrid w:val="0"/>
          <w:color w:val="auto"/>
          <w:kern w:val="0"/>
          <w:sz w:val="24"/>
          <w:szCs w:val="24"/>
          <w:lang w:val="en-US" w:eastAsia="zh-CN" w:bidi="ar-SA"/>
        </w:rPr>
        <w:t>存在</w:t>
      </w:r>
      <w:r>
        <w:rPr>
          <w:rFonts w:hint="default" w:ascii="Times New Roman" w:hAnsi="Times New Roman" w:eastAsia="宋体" w:cs="Times New Roman"/>
          <w:snapToGrid w:val="0"/>
          <w:color w:val="auto"/>
          <w:kern w:val="0"/>
          <w:sz w:val="24"/>
          <w:szCs w:val="24"/>
          <w:lang w:val="en-US" w:eastAsia="zh-CN" w:bidi="ar-SA"/>
        </w:rPr>
        <w:t>量计）进行危险性识别，同时对其生产系统及辅助生产设施等潜在危险性进行识别，确定危险物质及分布情况，确定风险评价工作等级。</w:t>
      </w:r>
    </w:p>
    <w:p w14:paraId="70DB61BE">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3.4.1</w:t>
      </w:r>
      <w:r>
        <w:rPr>
          <w:rFonts w:hint="default" w:ascii="Times New Roman" w:hAnsi="Times New Roman" w:eastAsia="宋体" w:cs="Times New Roman"/>
          <w:b/>
          <w:bCs/>
          <w:snapToGrid w:val="0"/>
          <w:color w:val="auto"/>
          <w:spacing w:val="0"/>
          <w:kern w:val="0"/>
          <w:position w:val="0"/>
          <w:sz w:val="30"/>
          <w:szCs w:val="30"/>
          <w:lang w:val="zh-CN" w:eastAsia="zh-CN" w:bidi="ar-SA"/>
        </w:rPr>
        <w:t>物质危险性识别</w:t>
      </w:r>
    </w:p>
    <w:p w14:paraId="248B8E2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本项目所涉及的危险物质主要为有天然气、</w:t>
      </w:r>
      <w:r>
        <w:rPr>
          <w:rFonts w:hint="eastAsia" w:ascii="Times New Roman" w:hAnsi="Times New Roman" w:eastAsia="宋体" w:cs="Times New Roman"/>
          <w:color w:val="auto"/>
          <w:sz w:val="24"/>
          <w:szCs w:val="24"/>
          <w:lang w:val="en-US" w:eastAsia="zh-CN"/>
        </w:rPr>
        <w:t>油漆（含乙酸乙酯10%-20%）、稀释剂（含乙酸乙酯20%-30%）、固化剂（含乙酸乙酯30%-40%）、废气（甲苯、乙苯）及废矿物油。</w:t>
      </w:r>
      <w:r>
        <w:rPr>
          <w:rFonts w:hint="default" w:ascii="Times New Roman" w:hAnsi="Times New Roman" w:cs="Times New Roman"/>
          <w:color w:val="auto"/>
          <w:sz w:val="24"/>
          <w:szCs w:val="24"/>
        </w:rPr>
        <w:t>根据《建设项目环境风险评价技术导则》（HJ169-2018）“附录 B 重点关注的危险物质及临界量”可知，项目涉及的风险物质主要为</w:t>
      </w:r>
      <w:r>
        <w:rPr>
          <w:rFonts w:hint="eastAsia" w:ascii="Times New Roman" w:hAnsi="Times New Roman" w:eastAsia="宋体" w:cs="Times New Roman"/>
          <w:color w:val="auto"/>
          <w:sz w:val="24"/>
          <w:szCs w:val="24"/>
          <w:lang w:val="en-US" w:eastAsia="zh-CN"/>
        </w:rPr>
        <w:t>油类物质</w:t>
      </w:r>
      <w:r>
        <w:rPr>
          <w:rFonts w:hint="default" w:ascii="Times New Roman" w:hAnsi="Times New Roman" w:cs="Times New Roman"/>
          <w:color w:val="auto"/>
          <w:sz w:val="24"/>
          <w:szCs w:val="24"/>
        </w:rPr>
        <w:t>及天然气、</w:t>
      </w:r>
      <w:r>
        <w:rPr>
          <w:rFonts w:hint="eastAsia" w:ascii="Times New Roman" w:hAnsi="Times New Roman" w:eastAsia="宋体" w:cs="Times New Roman"/>
          <w:color w:val="auto"/>
          <w:sz w:val="24"/>
          <w:szCs w:val="24"/>
          <w:lang w:val="en-US" w:eastAsia="zh-CN"/>
        </w:rPr>
        <w:t>乙酸乙酯、甲苯、乙苯</w:t>
      </w:r>
      <w:r>
        <w:rPr>
          <w:rFonts w:hint="default" w:ascii="Times New Roman" w:hAnsi="Times New Roman" w:cs="Times New Roman"/>
          <w:color w:val="auto"/>
          <w:sz w:val="24"/>
          <w:szCs w:val="24"/>
        </w:rPr>
        <w:t>。本项目天然气主要存在于管道中，管道在厂区内的长度约为</w:t>
      </w:r>
      <w:r>
        <w:rPr>
          <w:rFonts w:hint="eastAsia" w:ascii="Times New Roman" w:hAnsi="Times New Roman" w:eastAsia="宋体" w:cs="Times New Roman"/>
          <w:color w:val="auto"/>
          <w:sz w:val="24"/>
          <w:szCs w:val="24"/>
          <w:lang w:val="en-US" w:eastAsia="zh-CN"/>
        </w:rPr>
        <w:t>300</w:t>
      </w:r>
      <w:r>
        <w:rPr>
          <w:rFonts w:hint="default" w:ascii="Times New Roman" w:hAnsi="Times New Roman" w:cs="Times New Roman"/>
          <w:color w:val="auto"/>
          <w:sz w:val="24"/>
          <w:szCs w:val="24"/>
        </w:rPr>
        <w:t>m，管道直径为0.5m，天然气密度为0.7</w:t>
      </w:r>
      <w:r>
        <w:rPr>
          <w:rFonts w:hint="eastAsia" w:ascii="Times New Roman" w:hAnsi="Times New Roman" w:eastAsia="宋体" w:cs="Times New Roman"/>
          <w:color w:val="auto"/>
          <w:sz w:val="24"/>
          <w:szCs w:val="24"/>
          <w:lang w:val="en-US" w:eastAsia="zh-CN"/>
        </w:rPr>
        <w:t>395</w:t>
      </w:r>
      <w:r>
        <w:rPr>
          <w:rFonts w:hint="default" w:ascii="Times New Roman" w:hAnsi="Times New Roman" w:cs="Times New Roman"/>
          <w:color w:val="auto"/>
          <w:sz w:val="24"/>
          <w:szCs w:val="24"/>
        </w:rPr>
        <w:t>kg/m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，经计算，管道中天然气最大存在量为0.0</w:t>
      </w:r>
      <w:r>
        <w:rPr>
          <w:rFonts w:hint="eastAsia" w:ascii="Times New Roman" w:hAnsi="Times New Roman" w:eastAsia="宋体" w:cs="Times New Roman"/>
          <w:color w:val="auto"/>
          <w:sz w:val="24"/>
          <w:szCs w:val="24"/>
          <w:lang w:val="en-US" w:eastAsia="zh-CN"/>
        </w:rPr>
        <w:t>44</w:t>
      </w:r>
      <w:r>
        <w:rPr>
          <w:rFonts w:hint="default" w:ascii="Times New Roman" w:hAnsi="Times New Roman" w:cs="Times New Roman"/>
          <w:color w:val="auto"/>
          <w:sz w:val="24"/>
          <w:szCs w:val="24"/>
        </w:rPr>
        <w:t>t/a</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风险物质Q值见表3.</w:t>
      </w:r>
      <w:r>
        <w:rPr>
          <w:rFonts w:hint="eastAsia" w:ascii="Times New Roman" w:hAnsi="Times New Roman" w:eastAsia="宋体" w:cs="Times New Roman"/>
          <w:color w:val="auto"/>
          <w:sz w:val="24"/>
          <w:szCs w:val="24"/>
          <w:lang w:val="en-US" w:eastAsia="zh-CN"/>
        </w:rPr>
        <w:t>4</w:t>
      </w:r>
      <w:r>
        <w:rPr>
          <w:rFonts w:hint="default" w:ascii="Times New Roman" w:hAnsi="Times New Roman" w:cs="Times New Roman"/>
          <w:color w:val="auto"/>
          <w:sz w:val="24"/>
          <w:szCs w:val="24"/>
        </w:rPr>
        <w:t>-</w:t>
      </w:r>
      <w:r>
        <w:rPr>
          <w:rFonts w:hint="eastAsia" w:ascii="Times New Roman" w:hAnsi="Times New Roman" w:eastAsia="宋体" w:cs="Times New Roman"/>
          <w:color w:val="auto"/>
          <w:sz w:val="24"/>
          <w:szCs w:val="24"/>
          <w:lang w:val="en-US" w:eastAsia="zh-CN"/>
        </w:rPr>
        <w:t>1</w:t>
      </w:r>
      <w:r>
        <w:rPr>
          <w:rFonts w:hint="default" w:ascii="Times New Roman" w:hAnsi="Times New Roman" w:cs="Times New Roman"/>
          <w:color w:val="auto"/>
          <w:sz w:val="24"/>
          <w:szCs w:val="24"/>
        </w:rPr>
        <w:t>。</w:t>
      </w:r>
    </w:p>
    <w:p w14:paraId="78B7BC66">
      <w:pPr>
        <w:pStyle w:val="80"/>
        <w:numPr>
          <w:ilvl w:val="0"/>
          <w:numId w:val="0"/>
        </w:numPr>
        <w:spacing w:before="0" w:after="0" w:line="240" w:lineRule="auto"/>
        <w:ind w:leftChars="0"/>
        <w:jc w:val="center"/>
        <w:rPr>
          <w:rFonts w:hint="default" w:ascii="Times New Roman" w:hAnsi="Times New Roman" w:eastAsia="宋体" w:cs="Times New Roman"/>
          <w:b/>
          <w:bCs/>
          <w:snapToGrid w:val="0"/>
          <w:color w:val="auto"/>
          <w:kern w:val="0"/>
          <w:sz w:val="24"/>
          <w:szCs w:val="24"/>
          <w:lang w:val="en-US" w:eastAsia="zh-CN" w:bidi="ar"/>
        </w:rPr>
      </w:pPr>
      <w:r>
        <w:rPr>
          <w:rFonts w:hint="default" w:ascii="Times New Roman" w:hAnsi="Times New Roman" w:eastAsia="宋体" w:cs="Times New Roman"/>
          <w:b/>
          <w:bCs/>
          <w:snapToGrid w:val="0"/>
          <w:color w:val="auto"/>
          <w:kern w:val="0"/>
          <w:sz w:val="24"/>
          <w:szCs w:val="24"/>
          <w:lang w:val="en-US" w:eastAsia="zh-CN" w:bidi="ar"/>
        </w:rPr>
        <w:t>表3.</w:t>
      </w:r>
      <w:r>
        <w:rPr>
          <w:rFonts w:hint="eastAsia" w:ascii="Times New Roman" w:hAnsi="Times New Roman" w:eastAsia="宋体" w:cs="Times New Roman"/>
          <w:b/>
          <w:bCs/>
          <w:snapToGrid w:val="0"/>
          <w:color w:val="auto"/>
          <w:kern w:val="0"/>
          <w:sz w:val="24"/>
          <w:szCs w:val="24"/>
          <w:lang w:val="en-US" w:eastAsia="zh-CN" w:bidi="ar"/>
        </w:rPr>
        <w:t>4</w:t>
      </w:r>
      <w:r>
        <w:rPr>
          <w:rFonts w:hint="default" w:ascii="Times New Roman" w:hAnsi="Times New Roman" w:eastAsia="宋体" w:cs="Times New Roman"/>
          <w:b/>
          <w:bCs/>
          <w:snapToGrid w:val="0"/>
          <w:color w:val="auto"/>
          <w:kern w:val="0"/>
          <w:sz w:val="24"/>
          <w:szCs w:val="24"/>
          <w:lang w:val="en-US" w:eastAsia="zh-CN" w:bidi="ar"/>
        </w:rPr>
        <w:t>-</w:t>
      </w:r>
      <w:r>
        <w:rPr>
          <w:rFonts w:hint="eastAsia" w:ascii="Times New Roman" w:hAnsi="Times New Roman" w:eastAsia="宋体" w:cs="Times New Roman"/>
          <w:b/>
          <w:bCs/>
          <w:snapToGrid w:val="0"/>
          <w:color w:val="auto"/>
          <w:kern w:val="0"/>
          <w:sz w:val="24"/>
          <w:szCs w:val="24"/>
          <w:lang w:val="en-US" w:eastAsia="zh-CN" w:bidi="ar"/>
        </w:rPr>
        <w:t xml:space="preserve">1 </w:t>
      </w:r>
      <w:r>
        <w:rPr>
          <w:rFonts w:hint="default" w:ascii="Times New Roman" w:hAnsi="Times New Roman" w:eastAsia="宋体" w:cs="Times New Roman"/>
          <w:b/>
          <w:bCs/>
          <w:snapToGrid w:val="0"/>
          <w:color w:val="auto"/>
          <w:kern w:val="0"/>
          <w:sz w:val="24"/>
          <w:szCs w:val="24"/>
          <w:lang w:val="en-US" w:eastAsia="zh-CN" w:bidi="ar"/>
        </w:rPr>
        <w:t>建设项目Q值确定表</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3"/>
        <w:gridCol w:w="1666"/>
        <w:gridCol w:w="1196"/>
        <w:gridCol w:w="1326"/>
        <w:gridCol w:w="1326"/>
        <w:gridCol w:w="940"/>
        <w:gridCol w:w="1382"/>
      </w:tblGrid>
      <w:tr w14:paraId="6B817C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1" w:type="pct"/>
            <w:noWrap w:val="0"/>
            <w:vAlign w:val="center"/>
          </w:tcPr>
          <w:p w14:paraId="03CF137E">
            <w:pPr>
              <w:pStyle w:val="78"/>
              <w:bidi w:val="0"/>
              <w:rPr>
                <w:rFonts w:hint="default"/>
                <w:color w:val="auto"/>
                <w:highlight w:val="none"/>
              </w:rPr>
            </w:pPr>
            <w:r>
              <w:rPr>
                <w:rFonts w:hint="default"/>
                <w:color w:val="auto"/>
                <w:highlight w:val="none"/>
              </w:rPr>
              <w:t>序号</w:t>
            </w:r>
          </w:p>
        </w:tc>
        <w:tc>
          <w:tcPr>
            <w:tcW w:w="1680" w:type="pct"/>
            <w:gridSpan w:val="2"/>
            <w:noWrap w:val="0"/>
            <w:vAlign w:val="center"/>
          </w:tcPr>
          <w:p w14:paraId="77E6208E">
            <w:pPr>
              <w:pStyle w:val="78"/>
              <w:bidi w:val="0"/>
              <w:rPr>
                <w:rFonts w:hint="default"/>
                <w:color w:val="auto"/>
                <w:highlight w:val="none"/>
              </w:rPr>
            </w:pPr>
            <w:r>
              <w:rPr>
                <w:rFonts w:hint="default"/>
                <w:color w:val="auto"/>
                <w:highlight w:val="none"/>
              </w:rPr>
              <w:t>危险物质名称</w:t>
            </w:r>
          </w:p>
        </w:tc>
        <w:tc>
          <w:tcPr>
            <w:tcW w:w="778" w:type="pct"/>
            <w:noWrap w:val="0"/>
            <w:vAlign w:val="center"/>
          </w:tcPr>
          <w:p w14:paraId="3C0F2837">
            <w:pPr>
              <w:pStyle w:val="78"/>
              <w:bidi w:val="0"/>
              <w:rPr>
                <w:rFonts w:hint="default" w:eastAsia="宋体"/>
                <w:color w:val="auto"/>
                <w:highlight w:val="none"/>
                <w:lang w:val="en-US" w:eastAsia="zh-CN"/>
              </w:rPr>
            </w:pPr>
            <w:r>
              <w:rPr>
                <w:rFonts w:hint="eastAsia"/>
                <w:color w:val="auto"/>
                <w:highlight w:val="none"/>
                <w:lang w:val="en-US" w:eastAsia="zh-CN"/>
              </w:rPr>
              <w:t>CAS号</w:t>
            </w:r>
          </w:p>
        </w:tc>
        <w:tc>
          <w:tcPr>
            <w:tcW w:w="778" w:type="pct"/>
            <w:noWrap w:val="0"/>
            <w:vAlign w:val="center"/>
          </w:tcPr>
          <w:p w14:paraId="4E221D36">
            <w:pPr>
              <w:pStyle w:val="78"/>
              <w:bidi w:val="0"/>
              <w:rPr>
                <w:rFonts w:hint="default"/>
                <w:color w:val="auto"/>
                <w:highlight w:val="none"/>
                <w:lang w:eastAsia="zh-CN"/>
              </w:rPr>
            </w:pPr>
            <w:r>
              <w:rPr>
                <w:rFonts w:hint="default"/>
                <w:color w:val="auto"/>
                <w:highlight w:val="none"/>
              </w:rPr>
              <w:t>最大存在总量</w:t>
            </w:r>
            <w:r>
              <w:rPr>
                <w:rFonts w:hint="default"/>
                <w:color w:val="auto"/>
                <w:highlight w:val="none"/>
                <w:lang w:eastAsia="zh-CN"/>
              </w:rPr>
              <w:t>（</w:t>
            </w:r>
            <w:r>
              <w:rPr>
                <w:rFonts w:hint="default"/>
                <w:color w:val="auto"/>
                <w:highlight w:val="none"/>
              </w:rPr>
              <w:t>t</w:t>
            </w:r>
            <w:r>
              <w:rPr>
                <w:rFonts w:hint="default"/>
                <w:color w:val="auto"/>
                <w:highlight w:val="none"/>
                <w:lang w:eastAsia="zh-CN"/>
              </w:rPr>
              <w:t>）</w:t>
            </w:r>
          </w:p>
        </w:tc>
        <w:tc>
          <w:tcPr>
            <w:tcW w:w="549" w:type="pct"/>
            <w:noWrap w:val="0"/>
            <w:vAlign w:val="center"/>
          </w:tcPr>
          <w:p w14:paraId="4AEF6A6C">
            <w:pPr>
              <w:pStyle w:val="78"/>
              <w:bidi w:val="0"/>
              <w:rPr>
                <w:rFonts w:hint="default"/>
                <w:color w:val="auto"/>
                <w:highlight w:val="none"/>
              </w:rPr>
            </w:pPr>
            <w:r>
              <w:rPr>
                <w:rFonts w:hint="default"/>
                <w:color w:val="auto"/>
                <w:highlight w:val="none"/>
              </w:rPr>
              <w:t>临界量</w:t>
            </w:r>
            <w:r>
              <w:rPr>
                <w:rFonts w:hint="default"/>
                <w:color w:val="auto"/>
                <w:highlight w:val="none"/>
                <w:lang w:eastAsia="zh-CN"/>
              </w:rPr>
              <w:t>（</w:t>
            </w:r>
            <w:r>
              <w:rPr>
                <w:rFonts w:hint="default"/>
                <w:color w:val="auto"/>
                <w:highlight w:val="none"/>
              </w:rPr>
              <w:t>t</w:t>
            </w:r>
            <w:r>
              <w:rPr>
                <w:rFonts w:hint="default"/>
                <w:color w:val="auto"/>
                <w:highlight w:val="none"/>
                <w:lang w:eastAsia="zh-CN"/>
              </w:rPr>
              <w:t>）</w:t>
            </w:r>
          </w:p>
        </w:tc>
        <w:tc>
          <w:tcPr>
            <w:tcW w:w="811" w:type="pct"/>
            <w:noWrap w:val="0"/>
            <w:vAlign w:val="center"/>
          </w:tcPr>
          <w:p w14:paraId="5C110351">
            <w:pPr>
              <w:pStyle w:val="78"/>
              <w:bidi w:val="0"/>
              <w:rPr>
                <w:rFonts w:hint="default"/>
                <w:color w:val="auto"/>
                <w:highlight w:val="none"/>
              </w:rPr>
            </w:pPr>
            <w:r>
              <w:rPr>
                <w:rFonts w:hint="default"/>
                <w:color w:val="auto"/>
                <w:highlight w:val="none"/>
              </w:rPr>
              <w:t>该种危险物质Q值</w:t>
            </w:r>
          </w:p>
        </w:tc>
      </w:tr>
      <w:tr w14:paraId="7088A1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1" w:type="pct"/>
            <w:noWrap w:val="0"/>
            <w:vAlign w:val="center"/>
          </w:tcPr>
          <w:p w14:paraId="68CB23CC">
            <w:pPr>
              <w:pStyle w:val="78"/>
              <w:bidi w:val="0"/>
              <w:rPr>
                <w:rFonts w:hint="default"/>
                <w:color w:val="auto"/>
                <w:highlight w:val="none"/>
                <w:lang w:val="en-US" w:eastAsia="zh-CN"/>
              </w:rPr>
            </w:pPr>
            <w:r>
              <w:rPr>
                <w:rFonts w:hint="default"/>
                <w:color w:val="auto"/>
                <w:highlight w:val="none"/>
                <w:lang w:val="en-US" w:eastAsia="zh-CN"/>
              </w:rPr>
              <w:t>1</w:t>
            </w:r>
          </w:p>
        </w:tc>
        <w:tc>
          <w:tcPr>
            <w:tcW w:w="978" w:type="pct"/>
            <w:noWrap w:val="0"/>
            <w:vAlign w:val="center"/>
          </w:tcPr>
          <w:p w14:paraId="19C28279">
            <w:pPr>
              <w:pStyle w:val="78"/>
              <w:bidi w:val="0"/>
              <w:rPr>
                <w:rFonts w:hint="default"/>
                <w:color w:val="auto"/>
                <w:highlight w:val="none"/>
                <w:lang w:val="en-US" w:eastAsia="zh-CN"/>
              </w:rPr>
            </w:pPr>
            <w:r>
              <w:rPr>
                <w:rFonts w:hint="eastAsia"/>
                <w:color w:val="auto"/>
                <w:highlight w:val="none"/>
                <w:lang w:val="en-US" w:eastAsia="zh-CN"/>
              </w:rPr>
              <w:t>油漆、稀释剂、固化剂</w:t>
            </w:r>
          </w:p>
        </w:tc>
        <w:tc>
          <w:tcPr>
            <w:tcW w:w="701" w:type="pct"/>
            <w:noWrap w:val="0"/>
            <w:vAlign w:val="center"/>
          </w:tcPr>
          <w:p w14:paraId="64C8446F">
            <w:pPr>
              <w:pStyle w:val="78"/>
              <w:bidi w:val="0"/>
              <w:rPr>
                <w:rFonts w:hint="default"/>
                <w:color w:val="auto"/>
                <w:highlight w:val="none"/>
                <w:lang w:val="en-US" w:eastAsia="zh-CN"/>
              </w:rPr>
            </w:pPr>
            <w:r>
              <w:rPr>
                <w:rFonts w:hint="eastAsia"/>
                <w:color w:val="auto"/>
                <w:highlight w:val="none"/>
                <w:lang w:val="en-US" w:eastAsia="zh-CN"/>
              </w:rPr>
              <w:t>乙酸乙酯</w:t>
            </w:r>
          </w:p>
        </w:tc>
        <w:tc>
          <w:tcPr>
            <w:tcW w:w="778" w:type="pct"/>
            <w:noWrap w:val="0"/>
            <w:vAlign w:val="center"/>
          </w:tcPr>
          <w:p w14:paraId="0AA76CCE">
            <w:pPr>
              <w:pStyle w:val="78"/>
              <w:bidi w:val="0"/>
              <w:ind w:firstLine="0" w:firstLineChars="0"/>
              <w:rPr>
                <w:rFonts w:hint="default"/>
                <w:color w:val="auto"/>
                <w:highlight w:val="none"/>
                <w:lang w:val="en-US" w:eastAsia="zh-CN"/>
              </w:rPr>
            </w:pPr>
            <w:r>
              <w:rPr>
                <w:rFonts w:hint="eastAsia"/>
                <w:color w:val="auto"/>
                <w:highlight w:val="none"/>
                <w:lang w:val="en-US" w:eastAsia="zh-CN"/>
              </w:rPr>
              <w:t>141-78-6</w:t>
            </w:r>
          </w:p>
        </w:tc>
        <w:tc>
          <w:tcPr>
            <w:tcW w:w="778" w:type="pct"/>
            <w:noWrap w:val="0"/>
            <w:vAlign w:val="center"/>
          </w:tcPr>
          <w:p w14:paraId="198F680A">
            <w:pPr>
              <w:pStyle w:val="78"/>
              <w:bidi w:val="0"/>
              <w:ind w:firstLine="0" w:firstLineChars="0"/>
              <w:rPr>
                <w:rFonts w:hint="default"/>
                <w:color w:val="auto"/>
                <w:highlight w:val="none"/>
                <w:lang w:val="en-US" w:eastAsia="zh-CN"/>
              </w:rPr>
            </w:pPr>
            <w:r>
              <w:rPr>
                <w:rFonts w:hint="eastAsia"/>
                <w:color w:val="auto"/>
                <w:highlight w:val="none"/>
                <w:lang w:val="en-US" w:eastAsia="zh-CN"/>
              </w:rPr>
              <w:t>6.3</w:t>
            </w:r>
          </w:p>
        </w:tc>
        <w:tc>
          <w:tcPr>
            <w:tcW w:w="549" w:type="pct"/>
            <w:noWrap w:val="0"/>
            <w:vAlign w:val="center"/>
          </w:tcPr>
          <w:p w14:paraId="35B99CE6">
            <w:pPr>
              <w:pStyle w:val="78"/>
              <w:bidi w:val="0"/>
              <w:rPr>
                <w:rFonts w:hint="default"/>
                <w:color w:val="auto"/>
                <w:highlight w:val="none"/>
                <w:lang w:val="en-US" w:eastAsia="zh-CN"/>
              </w:rPr>
            </w:pPr>
            <w:r>
              <w:rPr>
                <w:rFonts w:hint="eastAsia"/>
                <w:color w:val="auto"/>
                <w:highlight w:val="none"/>
                <w:lang w:val="en-US" w:eastAsia="zh-CN"/>
              </w:rPr>
              <w:t>10</w:t>
            </w:r>
          </w:p>
        </w:tc>
        <w:tc>
          <w:tcPr>
            <w:tcW w:w="811" w:type="pct"/>
            <w:noWrap w:val="0"/>
            <w:vAlign w:val="center"/>
          </w:tcPr>
          <w:p w14:paraId="53D6DC0F">
            <w:pPr>
              <w:pStyle w:val="78"/>
              <w:bidi w:val="0"/>
              <w:rPr>
                <w:rFonts w:hint="default"/>
                <w:color w:val="auto"/>
                <w:lang w:val="en-US" w:eastAsia="zh-CN"/>
              </w:rPr>
            </w:pPr>
            <w:r>
              <w:rPr>
                <w:rFonts w:hint="eastAsia"/>
                <w:color w:val="auto"/>
                <w:lang w:val="en-US" w:eastAsia="zh-CN"/>
              </w:rPr>
              <w:t>0.63</w:t>
            </w:r>
          </w:p>
        </w:tc>
      </w:tr>
      <w:tr w14:paraId="0F55A2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1" w:type="pct"/>
            <w:noWrap w:val="0"/>
            <w:vAlign w:val="center"/>
          </w:tcPr>
          <w:p w14:paraId="3E9CD497">
            <w:pPr>
              <w:pStyle w:val="78"/>
              <w:bidi w:val="0"/>
              <w:rPr>
                <w:rFonts w:hint="default"/>
                <w:color w:val="auto"/>
                <w:highlight w:val="none"/>
                <w:lang w:val="en-US" w:eastAsia="zh-CN"/>
              </w:rPr>
            </w:pPr>
            <w:r>
              <w:rPr>
                <w:rFonts w:hint="eastAsia"/>
                <w:color w:val="auto"/>
                <w:highlight w:val="none"/>
                <w:lang w:val="en-US" w:eastAsia="zh-CN"/>
              </w:rPr>
              <w:t>2</w:t>
            </w:r>
          </w:p>
        </w:tc>
        <w:tc>
          <w:tcPr>
            <w:tcW w:w="978" w:type="pct"/>
            <w:noWrap w:val="0"/>
            <w:vAlign w:val="center"/>
          </w:tcPr>
          <w:p w14:paraId="0B596F95">
            <w:pPr>
              <w:pStyle w:val="78"/>
              <w:bidi w:val="0"/>
              <w:rPr>
                <w:rFonts w:hint="default"/>
                <w:color w:val="auto"/>
                <w:highlight w:val="none"/>
                <w:lang w:val="en-US" w:eastAsia="zh-CN"/>
              </w:rPr>
            </w:pPr>
            <w:r>
              <w:rPr>
                <w:rFonts w:hint="eastAsia"/>
                <w:color w:val="auto"/>
                <w:highlight w:val="none"/>
                <w:lang w:val="en-US" w:eastAsia="zh-CN"/>
              </w:rPr>
              <w:t>废矿物油</w:t>
            </w:r>
          </w:p>
        </w:tc>
        <w:tc>
          <w:tcPr>
            <w:tcW w:w="701" w:type="pct"/>
            <w:noWrap w:val="0"/>
            <w:vAlign w:val="center"/>
          </w:tcPr>
          <w:p w14:paraId="297E1082">
            <w:pPr>
              <w:pStyle w:val="78"/>
              <w:bidi w:val="0"/>
              <w:rPr>
                <w:rFonts w:hint="default"/>
                <w:color w:val="auto"/>
                <w:highlight w:val="none"/>
                <w:lang w:val="en-US" w:eastAsia="zh-CN"/>
              </w:rPr>
            </w:pPr>
            <w:r>
              <w:rPr>
                <w:rFonts w:hint="eastAsia"/>
                <w:color w:val="auto"/>
                <w:highlight w:val="none"/>
                <w:lang w:val="en-US" w:eastAsia="zh-CN"/>
              </w:rPr>
              <w:t>油类物质</w:t>
            </w:r>
          </w:p>
        </w:tc>
        <w:tc>
          <w:tcPr>
            <w:tcW w:w="778" w:type="pct"/>
            <w:noWrap w:val="0"/>
            <w:vAlign w:val="center"/>
          </w:tcPr>
          <w:p w14:paraId="09E4EDB3">
            <w:pPr>
              <w:pStyle w:val="78"/>
              <w:bidi w:val="0"/>
              <w:rPr>
                <w:rFonts w:hint="default"/>
                <w:color w:val="auto"/>
                <w:highlight w:val="none"/>
                <w:lang w:val="en-US" w:eastAsia="zh-CN"/>
              </w:rPr>
            </w:pPr>
            <w:r>
              <w:rPr>
                <w:rFonts w:hint="eastAsia"/>
                <w:color w:val="auto"/>
                <w:highlight w:val="none"/>
                <w:lang w:val="en-US" w:eastAsia="zh-CN"/>
              </w:rPr>
              <w:t>/</w:t>
            </w:r>
          </w:p>
        </w:tc>
        <w:tc>
          <w:tcPr>
            <w:tcW w:w="778" w:type="pct"/>
            <w:noWrap w:val="0"/>
            <w:vAlign w:val="center"/>
          </w:tcPr>
          <w:p w14:paraId="029B2968">
            <w:pPr>
              <w:pStyle w:val="78"/>
              <w:bidi w:val="0"/>
              <w:rPr>
                <w:rFonts w:hint="default"/>
                <w:color w:val="auto"/>
                <w:highlight w:val="none"/>
                <w:lang w:val="en-US" w:eastAsia="zh-CN"/>
              </w:rPr>
            </w:pPr>
            <w:r>
              <w:rPr>
                <w:rFonts w:hint="eastAsia"/>
                <w:color w:val="auto"/>
                <w:highlight w:val="none"/>
                <w:lang w:val="en-US" w:eastAsia="zh-CN"/>
              </w:rPr>
              <w:t>0.3</w:t>
            </w:r>
          </w:p>
        </w:tc>
        <w:tc>
          <w:tcPr>
            <w:tcW w:w="549" w:type="pct"/>
            <w:noWrap w:val="0"/>
            <w:vAlign w:val="center"/>
          </w:tcPr>
          <w:p w14:paraId="795B3B1F">
            <w:pPr>
              <w:pStyle w:val="78"/>
              <w:bidi w:val="0"/>
              <w:rPr>
                <w:rFonts w:hint="default" w:eastAsia="宋体"/>
                <w:color w:val="auto"/>
                <w:highlight w:val="none"/>
                <w:lang w:val="en-US" w:eastAsia="zh-CN"/>
              </w:rPr>
            </w:pPr>
            <w:r>
              <w:rPr>
                <w:rFonts w:hint="eastAsia"/>
                <w:color w:val="auto"/>
                <w:highlight w:val="none"/>
                <w:lang w:val="en-US" w:eastAsia="zh-CN"/>
              </w:rPr>
              <w:t>2500</w:t>
            </w:r>
          </w:p>
        </w:tc>
        <w:tc>
          <w:tcPr>
            <w:tcW w:w="811" w:type="pct"/>
            <w:noWrap w:val="0"/>
            <w:vAlign w:val="center"/>
          </w:tcPr>
          <w:p w14:paraId="5235B9FF">
            <w:pPr>
              <w:pStyle w:val="78"/>
              <w:bidi w:val="0"/>
              <w:rPr>
                <w:rFonts w:hint="default"/>
                <w:color w:val="auto"/>
                <w:lang w:val="en-US" w:eastAsia="zh-CN"/>
              </w:rPr>
            </w:pPr>
            <w:r>
              <w:rPr>
                <w:rFonts w:hint="eastAsia"/>
                <w:color w:val="auto"/>
                <w:lang w:val="en-US" w:eastAsia="zh-CN"/>
              </w:rPr>
              <w:t>0.00012</w:t>
            </w:r>
          </w:p>
        </w:tc>
      </w:tr>
      <w:tr w14:paraId="5F798B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1" w:type="pct"/>
            <w:noWrap w:val="0"/>
            <w:vAlign w:val="center"/>
          </w:tcPr>
          <w:p w14:paraId="410A1BF1">
            <w:pPr>
              <w:pStyle w:val="78"/>
              <w:bidi w:val="0"/>
              <w:rPr>
                <w:rFonts w:hint="default"/>
                <w:color w:val="auto"/>
                <w:highlight w:val="none"/>
                <w:lang w:val="en-US" w:eastAsia="zh-CN"/>
              </w:rPr>
            </w:pPr>
            <w:r>
              <w:rPr>
                <w:rFonts w:hint="eastAsia"/>
                <w:color w:val="auto"/>
                <w:highlight w:val="none"/>
                <w:lang w:val="en-US" w:eastAsia="zh-CN"/>
              </w:rPr>
              <w:t>3</w:t>
            </w:r>
          </w:p>
        </w:tc>
        <w:tc>
          <w:tcPr>
            <w:tcW w:w="978" w:type="pct"/>
            <w:noWrap w:val="0"/>
            <w:vAlign w:val="center"/>
          </w:tcPr>
          <w:p w14:paraId="3C2ED969">
            <w:pPr>
              <w:pStyle w:val="78"/>
              <w:bidi w:val="0"/>
              <w:rPr>
                <w:rFonts w:hint="default"/>
                <w:color w:val="auto"/>
                <w:highlight w:val="none"/>
                <w:lang w:val="en-US" w:eastAsia="zh-CN"/>
              </w:rPr>
            </w:pPr>
            <w:r>
              <w:rPr>
                <w:rFonts w:hint="eastAsia"/>
                <w:color w:val="auto"/>
                <w:highlight w:val="none"/>
                <w:lang w:val="en-US" w:eastAsia="zh-CN"/>
              </w:rPr>
              <w:t>天然气</w:t>
            </w:r>
          </w:p>
        </w:tc>
        <w:tc>
          <w:tcPr>
            <w:tcW w:w="701" w:type="pct"/>
            <w:noWrap w:val="0"/>
            <w:vAlign w:val="center"/>
          </w:tcPr>
          <w:p w14:paraId="502C5AD7">
            <w:pPr>
              <w:pStyle w:val="78"/>
              <w:bidi w:val="0"/>
              <w:rPr>
                <w:rFonts w:hint="default"/>
                <w:color w:val="auto"/>
                <w:highlight w:val="none"/>
                <w:lang w:val="en-US" w:eastAsia="zh-CN"/>
              </w:rPr>
            </w:pPr>
            <w:r>
              <w:rPr>
                <w:rFonts w:hint="eastAsia"/>
                <w:color w:val="auto"/>
                <w:highlight w:val="none"/>
                <w:lang w:val="en-US" w:eastAsia="zh-CN"/>
              </w:rPr>
              <w:t>甲烷</w:t>
            </w:r>
          </w:p>
        </w:tc>
        <w:tc>
          <w:tcPr>
            <w:tcW w:w="778" w:type="pct"/>
            <w:noWrap w:val="0"/>
            <w:vAlign w:val="center"/>
          </w:tcPr>
          <w:p w14:paraId="370090AF">
            <w:pPr>
              <w:pStyle w:val="78"/>
              <w:bidi w:val="0"/>
              <w:rPr>
                <w:rFonts w:hint="eastAsia"/>
                <w:color w:val="auto"/>
                <w:highlight w:val="none"/>
                <w:lang w:val="en-US" w:eastAsia="zh-CN"/>
              </w:rPr>
            </w:pPr>
            <w:r>
              <w:rPr>
                <w:rFonts w:hint="default" w:ascii="Times New Roman" w:hAnsi="Times New Roman" w:cs="Times New Roman" w:eastAsiaTheme="minorEastAsia"/>
                <w:color w:val="auto"/>
                <w:lang w:eastAsia="en-US"/>
              </w:rPr>
              <w:t>74-82-8</w:t>
            </w:r>
          </w:p>
        </w:tc>
        <w:tc>
          <w:tcPr>
            <w:tcW w:w="778" w:type="pct"/>
            <w:noWrap w:val="0"/>
            <w:vAlign w:val="center"/>
          </w:tcPr>
          <w:p w14:paraId="0FBE29D1">
            <w:pPr>
              <w:pStyle w:val="78"/>
              <w:bidi w:val="0"/>
              <w:rPr>
                <w:rFonts w:hint="default"/>
                <w:color w:val="auto"/>
                <w:highlight w:val="none"/>
                <w:lang w:val="en-US" w:eastAsia="zh-CN"/>
              </w:rPr>
            </w:pPr>
            <w:r>
              <w:rPr>
                <w:rFonts w:hint="eastAsia"/>
                <w:color w:val="auto"/>
                <w:highlight w:val="none"/>
                <w:lang w:val="en-US" w:eastAsia="zh-CN"/>
              </w:rPr>
              <w:t>0.044</w:t>
            </w:r>
          </w:p>
        </w:tc>
        <w:tc>
          <w:tcPr>
            <w:tcW w:w="549" w:type="pct"/>
            <w:noWrap w:val="0"/>
            <w:vAlign w:val="center"/>
          </w:tcPr>
          <w:p w14:paraId="3DF86878">
            <w:pPr>
              <w:pStyle w:val="78"/>
              <w:bidi w:val="0"/>
              <w:rPr>
                <w:rFonts w:hint="default" w:eastAsia="宋体"/>
                <w:color w:val="auto"/>
                <w:highlight w:val="none"/>
                <w:lang w:val="en-US" w:eastAsia="zh-CN"/>
              </w:rPr>
            </w:pPr>
            <w:r>
              <w:rPr>
                <w:rFonts w:hint="eastAsia"/>
                <w:color w:val="auto"/>
                <w:highlight w:val="none"/>
                <w:lang w:val="en-US" w:eastAsia="zh-CN"/>
              </w:rPr>
              <w:t>10</w:t>
            </w:r>
          </w:p>
        </w:tc>
        <w:tc>
          <w:tcPr>
            <w:tcW w:w="811" w:type="pct"/>
            <w:noWrap w:val="0"/>
            <w:vAlign w:val="center"/>
          </w:tcPr>
          <w:p w14:paraId="051FA75D">
            <w:pPr>
              <w:pStyle w:val="78"/>
              <w:bidi w:val="0"/>
              <w:rPr>
                <w:rFonts w:hint="default"/>
                <w:color w:val="auto"/>
                <w:lang w:val="en-US" w:eastAsia="zh-CN"/>
              </w:rPr>
            </w:pPr>
            <w:r>
              <w:rPr>
                <w:rFonts w:hint="eastAsia"/>
                <w:color w:val="auto"/>
                <w:lang w:val="en-US" w:eastAsia="zh-CN"/>
              </w:rPr>
              <w:t>0.0044</w:t>
            </w:r>
          </w:p>
        </w:tc>
      </w:tr>
      <w:tr w14:paraId="2BE8FB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1" w:type="pct"/>
            <w:noWrap w:val="0"/>
            <w:vAlign w:val="center"/>
          </w:tcPr>
          <w:p w14:paraId="0C686190">
            <w:pPr>
              <w:pStyle w:val="78"/>
              <w:bidi w:val="0"/>
              <w:rPr>
                <w:rFonts w:hint="default"/>
                <w:color w:val="auto"/>
                <w:highlight w:val="none"/>
                <w:lang w:val="en-US" w:eastAsia="zh-CN"/>
              </w:rPr>
            </w:pPr>
            <w:r>
              <w:rPr>
                <w:rFonts w:hint="eastAsia"/>
                <w:color w:val="auto"/>
                <w:highlight w:val="none"/>
                <w:lang w:val="en-US" w:eastAsia="zh-CN"/>
              </w:rPr>
              <w:t>4</w:t>
            </w:r>
          </w:p>
        </w:tc>
        <w:tc>
          <w:tcPr>
            <w:tcW w:w="978" w:type="pct"/>
            <w:vMerge w:val="restart"/>
            <w:noWrap w:val="0"/>
            <w:vAlign w:val="center"/>
          </w:tcPr>
          <w:p w14:paraId="6499D1AF">
            <w:pPr>
              <w:pStyle w:val="78"/>
              <w:bidi w:val="0"/>
              <w:rPr>
                <w:rFonts w:hint="default"/>
                <w:color w:val="auto"/>
                <w:highlight w:val="none"/>
                <w:lang w:val="en-US" w:eastAsia="zh-CN"/>
              </w:rPr>
            </w:pPr>
            <w:r>
              <w:rPr>
                <w:rFonts w:hint="eastAsia"/>
                <w:color w:val="auto"/>
                <w:highlight w:val="none"/>
                <w:lang w:val="en-US" w:eastAsia="zh-CN"/>
              </w:rPr>
              <w:t>废气</w:t>
            </w:r>
          </w:p>
        </w:tc>
        <w:tc>
          <w:tcPr>
            <w:tcW w:w="701" w:type="pct"/>
            <w:noWrap w:val="0"/>
            <w:vAlign w:val="center"/>
          </w:tcPr>
          <w:p w14:paraId="35A3C9A3">
            <w:pPr>
              <w:pStyle w:val="78"/>
              <w:bidi w:val="0"/>
              <w:rPr>
                <w:rFonts w:hint="eastAsia"/>
                <w:color w:val="auto"/>
                <w:highlight w:val="none"/>
                <w:lang w:val="en-US" w:eastAsia="zh-CN"/>
              </w:rPr>
            </w:pPr>
            <w:r>
              <w:rPr>
                <w:rFonts w:hint="eastAsia"/>
                <w:color w:val="auto"/>
                <w:highlight w:val="none"/>
                <w:lang w:val="en-US" w:eastAsia="zh-CN"/>
              </w:rPr>
              <w:t>甲苯</w:t>
            </w:r>
          </w:p>
        </w:tc>
        <w:tc>
          <w:tcPr>
            <w:tcW w:w="778" w:type="pct"/>
            <w:noWrap w:val="0"/>
            <w:vAlign w:val="center"/>
          </w:tcPr>
          <w:p w14:paraId="24008504">
            <w:pPr>
              <w:pStyle w:val="78"/>
              <w:bidi w:val="0"/>
              <w:rPr>
                <w:rFonts w:hint="default" w:ascii="Times New Roman" w:hAnsi="Times New Roman" w:cs="Times New Roman" w:eastAsiaTheme="minorEastAsia"/>
                <w:color w:val="auto"/>
                <w:lang w:val="en-US" w:eastAsia="zh-CN"/>
              </w:rPr>
            </w:pPr>
            <w:r>
              <w:rPr>
                <w:rFonts w:hint="eastAsia" w:ascii="Times New Roman" w:hAnsi="Times New Roman" w:cs="Times New Roman" w:eastAsiaTheme="minorEastAsia"/>
                <w:color w:val="auto"/>
                <w:lang w:val="en-US" w:eastAsia="zh-CN"/>
              </w:rPr>
              <w:t>108-88-3</w:t>
            </w:r>
          </w:p>
        </w:tc>
        <w:tc>
          <w:tcPr>
            <w:tcW w:w="778" w:type="pct"/>
            <w:noWrap w:val="0"/>
            <w:vAlign w:val="center"/>
          </w:tcPr>
          <w:p w14:paraId="0ECA3BE2">
            <w:pPr>
              <w:pStyle w:val="78"/>
              <w:bidi w:val="0"/>
              <w:rPr>
                <w:rFonts w:hint="default"/>
                <w:color w:val="auto"/>
                <w:highlight w:val="none"/>
                <w:lang w:val="en-US" w:eastAsia="zh-CN"/>
              </w:rPr>
            </w:pPr>
            <w:r>
              <w:rPr>
                <w:rFonts w:hint="eastAsia"/>
                <w:color w:val="auto"/>
                <w:highlight w:val="none"/>
                <w:lang w:val="en-US" w:eastAsia="zh-CN"/>
              </w:rPr>
              <w:t>0.000008</w:t>
            </w:r>
          </w:p>
        </w:tc>
        <w:tc>
          <w:tcPr>
            <w:tcW w:w="549" w:type="pct"/>
            <w:noWrap w:val="0"/>
            <w:vAlign w:val="center"/>
          </w:tcPr>
          <w:p w14:paraId="0FFA3EEE">
            <w:pPr>
              <w:pStyle w:val="78"/>
              <w:bidi w:val="0"/>
              <w:rPr>
                <w:rFonts w:hint="default" w:eastAsia="宋体"/>
                <w:color w:val="auto"/>
                <w:highlight w:val="none"/>
                <w:lang w:val="en-US" w:eastAsia="zh-CN"/>
              </w:rPr>
            </w:pPr>
            <w:r>
              <w:rPr>
                <w:rFonts w:hint="eastAsia"/>
                <w:color w:val="auto"/>
                <w:highlight w:val="none"/>
                <w:lang w:val="en-US" w:eastAsia="zh-CN"/>
              </w:rPr>
              <w:t>10</w:t>
            </w:r>
          </w:p>
        </w:tc>
        <w:tc>
          <w:tcPr>
            <w:tcW w:w="811" w:type="pct"/>
            <w:noWrap w:val="0"/>
            <w:vAlign w:val="center"/>
          </w:tcPr>
          <w:p w14:paraId="01C63DD7">
            <w:pPr>
              <w:pStyle w:val="78"/>
              <w:bidi w:val="0"/>
              <w:rPr>
                <w:rFonts w:hint="eastAsia"/>
                <w:color w:val="auto"/>
                <w:lang w:val="en-US" w:eastAsia="zh-CN"/>
              </w:rPr>
            </w:pPr>
            <w:r>
              <w:rPr>
                <w:rFonts w:hint="eastAsia"/>
                <w:color w:val="auto"/>
                <w:highlight w:val="none"/>
                <w:lang w:val="en-US" w:eastAsia="zh-CN"/>
              </w:rPr>
              <w:t>0.0000008</w:t>
            </w:r>
          </w:p>
        </w:tc>
      </w:tr>
      <w:tr w14:paraId="4ECC39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1" w:type="pct"/>
            <w:noWrap w:val="0"/>
            <w:vAlign w:val="center"/>
          </w:tcPr>
          <w:p w14:paraId="31467645">
            <w:pPr>
              <w:pStyle w:val="78"/>
              <w:bidi w:val="0"/>
              <w:rPr>
                <w:rFonts w:hint="default"/>
                <w:color w:val="auto"/>
                <w:highlight w:val="none"/>
                <w:lang w:val="en-US" w:eastAsia="zh-CN"/>
              </w:rPr>
            </w:pPr>
            <w:r>
              <w:rPr>
                <w:rFonts w:hint="eastAsia"/>
                <w:color w:val="auto"/>
                <w:highlight w:val="none"/>
                <w:lang w:val="en-US" w:eastAsia="zh-CN"/>
              </w:rPr>
              <w:t>5</w:t>
            </w:r>
          </w:p>
        </w:tc>
        <w:tc>
          <w:tcPr>
            <w:tcW w:w="978" w:type="pct"/>
            <w:vMerge w:val="continue"/>
            <w:noWrap w:val="0"/>
            <w:vAlign w:val="center"/>
          </w:tcPr>
          <w:p w14:paraId="24556F33">
            <w:pPr>
              <w:pStyle w:val="78"/>
              <w:bidi w:val="0"/>
              <w:rPr>
                <w:rFonts w:hint="eastAsia"/>
                <w:color w:val="auto"/>
                <w:highlight w:val="none"/>
                <w:lang w:val="en-US" w:eastAsia="zh-CN"/>
              </w:rPr>
            </w:pPr>
          </w:p>
        </w:tc>
        <w:tc>
          <w:tcPr>
            <w:tcW w:w="701" w:type="pct"/>
            <w:noWrap w:val="0"/>
            <w:vAlign w:val="center"/>
          </w:tcPr>
          <w:p w14:paraId="2A48060C">
            <w:pPr>
              <w:pStyle w:val="78"/>
              <w:bidi w:val="0"/>
              <w:rPr>
                <w:rFonts w:hint="default"/>
                <w:color w:val="auto"/>
                <w:highlight w:val="none"/>
                <w:lang w:val="en-US" w:eastAsia="zh-CN"/>
              </w:rPr>
            </w:pPr>
            <w:r>
              <w:rPr>
                <w:rFonts w:hint="eastAsia"/>
                <w:color w:val="auto"/>
                <w:highlight w:val="none"/>
                <w:lang w:val="en-US" w:eastAsia="zh-CN"/>
              </w:rPr>
              <w:t>乙苯</w:t>
            </w:r>
          </w:p>
        </w:tc>
        <w:tc>
          <w:tcPr>
            <w:tcW w:w="778" w:type="pct"/>
            <w:noWrap w:val="0"/>
            <w:vAlign w:val="center"/>
          </w:tcPr>
          <w:p w14:paraId="54F17761">
            <w:pPr>
              <w:pStyle w:val="78"/>
              <w:bidi w:val="0"/>
              <w:rPr>
                <w:rFonts w:hint="default" w:ascii="Times New Roman" w:hAnsi="Times New Roman" w:cs="Times New Roman" w:eastAsiaTheme="minorEastAsia"/>
                <w:color w:val="auto"/>
                <w:lang w:val="en-US" w:eastAsia="zh-CN"/>
              </w:rPr>
            </w:pPr>
            <w:r>
              <w:rPr>
                <w:rFonts w:hint="eastAsia" w:ascii="Times New Roman" w:hAnsi="Times New Roman" w:cs="Times New Roman" w:eastAsiaTheme="minorEastAsia"/>
                <w:color w:val="auto"/>
                <w:lang w:val="en-US" w:eastAsia="zh-CN"/>
              </w:rPr>
              <w:t>100-41-4</w:t>
            </w:r>
          </w:p>
        </w:tc>
        <w:tc>
          <w:tcPr>
            <w:tcW w:w="778" w:type="pct"/>
            <w:noWrap w:val="0"/>
            <w:vAlign w:val="center"/>
          </w:tcPr>
          <w:p w14:paraId="3C2740AD">
            <w:pPr>
              <w:pStyle w:val="78"/>
              <w:bidi w:val="0"/>
              <w:rPr>
                <w:rFonts w:hint="default"/>
                <w:color w:val="auto"/>
                <w:highlight w:val="none"/>
                <w:lang w:val="en-US" w:eastAsia="zh-CN"/>
              </w:rPr>
            </w:pPr>
            <w:r>
              <w:rPr>
                <w:rFonts w:hint="eastAsia"/>
                <w:color w:val="auto"/>
                <w:highlight w:val="none"/>
                <w:lang w:val="en-US" w:eastAsia="zh-CN"/>
              </w:rPr>
              <w:t>0.000004</w:t>
            </w:r>
          </w:p>
        </w:tc>
        <w:tc>
          <w:tcPr>
            <w:tcW w:w="549" w:type="pct"/>
            <w:noWrap w:val="0"/>
            <w:vAlign w:val="center"/>
          </w:tcPr>
          <w:p w14:paraId="1FE37730">
            <w:pPr>
              <w:pStyle w:val="78"/>
              <w:bidi w:val="0"/>
              <w:rPr>
                <w:rFonts w:hint="default" w:eastAsia="宋体"/>
                <w:color w:val="auto"/>
                <w:highlight w:val="none"/>
                <w:lang w:val="en-US" w:eastAsia="zh-CN"/>
              </w:rPr>
            </w:pPr>
            <w:r>
              <w:rPr>
                <w:rFonts w:hint="eastAsia"/>
                <w:color w:val="auto"/>
                <w:highlight w:val="none"/>
                <w:lang w:val="en-US" w:eastAsia="zh-CN"/>
              </w:rPr>
              <w:t>10</w:t>
            </w:r>
          </w:p>
        </w:tc>
        <w:tc>
          <w:tcPr>
            <w:tcW w:w="811" w:type="pct"/>
            <w:noWrap w:val="0"/>
            <w:vAlign w:val="center"/>
          </w:tcPr>
          <w:p w14:paraId="378566E6">
            <w:pPr>
              <w:pStyle w:val="78"/>
              <w:bidi w:val="0"/>
              <w:rPr>
                <w:rFonts w:hint="eastAsia"/>
                <w:color w:val="auto"/>
                <w:lang w:val="en-US" w:eastAsia="zh-CN"/>
              </w:rPr>
            </w:pPr>
            <w:r>
              <w:rPr>
                <w:rFonts w:hint="eastAsia"/>
                <w:color w:val="auto"/>
                <w:highlight w:val="none"/>
                <w:lang w:val="en-US" w:eastAsia="zh-CN"/>
              </w:rPr>
              <w:t>0.0000004</w:t>
            </w:r>
          </w:p>
        </w:tc>
      </w:tr>
      <w:tr w14:paraId="6297BA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88" w:type="pct"/>
            <w:gridSpan w:val="6"/>
            <w:noWrap w:val="0"/>
            <w:vAlign w:val="center"/>
          </w:tcPr>
          <w:p w14:paraId="56E466DF">
            <w:pPr>
              <w:pStyle w:val="78"/>
              <w:bidi w:val="0"/>
              <w:rPr>
                <w:rFonts w:hint="default"/>
                <w:color w:val="auto"/>
                <w:highlight w:val="none"/>
              </w:rPr>
            </w:pPr>
            <w:r>
              <w:rPr>
                <w:rFonts w:hint="default"/>
                <w:color w:val="auto"/>
                <w:highlight w:val="none"/>
              </w:rPr>
              <w:t>项目Q值</w:t>
            </w:r>
          </w:p>
        </w:tc>
        <w:tc>
          <w:tcPr>
            <w:tcW w:w="811" w:type="pct"/>
            <w:noWrap w:val="0"/>
            <w:vAlign w:val="center"/>
          </w:tcPr>
          <w:p w14:paraId="51507BEF">
            <w:pPr>
              <w:pStyle w:val="78"/>
              <w:bidi w:val="0"/>
              <w:rPr>
                <w:rFonts w:hint="default"/>
                <w:color w:val="auto"/>
                <w:highlight w:val="none"/>
                <w:lang w:val="en-US" w:eastAsia="zh-CN"/>
              </w:rPr>
            </w:pPr>
            <w:r>
              <w:rPr>
                <w:rFonts w:hint="eastAsia"/>
                <w:color w:val="auto"/>
                <w:highlight w:val="none"/>
                <w:lang w:val="en-US" w:eastAsia="zh-CN"/>
              </w:rPr>
              <w:t>0.6345212</w:t>
            </w:r>
          </w:p>
        </w:tc>
      </w:tr>
    </w:tbl>
    <w:p w14:paraId="3BAF9D0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3.4.2</w:t>
      </w:r>
      <w:r>
        <w:rPr>
          <w:rFonts w:hint="default" w:ascii="Times New Roman" w:hAnsi="Times New Roman" w:eastAsia="宋体" w:cs="Times New Roman"/>
          <w:b/>
          <w:bCs/>
          <w:snapToGrid w:val="0"/>
          <w:color w:val="auto"/>
          <w:spacing w:val="0"/>
          <w:kern w:val="0"/>
          <w:position w:val="0"/>
          <w:sz w:val="30"/>
          <w:szCs w:val="30"/>
          <w:lang w:val="en-US" w:eastAsia="zh-CN" w:bidi="ar-SA"/>
        </w:rPr>
        <w:t>环境风险类型及危害分析</w:t>
      </w:r>
    </w:p>
    <w:p w14:paraId="299BE0A0">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Arial" w:cs="Times New Roman"/>
          <w:snapToGrid w:val="0"/>
          <w:color w:val="auto"/>
          <w:kern w:val="0"/>
          <w:sz w:val="24"/>
          <w:szCs w:val="24"/>
          <w:lang w:val="en-US" w:eastAsia="en-US" w:bidi="ar-SA"/>
        </w:rPr>
      </w:pPr>
      <w:r>
        <w:rPr>
          <w:rFonts w:hint="default" w:ascii="Times New Roman" w:hAnsi="Times New Roman" w:eastAsia="Arial" w:cs="Times New Roman"/>
          <w:snapToGrid w:val="0"/>
          <w:color w:val="auto"/>
          <w:kern w:val="0"/>
          <w:sz w:val="24"/>
          <w:szCs w:val="24"/>
          <w:lang w:val="en-US" w:eastAsia="en-US" w:bidi="ar-SA"/>
        </w:rPr>
        <w:t>本项目环境风险类型为火灾、爆炸等引发的伴生/次生污染物排放。危险物质主要通过水、大气、地下水、土壤等途径进入环境，影响方式表现为大气环境、地表水环境、地下水环境、土壤等。</w:t>
      </w:r>
    </w:p>
    <w:p w14:paraId="48ECE33D">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3.4.3</w:t>
      </w:r>
      <w:r>
        <w:rPr>
          <w:rFonts w:hint="default" w:ascii="Times New Roman" w:hAnsi="Times New Roman" w:eastAsia="宋体" w:cs="Times New Roman"/>
          <w:b/>
          <w:bCs/>
          <w:snapToGrid w:val="0"/>
          <w:color w:val="auto"/>
          <w:spacing w:val="0"/>
          <w:kern w:val="0"/>
          <w:position w:val="0"/>
          <w:sz w:val="30"/>
          <w:szCs w:val="30"/>
          <w:lang w:val="zh-CN" w:eastAsia="zh-CN" w:bidi="ar-SA"/>
        </w:rPr>
        <w:t>风险识别结果</w:t>
      </w:r>
    </w:p>
    <w:p w14:paraId="095E97C0">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Arial" w:cs="Times New Roman"/>
          <w:snapToGrid w:val="0"/>
          <w:color w:val="auto"/>
          <w:kern w:val="0"/>
          <w:sz w:val="24"/>
          <w:szCs w:val="24"/>
          <w:lang w:val="en-US" w:eastAsia="en-US" w:bidi="ar-SA"/>
        </w:rPr>
      </w:pPr>
      <w:r>
        <w:rPr>
          <w:rFonts w:hint="default" w:ascii="Times New Roman" w:hAnsi="Times New Roman" w:eastAsia="Arial" w:cs="Times New Roman"/>
          <w:snapToGrid w:val="0"/>
          <w:color w:val="auto"/>
          <w:kern w:val="0"/>
          <w:sz w:val="24"/>
          <w:szCs w:val="24"/>
          <w:lang w:val="en-US" w:eastAsia="en-US" w:bidi="ar-SA"/>
        </w:rPr>
        <w:t>根据上述风险识别分析，建设项目风险识别结果见表3.4-</w:t>
      </w:r>
      <w:r>
        <w:rPr>
          <w:rFonts w:hint="eastAsia" w:ascii="Times New Roman" w:hAnsi="Times New Roman" w:eastAsia="Arial" w:cs="Times New Roman"/>
          <w:snapToGrid w:val="0"/>
          <w:color w:val="auto"/>
          <w:kern w:val="0"/>
          <w:sz w:val="24"/>
          <w:szCs w:val="24"/>
          <w:lang w:val="en-US" w:eastAsia="zh-CN" w:bidi="ar-SA"/>
        </w:rPr>
        <w:t>2</w:t>
      </w:r>
      <w:r>
        <w:rPr>
          <w:rFonts w:hint="default" w:ascii="Times New Roman" w:hAnsi="Times New Roman" w:eastAsia="Arial" w:cs="Times New Roman"/>
          <w:snapToGrid w:val="0"/>
          <w:color w:val="auto"/>
          <w:kern w:val="0"/>
          <w:sz w:val="24"/>
          <w:szCs w:val="24"/>
          <w:lang w:val="en-US" w:eastAsia="en-US" w:bidi="ar-SA"/>
        </w:rPr>
        <w:t>。</w:t>
      </w:r>
    </w:p>
    <w:p w14:paraId="377D64C1">
      <w:pPr>
        <w:pStyle w:val="80"/>
        <w:numPr>
          <w:ilvl w:val="0"/>
          <w:numId w:val="0"/>
        </w:numPr>
        <w:spacing w:before="0" w:after="0" w:line="240" w:lineRule="auto"/>
        <w:ind w:leftChars="0"/>
        <w:jc w:val="center"/>
        <w:rPr>
          <w:rFonts w:hint="default" w:ascii="Times New Roman" w:hAnsi="Times New Roman" w:eastAsia="宋体" w:cs="Times New Roman"/>
          <w:b/>
          <w:bCs/>
          <w:snapToGrid w:val="0"/>
          <w:color w:val="auto"/>
          <w:kern w:val="0"/>
          <w:sz w:val="24"/>
          <w:szCs w:val="24"/>
          <w:lang w:val="en-US" w:eastAsia="zh-CN" w:bidi="ar"/>
        </w:rPr>
      </w:pPr>
      <w:r>
        <w:rPr>
          <w:rFonts w:hint="eastAsia" w:ascii="Times New Roman" w:hAnsi="Times New Roman" w:eastAsia="宋体" w:cs="Times New Roman"/>
          <w:b/>
          <w:bCs/>
          <w:snapToGrid w:val="0"/>
          <w:color w:val="auto"/>
          <w:kern w:val="0"/>
          <w:sz w:val="24"/>
          <w:szCs w:val="24"/>
          <w:lang w:val="en-US" w:eastAsia="zh-CN" w:bidi="ar"/>
        </w:rPr>
        <w:t>表3.4-2</w:t>
      </w:r>
      <w:r>
        <w:rPr>
          <w:rFonts w:hint="default" w:ascii="Times New Roman" w:hAnsi="Times New Roman" w:eastAsia="宋体" w:cs="Times New Roman"/>
          <w:b/>
          <w:bCs/>
          <w:snapToGrid w:val="0"/>
          <w:color w:val="auto"/>
          <w:kern w:val="0"/>
          <w:sz w:val="24"/>
          <w:szCs w:val="24"/>
          <w:lang w:val="en-US" w:eastAsia="zh-CN" w:bidi="ar"/>
        </w:rPr>
        <w:t>本项目风险识别结果</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71"/>
        <w:gridCol w:w="1040"/>
        <w:gridCol w:w="1431"/>
        <w:gridCol w:w="2210"/>
        <w:gridCol w:w="2570"/>
      </w:tblGrid>
      <w:tr w14:paraId="151DF6D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5" w:type="pct"/>
            <w:tcBorders>
              <w:tl2br w:val="nil"/>
              <w:tr2bl w:val="nil"/>
            </w:tcBorders>
            <w:vAlign w:val="center"/>
          </w:tcPr>
          <w:p w14:paraId="7327E58F">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危险性物质</w:t>
            </w:r>
          </w:p>
        </w:tc>
        <w:tc>
          <w:tcPr>
            <w:tcW w:w="610" w:type="pct"/>
            <w:tcBorders>
              <w:tl2br w:val="nil"/>
              <w:tr2bl w:val="nil"/>
            </w:tcBorders>
            <w:vAlign w:val="center"/>
          </w:tcPr>
          <w:p w14:paraId="2EE259E9">
            <w:pPr>
              <w:pStyle w:val="83"/>
              <w:spacing w:line="240" w:lineRule="auto"/>
              <w:ind w:left="22" w:right="22"/>
              <w:rPr>
                <w:rFonts w:hint="default" w:ascii="Times New Roman" w:hAnsi="Times New Roman" w:eastAsia="Times New Roman" w:cs="Times New Roman"/>
                <w:color w:val="auto"/>
              </w:rPr>
            </w:pPr>
            <w:r>
              <w:rPr>
                <w:rFonts w:hint="default" w:ascii="Times New Roman" w:hAnsi="Times New Roman" w:cs="Times New Roman"/>
                <w:color w:val="auto"/>
              </w:rPr>
              <w:t>危险单元</w:t>
            </w:r>
          </w:p>
        </w:tc>
        <w:tc>
          <w:tcPr>
            <w:tcW w:w="839" w:type="pct"/>
            <w:tcBorders>
              <w:tl2br w:val="nil"/>
              <w:tr2bl w:val="nil"/>
            </w:tcBorders>
            <w:vAlign w:val="center"/>
          </w:tcPr>
          <w:p w14:paraId="7A4F2277">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主要危险物质</w:t>
            </w:r>
          </w:p>
        </w:tc>
        <w:tc>
          <w:tcPr>
            <w:tcW w:w="1296" w:type="pct"/>
            <w:tcBorders>
              <w:tl2br w:val="nil"/>
              <w:tr2bl w:val="nil"/>
            </w:tcBorders>
            <w:vAlign w:val="center"/>
          </w:tcPr>
          <w:p w14:paraId="3D0EAB51">
            <w:pPr>
              <w:pStyle w:val="83"/>
              <w:spacing w:line="240" w:lineRule="auto"/>
              <w:ind w:left="22" w:right="22"/>
              <w:rPr>
                <w:rFonts w:hint="default" w:ascii="Times New Roman" w:hAnsi="Times New Roman" w:eastAsia="Times New Roman" w:cs="Times New Roman"/>
                <w:color w:val="auto"/>
              </w:rPr>
            </w:pPr>
            <w:r>
              <w:rPr>
                <w:rFonts w:hint="default" w:ascii="Times New Roman" w:hAnsi="Times New Roman" w:cs="Times New Roman"/>
                <w:color w:val="auto"/>
              </w:rPr>
              <w:t>主要风险类型</w:t>
            </w:r>
          </w:p>
        </w:tc>
        <w:tc>
          <w:tcPr>
            <w:tcW w:w="1507" w:type="pct"/>
            <w:tcBorders>
              <w:tl2br w:val="nil"/>
              <w:tr2bl w:val="nil"/>
            </w:tcBorders>
            <w:vAlign w:val="center"/>
          </w:tcPr>
          <w:p w14:paraId="6C43A259">
            <w:pPr>
              <w:pStyle w:val="83"/>
              <w:spacing w:line="240" w:lineRule="auto"/>
              <w:ind w:left="22" w:right="22"/>
              <w:rPr>
                <w:rFonts w:hint="default" w:ascii="Times New Roman" w:hAnsi="Times New Roman" w:eastAsia="Times New Roman" w:cs="Times New Roman"/>
                <w:color w:val="auto"/>
              </w:rPr>
            </w:pPr>
            <w:r>
              <w:rPr>
                <w:rFonts w:hint="default" w:ascii="Times New Roman" w:hAnsi="Times New Roman" w:cs="Times New Roman"/>
                <w:color w:val="auto"/>
              </w:rPr>
              <w:t>环境风险途径</w:t>
            </w:r>
          </w:p>
        </w:tc>
      </w:tr>
      <w:tr w14:paraId="390754F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745" w:type="pct"/>
            <w:tcBorders>
              <w:tl2br w:val="nil"/>
              <w:tr2bl w:val="nil"/>
            </w:tcBorders>
            <w:vAlign w:val="center"/>
          </w:tcPr>
          <w:p w14:paraId="46ACB6BD">
            <w:pPr>
              <w:pStyle w:val="83"/>
              <w:spacing w:line="240" w:lineRule="auto"/>
              <w:ind w:left="22" w:right="22"/>
              <w:rPr>
                <w:rFonts w:hint="default" w:ascii="Times New Roman" w:hAnsi="Times New Roman" w:cs="Times New Roman"/>
                <w:color w:val="auto"/>
              </w:rPr>
            </w:pPr>
            <w:r>
              <w:rPr>
                <w:rFonts w:hint="eastAsia"/>
                <w:color w:val="auto"/>
                <w:highlight w:val="none"/>
                <w:lang w:val="en-US" w:eastAsia="zh-CN"/>
              </w:rPr>
              <w:t>乙酸乙酯</w:t>
            </w:r>
          </w:p>
        </w:tc>
        <w:tc>
          <w:tcPr>
            <w:tcW w:w="610" w:type="pct"/>
            <w:tcBorders>
              <w:tl2br w:val="nil"/>
              <w:tr2bl w:val="nil"/>
            </w:tcBorders>
            <w:vAlign w:val="center"/>
          </w:tcPr>
          <w:p w14:paraId="210F8FCB">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油漆库、</w:t>
            </w:r>
            <w:r>
              <w:rPr>
                <w:rFonts w:hint="eastAsia" w:ascii="Times New Roman" w:hAnsi="Times New Roman" w:eastAsia="宋体" w:cs="Times New Roman"/>
                <w:color w:val="auto"/>
                <w:lang w:val="en-US" w:eastAsia="zh-CN"/>
              </w:rPr>
              <w:t>调漆</w:t>
            </w:r>
            <w:r>
              <w:rPr>
                <w:rFonts w:hint="default" w:ascii="Times New Roman" w:hAnsi="Times New Roman" w:cs="Times New Roman"/>
                <w:color w:val="auto"/>
              </w:rPr>
              <w:t>室、喷漆室</w:t>
            </w:r>
          </w:p>
        </w:tc>
        <w:tc>
          <w:tcPr>
            <w:tcW w:w="839" w:type="pct"/>
            <w:tcBorders>
              <w:tl2br w:val="nil"/>
              <w:tr2bl w:val="nil"/>
            </w:tcBorders>
            <w:vAlign w:val="center"/>
          </w:tcPr>
          <w:p w14:paraId="4E0FCA82">
            <w:pPr>
              <w:pStyle w:val="83"/>
              <w:spacing w:line="240" w:lineRule="auto"/>
              <w:ind w:left="22" w:right="22"/>
              <w:rPr>
                <w:rFonts w:hint="default" w:ascii="Times New Roman" w:hAnsi="Times New Roman" w:cs="Times New Roman"/>
                <w:color w:val="auto"/>
              </w:rPr>
            </w:pPr>
            <w:r>
              <w:rPr>
                <w:rFonts w:hint="eastAsia"/>
                <w:color w:val="auto"/>
                <w:highlight w:val="none"/>
                <w:lang w:val="en-US" w:eastAsia="zh-CN"/>
              </w:rPr>
              <w:t>乙酸乙酯</w:t>
            </w:r>
          </w:p>
        </w:tc>
        <w:tc>
          <w:tcPr>
            <w:tcW w:w="1296" w:type="pct"/>
            <w:tcBorders>
              <w:tl2br w:val="nil"/>
              <w:tr2bl w:val="nil"/>
            </w:tcBorders>
            <w:vAlign w:val="center"/>
          </w:tcPr>
          <w:p w14:paraId="770C0BA2">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火灾、爆炸等引发伴生</w:t>
            </w:r>
            <w:r>
              <w:rPr>
                <w:rFonts w:hint="default" w:ascii="Times New Roman" w:hAnsi="Times New Roman" w:eastAsia="Times New Roman" w:cs="Times New Roman"/>
                <w:color w:val="auto"/>
              </w:rPr>
              <w:t>/</w:t>
            </w:r>
            <w:r>
              <w:rPr>
                <w:rFonts w:hint="default" w:ascii="Times New Roman" w:hAnsi="Times New Roman" w:cs="Times New Roman"/>
                <w:color w:val="auto"/>
              </w:rPr>
              <w:t>次生污染物排放；</w:t>
            </w:r>
          </w:p>
        </w:tc>
        <w:tc>
          <w:tcPr>
            <w:tcW w:w="1507" w:type="pct"/>
            <w:tcBorders>
              <w:tl2br w:val="nil"/>
              <w:tr2bl w:val="nil"/>
            </w:tcBorders>
            <w:vAlign w:val="center"/>
          </w:tcPr>
          <w:p w14:paraId="4BB07250">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火灾、爆炸等引发伴生/次生污染物排放影响大气影响；</w:t>
            </w:r>
          </w:p>
        </w:tc>
      </w:tr>
      <w:tr w14:paraId="3F7637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745" w:type="pct"/>
            <w:tcBorders>
              <w:tl2br w:val="nil"/>
              <w:tr2bl w:val="nil"/>
            </w:tcBorders>
            <w:vAlign w:val="center"/>
          </w:tcPr>
          <w:p w14:paraId="6AB8E2FB">
            <w:pPr>
              <w:pStyle w:val="83"/>
              <w:spacing w:line="240" w:lineRule="auto"/>
              <w:ind w:left="22" w:right="22"/>
              <w:rPr>
                <w:rFonts w:hint="eastAsia" w:ascii="Times New Roman" w:hAnsi="Times New Roman" w:eastAsia="宋体" w:cs="Times New Roman"/>
                <w:color w:val="auto"/>
                <w:lang w:eastAsia="zh-CN"/>
              </w:rPr>
            </w:pPr>
            <w:r>
              <w:rPr>
                <w:rFonts w:hint="default" w:ascii="Times New Roman" w:hAnsi="Times New Roman" w:cs="Times New Roman"/>
                <w:color w:val="auto"/>
              </w:rPr>
              <w:t>废</w:t>
            </w:r>
            <w:r>
              <w:rPr>
                <w:rFonts w:hint="eastAsia" w:ascii="Times New Roman" w:hAnsi="Times New Roman" w:eastAsia="宋体" w:cs="Times New Roman"/>
                <w:color w:val="auto"/>
                <w:lang w:val="en-US" w:eastAsia="zh-CN"/>
              </w:rPr>
              <w:t>矿物油</w:t>
            </w:r>
          </w:p>
        </w:tc>
        <w:tc>
          <w:tcPr>
            <w:tcW w:w="610" w:type="pct"/>
            <w:tcBorders>
              <w:tl2br w:val="nil"/>
              <w:tr2bl w:val="nil"/>
            </w:tcBorders>
            <w:vAlign w:val="center"/>
          </w:tcPr>
          <w:p w14:paraId="60D24245">
            <w:pPr>
              <w:pStyle w:val="83"/>
              <w:spacing w:line="240" w:lineRule="auto"/>
              <w:ind w:left="22" w:right="22"/>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危险废物贮存库</w:t>
            </w:r>
          </w:p>
        </w:tc>
        <w:tc>
          <w:tcPr>
            <w:tcW w:w="839" w:type="pct"/>
            <w:vMerge w:val="restart"/>
            <w:tcBorders>
              <w:tl2br w:val="nil"/>
              <w:tr2bl w:val="nil"/>
            </w:tcBorders>
            <w:vAlign w:val="center"/>
          </w:tcPr>
          <w:p w14:paraId="64A13EA4">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油类物质</w:t>
            </w:r>
          </w:p>
        </w:tc>
        <w:tc>
          <w:tcPr>
            <w:tcW w:w="1296" w:type="pct"/>
            <w:vMerge w:val="restart"/>
            <w:tcBorders>
              <w:tl2br w:val="nil"/>
              <w:tr2bl w:val="nil"/>
            </w:tcBorders>
            <w:vAlign w:val="center"/>
          </w:tcPr>
          <w:p w14:paraId="1E748387">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火灾等引发伴生</w:t>
            </w:r>
            <w:r>
              <w:rPr>
                <w:rFonts w:hint="default" w:ascii="Times New Roman" w:hAnsi="Times New Roman" w:eastAsia="Times New Roman" w:cs="Times New Roman"/>
                <w:color w:val="auto"/>
              </w:rPr>
              <w:t>/</w:t>
            </w:r>
            <w:r>
              <w:rPr>
                <w:rFonts w:hint="default" w:ascii="Times New Roman" w:hAnsi="Times New Roman" w:cs="Times New Roman"/>
                <w:color w:val="auto"/>
              </w:rPr>
              <w:t>次生污染物排放；泄漏引起地下水、土壤污染</w:t>
            </w:r>
          </w:p>
        </w:tc>
        <w:tc>
          <w:tcPr>
            <w:tcW w:w="1507" w:type="pct"/>
            <w:vMerge w:val="restart"/>
            <w:tcBorders>
              <w:tl2br w:val="nil"/>
              <w:tr2bl w:val="nil"/>
            </w:tcBorders>
            <w:vAlign w:val="center"/>
          </w:tcPr>
          <w:p w14:paraId="1106EC91">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火灾等引发伴生/次生污染物排放影响大气影响；泄漏引起地下水、土壤污染</w:t>
            </w:r>
          </w:p>
        </w:tc>
      </w:tr>
      <w:tr w14:paraId="68E926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745" w:type="pct"/>
            <w:tcBorders>
              <w:tl2br w:val="nil"/>
              <w:tr2bl w:val="nil"/>
            </w:tcBorders>
            <w:vAlign w:val="center"/>
          </w:tcPr>
          <w:p w14:paraId="15A83B53">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矿物油</w:t>
            </w:r>
          </w:p>
        </w:tc>
        <w:tc>
          <w:tcPr>
            <w:tcW w:w="610" w:type="pct"/>
            <w:tcBorders>
              <w:tl2br w:val="nil"/>
              <w:tr2bl w:val="nil"/>
            </w:tcBorders>
            <w:vAlign w:val="center"/>
          </w:tcPr>
          <w:p w14:paraId="2B6F7E24">
            <w:pPr>
              <w:pStyle w:val="83"/>
              <w:spacing w:line="240" w:lineRule="auto"/>
              <w:ind w:left="22" w:right="22"/>
              <w:rPr>
                <w:rFonts w:hint="eastAsia" w:ascii="Times New Roman" w:hAnsi="Times New Roman" w:eastAsia="宋体" w:cs="Times New Roman"/>
                <w:color w:val="auto"/>
                <w:lang w:eastAsia="zh-CN"/>
              </w:rPr>
            </w:pPr>
          </w:p>
        </w:tc>
        <w:tc>
          <w:tcPr>
            <w:tcW w:w="839" w:type="pct"/>
            <w:vMerge w:val="continue"/>
            <w:tcBorders>
              <w:tl2br w:val="nil"/>
              <w:tr2bl w:val="nil"/>
            </w:tcBorders>
            <w:vAlign w:val="center"/>
          </w:tcPr>
          <w:p w14:paraId="43C51C51">
            <w:pPr>
              <w:pStyle w:val="83"/>
              <w:spacing w:line="240" w:lineRule="auto"/>
              <w:ind w:left="22" w:right="22"/>
              <w:rPr>
                <w:rFonts w:hint="default" w:ascii="Times New Roman" w:hAnsi="Times New Roman" w:cs="Times New Roman"/>
                <w:color w:val="auto"/>
              </w:rPr>
            </w:pPr>
          </w:p>
        </w:tc>
        <w:tc>
          <w:tcPr>
            <w:tcW w:w="1296" w:type="pct"/>
            <w:vMerge w:val="continue"/>
            <w:tcBorders>
              <w:tl2br w:val="nil"/>
              <w:tr2bl w:val="nil"/>
            </w:tcBorders>
            <w:vAlign w:val="center"/>
          </w:tcPr>
          <w:p w14:paraId="5B011786">
            <w:pPr>
              <w:pStyle w:val="83"/>
              <w:spacing w:line="240" w:lineRule="auto"/>
              <w:ind w:left="22" w:right="22"/>
              <w:rPr>
                <w:rFonts w:hint="default" w:ascii="Times New Roman" w:hAnsi="Times New Roman" w:cs="Times New Roman"/>
                <w:color w:val="auto"/>
              </w:rPr>
            </w:pPr>
          </w:p>
        </w:tc>
        <w:tc>
          <w:tcPr>
            <w:tcW w:w="1507" w:type="pct"/>
            <w:vMerge w:val="continue"/>
            <w:tcBorders>
              <w:tl2br w:val="nil"/>
              <w:tr2bl w:val="nil"/>
            </w:tcBorders>
            <w:vAlign w:val="center"/>
          </w:tcPr>
          <w:p w14:paraId="45EC8D49">
            <w:pPr>
              <w:pStyle w:val="83"/>
              <w:spacing w:line="240" w:lineRule="auto"/>
              <w:ind w:left="22" w:right="22"/>
              <w:rPr>
                <w:rFonts w:hint="default" w:ascii="Times New Roman" w:hAnsi="Times New Roman" w:cs="Times New Roman"/>
                <w:color w:val="auto"/>
              </w:rPr>
            </w:pPr>
          </w:p>
        </w:tc>
      </w:tr>
      <w:tr w14:paraId="368DC1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745" w:type="pct"/>
            <w:tcBorders>
              <w:tl2br w:val="nil"/>
              <w:tr2bl w:val="nil"/>
            </w:tcBorders>
            <w:vAlign w:val="center"/>
          </w:tcPr>
          <w:p w14:paraId="288A74E8">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天然气</w:t>
            </w:r>
          </w:p>
        </w:tc>
        <w:tc>
          <w:tcPr>
            <w:tcW w:w="610" w:type="pct"/>
            <w:tcBorders>
              <w:tl2br w:val="nil"/>
              <w:tr2bl w:val="nil"/>
            </w:tcBorders>
            <w:vAlign w:val="center"/>
          </w:tcPr>
          <w:p w14:paraId="2119939D">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管道</w:t>
            </w:r>
          </w:p>
        </w:tc>
        <w:tc>
          <w:tcPr>
            <w:tcW w:w="839" w:type="pct"/>
            <w:tcBorders>
              <w:tl2br w:val="nil"/>
              <w:tr2bl w:val="nil"/>
            </w:tcBorders>
            <w:vAlign w:val="center"/>
          </w:tcPr>
          <w:p w14:paraId="2C4113EB">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甲烷</w:t>
            </w:r>
          </w:p>
        </w:tc>
        <w:tc>
          <w:tcPr>
            <w:tcW w:w="1296" w:type="pct"/>
            <w:tcBorders>
              <w:tl2br w:val="nil"/>
              <w:tr2bl w:val="nil"/>
            </w:tcBorders>
            <w:vAlign w:val="center"/>
          </w:tcPr>
          <w:p w14:paraId="737BE6BC">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火灾、爆炸等引发伴生</w:t>
            </w:r>
            <w:r>
              <w:rPr>
                <w:rFonts w:hint="default" w:ascii="Times New Roman" w:hAnsi="Times New Roman" w:eastAsia="Times New Roman" w:cs="Times New Roman"/>
                <w:color w:val="auto"/>
              </w:rPr>
              <w:t>/</w:t>
            </w:r>
            <w:r>
              <w:rPr>
                <w:rFonts w:hint="default" w:ascii="Times New Roman" w:hAnsi="Times New Roman" w:cs="Times New Roman"/>
                <w:color w:val="auto"/>
              </w:rPr>
              <w:t>次生污染物排放；</w:t>
            </w:r>
          </w:p>
        </w:tc>
        <w:tc>
          <w:tcPr>
            <w:tcW w:w="1507" w:type="pct"/>
            <w:tcBorders>
              <w:tl2br w:val="nil"/>
              <w:tr2bl w:val="nil"/>
            </w:tcBorders>
            <w:vAlign w:val="center"/>
          </w:tcPr>
          <w:p w14:paraId="5ACC5F61">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火灾、爆炸等引发伴生/次生污染物排放影响大气影响；</w:t>
            </w:r>
          </w:p>
        </w:tc>
      </w:tr>
      <w:tr w14:paraId="190C9A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745" w:type="pct"/>
            <w:tcBorders>
              <w:tl2br w:val="nil"/>
              <w:tr2bl w:val="nil"/>
            </w:tcBorders>
            <w:vAlign w:val="center"/>
          </w:tcPr>
          <w:p w14:paraId="619DFDAA">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甲苯</w:t>
            </w:r>
          </w:p>
        </w:tc>
        <w:tc>
          <w:tcPr>
            <w:tcW w:w="610" w:type="pct"/>
            <w:tcBorders>
              <w:tl2br w:val="nil"/>
              <w:tr2bl w:val="nil"/>
            </w:tcBorders>
            <w:vAlign w:val="center"/>
          </w:tcPr>
          <w:p w14:paraId="676599B9">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注塑车间</w:t>
            </w:r>
          </w:p>
        </w:tc>
        <w:tc>
          <w:tcPr>
            <w:tcW w:w="839" w:type="pct"/>
            <w:tcBorders>
              <w:tl2br w:val="nil"/>
              <w:tr2bl w:val="nil"/>
            </w:tcBorders>
            <w:vAlign w:val="center"/>
          </w:tcPr>
          <w:p w14:paraId="0F305945">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甲苯</w:t>
            </w:r>
          </w:p>
        </w:tc>
        <w:tc>
          <w:tcPr>
            <w:tcW w:w="1296" w:type="pct"/>
            <w:tcBorders>
              <w:tl2br w:val="nil"/>
              <w:tr2bl w:val="nil"/>
            </w:tcBorders>
            <w:vAlign w:val="center"/>
          </w:tcPr>
          <w:p w14:paraId="25805169">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火灾、爆炸等引发伴生/次生污染物排放</w:t>
            </w:r>
          </w:p>
        </w:tc>
        <w:tc>
          <w:tcPr>
            <w:tcW w:w="1507" w:type="pct"/>
            <w:tcBorders>
              <w:tl2br w:val="nil"/>
              <w:tr2bl w:val="nil"/>
            </w:tcBorders>
            <w:vAlign w:val="center"/>
          </w:tcPr>
          <w:p w14:paraId="46E40A96">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火灾、爆炸等引发伴生/次生污染物排放影响大气影响</w:t>
            </w:r>
          </w:p>
        </w:tc>
      </w:tr>
      <w:tr w14:paraId="6DBAD8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745" w:type="pct"/>
            <w:tcBorders>
              <w:tl2br w:val="nil"/>
              <w:tr2bl w:val="nil"/>
            </w:tcBorders>
            <w:shd w:val="clear" w:color="auto" w:fill="auto"/>
            <w:vAlign w:val="center"/>
          </w:tcPr>
          <w:p w14:paraId="244AD0B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乙苯</w:t>
            </w:r>
          </w:p>
        </w:tc>
        <w:tc>
          <w:tcPr>
            <w:tcW w:w="610" w:type="pct"/>
            <w:tcBorders>
              <w:tl2br w:val="nil"/>
              <w:tr2bl w:val="nil"/>
            </w:tcBorders>
            <w:vAlign w:val="center"/>
          </w:tcPr>
          <w:p w14:paraId="2F16BC86">
            <w:pPr>
              <w:pStyle w:val="83"/>
              <w:spacing w:line="240" w:lineRule="auto"/>
              <w:ind w:left="22" w:right="22"/>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val="en-US" w:eastAsia="zh-CN"/>
              </w:rPr>
              <w:t>注塑车间</w:t>
            </w:r>
          </w:p>
        </w:tc>
        <w:tc>
          <w:tcPr>
            <w:tcW w:w="839" w:type="pct"/>
            <w:tcBorders>
              <w:tl2br w:val="nil"/>
              <w:tr2bl w:val="nil"/>
            </w:tcBorders>
            <w:shd w:val="clear" w:color="auto" w:fill="auto"/>
            <w:vAlign w:val="center"/>
          </w:tcPr>
          <w:p w14:paraId="1295C49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乙苯</w:t>
            </w:r>
          </w:p>
        </w:tc>
        <w:tc>
          <w:tcPr>
            <w:tcW w:w="1296" w:type="pct"/>
            <w:tcBorders>
              <w:tl2br w:val="nil"/>
              <w:tr2bl w:val="nil"/>
            </w:tcBorders>
            <w:shd w:val="clear" w:color="auto" w:fill="auto"/>
            <w:vAlign w:val="center"/>
          </w:tcPr>
          <w:p w14:paraId="0E91C0E8">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火灾、爆炸等引发伴生/次生污染物排放</w:t>
            </w:r>
          </w:p>
        </w:tc>
        <w:tc>
          <w:tcPr>
            <w:tcW w:w="1507" w:type="pct"/>
            <w:tcBorders>
              <w:tl2br w:val="nil"/>
              <w:tr2bl w:val="nil"/>
            </w:tcBorders>
            <w:shd w:val="clear" w:color="auto" w:fill="auto"/>
            <w:vAlign w:val="center"/>
          </w:tcPr>
          <w:p w14:paraId="4B300595">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火灾、爆炸等引发伴生/次生污染物排放影响大气影响</w:t>
            </w:r>
          </w:p>
        </w:tc>
      </w:tr>
    </w:tbl>
    <w:p w14:paraId="61853000">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3.4.4</w:t>
      </w:r>
      <w:r>
        <w:rPr>
          <w:rFonts w:hint="default" w:ascii="Times New Roman" w:hAnsi="Times New Roman" w:eastAsia="宋体" w:cs="Times New Roman"/>
          <w:b/>
          <w:bCs/>
          <w:snapToGrid w:val="0"/>
          <w:color w:val="auto"/>
          <w:spacing w:val="0"/>
          <w:kern w:val="0"/>
          <w:position w:val="0"/>
          <w:sz w:val="30"/>
          <w:szCs w:val="30"/>
          <w:lang w:val="zh-CN" w:eastAsia="zh-CN" w:bidi="ar-SA"/>
        </w:rPr>
        <w:t>分析结论</w:t>
      </w:r>
    </w:p>
    <w:p w14:paraId="601B8564">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本项目厂区危险物质最大</w:t>
      </w:r>
      <w:r>
        <w:rPr>
          <w:rFonts w:hint="eastAsia" w:ascii="Times New Roman" w:hAnsi="Times New Roman" w:eastAsia="宋体" w:cs="Times New Roman"/>
          <w:color w:val="auto"/>
          <w:sz w:val="24"/>
          <w:szCs w:val="24"/>
          <w:lang w:val="en-US" w:eastAsia="zh-CN"/>
        </w:rPr>
        <w:t>存在</w:t>
      </w:r>
      <w:r>
        <w:rPr>
          <w:rFonts w:hint="default" w:ascii="Times New Roman" w:hAnsi="Times New Roman" w:cs="Times New Roman"/>
          <w:color w:val="auto"/>
          <w:sz w:val="24"/>
          <w:szCs w:val="24"/>
        </w:rPr>
        <w:t>量Q值小于1，风险潜势为Ⅰ级，项目风险事故情形设定为项目发生火灾、爆炸事故等引发的伴生/次生污染物排放。危险物质主要通过水、大气、地下水、土壤等途径进入环境，影响方式表现为大气环境、地表水环境、地下水环境、土壤等。</w:t>
      </w:r>
    </w:p>
    <w:p w14:paraId="515C79CE">
      <w:pPr>
        <w:pStyle w:val="2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color w:val="auto"/>
          <w:sz w:val="24"/>
          <w:szCs w:val="24"/>
          <w:lang w:val="en-US" w:eastAsia="zh-CN"/>
        </w:rPr>
      </w:pPr>
      <w:r>
        <w:rPr>
          <w:rFonts w:hint="default" w:ascii="Times New Roman" w:hAnsi="Times New Roman" w:cs="Times New Roman"/>
          <w:color w:val="auto"/>
          <w:sz w:val="24"/>
          <w:szCs w:val="24"/>
        </w:rPr>
        <w:t>按照《建设项目环境风险评价技术导则》（HJ169-2018），本项目环境风险为简单分析。</w:t>
      </w:r>
    </w:p>
    <w:p w14:paraId="293CCA73">
      <w:pPr>
        <w:pStyle w:val="30"/>
        <w:rPr>
          <w:rFonts w:hint="eastAsia"/>
          <w:lang w:val="en-US" w:eastAsia="zh-CN"/>
        </w:rPr>
      </w:pPr>
    </w:p>
    <w:p w14:paraId="0FDAE28D">
      <w:pPr>
        <w:bidi w:val="0"/>
        <w:rPr>
          <w:rFonts w:hint="eastAsia"/>
          <w:lang w:val="en-US" w:eastAsia="zh-CN"/>
        </w:rPr>
      </w:pPr>
      <w:r>
        <w:rPr>
          <w:rFonts w:hint="eastAsia"/>
          <w:lang w:val="en-US" w:eastAsia="zh-CN"/>
        </w:rPr>
        <w:br w:type="page"/>
      </w:r>
    </w:p>
    <w:p w14:paraId="60468CFE">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0"/>
        <w:rPr>
          <w:rFonts w:hint="default" w:ascii="Times New Roman" w:hAnsi="Times New Roman" w:eastAsia="微软雅黑" w:cs="Times New Roman"/>
          <w:b w:val="0"/>
          <w:bCs w:val="0"/>
          <w:color w:val="auto"/>
          <w:spacing w:val="0"/>
          <w:position w:val="0"/>
          <w:sz w:val="36"/>
          <w:szCs w:val="36"/>
        </w:rPr>
      </w:pPr>
      <w:bookmarkStart w:id="24" w:name="_Toc309"/>
      <w:r>
        <w:rPr>
          <w:rFonts w:hint="eastAsia" w:ascii="Times New Roman" w:hAnsi="Times New Roman" w:eastAsia="微软雅黑" w:cs="Times New Roman"/>
          <w:b w:val="0"/>
          <w:bCs w:val="0"/>
          <w:color w:val="auto"/>
          <w:spacing w:val="0"/>
          <w:position w:val="0"/>
          <w:sz w:val="36"/>
          <w:szCs w:val="36"/>
          <w:lang w:val="en-US" w:eastAsia="zh-CN"/>
        </w:rPr>
        <w:t>4</w:t>
      </w:r>
      <w:r>
        <w:rPr>
          <w:rFonts w:hint="default" w:ascii="Times New Roman" w:hAnsi="Times New Roman" w:eastAsia="微软雅黑" w:cs="Times New Roman"/>
          <w:b w:val="0"/>
          <w:bCs w:val="0"/>
          <w:color w:val="auto"/>
          <w:spacing w:val="0"/>
          <w:position w:val="0"/>
          <w:sz w:val="36"/>
          <w:szCs w:val="36"/>
          <w:lang w:val="en-US" w:eastAsia="zh-CN"/>
        </w:rPr>
        <w:t xml:space="preserve"> </w:t>
      </w:r>
      <w:r>
        <w:rPr>
          <w:rFonts w:hint="default" w:ascii="Times New Roman" w:hAnsi="Times New Roman" w:eastAsia="微软雅黑" w:cs="Times New Roman"/>
          <w:b w:val="0"/>
          <w:bCs w:val="0"/>
          <w:color w:val="auto"/>
          <w:spacing w:val="0"/>
          <w:position w:val="0"/>
          <w:sz w:val="36"/>
          <w:szCs w:val="36"/>
        </w:rPr>
        <w:t>环境现状调查与评价</w:t>
      </w:r>
      <w:bookmarkEnd w:id="24"/>
    </w:p>
    <w:p w14:paraId="4DB9C478">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6"/>
          <w:sz w:val="32"/>
          <w:szCs w:val="32"/>
          <w:lang w:val="en-US" w:eastAsia="zh-CN"/>
        </w:rPr>
      </w:pPr>
      <w:bookmarkStart w:id="25" w:name="_Toc193"/>
      <w:r>
        <w:rPr>
          <w:rFonts w:hint="eastAsia" w:ascii="Times New Roman" w:hAnsi="Times New Roman" w:eastAsia="微软雅黑" w:cs="Times New Roman"/>
          <w:color w:val="auto"/>
          <w:spacing w:val="6"/>
          <w:sz w:val="32"/>
          <w:szCs w:val="32"/>
          <w:lang w:val="en-US" w:eastAsia="zh-CN"/>
        </w:rPr>
        <w:t>4</w:t>
      </w:r>
      <w:r>
        <w:rPr>
          <w:rFonts w:hint="default" w:ascii="Times New Roman" w:hAnsi="Times New Roman" w:eastAsia="微软雅黑" w:cs="Times New Roman"/>
          <w:color w:val="auto"/>
          <w:spacing w:val="6"/>
          <w:sz w:val="32"/>
          <w:szCs w:val="32"/>
          <w:lang w:val="en-US" w:eastAsia="zh-CN"/>
        </w:rPr>
        <w:t>.1 自然环境</w:t>
      </w:r>
      <w:r>
        <w:rPr>
          <w:rFonts w:hint="eastAsia" w:ascii="Times New Roman" w:hAnsi="Times New Roman" w:eastAsia="微软雅黑" w:cs="Times New Roman"/>
          <w:color w:val="auto"/>
          <w:spacing w:val="6"/>
          <w:sz w:val="32"/>
          <w:szCs w:val="32"/>
          <w:lang w:val="en-US" w:eastAsia="zh-CN"/>
        </w:rPr>
        <w:t>概况</w:t>
      </w:r>
      <w:bookmarkEnd w:id="25"/>
    </w:p>
    <w:p w14:paraId="2D66DAFF">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4</w:t>
      </w:r>
      <w:r>
        <w:rPr>
          <w:rFonts w:hint="default" w:ascii="Times New Roman" w:hAnsi="Times New Roman" w:eastAsia="宋体" w:cs="Times New Roman"/>
          <w:b/>
          <w:bCs/>
          <w:snapToGrid w:val="0"/>
          <w:color w:val="auto"/>
          <w:spacing w:val="0"/>
          <w:kern w:val="0"/>
          <w:position w:val="0"/>
          <w:sz w:val="30"/>
          <w:szCs w:val="30"/>
          <w:lang w:val="en-US" w:eastAsia="zh-CN" w:bidi="ar-SA"/>
        </w:rPr>
        <w:t>.1.1</w:t>
      </w:r>
      <w:r>
        <w:rPr>
          <w:rFonts w:hint="eastAsia" w:ascii="Times New Roman" w:hAnsi="Times New Roman" w:eastAsia="宋体" w:cs="Times New Roman"/>
          <w:b/>
          <w:bCs/>
          <w:snapToGrid w:val="0"/>
          <w:color w:val="auto"/>
          <w:spacing w:val="0"/>
          <w:kern w:val="0"/>
          <w:position w:val="0"/>
          <w:sz w:val="30"/>
          <w:szCs w:val="30"/>
          <w:lang w:val="en-US" w:eastAsia="zh-CN" w:bidi="ar-SA"/>
        </w:rPr>
        <w:t>地理位置</w:t>
      </w:r>
    </w:p>
    <w:p w14:paraId="664E2E68">
      <w:pPr>
        <w:keepNext w:val="0"/>
        <w:keepLines w:val="0"/>
        <w:pageBreakBefore w:val="0"/>
        <w:widowControl w:val="0"/>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五常市位于黑龙江省南部，东靠张广才岭，西、北接壤松嫩平原；南、西南与吉林省榆树市、舒兰市、蛟河市为邻，东、东南与敦</w:t>
      </w:r>
      <w:r>
        <w:rPr>
          <w:rFonts w:hint="default" w:ascii="Times New Roman" w:hAnsi="Times New Roman" w:cs="Times New Roman"/>
          <w:kern w:val="0"/>
          <w:sz w:val="24"/>
          <w:szCs w:val="24"/>
          <w:lang w:eastAsia="zh-CN"/>
        </w:rPr>
        <w:t>化市</w:t>
      </w:r>
      <w:r>
        <w:rPr>
          <w:rFonts w:hint="default" w:ascii="Times New Roman" w:hAnsi="Times New Roman" w:eastAsia="宋体" w:cs="Times New Roman"/>
          <w:kern w:val="0"/>
          <w:sz w:val="24"/>
          <w:szCs w:val="24"/>
        </w:rPr>
        <w:t>、海林市、尚志市接壤，东南部与吉林省延边朝鲜族自治州隔山相望，北依阿城</w:t>
      </w:r>
      <w:r>
        <w:rPr>
          <w:rFonts w:hint="eastAsia" w:ascii="Times New Roman" w:hAnsi="Times New Roman" w:eastAsia="宋体" w:cs="Times New Roman"/>
          <w:kern w:val="0"/>
          <w:sz w:val="24"/>
          <w:szCs w:val="24"/>
          <w:lang w:val="en-US" w:eastAsia="zh-CN"/>
        </w:rPr>
        <w:t>区</w:t>
      </w:r>
      <w:r>
        <w:rPr>
          <w:rFonts w:hint="default" w:ascii="Times New Roman" w:hAnsi="Times New Roman" w:eastAsia="宋体" w:cs="Times New Roman"/>
          <w:kern w:val="0"/>
          <w:sz w:val="24"/>
          <w:szCs w:val="24"/>
        </w:rPr>
        <w:t>，西北与双城</w:t>
      </w:r>
      <w:r>
        <w:rPr>
          <w:rFonts w:hint="eastAsia" w:ascii="Times New Roman" w:hAnsi="Times New Roman" w:eastAsia="宋体" w:cs="Times New Roman"/>
          <w:kern w:val="0"/>
          <w:sz w:val="24"/>
          <w:szCs w:val="24"/>
          <w:lang w:val="en-US" w:eastAsia="zh-CN"/>
        </w:rPr>
        <w:t>区</w:t>
      </w:r>
      <w:r>
        <w:rPr>
          <w:rFonts w:hint="default" w:ascii="Times New Roman" w:hAnsi="Times New Roman" w:eastAsia="宋体" w:cs="Times New Roman"/>
          <w:kern w:val="0"/>
          <w:sz w:val="24"/>
          <w:szCs w:val="24"/>
        </w:rPr>
        <w:t>毗邻。地理坐标为东经126°33′～128°14′，北纬44°04′～45°26′。五常市区位于市域中部偏西，北距哈尔滨市110km，南距吉林市165km。</w:t>
      </w:r>
    </w:p>
    <w:p w14:paraId="545104F5">
      <w:pPr>
        <w:keepNext w:val="0"/>
        <w:keepLines w:val="0"/>
        <w:pageBreakBefore w:val="0"/>
        <w:widowControl w:val="0"/>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FF0000"/>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本项目位于</w:t>
      </w:r>
      <w:r>
        <w:rPr>
          <w:rFonts w:hint="eastAsia" w:ascii="Times New Roman" w:hAnsi="Times New Roman" w:cs="Times New Roman"/>
          <w:color w:val="auto"/>
          <w:spacing w:val="15"/>
          <w:sz w:val="24"/>
          <w:szCs w:val="23"/>
          <w:highlight w:val="none"/>
          <w:lang w:val="en-US" w:eastAsia="zh-CN"/>
        </w:rPr>
        <w:t>黑龙江五常经济开发区</w:t>
      </w:r>
      <w:r>
        <w:rPr>
          <w:rFonts w:hint="default" w:ascii="Times New Roman" w:hAnsi="Times New Roman" w:eastAsia="宋体" w:cs="Times New Roman"/>
          <w:snapToGrid w:val="0"/>
          <w:color w:val="auto"/>
          <w:kern w:val="0"/>
          <w:sz w:val="24"/>
          <w:szCs w:val="24"/>
          <w:lang w:val="en-US" w:eastAsia="zh-CN" w:bidi="ar"/>
        </w:rPr>
        <w:t>，坐标:东经:126°43′33.163″，北纬:45°25′47.075</w:t>
      </w:r>
      <w:r>
        <w:rPr>
          <w:rFonts w:hint="default" w:ascii="Times New Roman" w:hAnsi="Times New Roman" w:eastAsia="宋体" w:cs="Times New Roman"/>
          <w:snapToGrid w:val="0"/>
          <w:color w:val="auto"/>
          <w:kern w:val="0"/>
          <w:sz w:val="24"/>
          <w:szCs w:val="24"/>
          <w:highlight w:val="none"/>
          <w:lang w:val="en-US" w:eastAsia="zh-CN" w:bidi="ar"/>
        </w:rPr>
        <w:t>″。厂区东北侧为哈尔滨振飞科技工业有限公司，东南侧</w:t>
      </w:r>
      <w:r>
        <w:rPr>
          <w:rFonts w:hint="eastAsia" w:ascii="Times New Roman" w:hAnsi="Times New Roman" w:eastAsia="宋体" w:cs="Times New Roman"/>
          <w:snapToGrid w:val="0"/>
          <w:color w:val="auto"/>
          <w:kern w:val="0"/>
          <w:sz w:val="24"/>
          <w:szCs w:val="24"/>
          <w:highlight w:val="none"/>
          <w:lang w:val="en-US" w:eastAsia="zh-CN" w:bidi="ar"/>
        </w:rPr>
        <w:t>隔宁波街（支路）</w:t>
      </w:r>
      <w:r>
        <w:rPr>
          <w:rFonts w:hint="default" w:ascii="Times New Roman" w:hAnsi="Times New Roman" w:eastAsia="宋体" w:cs="Times New Roman"/>
          <w:snapToGrid w:val="0"/>
          <w:color w:val="auto"/>
          <w:kern w:val="0"/>
          <w:sz w:val="24"/>
          <w:szCs w:val="24"/>
          <w:highlight w:val="none"/>
          <w:lang w:val="en-US" w:eastAsia="zh-CN" w:bidi="ar"/>
        </w:rPr>
        <w:t>为</w:t>
      </w:r>
      <w:r>
        <w:rPr>
          <w:rFonts w:hint="eastAsia" w:ascii="Times New Roman" w:hAnsi="Times New Roman" w:eastAsia="宋体" w:cs="Times New Roman"/>
          <w:snapToGrid w:val="0"/>
          <w:color w:val="auto"/>
          <w:kern w:val="0"/>
          <w:sz w:val="24"/>
          <w:szCs w:val="24"/>
          <w:highlight w:val="none"/>
          <w:lang w:val="en-US" w:eastAsia="zh-CN" w:bidi="ar"/>
        </w:rPr>
        <w:t>耕地</w:t>
      </w:r>
      <w:r>
        <w:rPr>
          <w:rFonts w:hint="default" w:ascii="Times New Roman" w:hAnsi="Times New Roman" w:eastAsia="宋体" w:cs="Times New Roman"/>
          <w:snapToGrid w:val="0"/>
          <w:color w:val="auto"/>
          <w:kern w:val="0"/>
          <w:sz w:val="24"/>
          <w:szCs w:val="24"/>
          <w:highlight w:val="none"/>
          <w:lang w:val="en-US" w:eastAsia="zh-CN" w:bidi="ar"/>
        </w:rPr>
        <w:t>，西南侧隔滨南路（支路）为耕地，西北侧为黑龙江浩鑫科技发展有限公司。</w:t>
      </w:r>
    </w:p>
    <w:p w14:paraId="10BFC5CE">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4</w:t>
      </w:r>
      <w:r>
        <w:rPr>
          <w:rFonts w:hint="default" w:ascii="Times New Roman" w:hAnsi="Times New Roman" w:eastAsia="宋体" w:cs="Times New Roman"/>
          <w:b/>
          <w:bCs/>
          <w:snapToGrid w:val="0"/>
          <w:color w:val="auto"/>
          <w:spacing w:val="0"/>
          <w:kern w:val="0"/>
          <w:position w:val="0"/>
          <w:sz w:val="30"/>
          <w:szCs w:val="30"/>
          <w:lang w:val="en-US" w:eastAsia="zh-CN" w:bidi="ar-SA"/>
        </w:rPr>
        <w:t>.1.2</w:t>
      </w:r>
      <w:r>
        <w:rPr>
          <w:rFonts w:hint="eastAsia" w:ascii="Times New Roman" w:hAnsi="Times New Roman" w:eastAsia="宋体" w:cs="Times New Roman"/>
          <w:b/>
          <w:bCs/>
          <w:snapToGrid w:val="0"/>
          <w:color w:val="auto"/>
          <w:spacing w:val="0"/>
          <w:kern w:val="0"/>
          <w:position w:val="0"/>
          <w:sz w:val="30"/>
          <w:szCs w:val="30"/>
          <w:lang w:val="en-US" w:eastAsia="zh-CN" w:bidi="ar-SA"/>
        </w:rPr>
        <w:t>地形地貌</w:t>
      </w:r>
    </w:p>
    <w:p w14:paraId="3B9C3213">
      <w:pPr>
        <w:keepNext w:val="0"/>
        <w:keepLines w:val="0"/>
        <w:pageBreakBefore w:val="0"/>
        <w:widowControl w:val="0"/>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五常市素有“六山一水半草二分半田”之称。市域内中山面积达481km</w:t>
      </w:r>
      <w:r>
        <w:rPr>
          <w:rFonts w:hint="eastAsia" w:ascii="Times New Roman" w:hAnsi="Times New Roman" w:eastAsia="宋体" w:cs="Times New Roman"/>
          <w:snapToGrid w:val="0"/>
          <w:color w:val="auto"/>
          <w:kern w:val="0"/>
          <w:sz w:val="24"/>
          <w:szCs w:val="24"/>
          <w:vertAlign w:val="superscript"/>
          <w:lang w:val="en-US" w:eastAsia="zh-CN" w:bidi="ar"/>
        </w:rPr>
        <w:t>2</w:t>
      </w:r>
      <w:r>
        <w:rPr>
          <w:rFonts w:hint="default" w:ascii="Times New Roman" w:hAnsi="Times New Roman" w:eastAsia="宋体" w:cs="Times New Roman"/>
          <w:snapToGrid w:val="0"/>
          <w:color w:val="auto"/>
          <w:kern w:val="0"/>
          <w:sz w:val="24"/>
          <w:szCs w:val="24"/>
          <w:lang w:val="en-US" w:eastAsia="zh-CN" w:bidi="ar"/>
        </w:rPr>
        <w:t>，占总面积的6.4%，低山面积1653km</w:t>
      </w:r>
      <w:r>
        <w:rPr>
          <w:rFonts w:hint="eastAsia" w:ascii="Times New Roman" w:hAnsi="Times New Roman" w:eastAsia="宋体" w:cs="Times New Roman"/>
          <w:snapToGrid w:val="0"/>
          <w:color w:val="auto"/>
          <w:kern w:val="0"/>
          <w:sz w:val="24"/>
          <w:szCs w:val="24"/>
          <w:vertAlign w:val="superscript"/>
          <w:lang w:val="en-US" w:eastAsia="zh-CN" w:bidi="ar"/>
        </w:rPr>
        <w:t>2</w:t>
      </w:r>
      <w:r>
        <w:rPr>
          <w:rFonts w:hint="default" w:ascii="Times New Roman" w:hAnsi="Times New Roman" w:eastAsia="宋体" w:cs="Times New Roman"/>
          <w:snapToGrid w:val="0"/>
          <w:color w:val="auto"/>
          <w:kern w:val="0"/>
          <w:sz w:val="24"/>
          <w:szCs w:val="24"/>
          <w:lang w:val="en-US" w:eastAsia="zh-CN" w:bidi="ar"/>
        </w:rPr>
        <w:t>，占总面积的22%，丘陵面积1118km</w:t>
      </w:r>
      <w:r>
        <w:rPr>
          <w:rFonts w:hint="eastAsia" w:ascii="Times New Roman" w:hAnsi="Times New Roman" w:eastAsia="宋体" w:cs="Times New Roman"/>
          <w:snapToGrid w:val="0"/>
          <w:color w:val="auto"/>
          <w:kern w:val="0"/>
          <w:sz w:val="24"/>
          <w:szCs w:val="24"/>
          <w:vertAlign w:val="superscript"/>
          <w:lang w:val="en-US" w:eastAsia="zh-CN" w:bidi="ar"/>
        </w:rPr>
        <w:t>2</w:t>
      </w:r>
      <w:r>
        <w:rPr>
          <w:rFonts w:hint="default" w:ascii="Times New Roman" w:hAnsi="Times New Roman" w:eastAsia="宋体" w:cs="Times New Roman"/>
          <w:snapToGrid w:val="0"/>
          <w:color w:val="auto"/>
          <w:kern w:val="0"/>
          <w:sz w:val="24"/>
          <w:szCs w:val="24"/>
          <w:lang w:val="en-US" w:eastAsia="zh-CN" w:bidi="ar"/>
        </w:rPr>
        <w:t>，占总面积的14.9%，高平原面积2270km</w:t>
      </w:r>
      <w:r>
        <w:rPr>
          <w:rFonts w:hint="eastAsia" w:ascii="Times New Roman" w:hAnsi="Times New Roman" w:eastAsia="宋体" w:cs="Times New Roman"/>
          <w:snapToGrid w:val="0"/>
          <w:color w:val="auto"/>
          <w:kern w:val="0"/>
          <w:sz w:val="24"/>
          <w:szCs w:val="24"/>
          <w:vertAlign w:val="superscript"/>
          <w:lang w:val="en-US" w:eastAsia="zh-CN" w:bidi="ar"/>
        </w:rPr>
        <w:t>2</w:t>
      </w:r>
      <w:r>
        <w:rPr>
          <w:rFonts w:hint="default" w:ascii="Times New Roman" w:hAnsi="Times New Roman" w:eastAsia="宋体" w:cs="Times New Roman"/>
          <w:snapToGrid w:val="0"/>
          <w:color w:val="auto"/>
          <w:kern w:val="0"/>
          <w:sz w:val="24"/>
          <w:szCs w:val="24"/>
          <w:lang w:val="en-US" w:eastAsia="zh-CN" w:bidi="ar"/>
        </w:rPr>
        <w:t>，占总面积的30.2%，堆积谷平原面积323km</w:t>
      </w:r>
      <w:r>
        <w:rPr>
          <w:rFonts w:hint="eastAsia" w:ascii="Times New Roman" w:hAnsi="Times New Roman" w:eastAsia="宋体" w:cs="Times New Roman"/>
          <w:snapToGrid w:val="0"/>
          <w:color w:val="auto"/>
          <w:kern w:val="0"/>
          <w:sz w:val="24"/>
          <w:szCs w:val="24"/>
          <w:vertAlign w:val="superscript"/>
          <w:lang w:val="en-US" w:eastAsia="zh-CN" w:bidi="ar"/>
        </w:rPr>
        <w:t>2</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占总面积4.3%，冲积平原面积1667km</w:t>
      </w:r>
      <w:r>
        <w:rPr>
          <w:rFonts w:hint="eastAsia" w:ascii="Times New Roman" w:hAnsi="Times New Roman" w:eastAsia="宋体" w:cs="Times New Roman"/>
          <w:snapToGrid w:val="0"/>
          <w:color w:val="auto"/>
          <w:kern w:val="0"/>
          <w:sz w:val="24"/>
          <w:szCs w:val="24"/>
          <w:vertAlign w:val="superscript"/>
          <w:lang w:val="en-US" w:eastAsia="zh-CN" w:bidi="ar"/>
        </w:rPr>
        <w:t>2</w:t>
      </w:r>
      <w:r>
        <w:rPr>
          <w:rFonts w:hint="default" w:ascii="Times New Roman" w:hAnsi="Times New Roman" w:eastAsia="宋体" w:cs="Times New Roman"/>
          <w:snapToGrid w:val="0"/>
          <w:color w:val="auto"/>
          <w:kern w:val="0"/>
          <w:sz w:val="24"/>
          <w:szCs w:val="24"/>
          <w:lang w:val="en-US" w:eastAsia="zh-CN" w:bidi="ar"/>
        </w:rPr>
        <w:t>，占总面积的22.2%。中山、低山、丘陵面积3252km</w:t>
      </w:r>
      <w:r>
        <w:rPr>
          <w:rFonts w:hint="eastAsia" w:ascii="Times New Roman" w:hAnsi="Times New Roman" w:eastAsia="宋体" w:cs="Times New Roman"/>
          <w:snapToGrid w:val="0"/>
          <w:color w:val="auto"/>
          <w:kern w:val="0"/>
          <w:sz w:val="24"/>
          <w:szCs w:val="24"/>
          <w:vertAlign w:val="superscript"/>
          <w:lang w:val="en-US" w:eastAsia="zh-CN" w:bidi="ar"/>
        </w:rPr>
        <w:t>2</w:t>
      </w:r>
      <w:r>
        <w:rPr>
          <w:rFonts w:hint="default" w:ascii="Times New Roman" w:hAnsi="Times New Roman" w:eastAsia="宋体" w:cs="Times New Roman"/>
          <w:snapToGrid w:val="0"/>
          <w:color w:val="auto"/>
          <w:kern w:val="0"/>
          <w:sz w:val="24"/>
          <w:szCs w:val="24"/>
          <w:lang w:val="en-US" w:eastAsia="zh-CN" w:bidi="ar"/>
        </w:rPr>
        <w:t>，占总面积的43.9%，高平原、平原、河谷平原面积4260km</w:t>
      </w:r>
      <w:r>
        <w:rPr>
          <w:rFonts w:hint="eastAsia" w:ascii="Times New Roman" w:hAnsi="Times New Roman" w:eastAsia="宋体" w:cs="Times New Roman"/>
          <w:snapToGrid w:val="0"/>
          <w:color w:val="auto"/>
          <w:kern w:val="0"/>
          <w:sz w:val="24"/>
          <w:szCs w:val="24"/>
          <w:vertAlign w:val="superscript"/>
          <w:lang w:val="en-US" w:eastAsia="zh-CN" w:bidi="ar"/>
        </w:rPr>
        <w:t>2</w:t>
      </w:r>
      <w:r>
        <w:rPr>
          <w:rFonts w:hint="default" w:ascii="Times New Roman" w:hAnsi="Times New Roman" w:eastAsia="宋体" w:cs="Times New Roman"/>
          <w:snapToGrid w:val="0"/>
          <w:color w:val="auto"/>
          <w:kern w:val="0"/>
          <w:sz w:val="24"/>
          <w:szCs w:val="24"/>
          <w:lang w:val="en-US" w:eastAsia="zh-CN" w:bidi="ar"/>
        </w:rPr>
        <w:t>，占总面积56.7%，水面183.7km</w:t>
      </w:r>
      <w:r>
        <w:rPr>
          <w:rFonts w:hint="eastAsia" w:ascii="Times New Roman" w:hAnsi="Times New Roman" w:eastAsia="宋体" w:cs="Times New Roman"/>
          <w:snapToGrid w:val="0"/>
          <w:color w:val="auto"/>
          <w:kern w:val="0"/>
          <w:sz w:val="24"/>
          <w:szCs w:val="24"/>
          <w:vertAlign w:val="superscript"/>
          <w:lang w:val="en-US" w:eastAsia="zh-CN" w:bidi="ar"/>
        </w:rPr>
        <w:t>2</w:t>
      </w:r>
      <w:r>
        <w:rPr>
          <w:rFonts w:hint="default" w:ascii="Times New Roman" w:hAnsi="Times New Roman" w:eastAsia="宋体" w:cs="Times New Roman"/>
          <w:snapToGrid w:val="0"/>
          <w:color w:val="auto"/>
          <w:kern w:val="0"/>
          <w:sz w:val="24"/>
          <w:szCs w:val="24"/>
          <w:lang w:val="en-US" w:eastAsia="zh-CN" w:bidi="ar"/>
        </w:rPr>
        <w:t>，占全市总面积的2.5%。</w:t>
      </w:r>
    </w:p>
    <w:p w14:paraId="0C8313D2">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4</w:t>
      </w:r>
      <w:r>
        <w:rPr>
          <w:rFonts w:hint="default" w:ascii="Times New Roman" w:hAnsi="Times New Roman" w:eastAsia="宋体" w:cs="Times New Roman"/>
          <w:b/>
          <w:bCs/>
          <w:snapToGrid w:val="0"/>
          <w:color w:val="auto"/>
          <w:spacing w:val="0"/>
          <w:kern w:val="0"/>
          <w:position w:val="0"/>
          <w:sz w:val="30"/>
          <w:szCs w:val="30"/>
          <w:lang w:val="en-US" w:eastAsia="zh-CN" w:bidi="ar-SA"/>
        </w:rPr>
        <w:t>.1.</w:t>
      </w:r>
      <w:r>
        <w:rPr>
          <w:rFonts w:hint="eastAsia" w:ascii="Times New Roman" w:hAnsi="Times New Roman" w:eastAsia="宋体" w:cs="Times New Roman"/>
          <w:b/>
          <w:bCs/>
          <w:snapToGrid w:val="0"/>
          <w:color w:val="auto"/>
          <w:spacing w:val="0"/>
          <w:kern w:val="0"/>
          <w:position w:val="0"/>
          <w:sz w:val="30"/>
          <w:szCs w:val="30"/>
          <w:lang w:val="en-US" w:eastAsia="zh-CN" w:bidi="ar-SA"/>
        </w:rPr>
        <w:t>3气候气象</w:t>
      </w:r>
    </w:p>
    <w:p w14:paraId="250CE7F5">
      <w:pPr>
        <w:keepNext w:val="0"/>
        <w:keepLines w:val="0"/>
        <w:pageBreakBefore w:val="0"/>
        <w:widowControl w:val="0"/>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
        </w:rPr>
      </w:pPr>
      <w:r>
        <w:rPr>
          <w:rFonts w:hint="eastAsia" w:ascii="Times New Roman" w:hAnsi="Times New Roman" w:eastAsia="宋体" w:cs="Times New Roman"/>
          <w:snapToGrid w:val="0"/>
          <w:color w:val="auto"/>
          <w:kern w:val="0"/>
          <w:sz w:val="24"/>
          <w:szCs w:val="24"/>
          <w:lang w:val="en-US" w:eastAsia="zh-CN" w:bidi="ar"/>
        </w:rPr>
        <w:t>五常市地处中纬度，属中温大陆性季风气候，四季明显，冬季炎热，春秋适中。年降水量在600-700毫米；降水多集中于六、七月份。每年冬季和春季降水量少夏季多雷雨，水位上涨，进入汛期，往往发生春早夏夏涝，秋季冷空气活动频繁降温较快，寒潮来得早易发生早霜灾害。年活动积温在2500℃。一般出初霜在九月中、下旬，无霜期一百三十五天到一百四十天。年平均日照在2200小时到2600小时。冬季平均气温可达零下20℃左右，最低温度可达零下35℃左右；春秋两季平均气温在18℃左右；夏季气候炎热，最高气温达35℃以上，常年有雷雨。全年风向频率以西南风最多，平均风速为3-4米/秒，春秋多西南风。夏季多南风冬季多西北风或偏北风，风力一般2-3级，最大可达6-7级。</w:t>
      </w:r>
    </w:p>
    <w:p w14:paraId="2132DDE1">
      <w:pPr>
        <w:bidi w:val="0"/>
        <w:jc w:val="center"/>
        <w:rPr>
          <w:rFonts w:hint="default"/>
          <w:lang w:val="en-US" w:eastAsia="zh-CN"/>
        </w:rPr>
      </w:pPr>
      <w:r>
        <w:drawing>
          <wp:inline distT="0" distB="0" distL="114300" distR="114300">
            <wp:extent cx="3695065" cy="4894580"/>
            <wp:effectExtent l="0" t="0" r="635" b="1270"/>
            <wp:docPr id="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
                    <pic:cNvPicPr>
                      <a:picLocks noChangeAspect="1"/>
                    </pic:cNvPicPr>
                  </pic:nvPicPr>
                  <pic:blipFill>
                    <a:blip r:embed="rId80"/>
                    <a:stretch>
                      <a:fillRect/>
                    </a:stretch>
                  </pic:blipFill>
                  <pic:spPr>
                    <a:xfrm>
                      <a:off x="0" y="0"/>
                      <a:ext cx="3695065" cy="4894580"/>
                    </a:xfrm>
                    <a:prstGeom prst="rect">
                      <a:avLst/>
                    </a:prstGeom>
                    <a:noFill/>
                    <a:ln>
                      <a:noFill/>
                    </a:ln>
                  </pic:spPr>
                </pic:pic>
              </a:graphicData>
            </a:graphic>
          </wp:inline>
        </w:drawing>
      </w:r>
    </w:p>
    <w:p w14:paraId="5F9D9C0E">
      <w:pPr>
        <w:keepNext w:val="0"/>
        <w:keepLines w:val="0"/>
        <w:pageBreakBefore w:val="0"/>
        <w:widowControl/>
        <w:numPr>
          <w:ilvl w:val="0"/>
          <w:numId w:val="0"/>
        </w:numPr>
        <w:tabs>
          <w:tab w:val="left" w:pos="377"/>
        </w:tabs>
        <w:kinsoku/>
        <w:wordWrap/>
        <w:overflowPunct/>
        <w:topLinePunct w:val="0"/>
        <w:autoSpaceDE/>
        <w:autoSpaceDN/>
        <w:bidi w:val="0"/>
        <w:adjustRightInd/>
        <w:snapToGrid/>
        <w:spacing w:line="360" w:lineRule="auto"/>
        <w:ind w:right="0" w:rightChars="0"/>
        <w:jc w:val="center"/>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图4.1-1哈尔滨市近20年风频玫瑰图</w:t>
      </w:r>
    </w:p>
    <w:p w14:paraId="088E1061">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4</w:t>
      </w:r>
      <w:r>
        <w:rPr>
          <w:rFonts w:hint="default" w:ascii="Times New Roman" w:hAnsi="Times New Roman" w:eastAsia="宋体" w:cs="Times New Roman"/>
          <w:b/>
          <w:bCs/>
          <w:snapToGrid w:val="0"/>
          <w:color w:val="auto"/>
          <w:spacing w:val="0"/>
          <w:kern w:val="0"/>
          <w:position w:val="0"/>
          <w:sz w:val="30"/>
          <w:szCs w:val="30"/>
          <w:lang w:val="en-US" w:eastAsia="zh-CN" w:bidi="ar-SA"/>
        </w:rPr>
        <w:t>.1.4</w:t>
      </w:r>
      <w:r>
        <w:rPr>
          <w:rFonts w:hint="eastAsia" w:ascii="Times New Roman" w:hAnsi="Times New Roman" w:eastAsia="宋体" w:cs="Times New Roman"/>
          <w:b/>
          <w:bCs/>
          <w:snapToGrid w:val="0"/>
          <w:color w:val="auto"/>
          <w:spacing w:val="0"/>
          <w:kern w:val="0"/>
          <w:position w:val="0"/>
          <w:sz w:val="30"/>
          <w:szCs w:val="30"/>
          <w:lang w:val="en-US" w:eastAsia="zh-CN" w:bidi="ar-SA"/>
        </w:rPr>
        <w:t>水文地质情况</w:t>
      </w:r>
    </w:p>
    <w:p w14:paraId="4E074824">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eastAsia"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4.1.4.1</w:t>
      </w:r>
      <w:r>
        <w:rPr>
          <w:rFonts w:hint="default" w:ascii="Times New Roman" w:hAnsi="Times New Roman" w:eastAsia="宋体" w:cs="Times New Roman"/>
          <w:b/>
          <w:bCs/>
          <w:color w:val="auto"/>
          <w:sz w:val="28"/>
          <w:szCs w:val="28"/>
          <w:lang w:val="en-US" w:eastAsia="zh-CN"/>
        </w:rPr>
        <w:t>水文特征</w:t>
      </w:r>
    </w:p>
    <w:p w14:paraId="497E7A4A">
      <w:pPr>
        <w:pStyle w:val="11"/>
        <w:keepNext w:val="0"/>
        <w:keepLines w:val="0"/>
        <w:pageBreakBefore w:val="0"/>
        <w:wordWrap/>
        <w:overflowPunct/>
        <w:topLinePunct w:val="0"/>
        <w:bidi w:val="0"/>
        <w:adjustRightInd w:val="0"/>
        <w:snapToGrid w:val="0"/>
        <w:spacing w:after="0" w:line="360" w:lineRule="auto"/>
        <w:ind w:left="0" w:leftChars="0" w:firstLine="480" w:firstLineChars="20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五常市水系发达，河网密布。市域内有拉林河、</w:t>
      </w:r>
      <w:r>
        <w:rPr>
          <w:rFonts w:hint="default" w:ascii="Times New Roman" w:hAnsi="Times New Roman" w:eastAsia="宋体" w:cs="Times New Roman"/>
          <w:kern w:val="22"/>
          <w:sz w:val="24"/>
          <w:szCs w:val="24"/>
        </w:rPr>
        <w:t>牤牛河</w:t>
      </w:r>
      <w:r>
        <w:rPr>
          <w:rFonts w:hint="default" w:ascii="Times New Roman" w:hAnsi="Times New Roman" w:eastAsia="宋体" w:cs="Times New Roman"/>
          <w:kern w:val="0"/>
          <w:sz w:val="24"/>
          <w:szCs w:val="24"/>
        </w:rPr>
        <w:t>两大水系，有一级支流15条，二级支流22条，全市河流总长度约2486km。</w:t>
      </w:r>
    </w:p>
    <w:p w14:paraId="3A7B5E3B">
      <w:pPr>
        <w:pStyle w:val="11"/>
        <w:keepNext w:val="0"/>
        <w:keepLines w:val="0"/>
        <w:pageBreakBefore w:val="0"/>
        <w:wordWrap/>
        <w:overflowPunct/>
        <w:topLinePunct w:val="0"/>
        <w:bidi w:val="0"/>
        <w:adjustRightInd w:val="0"/>
        <w:snapToGrid w:val="0"/>
        <w:spacing w:after="0" w:line="360" w:lineRule="auto"/>
        <w:ind w:left="0" w:leftChars="0" w:firstLine="480" w:firstLineChars="20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拉林河是该区域主要河流。拉林河全长200多km，五常市以上汇水面积5642km</w:t>
      </w:r>
      <w:r>
        <w:rPr>
          <w:rFonts w:hint="default" w:ascii="Times New Roman" w:hAnsi="Times New Roman" w:eastAsia="宋体" w:cs="Times New Roman"/>
          <w:kern w:val="0"/>
          <w:sz w:val="24"/>
          <w:szCs w:val="24"/>
          <w:vertAlign w:val="superscript"/>
        </w:rPr>
        <w:t>2</w:t>
      </w:r>
      <w:r>
        <w:rPr>
          <w:rFonts w:hint="default" w:ascii="Times New Roman" w:hAnsi="Times New Roman" w:eastAsia="宋体" w:cs="Times New Roman"/>
          <w:kern w:val="0"/>
          <w:sz w:val="24"/>
          <w:szCs w:val="24"/>
        </w:rPr>
        <w:t>，上游地段高差大，河床较浅，水流湍急；下游为平原区宽滩性河流，水流缓慢。在五常段属平原河流，一般水面宽80～120m，洪水期水面可延至河防堤达900m宽，水深最深处可达4.6m；最大流量为2870m</w:t>
      </w:r>
      <w:r>
        <w:rPr>
          <w:rFonts w:hint="default" w:ascii="Times New Roman" w:hAnsi="Times New Roman" w:eastAsia="宋体" w:cs="Times New Roman"/>
          <w:kern w:val="0"/>
          <w:sz w:val="24"/>
          <w:szCs w:val="24"/>
          <w:vertAlign w:val="superscript"/>
        </w:rPr>
        <w:t>3</w:t>
      </w:r>
      <w:r>
        <w:rPr>
          <w:rFonts w:hint="default" w:ascii="Times New Roman" w:hAnsi="Times New Roman" w:eastAsia="宋体" w:cs="Times New Roman"/>
          <w:kern w:val="0"/>
          <w:sz w:val="24"/>
          <w:szCs w:val="24"/>
        </w:rPr>
        <w:t>/s，最小流量为0.27m</w:t>
      </w:r>
      <w:r>
        <w:rPr>
          <w:rFonts w:hint="default" w:ascii="Times New Roman" w:hAnsi="Times New Roman" w:eastAsia="宋体" w:cs="Times New Roman"/>
          <w:kern w:val="0"/>
          <w:sz w:val="24"/>
          <w:szCs w:val="24"/>
          <w:vertAlign w:val="superscript"/>
        </w:rPr>
        <w:t>3</w:t>
      </w:r>
      <w:r>
        <w:rPr>
          <w:rFonts w:hint="default" w:ascii="Times New Roman" w:hAnsi="Times New Roman" w:eastAsia="宋体" w:cs="Times New Roman"/>
          <w:kern w:val="0"/>
          <w:sz w:val="24"/>
          <w:szCs w:val="24"/>
        </w:rPr>
        <w:t>/s，平均封冻144d。年地表径流量约34亿m</w:t>
      </w:r>
      <w:r>
        <w:rPr>
          <w:rFonts w:hint="default" w:ascii="Times New Roman" w:hAnsi="Times New Roman" w:eastAsia="宋体" w:cs="Times New Roman"/>
          <w:kern w:val="0"/>
          <w:sz w:val="24"/>
          <w:szCs w:val="24"/>
          <w:vertAlign w:val="superscript"/>
        </w:rPr>
        <w:t>3</w:t>
      </w:r>
      <w:r>
        <w:rPr>
          <w:rFonts w:hint="default" w:ascii="Times New Roman" w:hAnsi="Times New Roman" w:eastAsia="宋体" w:cs="Times New Roman"/>
          <w:kern w:val="0"/>
          <w:sz w:val="24"/>
          <w:szCs w:val="24"/>
        </w:rPr>
        <w:t>。</w:t>
      </w:r>
    </w:p>
    <w:p w14:paraId="5E004F94">
      <w:pPr>
        <w:pStyle w:val="11"/>
        <w:keepNext w:val="0"/>
        <w:keepLines w:val="0"/>
        <w:pageBreakBefore w:val="0"/>
        <w:wordWrap/>
        <w:overflowPunct/>
        <w:topLinePunct w:val="0"/>
        <w:bidi w:val="0"/>
        <w:adjustRightInd w:val="0"/>
        <w:snapToGrid w:val="0"/>
        <w:spacing w:after="0" w:line="360" w:lineRule="auto"/>
        <w:ind w:left="0" w:leftChars="0" w:firstLine="480" w:firstLineChars="200"/>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拉林河东部漫滩区全新统、上更新统顾乡屯组砂、砂砾石层中赋存有丰富的孔隙潜水、孔隙微承压水。含水层厚35.00～53.15m，含水层上覆1.45～9.00m厚的粉质粘土或粉土。砾径一般为2～8mm，地下水水位埋深一般为1.50～5.89m，大部分地区为潜水，仅漫滩区后缘地下水具微承压性，水头高度0.5～1.0m。含水层导水性及富水性均较强，渗透系数61.54～85.36m/d，导水系数为3153.10～4268.22m</w:t>
      </w:r>
      <w:r>
        <w:rPr>
          <w:rFonts w:hint="default" w:ascii="Times New Roman" w:hAnsi="Times New Roman" w:eastAsia="宋体" w:cs="Times New Roman"/>
          <w:kern w:val="0"/>
          <w:sz w:val="24"/>
          <w:szCs w:val="24"/>
          <w:vertAlign w:val="superscript"/>
        </w:rPr>
        <w:t>2</w:t>
      </w:r>
      <w:r>
        <w:rPr>
          <w:rFonts w:hint="default" w:ascii="Times New Roman" w:hAnsi="Times New Roman" w:eastAsia="宋体" w:cs="Times New Roman"/>
          <w:kern w:val="0"/>
          <w:sz w:val="24"/>
          <w:szCs w:val="24"/>
        </w:rPr>
        <w:t>/d，管径为377mm，降深3.01～3.13m时，单井涌水量为6333.36～7404.00m</w:t>
      </w:r>
      <w:r>
        <w:rPr>
          <w:rFonts w:hint="default" w:ascii="Times New Roman" w:hAnsi="Times New Roman" w:eastAsia="宋体" w:cs="Times New Roman"/>
          <w:kern w:val="0"/>
          <w:sz w:val="24"/>
          <w:szCs w:val="24"/>
          <w:vertAlign w:val="superscript"/>
        </w:rPr>
        <w:t>3</w:t>
      </w:r>
      <w:r>
        <w:rPr>
          <w:rFonts w:hint="default" w:ascii="Times New Roman" w:hAnsi="Times New Roman" w:eastAsia="宋体" w:cs="Times New Roman"/>
          <w:kern w:val="0"/>
          <w:sz w:val="24"/>
          <w:szCs w:val="24"/>
        </w:rPr>
        <w:t>/d，单位涌水量为23.42～28.47L/（s.m）。地下水pH值为6.78～6.90，矿化度小于0.5g/</w:t>
      </w:r>
      <w:r>
        <w:rPr>
          <w:rFonts w:hint="eastAsia" w:ascii="Times New Roman" w:hAnsi="Times New Roman" w:eastAsia="宋体" w:cs="Times New Roman"/>
          <w:kern w:val="0"/>
          <w:sz w:val="24"/>
          <w:szCs w:val="24"/>
          <w:lang w:val="en-US" w:eastAsia="zh-CN"/>
        </w:rPr>
        <w:t>l</w:t>
      </w:r>
      <w:r>
        <w:rPr>
          <w:rFonts w:hint="default" w:ascii="Times New Roman" w:hAnsi="Times New Roman" w:eastAsia="宋体" w:cs="Times New Roman"/>
          <w:kern w:val="0"/>
          <w:sz w:val="24"/>
          <w:szCs w:val="24"/>
        </w:rPr>
        <w:t>，水化学类型为HCO</w:t>
      </w:r>
      <w:r>
        <w:rPr>
          <w:rFonts w:hint="default" w:ascii="Times New Roman" w:hAnsi="Times New Roman" w:eastAsia="宋体" w:cs="Times New Roman"/>
          <w:kern w:val="0"/>
          <w:sz w:val="24"/>
          <w:szCs w:val="24"/>
          <w:vertAlign w:val="subscript"/>
        </w:rPr>
        <w:t>3</w:t>
      </w:r>
      <w:r>
        <w:rPr>
          <w:rFonts w:hint="default" w:ascii="Times New Roman" w:hAnsi="Times New Roman" w:eastAsia="宋体" w:cs="Times New Roman"/>
          <w:kern w:val="0"/>
          <w:sz w:val="24"/>
          <w:szCs w:val="24"/>
        </w:rPr>
        <w:t>-Ca型。地下水水位年变幅，漫滩区孔隙潜水为2.0～2.5m。地下水水温冬季一般为6.0～6.5℃，夏季增至7.0～8.0℃。</w:t>
      </w:r>
    </w:p>
    <w:p w14:paraId="131863F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拉林河河谷是一巨大的储水构造（地下水库），且</w:t>
      </w:r>
      <w:r>
        <w:rPr>
          <w:rFonts w:hint="default" w:ascii="Times New Roman" w:hAnsi="Times New Roman" w:cs="Times New Roman"/>
          <w:kern w:val="0"/>
          <w:sz w:val="24"/>
          <w:szCs w:val="24"/>
          <w:lang w:eastAsia="zh-CN"/>
        </w:rPr>
        <w:t>具有</w:t>
      </w:r>
      <w:r>
        <w:rPr>
          <w:rFonts w:hint="default" w:ascii="Times New Roman" w:hAnsi="Times New Roman" w:eastAsia="宋体" w:cs="Times New Roman"/>
          <w:kern w:val="0"/>
          <w:sz w:val="24"/>
          <w:szCs w:val="24"/>
        </w:rPr>
        <w:t>极大的开采潜力和广阔的开发利用前景，可开采储量约为52966.61m</w:t>
      </w:r>
      <w:r>
        <w:rPr>
          <w:rFonts w:hint="default" w:ascii="Times New Roman" w:hAnsi="Times New Roman" w:eastAsia="宋体" w:cs="Times New Roman"/>
          <w:kern w:val="0"/>
          <w:sz w:val="24"/>
          <w:szCs w:val="24"/>
          <w:vertAlign w:val="superscript"/>
        </w:rPr>
        <w:t>3</w:t>
      </w:r>
      <w:r>
        <w:rPr>
          <w:rFonts w:hint="default" w:ascii="Times New Roman" w:hAnsi="Times New Roman" w:eastAsia="宋体" w:cs="Times New Roman"/>
          <w:kern w:val="0"/>
          <w:sz w:val="24"/>
          <w:szCs w:val="24"/>
        </w:rPr>
        <w:t>/d。全市地下水可开采储量约7亿m</w:t>
      </w:r>
      <w:r>
        <w:rPr>
          <w:rFonts w:hint="default" w:ascii="Times New Roman" w:hAnsi="Times New Roman" w:eastAsia="宋体" w:cs="Times New Roman"/>
          <w:kern w:val="0"/>
          <w:sz w:val="24"/>
          <w:szCs w:val="24"/>
          <w:vertAlign w:val="superscript"/>
        </w:rPr>
        <w:t>3</w:t>
      </w:r>
      <w:r>
        <w:rPr>
          <w:rFonts w:hint="default" w:ascii="Times New Roman" w:hAnsi="Times New Roman" w:eastAsia="宋体" w:cs="Times New Roman"/>
          <w:kern w:val="0"/>
          <w:sz w:val="24"/>
          <w:szCs w:val="24"/>
        </w:rPr>
        <w:t>。</w:t>
      </w:r>
    </w:p>
    <w:p w14:paraId="2C66E8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kern w:val="0"/>
          <w:sz w:val="24"/>
          <w:szCs w:val="24"/>
        </w:rPr>
      </w:pPr>
      <w:r>
        <w:rPr>
          <w:sz w:val="21"/>
        </w:rPr>
        <mc:AlternateContent>
          <mc:Choice Requires="wps">
            <w:drawing>
              <wp:anchor distT="0" distB="0" distL="114300" distR="114300" simplePos="0" relativeHeight="251728896" behindDoc="0" locked="0" layoutInCell="1" allowOverlap="1">
                <wp:simplePos x="0" y="0"/>
                <wp:positionH relativeFrom="column">
                  <wp:posOffset>2205990</wp:posOffset>
                </wp:positionH>
                <wp:positionV relativeFrom="paragraph">
                  <wp:posOffset>768985</wp:posOffset>
                </wp:positionV>
                <wp:extent cx="723900" cy="318135"/>
                <wp:effectExtent l="6350" t="6350" r="12700" b="285115"/>
                <wp:wrapNone/>
                <wp:docPr id="63" name="圆角矩形标注 63"/>
                <wp:cNvGraphicFramePr/>
                <a:graphic xmlns:a="http://schemas.openxmlformats.org/drawingml/2006/main">
                  <a:graphicData uri="http://schemas.microsoft.com/office/word/2010/wordprocessingShape">
                    <wps:wsp>
                      <wps:cNvSpPr/>
                      <wps:spPr>
                        <a:xfrm>
                          <a:off x="3463290" y="4432300"/>
                          <a:ext cx="723900" cy="318135"/>
                        </a:xfrm>
                        <a:prstGeom prst="wedgeRoundRectCallout">
                          <a:avLst>
                            <a:gd name="adj1" fmla="val -44473"/>
                            <a:gd name="adj2" fmla="val 130439"/>
                            <a:gd name="adj3" fmla="val 166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6FA4F15">
                            <w:pPr>
                              <w:jc w:val="center"/>
                              <w:rPr>
                                <w:rFonts w:hint="eastAsia" w:eastAsia="宋体"/>
                                <w:color w:val="FF0000"/>
                                <w:lang w:val="en-US" w:eastAsia="zh-CN"/>
                              </w:rPr>
                            </w:pPr>
                            <w:r>
                              <w:rPr>
                                <w:rFonts w:hint="eastAsia" w:eastAsia="宋体"/>
                                <w:color w:val="FF0000"/>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73.7pt;margin-top:60.55pt;height:25.05pt;width:57pt;z-index:251728896;v-text-anchor:middle;mso-width-relative:page;mso-height-relative:page;" filled="f" stroked="t" coordsize="21600,21600" o:gfxdata="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Bp0LsZ2AAAAAsBAAAPAAAAAAAAAAEAIAAAACIAAABkcnMvZG93bnJldi54bWxQSwECFAAUAAAA&#10;CACHTuJAQgI3LNICAAB3BQAADgAAAAAAAAABACAAAAAnAQAAZHJzL2Uyb0RvYy54bWxQSwUGAAAA&#10;AAYABgBZAQAAawYAAAAA&#10;" adj="1194,38975,14400">
                <v:fill on="f" focussize="0,0"/>
                <v:stroke weight="1pt" color="#FF0000 [2404]" miterlimit="8" joinstyle="miter"/>
                <v:imagedata o:title=""/>
                <o:lock v:ext="edit" aspectratio="f"/>
                <v:textbox>
                  <w:txbxContent>
                    <w:p w14:paraId="16FA4F15">
                      <w:pPr>
                        <w:jc w:val="center"/>
                        <w:rPr>
                          <w:rFonts w:hint="eastAsia" w:eastAsia="宋体"/>
                          <w:color w:val="FF0000"/>
                          <w:lang w:val="en-US" w:eastAsia="zh-CN"/>
                        </w:rPr>
                      </w:pPr>
                      <w:r>
                        <w:rPr>
                          <w:rFonts w:hint="eastAsia" w:eastAsia="宋体"/>
                          <w:color w:val="FF0000"/>
                          <w:lang w:val="en-US" w:eastAsia="zh-CN"/>
                        </w:rPr>
                        <w:t>本项目</w:t>
                      </w:r>
                    </w:p>
                  </w:txbxContent>
                </v:textbox>
              </v:shape>
            </w:pict>
          </mc:Fallback>
        </mc:AlternateContent>
      </w:r>
      <w:r>
        <w:drawing>
          <wp:inline distT="0" distB="0" distL="114300" distR="114300">
            <wp:extent cx="6068060" cy="2268220"/>
            <wp:effectExtent l="0" t="0" r="8890" b="17780"/>
            <wp:docPr id="1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9"/>
                    <pic:cNvPicPr>
                      <a:picLocks noChangeAspect="1"/>
                    </pic:cNvPicPr>
                  </pic:nvPicPr>
                  <pic:blipFill>
                    <a:blip r:embed="rId81"/>
                    <a:stretch>
                      <a:fillRect/>
                    </a:stretch>
                  </pic:blipFill>
                  <pic:spPr>
                    <a:xfrm>
                      <a:off x="0" y="0"/>
                      <a:ext cx="6068060" cy="2268220"/>
                    </a:xfrm>
                    <a:prstGeom prst="rect">
                      <a:avLst/>
                    </a:prstGeom>
                    <a:noFill/>
                    <a:ln>
                      <a:noFill/>
                    </a:ln>
                  </pic:spPr>
                </pic:pic>
              </a:graphicData>
            </a:graphic>
          </wp:inline>
        </w:drawing>
      </w:r>
    </w:p>
    <w:p w14:paraId="64B2CBD0">
      <w:pPr>
        <w:pStyle w:val="73"/>
        <w:bidi w:val="0"/>
        <w:rPr>
          <w:rFonts w:hint="eastAsia" w:ascii="Times New Roman" w:hAnsi="Times New Roman" w:eastAsia="宋体" w:cs="Times New Roman"/>
          <w:b/>
          <w:bCs/>
          <w:snapToGrid w:val="0"/>
          <w:color w:val="auto"/>
          <w:kern w:val="0"/>
          <w:sz w:val="24"/>
          <w:szCs w:val="24"/>
          <w:highlight w:val="none"/>
          <w:lang w:val="en-US" w:eastAsia="zh-CN" w:bidi="ar-SA"/>
        </w:rPr>
      </w:pPr>
      <w:r>
        <w:rPr>
          <w:rFonts w:hint="eastAsia" w:ascii="Times New Roman" w:hAnsi="Times New Roman" w:eastAsia="宋体" w:cs="Times New Roman"/>
          <w:b/>
          <w:bCs/>
          <w:snapToGrid w:val="0"/>
          <w:color w:val="auto"/>
          <w:kern w:val="0"/>
          <w:sz w:val="24"/>
          <w:szCs w:val="24"/>
          <w:highlight w:val="none"/>
          <w:lang w:val="en-US" w:eastAsia="zh-CN" w:bidi="ar-SA"/>
        </w:rPr>
        <w:t>图4.1-2  项目区水文地质图</w:t>
      </w:r>
    </w:p>
    <w:p w14:paraId="43FC6514">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4.1.4.2</w:t>
      </w:r>
      <w:r>
        <w:rPr>
          <w:rFonts w:hint="default" w:ascii="Times New Roman" w:hAnsi="Times New Roman" w:eastAsia="宋体" w:cs="Times New Roman"/>
          <w:b/>
          <w:bCs/>
          <w:color w:val="auto"/>
          <w:sz w:val="28"/>
          <w:szCs w:val="28"/>
          <w:lang w:val="en-US" w:eastAsia="zh-CN"/>
        </w:rPr>
        <w:t>水文</w:t>
      </w:r>
      <w:r>
        <w:rPr>
          <w:rFonts w:hint="eastAsia" w:ascii="Times New Roman" w:hAnsi="Times New Roman" w:eastAsia="宋体" w:cs="Times New Roman"/>
          <w:b/>
          <w:bCs/>
          <w:color w:val="auto"/>
          <w:sz w:val="28"/>
          <w:szCs w:val="28"/>
          <w:lang w:val="en-US" w:eastAsia="zh-CN"/>
        </w:rPr>
        <w:t>地质条件</w:t>
      </w:r>
    </w:p>
    <w:p w14:paraId="3D0374B4">
      <w:pPr>
        <w:pStyle w:val="8"/>
        <w:keepNext w:val="0"/>
        <w:keepLines w:val="0"/>
        <w:pageBreakBefore w:val="0"/>
        <w:widowControl/>
        <w:kinsoku w:val="0"/>
        <w:wordWrap/>
        <w:overflowPunct/>
        <w:topLinePunct w:val="0"/>
        <w:autoSpaceDE w:val="0"/>
        <w:autoSpaceDN w:val="0"/>
        <w:bidi w:val="0"/>
        <w:adjustRightInd w:val="0"/>
        <w:snapToGrid w:val="0"/>
        <w:spacing w:before="0" w:line="360" w:lineRule="auto"/>
        <w:ind w:firstLine="480" w:firstLineChars="200"/>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kern w:val="0"/>
          <w:sz w:val="24"/>
          <w:szCs w:val="24"/>
          <w:lang w:val="en-US" w:eastAsia="en-US" w:bidi="ar-SA"/>
        </w:rPr>
        <w:t>区域地下水的形成、分布和水化学特征受区域地貌、地层岩性、地质构造、古地理环境以及水文气象等诸多因素综合控制，但不同类型的地下水主导因素是不同的。第四系松散岩类孔隙潜水直接受水文气象、现代地貌、古地理环境以及含水层岩性、厚度的控制</w:t>
      </w:r>
      <w:r>
        <w:rPr>
          <w:rFonts w:hint="eastAsia" w:ascii="Times New Roman" w:hAnsi="Times New Roman" w:eastAsia="宋体" w:cs="Times New Roman"/>
          <w:snapToGrid w:val="0"/>
          <w:color w:val="000000"/>
          <w:kern w:val="0"/>
          <w:sz w:val="24"/>
          <w:szCs w:val="24"/>
          <w:lang w:val="en-US" w:eastAsia="zh-CN" w:bidi="ar-SA"/>
        </w:rPr>
        <w:t>；</w:t>
      </w:r>
      <w:r>
        <w:rPr>
          <w:rFonts w:hint="default" w:ascii="Times New Roman" w:hAnsi="Times New Roman" w:eastAsia="宋体" w:cs="Times New Roman"/>
          <w:snapToGrid w:val="0"/>
          <w:color w:val="000000"/>
          <w:kern w:val="0"/>
          <w:sz w:val="24"/>
          <w:szCs w:val="24"/>
          <w:lang w:val="en-US" w:eastAsia="en-US" w:bidi="ar-SA"/>
        </w:rPr>
        <w:t>碎屑岩类裂隙孔隙潜水主要受岩性特征、裂隙发育程度和地貌条件的控制。</w:t>
      </w:r>
    </w:p>
    <w:p w14:paraId="4FE15F3F">
      <w:pPr>
        <w:pStyle w:val="8"/>
        <w:keepNext w:val="0"/>
        <w:keepLines w:val="0"/>
        <w:pageBreakBefore w:val="0"/>
        <w:widowControl/>
        <w:kinsoku w:val="0"/>
        <w:wordWrap/>
        <w:overflowPunct/>
        <w:topLinePunct w:val="0"/>
        <w:autoSpaceDE w:val="0"/>
        <w:autoSpaceDN w:val="0"/>
        <w:bidi w:val="0"/>
        <w:adjustRightInd w:val="0"/>
        <w:snapToGrid w:val="0"/>
        <w:spacing w:before="0" w:line="360" w:lineRule="auto"/>
        <w:ind w:firstLine="480" w:firstLineChars="200"/>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kern w:val="0"/>
          <w:sz w:val="24"/>
          <w:szCs w:val="24"/>
          <w:lang w:val="en-US" w:eastAsia="en-US" w:bidi="ar-SA"/>
        </w:rPr>
        <w:t>场地位于第四系上更新统冲积洪积黄土状土粉细砂、砂砾石孔隙潜水舍水组合体。</w:t>
      </w:r>
    </w:p>
    <w:p w14:paraId="72423677">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eastAsia"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4.1.4.3地下水补、径、排条件</w:t>
      </w:r>
    </w:p>
    <w:p w14:paraId="5E4A91B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napToGrid w:val="0"/>
          <w:color w:val="000000"/>
          <w:kern w:val="0"/>
          <w:sz w:val="24"/>
          <w:szCs w:val="24"/>
          <w:lang w:val="en-US" w:eastAsia="zh-CN" w:bidi="ar-SA"/>
        </w:rPr>
      </w:pPr>
      <w:r>
        <w:rPr>
          <w:rFonts w:hint="default" w:ascii="Times New Roman" w:hAnsi="Times New Roman" w:eastAsia="宋体" w:cs="Times New Roman"/>
          <w:snapToGrid w:val="0"/>
          <w:color w:val="000000"/>
          <w:kern w:val="0"/>
          <w:sz w:val="24"/>
          <w:szCs w:val="24"/>
          <w:lang w:val="en-US" w:eastAsia="zh-CN" w:bidi="ar-SA"/>
        </w:rPr>
        <w:t>评价区地下水分布和埋藏特征主要受第四系松散沉积物控制。含水层岩性主要为粉砂、砂、含砾中粗砂和砂砾石。</w:t>
      </w:r>
    </w:p>
    <w:p w14:paraId="4DA76B3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napToGrid w:val="0"/>
          <w:color w:val="000000"/>
          <w:kern w:val="0"/>
          <w:sz w:val="24"/>
          <w:szCs w:val="24"/>
          <w:lang w:val="en-US" w:eastAsia="zh-CN" w:bidi="ar-SA"/>
        </w:rPr>
      </w:pPr>
      <w:r>
        <w:rPr>
          <w:rFonts w:hint="default" w:ascii="Times New Roman" w:hAnsi="Times New Roman" w:eastAsia="宋体" w:cs="Times New Roman"/>
          <w:snapToGrid w:val="0"/>
          <w:color w:val="000000"/>
          <w:kern w:val="0"/>
          <w:sz w:val="24"/>
          <w:szCs w:val="24"/>
          <w:lang w:val="en-US" w:eastAsia="zh-CN" w:bidi="ar-SA"/>
        </w:rPr>
        <w:t>项目地处哈尔滨市五常市，种植作物为水稻，五生长季节4月~9月，九月下旬为大米丰收的季节。天然条件下，总的地下水补给特点是:垂向上接受大气降水入渗补给和灌溉入渗补给</w:t>
      </w:r>
      <w:r>
        <w:rPr>
          <w:rFonts w:hint="eastAsia" w:ascii="Times New Roman" w:hAnsi="Times New Roman" w:eastAsia="宋体" w:cs="Times New Roman"/>
          <w:snapToGrid w:val="0"/>
          <w:color w:val="000000"/>
          <w:kern w:val="0"/>
          <w:sz w:val="24"/>
          <w:szCs w:val="24"/>
          <w:lang w:val="en-US" w:eastAsia="zh-CN" w:bidi="ar-SA"/>
        </w:rPr>
        <w:t>；</w:t>
      </w:r>
      <w:r>
        <w:rPr>
          <w:rFonts w:hint="default" w:ascii="Times New Roman" w:hAnsi="Times New Roman" w:eastAsia="宋体" w:cs="Times New Roman"/>
          <w:snapToGrid w:val="0"/>
          <w:color w:val="000000"/>
          <w:kern w:val="0"/>
          <w:sz w:val="24"/>
          <w:szCs w:val="24"/>
          <w:lang w:val="en-US" w:eastAsia="zh-CN" w:bidi="ar-SA"/>
        </w:rPr>
        <w:t>在水平方向上，潜水含水层由</w:t>
      </w:r>
      <w:r>
        <w:rPr>
          <w:rFonts w:hint="eastAsia" w:ascii="Times New Roman" w:hAnsi="Times New Roman" w:eastAsia="宋体" w:cs="Times New Roman"/>
          <w:snapToGrid w:val="0"/>
          <w:color w:val="000000"/>
          <w:kern w:val="0"/>
          <w:sz w:val="24"/>
          <w:szCs w:val="24"/>
          <w:lang w:val="en-US" w:eastAsia="zh-CN" w:bidi="ar-SA"/>
        </w:rPr>
        <w:t>北</w:t>
      </w:r>
      <w:r>
        <w:rPr>
          <w:rFonts w:hint="default" w:ascii="Times New Roman" w:hAnsi="Times New Roman" w:eastAsia="宋体" w:cs="Times New Roman"/>
          <w:snapToGrid w:val="0"/>
          <w:color w:val="000000"/>
          <w:kern w:val="0"/>
          <w:sz w:val="24"/>
          <w:szCs w:val="24"/>
          <w:lang w:val="en-US" w:eastAsia="zh-CN" w:bidi="ar-SA"/>
        </w:rPr>
        <w:t>向</w:t>
      </w:r>
      <w:r>
        <w:rPr>
          <w:rFonts w:hint="eastAsia" w:ascii="Times New Roman" w:hAnsi="Times New Roman" w:eastAsia="宋体" w:cs="Times New Roman"/>
          <w:snapToGrid w:val="0"/>
          <w:color w:val="000000"/>
          <w:kern w:val="0"/>
          <w:sz w:val="24"/>
          <w:szCs w:val="24"/>
          <w:lang w:val="en-US" w:eastAsia="zh-CN" w:bidi="ar-SA"/>
        </w:rPr>
        <w:t>南</w:t>
      </w:r>
      <w:r>
        <w:rPr>
          <w:rFonts w:hint="default" w:ascii="Times New Roman" w:hAnsi="Times New Roman" w:eastAsia="宋体" w:cs="Times New Roman"/>
          <w:snapToGrid w:val="0"/>
          <w:color w:val="000000"/>
          <w:kern w:val="0"/>
          <w:sz w:val="24"/>
          <w:szCs w:val="24"/>
          <w:lang w:val="en-US" w:eastAsia="zh-CN" w:bidi="ar-SA"/>
        </w:rPr>
        <w:t>形成补给。垂向上潜水含水层下部有一层稳定的淤泥质亚粘土隔水层，不存在来自下伏含水层的补给条件。水力坡度约为2%。</w:t>
      </w:r>
    </w:p>
    <w:p w14:paraId="7D9E3534">
      <w:pPr>
        <w:keepNext w:val="0"/>
        <w:keepLines w:val="0"/>
        <w:pageBreakBefore w:val="0"/>
        <w:widowControl/>
        <w:kinsoku w:val="0"/>
        <w:wordWrap/>
        <w:overflowPunct/>
        <w:topLinePunct w:val="0"/>
        <w:autoSpaceDE w:val="0"/>
        <w:autoSpaceDN w:val="0"/>
        <w:bidi w:val="0"/>
        <w:adjustRightInd w:val="0"/>
        <w:snapToGrid w:val="0"/>
        <w:spacing w:before="0" w:after="0" w:afterLines="50" w:line="240" w:lineRule="auto"/>
        <w:ind w:left="0"/>
        <w:textAlignment w:val="baseline"/>
        <w:outlineLvl w:val="1"/>
        <w:rPr>
          <w:rFonts w:hint="default" w:ascii="Times New Roman" w:hAnsi="Times New Roman" w:eastAsia="微软雅黑" w:cs="Times New Roman"/>
          <w:color w:val="auto"/>
          <w:spacing w:val="6"/>
          <w:sz w:val="32"/>
          <w:szCs w:val="32"/>
          <w:lang w:val="en-US" w:eastAsia="zh-CN"/>
        </w:rPr>
      </w:pPr>
      <w:bookmarkStart w:id="26" w:name="_Toc18601"/>
      <w:r>
        <w:rPr>
          <w:rFonts w:hint="eastAsia" w:ascii="Times New Roman" w:hAnsi="Times New Roman" w:eastAsia="微软雅黑" w:cs="Times New Roman"/>
          <w:color w:val="auto"/>
          <w:spacing w:val="6"/>
          <w:sz w:val="32"/>
          <w:szCs w:val="32"/>
          <w:lang w:val="en-US" w:eastAsia="zh-CN"/>
        </w:rPr>
        <w:t>4</w:t>
      </w:r>
      <w:r>
        <w:rPr>
          <w:rFonts w:hint="default" w:ascii="Times New Roman" w:hAnsi="Times New Roman" w:eastAsia="微软雅黑" w:cs="Times New Roman"/>
          <w:color w:val="auto"/>
          <w:spacing w:val="6"/>
          <w:sz w:val="32"/>
          <w:szCs w:val="32"/>
          <w:lang w:val="en-US" w:eastAsia="zh-CN"/>
        </w:rPr>
        <w:t>.</w:t>
      </w:r>
      <w:r>
        <w:rPr>
          <w:rFonts w:hint="eastAsia" w:ascii="Times New Roman" w:hAnsi="Times New Roman" w:eastAsia="微软雅黑" w:cs="Times New Roman"/>
          <w:color w:val="auto"/>
          <w:spacing w:val="6"/>
          <w:sz w:val="32"/>
          <w:szCs w:val="32"/>
          <w:lang w:val="en-US" w:eastAsia="zh-CN"/>
        </w:rPr>
        <w:t>2</w:t>
      </w:r>
      <w:r>
        <w:rPr>
          <w:rFonts w:hint="default" w:ascii="Times New Roman" w:hAnsi="Times New Roman" w:eastAsia="微软雅黑" w:cs="Times New Roman"/>
          <w:color w:val="auto"/>
          <w:spacing w:val="6"/>
          <w:sz w:val="32"/>
          <w:szCs w:val="32"/>
          <w:lang w:val="en-US" w:eastAsia="zh-CN"/>
        </w:rPr>
        <w:t xml:space="preserve"> 环境质量现状调查与评价</w:t>
      </w:r>
      <w:bookmarkEnd w:id="26"/>
    </w:p>
    <w:p w14:paraId="78659310">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4</w:t>
      </w:r>
      <w:r>
        <w:rPr>
          <w:rFonts w:hint="default" w:ascii="Times New Roman" w:hAnsi="Times New Roman" w:eastAsia="宋体" w:cs="Times New Roman"/>
          <w:b/>
          <w:bCs/>
          <w:snapToGrid w:val="0"/>
          <w:color w:val="auto"/>
          <w:spacing w:val="0"/>
          <w:kern w:val="0"/>
          <w:position w:val="0"/>
          <w:sz w:val="30"/>
          <w:szCs w:val="30"/>
          <w:lang w:val="en-US" w:eastAsia="zh-CN" w:bidi="ar-SA"/>
        </w:rPr>
        <w:t>.</w:t>
      </w:r>
      <w:r>
        <w:rPr>
          <w:rFonts w:hint="eastAsia" w:ascii="Times New Roman" w:hAnsi="Times New Roman" w:eastAsia="宋体" w:cs="Times New Roman"/>
          <w:b/>
          <w:bCs/>
          <w:snapToGrid w:val="0"/>
          <w:color w:val="auto"/>
          <w:spacing w:val="0"/>
          <w:kern w:val="0"/>
          <w:position w:val="0"/>
          <w:sz w:val="30"/>
          <w:szCs w:val="30"/>
          <w:lang w:val="en-US" w:eastAsia="zh-CN" w:bidi="ar-SA"/>
        </w:rPr>
        <w:t>2</w:t>
      </w:r>
      <w:r>
        <w:rPr>
          <w:rFonts w:hint="default" w:ascii="Times New Roman" w:hAnsi="Times New Roman" w:eastAsia="宋体" w:cs="Times New Roman"/>
          <w:b/>
          <w:bCs/>
          <w:snapToGrid w:val="0"/>
          <w:color w:val="auto"/>
          <w:spacing w:val="0"/>
          <w:kern w:val="0"/>
          <w:position w:val="0"/>
          <w:sz w:val="30"/>
          <w:szCs w:val="30"/>
          <w:lang w:val="en-US" w:eastAsia="zh-CN" w:bidi="ar-SA"/>
        </w:rPr>
        <w:t>.1环境空气质量现状调查与评价</w:t>
      </w:r>
    </w:p>
    <w:p w14:paraId="3EA82887">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fldChar w:fldCharType="begin"/>
      </w:r>
      <w:r>
        <w:rPr>
          <w:rFonts w:hint="default" w:ascii="Times New Roman" w:hAnsi="Times New Roman" w:eastAsia="宋体" w:cs="Times New Roman"/>
          <w:b/>
          <w:bCs/>
          <w:color w:val="auto"/>
          <w:sz w:val="28"/>
          <w:szCs w:val="28"/>
          <w:lang w:val="en-US" w:eastAsia="zh-CN"/>
        </w:rPr>
        <w:instrText xml:space="preserve"> HYPERLINK "5.2.1.1" </w:instrText>
      </w:r>
      <w:r>
        <w:rPr>
          <w:rFonts w:hint="default" w:ascii="Times New Roman" w:hAnsi="Times New Roman" w:eastAsia="宋体" w:cs="Times New Roman"/>
          <w:b/>
          <w:bCs/>
          <w:color w:val="auto"/>
          <w:sz w:val="28"/>
          <w:szCs w:val="28"/>
          <w:lang w:val="en-US" w:eastAsia="zh-CN"/>
        </w:rPr>
        <w:fldChar w:fldCharType="separate"/>
      </w:r>
      <w:r>
        <w:rPr>
          <w:rFonts w:hint="eastAsia" w:ascii="Times New Roman" w:hAnsi="Times New Roman" w:eastAsia="宋体" w:cs="Times New Roman"/>
          <w:b/>
          <w:bCs/>
          <w:color w:val="auto"/>
          <w:sz w:val="28"/>
          <w:szCs w:val="28"/>
          <w:lang w:val="en-US" w:eastAsia="zh-CN"/>
        </w:rPr>
        <w:t>4</w:t>
      </w:r>
      <w:r>
        <w:rPr>
          <w:rFonts w:hint="default" w:ascii="Times New Roman" w:hAnsi="Times New Roman" w:eastAsia="宋体" w:cs="Times New Roman"/>
          <w:b/>
          <w:bCs/>
          <w:color w:val="auto"/>
          <w:sz w:val="28"/>
          <w:szCs w:val="28"/>
          <w:lang w:val="en-US" w:eastAsia="zh-CN"/>
        </w:rPr>
        <w:t>.</w:t>
      </w:r>
      <w:r>
        <w:rPr>
          <w:rFonts w:hint="eastAsia" w:ascii="Times New Roman" w:hAnsi="Times New Roman" w:eastAsia="宋体" w:cs="Times New Roman"/>
          <w:b/>
          <w:bCs/>
          <w:color w:val="auto"/>
          <w:sz w:val="28"/>
          <w:szCs w:val="28"/>
          <w:lang w:val="en-US" w:eastAsia="zh-CN"/>
        </w:rPr>
        <w:t>2</w:t>
      </w:r>
      <w:r>
        <w:rPr>
          <w:rFonts w:hint="default" w:ascii="Times New Roman" w:hAnsi="Times New Roman" w:eastAsia="宋体" w:cs="Times New Roman"/>
          <w:b/>
          <w:bCs/>
          <w:color w:val="auto"/>
          <w:sz w:val="28"/>
          <w:szCs w:val="28"/>
          <w:lang w:val="en-US" w:eastAsia="zh-CN"/>
        </w:rPr>
        <w:t>.1.1</w:t>
      </w:r>
      <w:r>
        <w:rPr>
          <w:rFonts w:hint="default" w:ascii="Times New Roman" w:hAnsi="Times New Roman" w:eastAsia="宋体" w:cs="Times New Roman"/>
          <w:b/>
          <w:bCs/>
          <w:color w:val="auto"/>
          <w:sz w:val="28"/>
          <w:szCs w:val="28"/>
          <w:lang w:val="en-US" w:eastAsia="zh-CN"/>
        </w:rPr>
        <w:fldChar w:fldCharType="end"/>
      </w:r>
      <w:r>
        <w:rPr>
          <w:rFonts w:hint="default" w:ascii="Times New Roman" w:hAnsi="Times New Roman" w:eastAsia="宋体" w:cs="Times New Roman"/>
          <w:b/>
          <w:bCs/>
          <w:color w:val="auto"/>
          <w:sz w:val="28"/>
          <w:szCs w:val="28"/>
          <w:lang w:val="en-US" w:eastAsia="zh-CN"/>
        </w:rPr>
        <w:t>区域环境空气质量达标判定</w:t>
      </w:r>
    </w:p>
    <w:p w14:paraId="0D50C4FE">
      <w:pPr>
        <w:keepNext w:val="0"/>
        <w:keepLines w:val="0"/>
        <w:pageBreakBefore w:val="0"/>
        <w:widowControl w:val="0"/>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FF0000"/>
          <w:kern w:val="0"/>
          <w:sz w:val="24"/>
          <w:szCs w:val="24"/>
          <w:lang w:val="en-US" w:eastAsia="zh-CN" w:bidi="ar"/>
        </w:rPr>
      </w:pPr>
      <w:r>
        <w:rPr>
          <w:rFonts w:hint="default" w:ascii="Times New Roman" w:hAnsi="Times New Roman" w:cs="Times New Roman"/>
          <w:color w:val="auto"/>
          <w:sz w:val="24"/>
          <w:szCs w:val="24"/>
          <w:highlight w:val="none"/>
          <w:lang w:val="en-US" w:eastAsia="zh-CN"/>
        </w:rPr>
        <w:t>根据《2024年哈尔滨生态环境质量状况年报》，2024年哈尔滨市环境空气质量有效监测天数366天，优良天数312天，达标率85.2%，其中优158天，同比增加12天；良154天，同比减少4天。超标天数54天，其中轻度污染32天，同比减少12天；中度污染12天，同比增加6天；重度污染8天，同比增加1天；严重污染2天，同比减少2天。本项目所在区域为不达标区。</w:t>
      </w:r>
      <w:r>
        <w:rPr>
          <w:rFonts w:hint="default" w:ascii="Times New Roman" w:hAnsi="Times New Roman" w:cs="Times New Roman"/>
          <w:color w:val="auto"/>
          <w:sz w:val="24"/>
          <w:szCs w:val="24"/>
          <w:highlight w:val="none"/>
          <w:lang w:eastAsia="zh-CN"/>
        </w:rPr>
        <w:t>本项目所在区域空气质量达标情况判定结果见表</w:t>
      </w:r>
      <w:r>
        <w:rPr>
          <w:rFonts w:hint="default" w:ascii="Times New Roman" w:hAnsi="Times New Roman" w:cs="Times New Roman"/>
          <w:color w:val="auto"/>
          <w:sz w:val="24"/>
          <w:szCs w:val="24"/>
          <w:highlight w:val="none"/>
          <w:lang w:val="en-US" w:eastAsia="zh-CN"/>
        </w:rPr>
        <w:t>4</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2-1。</w:t>
      </w:r>
    </w:p>
    <w:p w14:paraId="39D37C0B">
      <w:pPr>
        <w:pStyle w:val="53"/>
        <w:keepNext w:val="0"/>
        <w:keepLines w:val="0"/>
        <w:pageBreakBefore w:val="0"/>
        <w:widowControl/>
        <w:kinsoku w:val="0"/>
        <w:wordWrap/>
        <w:overflowPunct/>
        <w:topLinePunct w:val="0"/>
        <w:autoSpaceDE w:val="0"/>
        <w:autoSpaceDN w:val="0"/>
        <w:bidi w:val="0"/>
        <w:adjustRightInd w:val="0"/>
        <w:snapToGrid w:val="0"/>
        <w:spacing w:line="240" w:lineRule="auto"/>
        <w:ind w:firstLine="480"/>
        <w:jc w:val="center"/>
        <w:textAlignment w:val="baseline"/>
        <w:rPr>
          <w:rFonts w:hint="default" w:ascii="Times New Roman" w:hAnsi="Times New Roman" w:eastAsia="宋体" w:cs="Times New Roman"/>
          <w:b/>
          <w:bCs w:val="0"/>
          <w:snapToGrid w:val="0"/>
          <w:color w:val="auto"/>
          <w:spacing w:val="0"/>
          <w:kern w:val="2"/>
          <w:sz w:val="24"/>
          <w:szCs w:val="24"/>
          <w:lang w:val="en-US" w:eastAsia="zh-CN" w:bidi="ar-SA"/>
        </w:rPr>
      </w:pPr>
      <w:r>
        <w:rPr>
          <w:rFonts w:hint="default" w:ascii="Times New Roman" w:hAnsi="Times New Roman" w:eastAsia="宋体" w:cs="Times New Roman"/>
          <w:b/>
          <w:bCs w:val="0"/>
          <w:snapToGrid w:val="0"/>
          <w:color w:val="auto"/>
          <w:spacing w:val="0"/>
          <w:kern w:val="2"/>
          <w:sz w:val="24"/>
          <w:szCs w:val="24"/>
          <w:lang w:val="en-US" w:eastAsia="zh-CN" w:bidi="ar-SA"/>
        </w:rPr>
        <w:t>表4</w:t>
      </w:r>
      <w:r>
        <w:rPr>
          <w:rFonts w:hint="eastAsia" w:eastAsia="宋体" w:cs="Times New Roman"/>
          <w:b/>
          <w:bCs w:val="0"/>
          <w:snapToGrid w:val="0"/>
          <w:color w:val="auto"/>
          <w:spacing w:val="0"/>
          <w:kern w:val="2"/>
          <w:sz w:val="24"/>
          <w:szCs w:val="24"/>
          <w:lang w:val="en-US" w:eastAsia="zh-CN" w:bidi="ar-SA"/>
        </w:rPr>
        <w:t>.</w:t>
      </w:r>
      <w:r>
        <w:rPr>
          <w:rFonts w:hint="default" w:ascii="Times New Roman" w:hAnsi="Times New Roman" w:eastAsia="宋体" w:cs="Times New Roman"/>
          <w:b/>
          <w:bCs w:val="0"/>
          <w:snapToGrid w:val="0"/>
          <w:color w:val="auto"/>
          <w:spacing w:val="0"/>
          <w:kern w:val="2"/>
          <w:sz w:val="24"/>
          <w:szCs w:val="24"/>
          <w:lang w:val="en-US" w:eastAsia="zh-CN" w:bidi="ar-SA"/>
        </w:rPr>
        <w:t>2-1  本项目所在区域空气质量现状评价表</w:t>
      </w:r>
    </w:p>
    <w:tbl>
      <w:tblPr>
        <w:tblStyle w:val="22"/>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19"/>
        <w:gridCol w:w="2557"/>
        <w:gridCol w:w="1356"/>
        <w:gridCol w:w="1233"/>
        <w:gridCol w:w="1025"/>
        <w:gridCol w:w="923"/>
      </w:tblGrid>
      <w:tr w14:paraId="422700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33" w:type="pct"/>
            <w:tcBorders>
              <w:tl2br w:val="nil"/>
              <w:tr2bl w:val="nil"/>
            </w:tcBorders>
            <w:noWrap w:val="0"/>
            <w:vAlign w:val="center"/>
          </w:tcPr>
          <w:p w14:paraId="0F5B5976">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1501" w:type="pct"/>
            <w:tcBorders>
              <w:tl2br w:val="nil"/>
              <w:tr2bl w:val="nil"/>
            </w:tcBorders>
            <w:noWrap w:val="0"/>
            <w:vAlign w:val="center"/>
          </w:tcPr>
          <w:p w14:paraId="7D39EF6B">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2024</w:t>
            </w:r>
            <w:r>
              <w:rPr>
                <w:rFonts w:hint="default" w:ascii="Times New Roman" w:hAnsi="Times New Roman" w:cs="Times New Roman"/>
                <w:color w:val="auto"/>
                <w:sz w:val="21"/>
                <w:szCs w:val="21"/>
                <w:highlight w:val="none"/>
              </w:rPr>
              <w:t>年评价指标</w:t>
            </w:r>
          </w:p>
        </w:tc>
        <w:tc>
          <w:tcPr>
            <w:tcW w:w="796" w:type="pct"/>
            <w:tcBorders>
              <w:tl2br w:val="nil"/>
              <w:tr2bl w:val="nil"/>
            </w:tcBorders>
            <w:noWrap w:val="0"/>
            <w:vAlign w:val="center"/>
          </w:tcPr>
          <w:p w14:paraId="168EBF95">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现状浓度/（μg/m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p>
        </w:tc>
        <w:tc>
          <w:tcPr>
            <w:tcW w:w="723" w:type="pct"/>
            <w:tcBorders>
              <w:tl2br w:val="nil"/>
              <w:tr2bl w:val="nil"/>
            </w:tcBorders>
            <w:noWrap w:val="0"/>
            <w:vAlign w:val="center"/>
          </w:tcPr>
          <w:p w14:paraId="174200EA">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标准值/</w:t>
            </w:r>
          </w:p>
          <w:p w14:paraId="2E4D319C">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μg/m</w:t>
            </w:r>
            <w:r>
              <w:rPr>
                <w:rFonts w:hint="default" w:ascii="Times New Roman" w:hAnsi="Times New Roman" w:cs="Times New Roman"/>
                <w:color w:val="auto"/>
                <w:sz w:val="21"/>
                <w:szCs w:val="21"/>
                <w:highlight w:val="none"/>
                <w:vertAlign w:val="superscript"/>
              </w:rPr>
              <w:t>3</w:t>
            </w:r>
            <w:r>
              <w:rPr>
                <w:rFonts w:hint="eastAsia" w:cs="Times New Roman"/>
                <w:color w:val="auto"/>
                <w:sz w:val="21"/>
                <w:szCs w:val="21"/>
                <w:highlight w:val="none"/>
                <w:vertAlign w:val="superscript"/>
                <w:lang w:eastAsia="zh-CN"/>
              </w:rPr>
              <w:t>)</w:t>
            </w:r>
          </w:p>
        </w:tc>
        <w:tc>
          <w:tcPr>
            <w:tcW w:w="602" w:type="pct"/>
            <w:tcBorders>
              <w:tl2br w:val="nil"/>
              <w:tr2bl w:val="nil"/>
            </w:tcBorders>
            <w:noWrap w:val="0"/>
            <w:vAlign w:val="center"/>
          </w:tcPr>
          <w:p w14:paraId="5710D486">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占标率/%</w:t>
            </w:r>
          </w:p>
        </w:tc>
        <w:tc>
          <w:tcPr>
            <w:tcW w:w="542" w:type="pct"/>
            <w:tcBorders>
              <w:tl2br w:val="nil"/>
              <w:tr2bl w:val="nil"/>
            </w:tcBorders>
            <w:noWrap w:val="0"/>
            <w:vAlign w:val="center"/>
          </w:tcPr>
          <w:p w14:paraId="192EB858">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p w14:paraId="48031B1F">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情况</w:t>
            </w:r>
          </w:p>
        </w:tc>
      </w:tr>
      <w:tr w14:paraId="4DDEF2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tblHeader/>
        </w:trPr>
        <w:tc>
          <w:tcPr>
            <w:tcW w:w="833" w:type="pct"/>
            <w:tcBorders>
              <w:tl2br w:val="nil"/>
              <w:tr2bl w:val="nil"/>
            </w:tcBorders>
            <w:noWrap w:val="0"/>
            <w:vAlign w:val="center"/>
          </w:tcPr>
          <w:p w14:paraId="0DC44ED7">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p>
        </w:tc>
        <w:tc>
          <w:tcPr>
            <w:tcW w:w="1501" w:type="pct"/>
            <w:tcBorders>
              <w:tl2br w:val="nil"/>
              <w:tr2bl w:val="nil"/>
            </w:tcBorders>
            <w:noWrap w:val="0"/>
            <w:vAlign w:val="center"/>
          </w:tcPr>
          <w:p w14:paraId="4F0AAD01">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年平均质量浓度</w:t>
            </w:r>
          </w:p>
        </w:tc>
        <w:tc>
          <w:tcPr>
            <w:tcW w:w="796" w:type="pct"/>
            <w:tcBorders>
              <w:tl2br w:val="nil"/>
              <w:tr2bl w:val="nil"/>
            </w:tcBorders>
            <w:noWrap w:val="0"/>
            <w:vAlign w:val="center"/>
          </w:tcPr>
          <w:p w14:paraId="7104D732">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40</w:t>
            </w:r>
          </w:p>
        </w:tc>
        <w:tc>
          <w:tcPr>
            <w:tcW w:w="723" w:type="pct"/>
            <w:tcBorders>
              <w:tl2br w:val="nil"/>
              <w:tr2bl w:val="nil"/>
            </w:tcBorders>
            <w:noWrap w:val="0"/>
            <w:vAlign w:val="center"/>
          </w:tcPr>
          <w:p w14:paraId="54048C7C">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35</w:t>
            </w:r>
          </w:p>
        </w:tc>
        <w:tc>
          <w:tcPr>
            <w:tcW w:w="602" w:type="pct"/>
            <w:tcBorders>
              <w:tl2br w:val="nil"/>
              <w:tr2bl w:val="nil"/>
            </w:tcBorders>
            <w:noWrap w:val="0"/>
            <w:vAlign w:val="center"/>
          </w:tcPr>
          <w:p w14:paraId="5DE49E0F">
            <w:pPr>
              <w:keepNext w:val="0"/>
              <w:keepLines w:val="0"/>
              <w:pageBreakBefore w:val="0"/>
              <w:widowControl/>
              <w:suppressLineNumbers w:val="0"/>
              <w:kinsoku/>
              <w:wordWrap/>
              <w:overflowPunct/>
              <w:topLinePunct w:val="0"/>
              <w:autoSpaceDE/>
              <w:autoSpaceDN/>
              <w:bidi w:val="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114</w:t>
            </w:r>
          </w:p>
        </w:tc>
        <w:tc>
          <w:tcPr>
            <w:tcW w:w="542" w:type="pct"/>
            <w:tcBorders>
              <w:tl2br w:val="nil"/>
              <w:tr2bl w:val="nil"/>
            </w:tcBorders>
            <w:noWrap w:val="0"/>
            <w:vAlign w:val="center"/>
          </w:tcPr>
          <w:p w14:paraId="5CF7C977">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超</w:t>
            </w:r>
            <w:r>
              <w:rPr>
                <w:rFonts w:hint="default" w:ascii="Times New Roman" w:hAnsi="Times New Roman" w:cs="Times New Roman"/>
                <w:b/>
                <w:bCs/>
                <w:color w:val="auto"/>
                <w:sz w:val="21"/>
                <w:szCs w:val="21"/>
                <w:highlight w:val="none"/>
              </w:rPr>
              <w:t>标</w:t>
            </w:r>
          </w:p>
        </w:tc>
      </w:tr>
      <w:tr w14:paraId="68906F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blHeader/>
        </w:trPr>
        <w:tc>
          <w:tcPr>
            <w:tcW w:w="833" w:type="pct"/>
            <w:tcBorders>
              <w:tl2br w:val="nil"/>
              <w:tr2bl w:val="nil"/>
            </w:tcBorders>
            <w:noWrap w:val="0"/>
            <w:vAlign w:val="center"/>
          </w:tcPr>
          <w:p w14:paraId="15515835">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p>
        </w:tc>
        <w:tc>
          <w:tcPr>
            <w:tcW w:w="1501" w:type="pct"/>
            <w:tcBorders>
              <w:tl2br w:val="nil"/>
              <w:tr2bl w:val="nil"/>
            </w:tcBorders>
            <w:noWrap w:val="0"/>
            <w:vAlign w:val="center"/>
          </w:tcPr>
          <w:p w14:paraId="01DEFD5F">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年平均质量浓度</w:t>
            </w:r>
          </w:p>
        </w:tc>
        <w:tc>
          <w:tcPr>
            <w:tcW w:w="796" w:type="pct"/>
            <w:tcBorders>
              <w:tl2br w:val="nil"/>
              <w:tr2bl w:val="nil"/>
            </w:tcBorders>
            <w:noWrap w:val="0"/>
            <w:vAlign w:val="center"/>
          </w:tcPr>
          <w:p w14:paraId="4D910547">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62</w:t>
            </w:r>
          </w:p>
        </w:tc>
        <w:tc>
          <w:tcPr>
            <w:tcW w:w="723" w:type="pct"/>
            <w:tcBorders>
              <w:tl2br w:val="nil"/>
              <w:tr2bl w:val="nil"/>
            </w:tcBorders>
            <w:noWrap w:val="0"/>
            <w:vAlign w:val="center"/>
          </w:tcPr>
          <w:p w14:paraId="25477ABF">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p>
        </w:tc>
        <w:tc>
          <w:tcPr>
            <w:tcW w:w="602" w:type="pct"/>
            <w:tcBorders>
              <w:tl2br w:val="nil"/>
              <w:tr2bl w:val="nil"/>
            </w:tcBorders>
            <w:noWrap w:val="0"/>
            <w:vAlign w:val="center"/>
          </w:tcPr>
          <w:p w14:paraId="3215ACE2">
            <w:pPr>
              <w:keepNext w:val="0"/>
              <w:keepLines w:val="0"/>
              <w:pageBreakBefore w:val="0"/>
              <w:widowControl/>
              <w:suppressLineNumbers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89</w:t>
            </w:r>
          </w:p>
        </w:tc>
        <w:tc>
          <w:tcPr>
            <w:tcW w:w="542" w:type="pct"/>
            <w:tcBorders>
              <w:tl2br w:val="nil"/>
              <w:tr2bl w:val="nil"/>
            </w:tcBorders>
            <w:noWrap w:val="0"/>
            <w:vAlign w:val="center"/>
          </w:tcPr>
          <w:p w14:paraId="12878113">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00BE55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tblHeader/>
        </w:trPr>
        <w:tc>
          <w:tcPr>
            <w:tcW w:w="833" w:type="pct"/>
            <w:tcBorders>
              <w:tl2br w:val="nil"/>
              <w:tr2bl w:val="nil"/>
            </w:tcBorders>
            <w:noWrap w:val="0"/>
            <w:vAlign w:val="center"/>
          </w:tcPr>
          <w:p w14:paraId="1BC421C6">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p>
        </w:tc>
        <w:tc>
          <w:tcPr>
            <w:tcW w:w="1501" w:type="pct"/>
            <w:tcBorders>
              <w:tl2br w:val="nil"/>
              <w:tr2bl w:val="nil"/>
            </w:tcBorders>
            <w:noWrap w:val="0"/>
            <w:vAlign w:val="center"/>
          </w:tcPr>
          <w:p w14:paraId="5AF5D479">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年平均质量浓度</w:t>
            </w:r>
          </w:p>
        </w:tc>
        <w:tc>
          <w:tcPr>
            <w:tcW w:w="796" w:type="pct"/>
            <w:tcBorders>
              <w:tl2br w:val="nil"/>
              <w:tr2bl w:val="nil"/>
            </w:tcBorders>
            <w:noWrap w:val="0"/>
            <w:vAlign w:val="center"/>
          </w:tcPr>
          <w:p w14:paraId="772FB948">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29</w:t>
            </w:r>
          </w:p>
        </w:tc>
        <w:tc>
          <w:tcPr>
            <w:tcW w:w="723" w:type="pct"/>
            <w:tcBorders>
              <w:tl2br w:val="nil"/>
              <w:tr2bl w:val="nil"/>
            </w:tcBorders>
            <w:noWrap w:val="0"/>
            <w:vAlign w:val="center"/>
          </w:tcPr>
          <w:p w14:paraId="0009DDE4">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602" w:type="pct"/>
            <w:tcBorders>
              <w:tl2br w:val="nil"/>
              <w:tr2bl w:val="nil"/>
            </w:tcBorders>
            <w:noWrap w:val="0"/>
            <w:vAlign w:val="center"/>
          </w:tcPr>
          <w:p w14:paraId="5CCE53FC">
            <w:pPr>
              <w:keepNext w:val="0"/>
              <w:keepLines w:val="0"/>
              <w:pageBreakBefore w:val="0"/>
              <w:widowControl/>
              <w:suppressLineNumbers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73</w:t>
            </w:r>
          </w:p>
        </w:tc>
        <w:tc>
          <w:tcPr>
            <w:tcW w:w="542" w:type="pct"/>
            <w:tcBorders>
              <w:tl2br w:val="nil"/>
              <w:tr2bl w:val="nil"/>
            </w:tcBorders>
            <w:noWrap w:val="0"/>
            <w:vAlign w:val="center"/>
          </w:tcPr>
          <w:p w14:paraId="78607547">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3B4640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tblHeader/>
        </w:trPr>
        <w:tc>
          <w:tcPr>
            <w:tcW w:w="833" w:type="pct"/>
            <w:tcBorders>
              <w:tl2br w:val="nil"/>
              <w:tr2bl w:val="nil"/>
            </w:tcBorders>
            <w:noWrap w:val="0"/>
            <w:vAlign w:val="center"/>
          </w:tcPr>
          <w:p w14:paraId="22885736">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501" w:type="pct"/>
            <w:tcBorders>
              <w:tl2br w:val="nil"/>
              <w:tr2bl w:val="nil"/>
            </w:tcBorders>
            <w:noWrap w:val="0"/>
            <w:vAlign w:val="center"/>
          </w:tcPr>
          <w:p w14:paraId="30A2CD55">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796" w:type="pct"/>
            <w:tcBorders>
              <w:tl2br w:val="nil"/>
              <w:tr2bl w:val="nil"/>
            </w:tcBorders>
            <w:noWrap w:val="0"/>
            <w:vAlign w:val="center"/>
          </w:tcPr>
          <w:p w14:paraId="3E9430AC">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723" w:type="pct"/>
            <w:tcBorders>
              <w:tl2br w:val="nil"/>
              <w:tr2bl w:val="nil"/>
            </w:tcBorders>
            <w:noWrap w:val="0"/>
            <w:vAlign w:val="center"/>
          </w:tcPr>
          <w:p w14:paraId="1BEDCC32">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602" w:type="pct"/>
            <w:tcBorders>
              <w:tl2br w:val="nil"/>
              <w:tr2bl w:val="nil"/>
            </w:tcBorders>
            <w:noWrap w:val="0"/>
            <w:vAlign w:val="center"/>
          </w:tcPr>
          <w:p w14:paraId="6F4A8B52">
            <w:pPr>
              <w:keepNext w:val="0"/>
              <w:keepLines w:val="0"/>
              <w:pageBreakBefore w:val="0"/>
              <w:widowControl/>
              <w:suppressLineNumbers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17</w:t>
            </w:r>
          </w:p>
        </w:tc>
        <w:tc>
          <w:tcPr>
            <w:tcW w:w="542" w:type="pct"/>
            <w:tcBorders>
              <w:tl2br w:val="nil"/>
              <w:tr2bl w:val="nil"/>
            </w:tcBorders>
            <w:noWrap w:val="0"/>
            <w:vAlign w:val="center"/>
          </w:tcPr>
          <w:p w14:paraId="19AA8644">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7046B7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33" w:type="pct"/>
            <w:tcBorders>
              <w:tl2br w:val="nil"/>
              <w:tr2bl w:val="nil"/>
            </w:tcBorders>
            <w:noWrap w:val="0"/>
            <w:vAlign w:val="center"/>
          </w:tcPr>
          <w:p w14:paraId="33B20806">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eastAsia" w:cs="Times New Roman"/>
                <w:color w:val="auto"/>
                <w:sz w:val="21"/>
                <w:szCs w:val="21"/>
                <w:highlight w:val="none"/>
                <w:vertAlign w:val="superscript"/>
                <w:lang w:eastAsia="zh-CN"/>
              </w:rPr>
              <w:t>)</w:t>
            </w:r>
          </w:p>
        </w:tc>
        <w:tc>
          <w:tcPr>
            <w:tcW w:w="1501" w:type="pct"/>
            <w:tcBorders>
              <w:tl2br w:val="nil"/>
              <w:tr2bl w:val="nil"/>
            </w:tcBorders>
            <w:noWrap w:val="0"/>
            <w:vAlign w:val="center"/>
          </w:tcPr>
          <w:p w14:paraId="2EA3AB7E">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第95位百分位数日平均</w:t>
            </w:r>
          </w:p>
        </w:tc>
        <w:tc>
          <w:tcPr>
            <w:tcW w:w="796" w:type="pct"/>
            <w:tcBorders>
              <w:tl2br w:val="nil"/>
              <w:tr2bl w:val="nil"/>
            </w:tcBorders>
            <w:noWrap w:val="0"/>
            <w:vAlign w:val="center"/>
          </w:tcPr>
          <w:p w14:paraId="192B9AFD">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w:t>
            </w:r>
          </w:p>
        </w:tc>
        <w:tc>
          <w:tcPr>
            <w:tcW w:w="723" w:type="pct"/>
            <w:tcBorders>
              <w:tl2br w:val="nil"/>
              <w:tr2bl w:val="nil"/>
            </w:tcBorders>
            <w:noWrap w:val="0"/>
            <w:vAlign w:val="center"/>
          </w:tcPr>
          <w:p w14:paraId="3BE02014">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602" w:type="pct"/>
            <w:tcBorders>
              <w:tl2br w:val="nil"/>
              <w:tr2bl w:val="nil"/>
            </w:tcBorders>
            <w:noWrap w:val="0"/>
            <w:vAlign w:val="center"/>
          </w:tcPr>
          <w:p w14:paraId="4C6B912F">
            <w:pPr>
              <w:keepNext w:val="0"/>
              <w:keepLines w:val="0"/>
              <w:pageBreakBefore w:val="0"/>
              <w:widowControl/>
              <w:suppressLineNumbers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28</w:t>
            </w:r>
          </w:p>
        </w:tc>
        <w:tc>
          <w:tcPr>
            <w:tcW w:w="542" w:type="pct"/>
            <w:tcBorders>
              <w:tl2br w:val="nil"/>
              <w:tr2bl w:val="nil"/>
            </w:tcBorders>
            <w:noWrap w:val="0"/>
            <w:vAlign w:val="center"/>
          </w:tcPr>
          <w:p w14:paraId="3FE07C52">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70E749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33" w:type="pct"/>
            <w:tcBorders>
              <w:tl2br w:val="nil"/>
              <w:tr2bl w:val="nil"/>
            </w:tcBorders>
            <w:noWrap w:val="0"/>
            <w:vAlign w:val="center"/>
          </w:tcPr>
          <w:p w14:paraId="73A44BE7">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p>
        </w:tc>
        <w:tc>
          <w:tcPr>
            <w:tcW w:w="1501" w:type="pct"/>
            <w:tcBorders>
              <w:tl2br w:val="nil"/>
              <w:tr2bl w:val="nil"/>
            </w:tcBorders>
            <w:noWrap w:val="0"/>
            <w:vAlign w:val="center"/>
          </w:tcPr>
          <w:p w14:paraId="16F541D8">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8h平均质量浓度</w:t>
            </w:r>
          </w:p>
        </w:tc>
        <w:tc>
          <w:tcPr>
            <w:tcW w:w="796" w:type="pct"/>
            <w:tcBorders>
              <w:tl2br w:val="nil"/>
              <w:tr2bl w:val="nil"/>
            </w:tcBorders>
            <w:noWrap w:val="0"/>
            <w:vAlign w:val="center"/>
          </w:tcPr>
          <w:p w14:paraId="60A66483">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118</w:t>
            </w:r>
          </w:p>
        </w:tc>
        <w:tc>
          <w:tcPr>
            <w:tcW w:w="723" w:type="pct"/>
            <w:tcBorders>
              <w:tl2br w:val="nil"/>
              <w:tr2bl w:val="nil"/>
            </w:tcBorders>
            <w:noWrap w:val="0"/>
            <w:vAlign w:val="center"/>
          </w:tcPr>
          <w:p w14:paraId="6B509FE3">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160</w:t>
            </w:r>
          </w:p>
        </w:tc>
        <w:tc>
          <w:tcPr>
            <w:tcW w:w="602" w:type="pct"/>
            <w:tcBorders>
              <w:tl2br w:val="nil"/>
              <w:tr2bl w:val="nil"/>
            </w:tcBorders>
            <w:noWrap w:val="0"/>
            <w:vAlign w:val="center"/>
          </w:tcPr>
          <w:p w14:paraId="1829CC12">
            <w:pPr>
              <w:keepNext w:val="0"/>
              <w:keepLines w:val="0"/>
              <w:pageBreakBefore w:val="0"/>
              <w:widowControl/>
              <w:suppressLineNumbers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74</w:t>
            </w:r>
          </w:p>
        </w:tc>
        <w:tc>
          <w:tcPr>
            <w:tcW w:w="542" w:type="pct"/>
            <w:tcBorders>
              <w:tl2br w:val="nil"/>
              <w:tr2bl w:val="nil"/>
            </w:tcBorders>
            <w:noWrap w:val="0"/>
            <w:vAlign w:val="center"/>
          </w:tcPr>
          <w:p w14:paraId="05DC193C">
            <w:pPr>
              <w:pStyle w:val="5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bl>
    <w:p w14:paraId="528D2864">
      <w:pPr>
        <w:spacing w:line="360" w:lineRule="auto"/>
        <w:ind w:firstLine="420" w:firstLineChars="200"/>
        <w:rPr>
          <w:rFonts w:hint="default" w:ascii="Times New Roman" w:hAnsi="Times New Roman" w:cs="Times New Roman"/>
          <w:color w:val="auto"/>
          <w:kern w:val="0"/>
          <w:sz w:val="21"/>
          <w:szCs w:val="21"/>
          <w:highlight w:val="green"/>
          <w:lang w:val="en-US" w:eastAsia="zh-CN"/>
        </w:rPr>
      </w:pPr>
      <w:r>
        <w:rPr>
          <w:rFonts w:hint="default" w:ascii="Times New Roman" w:hAnsi="Times New Roman" w:cs="Times New Roman"/>
          <w:color w:val="auto"/>
          <w:kern w:val="0"/>
          <w:sz w:val="21"/>
          <w:szCs w:val="21"/>
          <w:highlight w:val="none"/>
          <w:lang w:val="en-US" w:eastAsia="zh-CN"/>
        </w:rPr>
        <w:t>注：日均值第X百分位数按照《环境空气质量评价技术规范(试行)》(HJ663-2013)，二氧化氮、二氧化硫X为98，细颗粒物、可吸入颗粒物、一氧化碳X为95，臭氧日最大8小时平均值X为90。</w:t>
      </w:r>
    </w:p>
    <w:p w14:paraId="3E8A828D">
      <w:pPr>
        <w:spacing w:line="360" w:lineRule="auto"/>
        <w:ind w:firstLine="480" w:firstLineChars="200"/>
        <w:rPr>
          <w:rFonts w:hint="default" w:ascii="Times New Roman" w:hAnsi="Times New Roman" w:cs="Times New Roman"/>
          <w:color w:val="auto"/>
          <w:kern w:val="21"/>
          <w:sz w:val="24"/>
          <w:szCs w:val="24"/>
          <w:highlight w:val="none"/>
        </w:rPr>
      </w:pPr>
      <w:r>
        <w:rPr>
          <w:rFonts w:hint="default" w:ascii="Times New Roman" w:hAnsi="Times New Roman" w:cs="Times New Roman"/>
          <w:color w:val="auto"/>
          <w:kern w:val="0"/>
          <w:sz w:val="24"/>
          <w:szCs w:val="24"/>
          <w:highlight w:val="none"/>
          <w:lang w:val="en-US" w:eastAsia="zh-CN"/>
        </w:rPr>
        <w:t>根据上表统计结果，2024年评价全域基本污染物PM</w:t>
      </w:r>
      <w:r>
        <w:rPr>
          <w:rFonts w:hint="default" w:ascii="Times New Roman" w:hAnsi="Times New Roman" w:cs="Times New Roman"/>
          <w:color w:val="auto"/>
          <w:kern w:val="0"/>
          <w:sz w:val="24"/>
          <w:szCs w:val="24"/>
          <w:highlight w:val="none"/>
          <w:vertAlign w:val="subscript"/>
          <w:lang w:val="en-US" w:eastAsia="zh-CN"/>
        </w:rPr>
        <w:t>10</w:t>
      </w:r>
      <w:r>
        <w:rPr>
          <w:rFonts w:hint="default" w:ascii="Times New Roman" w:hAnsi="Times New Roman" w:cs="Times New Roman"/>
          <w:color w:val="auto"/>
          <w:kern w:val="0"/>
          <w:sz w:val="24"/>
          <w:szCs w:val="24"/>
          <w:highlight w:val="none"/>
          <w:lang w:val="en-US" w:eastAsia="zh-CN"/>
        </w:rPr>
        <w:t>、SO</w:t>
      </w:r>
      <w:r>
        <w:rPr>
          <w:rFonts w:hint="default" w:ascii="Times New Roman" w:hAnsi="Times New Roman" w:cs="Times New Roman"/>
          <w:color w:val="auto"/>
          <w:kern w:val="0"/>
          <w:sz w:val="24"/>
          <w:szCs w:val="24"/>
          <w:highlight w:val="none"/>
          <w:vertAlign w:val="subscript"/>
          <w:lang w:val="en-US" w:eastAsia="zh-CN"/>
        </w:rPr>
        <w:t>2</w:t>
      </w:r>
      <w:r>
        <w:rPr>
          <w:rFonts w:hint="default" w:ascii="Times New Roman" w:hAnsi="Times New Roman" w:cs="Times New Roman"/>
          <w:color w:val="auto"/>
          <w:kern w:val="0"/>
          <w:sz w:val="24"/>
          <w:szCs w:val="24"/>
          <w:highlight w:val="none"/>
          <w:lang w:val="en-US" w:eastAsia="zh-CN"/>
        </w:rPr>
        <w:t>、NO</w:t>
      </w:r>
      <w:r>
        <w:rPr>
          <w:rFonts w:hint="default" w:ascii="Times New Roman" w:hAnsi="Times New Roman" w:cs="Times New Roman"/>
          <w:color w:val="auto"/>
          <w:kern w:val="0"/>
          <w:sz w:val="24"/>
          <w:szCs w:val="24"/>
          <w:highlight w:val="none"/>
          <w:vertAlign w:val="subscript"/>
          <w:lang w:val="en-US" w:eastAsia="zh-CN"/>
        </w:rPr>
        <w:t>2</w:t>
      </w:r>
      <w:r>
        <w:rPr>
          <w:rFonts w:hint="default" w:ascii="Times New Roman" w:hAnsi="Times New Roman" w:cs="Times New Roman"/>
          <w:color w:val="auto"/>
          <w:kern w:val="0"/>
          <w:sz w:val="24"/>
          <w:szCs w:val="24"/>
          <w:highlight w:val="none"/>
          <w:lang w:val="en-US" w:eastAsia="zh-CN"/>
        </w:rPr>
        <w:t>年平均浓度值、CO-95per24小时平均浓度、O</w:t>
      </w:r>
      <w:r>
        <w:rPr>
          <w:rFonts w:hint="default" w:ascii="Times New Roman" w:hAnsi="Times New Roman" w:cs="Times New Roman"/>
          <w:color w:val="auto"/>
          <w:kern w:val="0"/>
          <w:sz w:val="24"/>
          <w:szCs w:val="24"/>
          <w:highlight w:val="none"/>
          <w:vertAlign w:val="subscript"/>
          <w:lang w:val="en-US" w:eastAsia="zh-CN"/>
        </w:rPr>
        <w:t>3</w:t>
      </w:r>
      <w:r>
        <w:rPr>
          <w:rFonts w:hint="default" w:ascii="Times New Roman" w:hAnsi="Times New Roman" w:cs="Times New Roman"/>
          <w:color w:val="auto"/>
          <w:kern w:val="0"/>
          <w:sz w:val="24"/>
          <w:szCs w:val="24"/>
          <w:highlight w:val="none"/>
          <w:lang w:val="en-US" w:eastAsia="zh-CN"/>
        </w:rPr>
        <w:t>-90per8小时平均浓度满足《环境空气质量标准》（GB3095-2012）及修改单中二级标准，PM</w:t>
      </w:r>
      <w:r>
        <w:rPr>
          <w:rFonts w:hint="default" w:ascii="Times New Roman" w:hAnsi="Times New Roman" w:cs="Times New Roman"/>
          <w:color w:val="auto"/>
          <w:kern w:val="0"/>
          <w:sz w:val="24"/>
          <w:szCs w:val="24"/>
          <w:highlight w:val="none"/>
          <w:vertAlign w:val="subscript"/>
          <w:lang w:val="en-US" w:eastAsia="zh-CN"/>
        </w:rPr>
        <w:t>2.5</w:t>
      </w:r>
      <w:r>
        <w:rPr>
          <w:rFonts w:hint="default" w:ascii="Times New Roman" w:hAnsi="Times New Roman" w:cs="Times New Roman"/>
          <w:color w:val="auto"/>
          <w:kern w:val="0"/>
          <w:sz w:val="24"/>
          <w:szCs w:val="24"/>
          <w:highlight w:val="none"/>
          <w:lang w:val="en-US" w:eastAsia="zh-CN"/>
        </w:rPr>
        <w:t>年平均浓度值不能满足二级标准，项目所在区域为不达标区。具体超标原因为项目所在区域地处中高纬度地区，冬季易出现逆温和静风天气，导致大气层结稳定，不利于污染物垂直和水平方向扩散。不利于气象扩散条件，加之进入供暖期燃煤排放量急剧增大，导致我市出现采暖期污染明显加重的情况。</w:t>
      </w:r>
    </w:p>
    <w:p w14:paraId="140748D1">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微软雅黑" w:cs="Times New Roman"/>
          <w:color w:val="auto"/>
          <w:spacing w:val="-1"/>
          <w:sz w:val="24"/>
          <w:szCs w:val="24"/>
          <w:lang w:val="en-US" w:eastAsia="zh-CN"/>
        </w:rPr>
      </w:pPr>
      <w:r>
        <w:rPr>
          <w:rFonts w:hint="default" w:ascii="Times New Roman" w:hAnsi="Times New Roman" w:eastAsia="宋体" w:cs="Times New Roman"/>
          <w:b/>
          <w:bCs/>
          <w:color w:val="auto"/>
          <w:sz w:val="28"/>
          <w:szCs w:val="28"/>
          <w:lang w:val="en-US" w:eastAsia="zh-CN"/>
        </w:rPr>
        <w:fldChar w:fldCharType="begin"/>
      </w:r>
      <w:r>
        <w:rPr>
          <w:rFonts w:hint="default" w:ascii="Times New Roman" w:hAnsi="Times New Roman" w:eastAsia="宋体" w:cs="Times New Roman"/>
          <w:b/>
          <w:bCs/>
          <w:color w:val="auto"/>
          <w:sz w:val="28"/>
          <w:szCs w:val="28"/>
          <w:lang w:val="en-US" w:eastAsia="zh-CN"/>
        </w:rPr>
        <w:instrText xml:space="preserve"> HYPERLINK "5.2.1.2" </w:instrText>
      </w:r>
      <w:r>
        <w:rPr>
          <w:rFonts w:hint="default" w:ascii="Times New Roman" w:hAnsi="Times New Roman" w:eastAsia="宋体" w:cs="Times New Roman"/>
          <w:b/>
          <w:bCs/>
          <w:color w:val="auto"/>
          <w:sz w:val="28"/>
          <w:szCs w:val="28"/>
          <w:lang w:val="en-US" w:eastAsia="zh-CN"/>
        </w:rPr>
        <w:fldChar w:fldCharType="separate"/>
      </w:r>
      <w:r>
        <w:rPr>
          <w:rFonts w:hint="eastAsia" w:ascii="Times New Roman" w:hAnsi="Times New Roman" w:eastAsia="宋体" w:cs="Times New Roman"/>
          <w:b/>
          <w:bCs/>
          <w:color w:val="auto"/>
          <w:sz w:val="28"/>
          <w:szCs w:val="28"/>
          <w:lang w:val="en-US" w:eastAsia="zh-CN"/>
        </w:rPr>
        <w:t>4</w:t>
      </w:r>
      <w:r>
        <w:rPr>
          <w:rFonts w:hint="default" w:ascii="Times New Roman" w:hAnsi="Times New Roman" w:eastAsia="宋体" w:cs="Times New Roman"/>
          <w:b/>
          <w:bCs/>
          <w:color w:val="auto"/>
          <w:sz w:val="28"/>
          <w:szCs w:val="28"/>
          <w:lang w:val="en-US" w:eastAsia="zh-CN"/>
        </w:rPr>
        <w:t>.</w:t>
      </w:r>
      <w:r>
        <w:rPr>
          <w:rFonts w:hint="eastAsia" w:ascii="Times New Roman" w:hAnsi="Times New Roman" w:eastAsia="宋体" w:cs="Times New Roman"/>
          <w:b/>
          <w:bCs/>
          <w:color w:val="auto"/>
          <w:sz w:val="28"/>
          <w:szCs w:val="28"/>
          <w:lang w:val="en-US" w:eastAsia="zh-CN"/>
        </w:rPr>
        <w:t>2</w:t>
      </w:r>
      <w:r>
        <w:rPr>
          <w:rFonts w:hint="default" w:ascii="Times New Roman" w:hAnsi="Times New Roman" w:eastAsia="宋体" w:cs="Times New Roman"/>
          <w:b/>
          <w:bCs/>
          <w:color w:val="auto"/>
          <w:sz w:val="28"/>
          <w:szCs w:val="28"/>
          <w:lang w:val="en-US" w:eastAsia="zh-CN"/>
        </w:rPr>
        <w:t>.1.2</w:t>
      </w:r>
      <w:r>
        <w:rPr>
          <w:rFonts w:hint="default" w:ascii="Times New Roman" w:hAnsi="Times New Roman" w:eastAsia="宋体" w:cs="Times New Roman"/>
          <w:b/>
          <w:bCs/>
          <w:color w:val="auto"/>
          <w:sz w:val="28"/>
          <w:szCs w:val="28"/>
          <w:lang w:val="en-US" w:eastAsia="zh-CN"/>
        </w:rPr>
        <w:fldChar w:fldCharType="end"/>
      </w:r>
      <w:r>
        <w:rPr>
          <w:rFonts w:hint="default" w:ascii="Times New Roman" w:hAnsi="Times New Roman" w:eastAsia="宋体" w:cs="Times New Roman"/>
          <w:b/>
          <w:bCs/>
          <w:color w:val="auto"/>
          <w:sz w:val="28"/>
          <w:szCs w:val="28"/>
          <w:lang w:val="en-US" w:eastAsia="zh-CN"/>
        </w:rPr>
        <w:t>其他污染物补充监测</w:t>
      </w:r>
    </w:p>
    <w:p w14:paraId="16506814">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b w:val="0"/>
          <w:bCs w:val="0"/>
          <w:snapToGrid w:val="0"/>
          <w:color w:val="auto"/>
          <w:kern w:val="0"/>
          <w:sz w:val="24"/>
          <w:szCs w:val="24"/>
          <w:lang w:val="en-US" w:eastAsia="zh-CN" w:bidi="ar"/>
        </w:rPr>
      </w:pPr>
      <w:r>
        <w:rPr>
          <w:rFonts w:hint="eastAsia" w:ascii="Times New Roman" w:hAnsi="Times New Roman" w:eastAsia="宋体" w:cs="Times New Roman"/>
          <w:b w:val="0"/>
          <w:bCs w:val="0"/>
          <w:snapToGrid w:val="0"/>
          <w:color w:val="auto"/>
          <w:kern w:val="0"/>
          <w:sz w:val="24"/>
          <w:szCs w:val="24"/>
          <w:lang w:val="en-US" w:eastAsia="zh-CN" w:bidi="ar"/>
        </w:rPr>
        <w:t>1、监测时间及监测项目</w:t>
      </w:r>
    </w:p>
    <w:p w14:paraId="60DA6D2A">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color w:val="auto"/>
          <w:spacing w:val="-5"/>
          <w:sz w:val="24"/>
          <w:szCs w:val="24"/>
          <w:lang w:val="en-US" w:eastAsia="zh-CN"/>
        </w:rPr>
      </w:pPr>
      <w:r>
        <w:rPr>
          <w:rFonts w:hint="default" w:ascii="Times New Roman" w:hAnsi="Times New Roman" w:eastAsia="宋体" w:cs="Times New Roman"/>
          <w:snapToGrid w:val="0"/>
          <w:color w:val="auto"/>
          <w:kern w:val="0"/>
          <w:sz w:val="24"/>
          <w:szCs w:val="24"/>
          <w:lang w:val="en-US" w:eastAsia="zh-CN" w:bidi="ar"/>
        </w:rPr>
        <w:t>为了解区域其他污染物背景值，</w:t>
      </w:r>
      <w:r>
        <w:rPr>
          <w:rFonts w:hint="default" w:ascii="Times New Roman" w:hAnsi="Times New Roman" w:eastAsia="宋体" w:cs="Times New Roman"/>
          <w:snapToGrid w:val="0"/>
          <w:color w:val="auto"/>
          <w:kern w:val="0"/>
          <w:sz w:val="24"/>
          <w:szCs w:val="24"/>
          <w:highlight w:val="none"/>
          <w:lang w:val="en-US" w:eastAsia="zh-CN" w:bidi="ar"/>
        </w:rPr>
        <w:t>本次评价委托</w:t>
      </w:r>
      <w:r>
        <w:rPr>
          <w:rFonts w:hint="eastAsia" w:ascii="Times New Roman" w:hAnsi="Times New Roman" w:eastAsia="宋体" w:cs="Times New Roman"/>
          <w:snapToGrid w:val="0"/>
          <w:color w:val="auto"/>
          <w:kern w:val="0"/>
          <w:sz w:val="24"/>
          <w:szCs w:val="24"/>
          <w:highlight w:val="none"/>
          <w:lang w:val="en-US" w:eastAsia="zh-CN" w:bidi="ar"/>
        </w:rPr>
        <w:t>黑龙江省华裕检测技术有限公司于</w:t>
      </w:r>
      <w:r>
        <w:rPr>
          <w:rFonts w:hint="default" w:ascii="Times New Roman" w:hAnsi="Times New Roman" w:eastAsia="宋体" w:cs="Times New Roman"/>
          <w:snapToGrid w:val="0"/>
          <w:color w:val="auto"/>
          <w:kern w:val="0"/>
          <w:sz w:val="24"/>
          <w:szCs w:val="24"/>
          <w:highlight w:val="none"/>
          <w:lang w:val="en-US" w:eastAsia="zh-CN" w:bidi="ar"/>
        </w:rPr>
        <w:t>202</w:t>
      </w:r>
      <w:r>
        <w:rPr>
          <w:rFonts w:hint="eastAsia" w:ascii="Times New Roman" w:hAnsi="Times New Roman" w:eastAsia="宋体" w:cs="Times New Roman"/>
          <w:snapToGrid w:val="0"/>
          <w:color w:val="auto"/>
          <w:kern w:val="0"/>
          <w:sz w:val="24"/>
          <w:szCs w:val="24"/>
          <w:highlight w:val="none"/>
          <w:lang w:val="en-US" w:eastAsia="zh-CN" w:bidi="ar"/>
        </w:rPr>
        <w:t>5</w:t>
      </w:r>
      <w:r>
        <w:rPr>
          <w:rFonts w:hint="default" w:ascii="Times New Roman" w:hAnsi="Times New Roman" w:eastAsia="宋体" w:cs="Times New Roman"/>
          <w:snapToGrid w:val="0"/>
          <w:color w:val="auto"/>
          <w:kern w:val="0"/>
          <w:sz w:val="24"/>
          <w:szCs w:val="24"/>
          <w:highlight w:val="none"/>
          <w:lang w:val="en-US" w:eastAsia="zh-CN" w:bidi="ar"/>
        </w:rPr>
        <w:t>年</w:t>
      </w:r>
      <w:r>
        <w:rPr>
          <w:rFonts w:hint="eastAsia" w:ascii="Times New Roman" w:hAnsi="Times New Roman" w:eastAsia="宋体" w:cs="Times New Roman"/>
          <w:snapToGrid w:val="0"/>
          <w:color w:val="auto"/>
          <w:kern w:val="0"/>
          <w:sz w:val="24"/>
          <w:szCs w:val="24"/>
          <w:highlight w:val="none"/>
          <w:lang w:val="en-US" w:eastAsia="zh-CN" w:bidi="ar"/>
        </w:rPr>
        <w:t>11</w:t>
      </w:r>
      <w:r>
        <w:rPr>
          <w:rFonts w:hint="default" w:ascii="Times New Roman" w:hAnsi="Times New Roman" w:eastAsia="宋体" w:cs="Times New Roman"/>
          <w:snapToGrid w:val="0"/>
          <w:color w:val="auto"/>
          <w:kern w:val="0"/>
          <w:sz w:val="24"/>
          <w:szCs w:val="24"/>
          <w:highlight w:val="none"/>
          <w:lang w:val="en-US" w:eastAsia="zh-CN" w:bidi="ar"/>
        </w:rPr>
        <w:t>月</w:t>
      </w:r>
      <w:r>
        <w:rPr>
          <w:rFonts w:hint="eastAsia" w:ascii="Times New Roman" w:hAnsi="Times New Roman" w:eastAsia="宋体" w:cs="Times New Roman"/>
          <w:snapToGrid w:val="0"/>
          <w:color w:val="auto"/>
          <w:kern w:val="0"/>
          <w:sz w:val="24"/>
          <w:szCs w:val="24"/>
          <w:highlight w:val="none"/>
          <w:lang w:val="en-US" w:eastAsia="zh-CN" w:bidi="ar"/>
        </w:rPr>
        <w:t>03</w:t>
      </w:r>
      <w:r>
        <w:rPr>
          <w:rFonts w:hint="default" w:ascii="Times New Roman" w:hAnsi="Times New Roman" w:eastAsia="宋体" w:cs="Times New Roman"/>
          <w:snapToGrid w:val="0"/>
          <w:color w:val="auto"/>
          <w:kern w:val="0"/>
          <w:sz w:val="24"/>
          <w:szCs w:val="24"/>
          <w:highlight w:val="none"/>
          <w:lang w:val="en-US" w:eastAsia="zh-CN" w:bidi="ar"/>
        </w:rPr>
        <w:t>日-202</w:t>
      </w:r>
      <w:r>
        <w:rPr>
          <w:rFonts w:hint="eastAsia" w:ascii="Times New Roman" w:hAnsi="Times New Roman" w:eastAsia="宋体" w:cs="Times New Roman"/>
          <w:snapToGrid w:val="0"/>
          <w:color w:val="auto"/>
          <w:kern w:val="0"/>
          <w:sz w:val="24"/>
          <w:szCs w:val="24"/>
          <w:highlight w:val="none"/>
          <w:lang w:val="en-US" w:eastAsia="zh-CN" w:bidi="ar"/>
        </w:rPr>
        <w:t>5</w:t>
      </w:r>
      <w:r>
        <w:rPr>
          <w:rFonts w:hint="default" w:ascii="Times New Roman" w:hAnsi="Times New Roman" w:eastAsia="宋体" w:cs="Times New Roman"/>
          <w:snapToGrid w:val="0"/>
          <w:color w:val="auto"/>
          <w:kern w:val="0"/>
          <w:sz w:val="24"/>
          <w:szCs w:val="24"/>
          <w:highlight w:val="none"/>
          <w:lang w:val="en-US" w:eastAsia="zh-CN" w:bidi="ar"/>
        </w:rPr>
        <w:t>年</w:t>
      </w:r>
      <w:r>
        <w:rPr>
          <w:rFonts w:hint="eastAsia" w:ascii="Times New Roman" w:hAnsi="Times New Roman" w:eastAsia="宋体" w:cs="Times New Roman"/>
          <w:snapToGrid w:val="0"/>
          <w:color w:val="auto"/>
          <w:kern w:val="0"/>
          <w:sz w:val="24"/>
          <w:szCs w:val="24"/>
          <w:highlight w:val="none"/>
          <w:lang w:val="en-US" w:eastAsia="zh-CN" w:bidi="ar"/>
        </w:rPr>
        <w:t>11</w:t>
      </w:r>
      <w:r>
        <w:rPr>
          <w:rFonts w:hint="default" w:ascii="Times New Roman" w:hAnsi="Times New Roman" w:eastAsia="宋体" w:cs="Times New Roman"/>
          <w:snapToGrid w:val="0"/>
          <w:color w:val="auto"/>
          <w:kern w:val="0"/>
          <w:sz w:val="24"/>
          <w:szCs w:val="24"/>
          <w:highlight w:val="none"/>
          <w:lang w:val="en-US" w:eastAsia="zh-CN" w:bidi="ar"/>
        </w:rPr>
        <w:t>月</w:t>
      </w:r>
      <w:r>
        <w:rPr>
          <w:rFonts w:hint="eastAsia" w:ascii="Times New Roman" w:hAnsi="Times New Roman" w:eastAsia="宋体" w:cs="Times New Roman"/>
          <w:snapToGrid w:val="0"/>
          <w:color w:val="auto"/>
          <w:kern w:val="0"/>
          <w:sz w:val="24"/>
          <w:szCs w:val="24"/>
          <w:highlight w:val="none"/>
          <w:lang w:val="en-US" w:eastAsia="zh-CN" w:bidi="ar"/>
        </w:rPr>
        <w:t>09</w:t>
      </w:r>
      <w:r>
        <w:rPr>
          <w:rFonts w:hint="default" w:ascii="Times New Roman" w:hAnsi="Times New Roman" w:eastAsia="宋体" w:cs="Times New Roman"/>
          <w:snapToGrid w:val="0"/>
          <w:color w:val="auto"/>
          <w:kern w:val="0"/>
          <w:sz w:val="24"/>
          <w:szCs w:val="24"/>
          <w:highlight w:val="none"/>
          <w:lang w:val="en-US" w:eastAsia="zh-CN" w:bidi="ar"/>
        </w:rPr>
        <w:t>日</w:t>
      </w:r>
      <w:r>
        <w:rPr>
          <w:rFonts w:hint="eastAsia" w:ascii="Times New Roman" w:hAnsi="Times New Roman" w:eastAsia="宋体" w:cs="Times New Roman"/>
          <w:snapToGrid w:val="0"/>
          <w:color w:val="auto"/>
          <w:kern w:val="0"/>
          <w:sz w:val="24"/>
          <w:szCs w:val="24"/>
          <w:highlight w:val="none"/>
          <w:lang w:val="en-US" w:eastAsia="zh-CN" w:bidi="ar"/>
        </w:rPr>
        <w:t>对本项目厂址下风向处的</w:t>
      </w:r>
      <w:r>
        <w:rPr>
          <w:rFonts w:hint="default" w:ascii="Times New Roman" w:hAnsi="Times New Roman" w:cs="Times New Roman"/>
          <w:color w:val="auto"/>
          <w:kern w:val="0"/>
          <w:sz w:val="24"/>
          <w:szCs w:val="24"/>
          <w:highlight w:val="none"/>
        </w:rPr>
        <w:t>TSP</w:t>
      </w:r>
      <w:r>
        <w:rPr>
          <w:rFonts w:hint="default" w:ascii="Times New Roman" w:hAnsi="Times New Roman" w:eastAsia="宋体" w:cs="Times New Roman"/>
          <w:color w:val="auto"/>
          <w:spacing w:val="-5"/>
          <w:sz w:val="24"/>
          <w:szCs w:val="24"/>
          <w:lang w:val="en-US" w:eastAsia="zh-CN"/>
        </w:rPr>
        <w:t>、</w:t>
      </w:r>
      <w:r>
        <w:rPr>
          <w:rFonts w:hint="eastAsia" w:ascii="Times New Roman" w:hAnsi="Times New Roman" w:eastAsia="宋体" w:cs="Times New Roman"/>
          <w:color w:val="auto"/>
          <w:spacing w:val="-5"/>
          <w:sz w:val="24"/>
          <w:szCs w:val="24"/>
          <w:lang w:val="en-US" w:eastAsia="zh-CN"/>
        </w:rPr>
        <w:t>非甲烷总烃、NOx、苯乙烯、甲苯、丙烯腈、</w:t>
      </w:r>
      <w:r>
        <w:rPr>
          <w:rFonts w:hint="default" w:ascii="Times New Roman" w:hAnsi="Times New Roman" w:eastAsia="宋体" w:cs="Times New Roman"/>
          <w:color w:val="auto"/>
          <w:spacing w:val="-5"/>
          <w:sz w:val="24"/>
          <w:szCs w:val="24"/>
          <w:lang w:val="en-US" w:eastAsia="zh-CN"/>
        </w:rPr>
        <w:t>NH</w:t>
      </w:r>
      <w:r>
        <w:rPr>
          <w:rFonts w:hint="default" w:ascii="Times New Roman" w:hAnsi="Times New Roman" w:eastAsia="宋体" w:cs="Times New Roman"/>
          <w:color w:val="auto"/>
          <w:spacing w:val="-5"/>
          <w:sz w:val="24"/>
          <w:szCs w:val="24"/>
          <w:vertAlign w:val="subscript"/>
          <w:lang w:val="en-US" w:eastAsia="zh-CN"/>
        </w:rPr>
        <w:t>3</w:t>
      </w:r>
      <w:r>
        <w:rPr>
          <w:rFonts w:hint="default" w:ascii="Times New Roman" w:hAnsi="Times New Roman" w:eastAsia="宋体" w:cs="Times New Roman"/>
          <w:color w:val="auto"/>
          <w:spacing w:val="-5"/>
          <w:sz w:val="24"/>
          <w:szCs w:val="24"/>
          <w:lang w:val="en-US" w:eastAsia="zh-CN"/>
        </w:rPr>
        <w:t>、H</w:t>
      </w:r>
      <w:r>
        <w:rPr>
          <w:rFonts w:hint="default" w:ascii="Times New Roman" w:hAnsi="Times New Roman" w:eastAsia="宋体" w:cs="Times New Roman"/>
          <w:color w:val="auto"/>
          <w:spacing w:val="-5"/>
          <w:sz w:val="24"/>
          <w:szCs w:val="24"/>
          <w:vertAlign w:val="subscript"/>
          <w:lang w:val="en-US" w:eastAsia="zh-CN"/>
        </w:rPr>
        <w:t>2</w:t>
      </w:r>
      <w:r>
        <w:rPr>
          <w:rFonts w:hint="default" w:ascii="Times New Roman" w:hAnsi="Times New Roman" w:eastAsia="宋体" w:cs="Times New Roman"/>
          <w:color w:val="auto"/>
          <w:spacing w:val="-5"/>
          <w:sz w:val="24"/>
          <w:szCs w:val="24"/>
          <w:lang w:val="en-US" w:eastAsia="zh-CN"/>
        </w:rPr>
        <w:t>S</w:t>
      </w:r>
      <w:r>
        <w:rPr>
          <w:rFonts w:hint="eastAsia" w:ascii="Times New Roman" w:hAnsi="Times New Roman" w:eastAsia="宋体" w:cs="Times New Roman"/>
          <w:color w:val="auto"/>
          <w:spacing w:val="-5"/>
          <w:sz w:val="24"/>
          <w:szCs w:val="24"/>
          <w:lang w:val="en-US" w:eastAsia="zh-CN"/>
        </w:rPr>
        <w:t>进行现状监测。</w:t>
      </w:r>
    </w:p>
    <w:p w14:paraId="6B9C1AC4">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b w:val="0"/>
          <w:bCs w:val="0"/>
          <w:snapToGrid w:val="0"/>
          <w:color w:val="auto"/>
          <w:kern w:val="0"/>
          <w:sz w:val="24"/>
          <w:szCs w:val="24"/>
          <w:lang w:val="en-US" w:eastAsia="zh-CN" w:bidi="ar"/>
        </w:rPr>
      </w:pPr>
      <w:r>
        <w:rPr>
          <w:rFonts w:hint="eastAsia" w:ascii="Times New Roman" w:hAnsi="Times New Roman" w:eastAsia="宋体" w:cs="Times New Roman"/>
          <w:b w:val="0"/>
          <w:bCs w:val="0"/>
          <w:snapToGrid w:val="0"/>
          <w:color w:val="auto"/>
          <w:kern w:val="0"/>
          <w:sz w:val="24"/>
          <w:szCs w:val="24"/>
          <w:lang w:val="en-US" w:eastAsia="zh-CN" w:bidi="ar"/>
        </w:rPr>
        <w:t>2、监测点布设</w:t>
      </w:r>
    </w:p>
    <w:p w14:paraId="13877564">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60" w:firstLineChars="200"/>
        <w:jc w:val="both"/>
        <w:textAlignment w:val="baseline"/>
        <w:rPr>
          <w:rFonts w:hint="eastAsia" w:ascii="Times New Roman" w:hAnsi="Times New Roman" w:eastAsia="宋体" w:cs="Times New Roman"/>
          <w:color w:val="auto"/>
          <w:spacing w:val="-5"/>
          <w:sz w:val="24"/>
          <w:szCs w:val="24"/>
          <w:lang w:val="en-US" w:eastAsia="zh-CN"/>
        </w:rPr>
      </w:pPr>
      <w:r>
        <w:rPr>
          <w:rFonts w:hint="eastAsia" w:ascii="Times New Roman" w:hAnsi="Times New Roman" w:eastAsia="宋体" w:cs="Times New Roman"/>
          <w:color w:val="auto"/>
          <w:spacing w:val="-5"/>
          <w:sz w:val="24"/>
          <w:szCs w:val="24"/>
          <w:lang w:val="en-US" w:eastAsia="zh-CN"/>
        </w:rPr>
        <w:t>根据《环境影响评价技术导则 大气环境》（HJ2.2-2018），补充监测布点以近20年的当地主导风向为轴向，在厂址及主导风向下风向5km范围内设置1~2个监测点。</w:t>
      </w:r>
    </w:p>
    <w:p w14:paraId="1C2D7B84">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60" w:firstLineChars="200"/>
        <w:jc w:val="both"/>
        <w:textAlignment w:val="baseline"/>
        <w:rPr>
          <w:rFonts w:hint="default" w:ascii="Times New Roman" w:hAnsi="Times New Roman" w:eastAsia="宋体" w:cs="Times New Roman"/>
          <w:b/>
          <w:bCs w:val="0"/>
          <w:color w:val="auto"/>
          <w:kern w:val="2"/>
          <w:sz w:val="24"/>
          <w:szCs w:val="24"/>
          <w:highlight w:val="none"/>
          <w:lang w:val="en-US" w:eastAsia="zh-CN" w:bidi="ar-SA"/>
        </w:rPr>
      </w:pPr>
      <w:r>
        <w:rPr>
          <w:rFonts w:hint="eastAsia" w:ascii="Times New Roman" w:hAnsi="Times New Roman" w:eastAsia="宋体" w:cs="Times New Roman"/>
          <w:color w:val="auto"/>
          <w:spacing w:val="-5"/>
          <w:sz w:val="24"/>
          <w:szCs w:val="24"/>
          <w:lang w:val="en-US" w:eastAsia="zh-CN"/>
        </w:rPr>
        <w:t>项目所处区域监测季节主导风向为西南风(SW)，布设1处监测点：厂区下风向1个。监测点位信息见表4.2-2及图4.2-1。</w:t>
      </w:r>
    </w:p>
    <w:p w14:paraId="0FC2B0C3">
      <w:pPr>
        <w:pStyle w:val="32"/>
        <w:keepNext w:val="0"/>
        <w:keepLines w:val="0"/>
        <w:pageBreakBefore w:val="0"/>
        <w:widowControl w:val="0"/>
        <w:kinsoku/>
        <w:wordWrap/>
        <w:overflowPunct/>
        <w:topLinePunct w:val="0"/>
        <w:autoSpaceDE w:val="0"/>
        <w:autoSpaceDN w:val="0"/>
        <w:bidi w:val="0"/>
        <w:adjustRightInd w:val="0"/>
        <w:snapToGrid/>
        <w:jc w:val="center"/>
        <w:textAlignment w:val="baseline"/>
        <w:rPr>
          <w:rFonts w:hint="default" w:ascii="Times New Roman" w:hAnsi="Times New Roman" w:eastAsia="宋体" w:cs="Times New Roman"/>
          <w:b/>
          <w:bCs w:val="0"/>
          <w:color w:val="auto"/>
          <w:kern w:val="2"/>
          <w:sz w:val="24"/>
          <w:szCs w:val="24"/>
          <w:highlight w:val="none"/>
          <w:lang w:val="en-US" w:eastAsia="zh-CN" w:bidi="ar-SA"/>
        </w:rPr>
      </w:pPr>
      <w:r>
        <w:rPr>
          <w:rFonts w:hint="default" w:ascii="Times New Roman" w:hAnsi="Times New Roman" w:eastAsia="宋体" w:cs="Times New Roman"/>
          <w:b/>
          <w:bCs w:val="0"/>
          <w:color w:val="auto"/>
          <w:kern w:val="2"/>
          <w:sz w:val="24"/>
          <w:szCs w:val="24"/>
          <w:highlight w:val="none"/>
          <w:lang w:val="en-US" w:eastAsia="zh-CN" w:bidi="ar-SA"/>
        </w:rPr>
        <w:t>表</w:t>
      </w:r>
      <w:r>
        <w:rPr>
          <w:rFonts w:hint="eastAsia" w:ascii="Times New Roman" w:hAnsi="Times New Roman" w:eastAsia="宋体" w:cs="Times New Roman"/>
          <w:b/>
          <w:bCs w:val="0"/>
          <w:color w:val="auto"/>
          <w:kern w:val="2"/>
          <w:sz w:val="24"/>
          <w:szCs w:val="24"/>
          <w:highlight w:val="none"/>
          <w:lang w:val="en-US" w:eastAsia="zh-CN" w:bidi="ar-SA"/>
        </w:rPr>
        <w:t>4</w:t>
      </w:r>
      <w:r>
        <w:rPr>
          <w:rFonts w:hint="default" w:ascii="Times New Roman" w:hAnsi="Times New Roman" w:eastAsia="宋体" w:cs="Times New Roman"/>
          <w:b/>
          <w:bCs w:val="0"/>
          <w:color w:val="auto"/>
          <w:kern w:val="2"/>
          <w:sz w:val="24"/>
          <w:szCs w:val="24"/>
          <w:highlight w:val="none"/>
          <w:lang w:val="en-US" w:eastAsia="zh-CN" w:bidi="ar-SA"/>
        </w:rPr>
        <w:t>.</w:t>
      </w:r>
      <w:r>
        <w:rPr>
          <w:rFonts w:hint="eastAsia" w:ascii="Times New Roman" w:hAnsi="Times New Roman" w:eastAsia="宋体" w:cs="Times New Roman"/>
          <w:b/>
          <w:bCs w:val="0"/>
          <w:color w:val="auto"/>
          <w:kern w:val="2"/>
          <w:sz w:val="24"/>
          <w:szCs w:val="24"/>
          <w:highlight w:val="none"/>
          <w:lang w:val="en-US" w:eastAsia="zh-CN" w:bidi="ar-SA"/>
        </w:rPr>
        <w:t>2</w:t>
      </w:r>
      <w:r>
        <w:rPr>
          <w:rFonts w:hint="default" w:ascii="Times New Roman" w:hAnsi="Times New Roman" w:eastAsia="宋体" w:cs="Times New Roman"/>
          <w:b/>
          <w:bCs w:val="0"/>
          <w:color w:val="auto"/>
          <w:kern w:val="2"/>
          <w:sz w:val="24"/>
          <w:szCs w:val="24"/>
          <w:highlight w:val="none"/>
          <w:lang w:val="en-US" w:eastAsia="zh-CN" w:bidi="ar-SA"/>
        </w:rPr>
        <w:t>-2  其他污染物补充监测点位基本信息</w:t>
      </w:r>
    </w:p>
    <w:tbl>
      <w:tblPr>
        <w:tblStyle w:val="22"/>
        <w:tblW w:w="0" w:type="auto"/>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1763"/>
        <w:gridCol w:w="1658"/>
        <w:gridCol w:w="1995"/>
        <w:gridCol w:w="1179"/>
        <w:gridCol w:w="588"/>
        <w:gridCol w:w="676"/>
      </w:tblGrid>
      <w:tr w14:paraId="4B1A92F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0" w:type="auto"/>
            <w:vMerge w:val="restart"/>
            <w:tcBorders>
              <w:top w:val="single" w:color="000000" w:sz="12" w:space="0"/>
              <w:left w:val="nil"/>
            </w:tcBorders>
            <w:noWrap w:val="0"/>
            <w:tcMar>
              <w:top w:w="15" w:type="dxa"/>
              <w:left w:w="15" w:type="dxa"/>
              <w:right w:w="15" w:type="dxa"/>
            </w:tcMar>
            <w:vAlign w:val="center"/>
          </w:tcPr>
          <w:p w14:paraId="458B28B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监测点名称</w:t>
            </w:r>
          </w:p>
        </w:tc>
        <w:tc>
          <w:tcPr>
            <w:tcW w:w="0" w:type="auto"/>
            <w:gridSpan w:val="2"/>
            <w:tcBorders>
              <w:top w:val="single" w:color="000000" w:sz="12" w:space="0"/>
            </w:tcBorders>
            <w:noWrap w:val="0"/>
            <w:tcMar>
              <w:top w:w="15" w:type="dxa"/>
              <w:left w:w="15" w:type="dxa"/>
              <w:right w:w="15" w:type="dxa"/>
            </w:tcMar>
            <w:vAlign w:val="center"/>
          </w:tcPr>
          <w:p w14:paraId="185881B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监测点坐标/经纬度</w:t>
            </w:r>
          </w:p>
        </w:tc>
        <w:tc>
          <w:tcPr>
            <w:tcW w:w="0" w:type="auto"/>
            <w:vMerge w:val="restart"/>
            <w:tcBorders>
              <w:top w:val="single" w:color="000000" w:sz="12" w:space="0"/>
            </w:tcBorders>
            <w:noWrap w:val="0"/>
            <w:tcMar>
              <w:top w:w="15" w:type="dxa"/>
              <w:left w:w="15" w:type="dxa"/>
              <w:right w:w="15" w:type="dxa"/>
            </w:tcMar>
            <w:vAlign w:val="center"/>
          </w:tcPr>
          <w:p w14:paraId="7225289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监测因子</w:t>
            </w:r>
          </w:p>
        </w:tc>
        <w:tc>
          <w:tcPr>
            <w:tcW w:w="0" w:type="auto"/>
            <w:vMerge w:val="restart"/>
            <w:tcBorders>
              <w:top w:val="single" w:color="000000" w:sz="12" w:space="0"/>
            </w:tcBorders>
            <w:noWrap w:val="0"/>
            <w:tcMar>
              <w:top w:w="15" w:type="dxa"/>
              <w:left w:w="15" w:type="dxa"/>
              <w:right w:w="15" w:type="dxa"/>
            </w:tcMar>
            <w:vAlign w:val="center"/>
          </w:tcPr>
          <w:p w14:paraId="4BAC44F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监测时段</w:t>
            </w:r>
          </w:p>
        </w:tc>
        <w:tc>
          <w:tcPr>
            <w:tcW w:w="0" w:type="auto"/>
            <w:vMerge w:val="restart"/>
            <w:tcBorders>
              <w:top w:val="single" w:color="000000" w:sz="12" w:space="0"/>
            </w:tcBorders>
            <w:noWrap w:val="0"/>
            <w:tcMar>
              <w:top w:w="15" w:type="dxa"/>
              <w:left w:w="15" w:type="dxa"/>
              <w:right w:w="15" w:type="dxa"/>
            </w:tcMar>
            <w:vAlign w:val="center"/>
          </w:tcPr>
          <w:p w14:paraId="3FFE335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相对厂址方位</w:t>
            </w:r>
          </w:p>
        </w:tc>
        <w:tc>
          <w:tcPr>
            <w:tcW w:w="0" w:type="auto"/>
            <w:vMerge w:val="restart"/>
            <w:tcBorders>
              <w:top w:val="single" w:color="000000" w:sz="12" w:space="0"/>
              <w:right w:val="nil"/>
            </w:tcBorders>
            <w:noWrap w:val="0"/>
            <w:tcMar>
              <w:top w:w="15" w:type="dxa"/>
              <w:left w:w="15" w:type="dxa"/>
              <w:right w:w="15" w:type="dxa"/>
            </w:tcMar>
            <w:vAlign w:val="center"/>
          </w:tcPr>
          <w:p w14:paraId="0002E99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相对厂界距离/m</w:t>
            </w:r>
          </w:p>
        </w:tc>
      </w:tr>
      <w:tr w14:paraId="0B88AF5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0" w:type="auto"/>
            <w:vMerge w:val="continue"/>
            <w:tcBorders>
              <w:left w:val="nil"/>
            </w:tcBorders>
            <w:noWrap w:val="0"/>
            <w:tcMar>
              <w:top w:w="15" w:type="dxa"/>
              <w:left w:w="15" w:type="dxa"/>
              <w:right w:w="15" w:type="dxa"/>
            </w:tcMar>
            <w:vAlign w:val="center"/>
          </w:tcPr>
          <w:p w14:paraId="4E72D2A2">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color w:val="auto"/>
                <w:sz w:val="21"/>
                <w:szCs w:val="21"/>
                <w:highlight w:val="none"/>
                <w:u w:val="none"/>
              </w:rPr>
            </w:pPr>
          </w:p>
        </w:tc>
        <w:tc>
          <w:tcPr>
            <w:tcW w:w="0" w:type="auto"/>
            <w:noWrap w:val="0"/>
            <w:tcMar>
              <w:top w:w="15" w:type="dxa"/>
              <w:left w:w="15" w:type="dxa"/>
              <w:right w:w="15" w:type="dxa"/>
            </w:tcMar>
            <w:vAlign w:val="center"/>
          </w:tcPr>
          <w:p w14:paraId="4FE2CDF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auto"/>
                <w:sz w:val="21"/>
                <w:szCs w:val="21"/>
                <w:highlight w:val="none"/>
                <w:u w:val="none"/>
              </w:rPr>
            </w:pPr>
            <w:r>
              <w:rPr>
                <w:rFonts w:hint="eastAsia" w:ascii="Times New Roman" w:hAnsi="Times New Roman" w:eastAsia="宋体" w:cs="Times New Roman"/>
                <w:i w:val="0"/>
                <w:color w:val="auto"/>
                <w:sz w:val="21"/>
                <w:szCs w:val="21"/>
                <w:highlight w:val="none"/>
                <w:u w:val="none"/>
                <w:lang w:val="en-US" w:eastAsia="zh-CN"/>
              </w:rPr>
              <w:t>E</w:t>
            </w:r>
          </w:p>
        </w:tc>
        <w:tc>
          <w:tcPr>
            <w:tcW w:w="0" w:type="auto"/>
            <w:noWrap w:val="0"/>
            <w:tcMar>
              <w:top w:w="15" w:type="dxa"/>
              <w:left w:w="15" w:type="dxa"/>
              <w:right w:w="15" w:type="dxa"/>
            </w:tcMar>
            <w:vAlign w:val="center"/>
          </w:tcPr>
          <w:p w14:paraId="11747FC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kern w:val="0"/>
                <w:sz w:val="21"/>
                <w:szCs w:val="21"/>
                <w:highlight w:val="none"/>
                <w:u w:val="none"/>
                <w:lang w:val="en-US" w:eastAsia="zh-CN" w:bidi="ar"/>
              </w:rPr>
              <w:t>N</w:t>
            </w:r>
          </w:p>
        </w:tc>
        <w:tc>
          <w:tcPr>
            <w:tcW w:w="0" w:type="auto"/>
            <w:vMerge w:val="continue"/>
            <w:noWrap w:val="0"/>
            <w:tcMar>
              <w:top w:w="15" w:type="dxa"/>
              <w:left w:w="15" w:type="dxa"/>
              <w:right w:w="15" w:type="dxa"/>
            </w:tcMar>
            <w:vAlign w:val="center"/>
          </w:tcPr>
          <w:p w14:paraId="12168D26">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color w:val="auto"/>
                <w:sz w:val="21"/>
                <w:szCs w:val="21"/>
                <w:highlight w:val="none"/>
                <w:u w:val="none"/>
              </w:rPr>
            </w:pPr>
          </w:p>
        </w:tc>
        <w:tc>
          <w:tcPr>
            <w:tcW w:w="0" w:type="auto"/>
            <w:vMerge w:val="continue"/>
            <w:noWrap w:val="0"/>
            <w:tcMar>
              <w:top w:w="15" w:type="dxa"/>
              <w:left w:w="15" w:type="dxa"/>
              <w:right w:w="15" w:type="dxa"/>
            </w:tcMar>
            <w:vAlign w:val="center"/>
          </w:tcPr>
          <w:p w14:paraId="75D1CC78">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color w:val="auto"/>
                <w:sz w:val="21"/>
                <w:szCs w:val="21"/>
                <w:highlight w:val="none"/>
                <w:u w:val="none"/>
              </w:rPr>
            </w:pPr>
          </w:p>
        </w:tc>
        <w:tc>
          <w:tcPr>
            <w:tcW w:w="0" w:type="auto"/>
            <w:vMerge w:val="continue"/>
            <w:noWrap w:val="0"/>
            <w:tcMar>
              <w:top w:w="15" w:type="dxa"/>
              <w:left w:w="15" w:type="dxa"/>
              <w:right w:w="15" w:type="dxa"/>
            </w:tcMar>
            <w:vAlign w:val="center"/>
          </w:tcPr>
          <w:p w14:paraId="0652EE54">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color w:val="auto"/>
                <w:sz w:val="21"/>
                <w:szCs w:val="21"/>
                <w:highlight w:val="none"/>
                <w:u w:val="none"/>
              </w:rPr>
            </w:pPr>
          </w:p>
        </w:tc>
        <w:tc>
          <w:tcPr>
            <w:tcW w:w="0" w:type="auto"/>
            <w:vMerge w:val="continue"/>
            <w:tcBorders>
              <w:right w:val="nil"/>
            </w:tcBorders>
            <w:noWrap w:val="0"/>
            <w:tcMar>
              <w:top w:w="15" w:type="dxa"/>
              <w:left w:w="15" w:type="dxa"/>
              <w:right w:w="15" w:type="dxa"/>
            </w:tcMar>
            <w:vAlign w:val="center"/>
          </w:tcPr>
          <w:p w14:paraId="06EA03F8">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color w:val="auto"/>
                <w:sz w:val="21"/>
                <w:szCs w:val="21"/>
                <w:highlight w:val="none"/>
                <w:u w:val="none"/>
              </w:rPr>
            </w:pPr>
          </w:p>
        </w:tc>
      </w:tr>
      <w:tr w14:paraId="5E4E9B9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0" w:type="auto"/>
            <w:tcBorders>
              <w:left w:val="nil"/>
              <w:bottom w:val="single" w:color="000000" w:sz="12" w:space="0"/>
            </w:tcBorders>
            <w:noWrap w:val="0"/>
            <w:tcMar>
              <w:top w:w="15" w:type="dxa"/>
              <w:left w:w="15" w:type="dxa"/>
              <w:right w:w="15" w:type="dxa"/>
            </w:tcMar>
            <w:vAlign w:val="center"/>
          </w:tcPr>
          <w:p w14:paraId="361D977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厂址下风向</w:t>
            </w:r>
          </w:p>
        </w:tc>
        <w:tc>
          <w:tcPr>
            <w:tcW w:w="0" w:type="auto"/>
            <w:tcBorders>
              <w:bottom w:val="single" w:color="000000" w:sz="12" w:space="0"/>
            </w:tcBorders>
            <w:noWrap w:val="0"/>
            <w:tcMar>
              <w:top w:w="15" w:type="dxa"/>
              <w:left w:w="15" w:type="dxa"/>
              <w:right w:w="15" w:type="dxa"/>
            </w:tcMar>
            <w:vAlign w:val="center"/>
          </w:tcPr>
          <w:p w14:paraId="77FE504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126°43′43.206″</w:t>
            </w:r>
          </w:p>
        </w:tc>
        <w:tc>
          <w:tcPr>
            <w:tcW w:w="0" w:type="auto"/>
            <w:tcBorders>
              <w:bottom w:val="single" w:color="000000" w:sz="12" w:space="0"/>
            </w:tcBorders>
            <w:noWrap w:val="0"/>
            <w:tcMar>
              <w:top w:w="15" w:type="dxa"/>
              <w:left w:w="15" w:type="dxa"/>
              <w:right w:w="15" w:type="dxa"/>
            </w:tcMar>
            <w:vAlign w:val="center"/>
          </w:tcPr>
          <w:p w14:paraId="267C39A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45°25′58.594″</w:t>
            </w:r>
          </w:p>
        </w:tc>
        <w:tc>
          <w:tcPr>
            <w:tcW w:w="0" w:type="auto"/>
            <w:tcBorders>
              <w:bottom w:val="single" w:color="000000" w:sz="12" w:space="0"/>
            </w:tcBorders>
            <w:noWrap w:val="0"/>
            <w:tcMar>
              <w:top w:w="15" w:type="dxa"/>
              <w:left w:w="15" w:type="dxa"/>
              <w:right w:w="15" w:type="dxa"/>
            </w:tcMar>
            <w:vAlign w:val="center"/>
          </w:tcPr>
          <w:p w14:paraId="0FA3A0D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cs="Times New Roman"/>
                <w:color w:val="auto"/>
                <w:kern w:val="0"/>
                <w:sz w:val="21"/>
                <w:szCs w:val="21"/>
                <w:highlight w:val="none"/>
              </w:rPr>
              <w:t>TSP</w:t>
            </w:r>
            <w:r>
              <w:rPr>
                <w:rFonts w:hint="default" w:ascii="Times New Roman" w:hAnsi="Times New Roman" w:eastAsia="宋体" w:cs="Times New Roman"/>
                <w:color w:val="auto"/>
                <w:spacing w:val="-5"/>
                <w:sz w:val="21"/>
                <w:szCs w:val="21"/>
                <w:lang w:val="en-US" w:eastAsia="zh-CN"/>
              </w:rPr>
              <w:t>、</w:t>
            </w:r>
            <w:r>
              <w:rPr>
                <w:rFonts w:hint="eastAsia" w:ascii="Times New Roman" w:hAnsi="Times New Roman" w:eastAsia="宋体" w:cs="Times New Roman"/>
                <w:color w:val="auto"/>
                <w:spacing w:val="-5"/>
                <w:sz w:val="21"/>
                <w:szCs w:val="21"/>
                <w:lang w:val="en-US" w:eastAsia="zh-CN"/>
              </w:rPr>
              <w:t>非甲烷总烃、NOx、苯乙烯、甲苯、丙烯腈、</w:t>
            </w:r>
            <w:r>
              <w:rPr>
                <w:rFonts w:hint="default" w:ascii="Times New Roman" w:hAnsi="Times New Roman" w:eastAsia="宋体" w:cs="Times New Roman"/>
                <w:color w:val="auto"/>
                <w:spacing w:val="-5"/>
                <w:sz w:val="21"/>
                <w:szCs w:val="21"/>
                <w:lang w:val="en-US" w:eastAsia="zh-CN"/>
              </w:rPr>
              <w:t>NH</w:t>
            </w:r>
            <w:r>
              <w:rPr>
                <w:rFonts w:hint="default" w:ascii="Times New Roman" w:hAnsi="Times New Roman" w:eastAsia="宋体" w:cs="Times New Roman"/>
                <w:color w:val="auto"/>
                <w:spacing w:val="-5"/>
                <w:sz w:val="21"/>
                <w:szCs w:val="21"/>
                <w:vertAlign w:val="subscript"/>
                <w:lang w:val="en-US" w:eastAsia="zh-CN"/>
              </w:rPr>
              <w:t>3</w:t>
            </w:r>
            <w:r>
              <w:rPr>
                <w:rFonts w:hint="default" w:ascii="Times New Roman" w:hAnsi="Times New Roman" w:eastAsia="宋体" w:cs="Times New Roman"/>
                <w:color w:val="auto"/>
                <w:spacing w:val="-5"/>
                <w:sz w:val="21"/>
                <w:szCs w:val="21"/>
                <w:lang w:val="en-US" w:eastAsia="zh-CN"/>
              </w:rPr>
              <w:t>、H</w:t>
            </w:r>
            <w:r>
              <w:rPr>
                <w:rFonts w:hint="default" w:ascii="Times New Roman" w:hAnsi="Times New Roman" w:eastAsia="宋体" w:cs="Times New Roman"/>
                <w:color w:val="auto"/>
                <w:spacing w:val="-5"/>
                <w:sz w:val="21"/>
                <w:szCs w:val="21"/>
                <w:vertAlign w:val="subscript"/>
                <w:lang w:val="en-US" w:eastAsia="zh-CN"/>
              </w:rPr>
              <w:t>2</w:t>
            </w:r>
            <w:r>
              <w:rPr>
                <w:rFonts w:hint="default" w:ascii="Times New Roman" w:hAnsi="Times New Roman" w:eastAsia="宋体" w:cs="Times New Roman"/>
                <w:color w:val="auto"/>
                <w:spacing w:val="-5"/>
                <w:sz w:val="21"/>
                <w:szCs w:val="21"/>
                <w:lang w:val="en-US" w:eastAsia="zh-CN"/>
              </w:rPr>
              <w:t>S</w:t>
            </w:r>
          </w:p>
        </w:tc>
        <w:tc>
          <w:tcPr>
            <w:tcW w:w="0" w:type="auto"/>
            <w:tcBorders>
              <w:bottom w:val="single" w:color="000000" w:sz="12" w:space="0"/>
            </w:tcBorders>
            <w:noWrap w:val="0"/>
            <w:tcMar>
              <w:top w:w="15" w:type="dxa"/>
              <w:left w:w="15" w:type="dxa"/>
              <w:right w:w="15" w:type="dxa"/>
            </w:tcMar>
            <w:vAlign w:val="center"/>
          </w:tcPr>
          <w:p w14:paraId="1B21829D">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kern w:val="0"/>
                <w:sz w:val="21"/>
                <w:szCs w:val="21"/>
                <w:highlight w:val="none"/>
                <w:u w:val="none"/>
                <w:lang w:val="en-US" w:eastAsia="zh-CN" w:bidi="ar"/>
              </w:rPr>
              <w:t>2025年11月03日至11月09日</w:t>
            </w:r>
          </w:p>
        </w:tc>
        <w:tc>
          <w:tcPr>
            <w:tcW w:w="0" w:type="auto"/>
            <w:tcBorders>
              <w:bottom w:val="single" w:color="000000" w:sz="12" w:space="0"/>
            </w:tcBorders>
            <w:noWrap w:val="0"/>
            <w:tcMar>
              <w:top w:w="15" w:type="dxa"/>
              <w:left w:w="15" w:type="dxa"/>
              <w:right w:w="15" w:type="dxa"/>
            </w:tcMar>
            <w:vAlign w:val="center"/>
          </w:tcPr>
          <w:p w14:paraId="7433BBC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default" w:ascii="Times New Roman" w:hAnsi="Times New Roman" w:eastAsia="宋体" w:cs="Times New Roman"/>
                <w:i w:val="0"/>
                <w:color w:val="auto"/>
                <w:sz w:val="21"/>
                <w:szCs w:val="21"/>
                <w:highlight w:val="none"/>
                <w:u w:val="none"/>
                <w:lang w:val="en-US" w:eastAsia="zh-CN"/>
              </w:rPr>
              <w:t>NE</w:t>
            </w:r>
          </w:p>
        </w:tc>
        <w:tc>
          <w:tcPr>
            <w:tcW w:w="0" w:type="auto"/>
            <w:tcBorders>
              <w:bottom w:val="single" w:color="000000" w:sz="12" w:space="0"/>
              <w:right w:val="nil"/>
            </w:tcBorders>
            <w:noWrap w:val="0"/>
            <w:tcMar>
              <w:top w:w="15" w:type="dxa"/>
              <w:left w:w="15" w:type="dxa"/>
              <w:right w:w="15" w:type="dxa"/>
            </w:tcMar>
            <w:vAlign w:val="center"/>
          </w:tcPr>
          <w:p w14:paraId="23F36C1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310</w:t>
            </w:r>
          </w:p>
        </w:tc>
      </w:tr>
    </w:tbl>
    <w:p w14:paraId="07FB2D39">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outlineLvl w:val="9"/>
        <w:rPr>
          <w:rFonts w:hint="default" w:ascii="Times New Roman" w:hAnsi="Times New Roman" w:cs="Times New Roman"/>
          <w:color w:val="FF0000"/>
        </w:rPr>
      </w:pPr>
      <w:r>
        <w:rPr>
          <w:vertAlign w:val="baseline"/>
        </w:rPr>
        <w:drawing>
          <wp:inline distT="0" distB="0" distL="114300" distR="114300">
            <wp:extent cx="3521075" cy="2820670"/>
            <wp:effectExtent l="0" t="0" r="3175" b="1778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82"/>
                    <a:stretch>
                      <a:fillRect/>
                    </a:stretch>
                  </pic:blipFill>
                  <pic:spPr>
                    <a:xfrm>
                      <a:off x="0" y="0"/>
                      <a:ext cx="3521075" cy="2820670"/>
                    </a:xfrm>
                    <a:prstGeom prst="rect">
                      <a:avLst/>
                    </a:prstGeom>
                    <a:noFill/>
                    <a:ln>
                      <a:noFill/>
                    </a:ln>
                  </pic:spPr>
                </pic:pic>
              </a:graphicData>
            </a:graphic>
          </wp:inline>
        </w:drawing>
      </w:r>
    </w:p>
    <w:p w14:paraId="56A02E7C">
      <w:pPr>
        <w:keepNext w:val="0"/>
        <w:keepLines w:val="0"/>
        <w:pageBreakBefore w:val="0"/>
        <w:wordWrap/>
        <w:overflowPunct/>
        <w:topLinePunct w:val="0"/>
        <w:autoSpaceDE w:val="0"/>
        <w:autoSpaceDN w:val="0"/>
        <w:bidi w:val="0"/>
        <w:adjustRightInd w:val="0"/>
        <w:snapToGrid w:val="0"/>
        <w:spacing w:line="360" w:lineRule="auto"/>
        <w:jc w:val="center"/>
        <w:textAlignment w:val="baseline"/>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eastAsia="zh-CN"/>
        </w:rPr>
        <w:t>图</w:t>
      </w:r>
      <w:r>
        <w:rPr>
          <w:rFonts w:hint="eastAsia" w:ascii="Times New Roman" w:hAnsi="Times New Roman" w:cs="Times New Roman"/>
          <w:b/>
          <w:bCs/>
          <w:color w:val="auto"/>
          <w:sz w:val="24"/>
          <w:szCs w:val="24"/>
          <w:highlight w:val="none"/>
          <w:lang w:val="en-US" w:eastAsia="zh-CN"/>
        </w:rPr>
        <w:t>4.2</w:t>
      </w:r>
      <w:r>
        <w:rPr>
          <w:rFonts w:hint="default" w:ascii="Times New Roman" w:hAnsi="Times New Roman" w:cs="Times New Roman"/>
          <w:b/>
          <w:bCs/>
          <w:color w:val="auto"/>
          <w:sz w:val="24"/>
          <w:szCs w:val="24"/>
          <w:highlight w:val="none"/>
          <w:lang w:val="en-US" w:eastAsia="zh-CN"/>
        </w:rPr>
        <w:t>-1  环境空气监测布点图</w:t>
      </w:r>
    </w:p>
    <w:p w14:paraId="6706133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3、检测方法</w:t>
      </w:r>
    </w:p>
    <w:p w14:paraId="080D7A1D">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本项目环境空气质量现状监测方法见表4.2-3。</w:t>
      </w:r>
    </w:p>
    <w:p w14:paraId="3417960B">
      <w:pPr>
        <w:pStyle w:val="32"/>
        <w:keepNext w:val="0"/>
        <w:keepLines w:val="0"/>
        <w:pageBreakBefore w:val="0"/>
        <w:widowControl w:val="0"/>
        <w:kinsoku/>
        <w:wordWrap/>
        <w:overflowPunct/>
        <w:topLinePunct w:val="0"/>
        <w:autoSpaceDE w:val="0"/>
        <w:autoSpaceDN w:val="0"/>
        <w:bidi w:val="0"/>
        <w:adjustRightInd w:val="0"/>
        <w:snapToGrid/>
        <w:jc w:val="center"/>
        <w:textAlignment w:val="baseline"/>
        <w:rPr>
          <w:rFonts w:hint="default"/>
          <w:lang w:val="en-US" w:eastAsia="zh-CN"/>
        </w:rPr>
      </w:pPr>
      <w:r>
        <w:rPr>
          <w:rFonts w:hint="default" w:ascii="Times New Roman" w:hAnsi="Times New Roman" w:eastAsia="宋体" w:cs="Times New Roman"/>
          <w:b/>
          <w:bCs w:val="0"/>
          <w:color w:val="auto"/>
          <w:kern w:val="2"/>
          <w:sz w:val="24"/>
          <w:szCs w:val="24"/>
          <w:highlight w:val="none"/>
          <w:lang w:val="en-US" w:eastAsia="zh-CN" w:bidi="ar-SA"/>
        </w:rPr>
        <w:t>表</w:t>
      </w:r>
      <w:r>
        <w:rPr>
          <w:rFonts w:hint="eastAsia" w:ascii="Times New Roman" w:hAnsi="Times New Roman" w:eastAsia="宋体" w:cs="Times New Roman"/>
          <w:b/>
          <w:bCs w:val="0"/>
          <w:color w:val="auto"/>
          <w:kern w:val="2"/>
          <w:sz w:val="24"/>
          <w:szCs w:val="24"/>
          <w:highlight w:val="none"/>
          <w:lang w:val="en-US" w:eastAsia="zh-CN" w:bidi="ar-SA"/>
        </w:rPr>
        <w:t>4</w:t>
      </w:r>
      <w:r>
        <w:rPr>
          <w:rFonts w:hint="default" w:ascii="Times New Roman" w:hAnsi="Times New Roman" w:eastAsia="宋体" w:cs="Times New Roman"/>
          <w:b/>
          <w:bCs w:val="0"/>
          <w:color w:val="auto"/>
          <w:kern w:val="2"/>
          <w:sz w:val="24"/>
          <w:szCs w:val="24"/>
          <w:highlight w:val="none"/>
          <w:lang w:val="en-US" w:eastAsia="zh-CN" w:bidi="ar-SA"/>
        </w:rPr>
        <w:t>.</w:t>
      </w:r>
      <w:r>
        <w:rPr>
          <w:rFonts w:hint="eastAsia" w:ascii="Times New Roman" w:hAnsi="Times New Roman" w:eastAsia="宋体" w:cs="Times New Roman"/>
          <w:b/>
          <w:bCs w:val="0"/>
          <w:color w:val="auto"/>
          <w:kern w:val="2"/>
          <w:sz w:val="24"/>
          <w:szCs w:val="24"/>
          <w:highlight w:val="none"/>
          <w:lang w:val="en-US" w:eastAsia="zh-CN" w:bidi="ar-SA"/>
        </w:rPr>
        <w:t>2</w:t>
      </w:r>
      <w:r>
        <w:rPr>
          <w:rFonts w:hint="default" w:ascii="Times New Roman" w:hAnsi="Times New Roman" w:eastAsia="宋体" w:cs="Times New Roman"/>
          <w:b/>
          <w:bCs w:val="0"/>
          <w:color w:val="auto"/>
          <w:kern w:val="2"/>
          <w:sz w:val="24"/>
          <w:szCs w:val="24"/>
          <w:highlight w:val="none"/>
          <w:lang w:val="en-US" w:eastAsia="zh-CN" w:bidi="ar-SA"/>
        </w:rPr>
        <w:t>-</w:t>
      </w:r>
      <w:r>
        <w:rPr>
          <w:rFonts w:hint="eastAsia" w:ascii="Times New Roman" w:hAnsi="Times New Roman" w:eastAsia="宋体" w:cs="Times New Roman"/>
          <w:b/>
          <w:bCs w:val="0"/>
          <w:color w:val="auto"/>
          <w:kern w:val="2"/>
          <w:sz w:val="24"/>
          <w:szCs w:val="24"/>
          <w:highlight w:val="none"/>
          <w:lang w:val="en-US" w:eastAsia="zh-CN" w:bidi="ar-SA"/>
        </w:rPr>
        <w:t>3</w:t>
      </w:r>
      <w:r>
        <w:rPr>
          <w:rFonts w:hint="default" w:ascii="Times New Roman" w:hAnsi="Times New Roman" w:eastAsia="宋体" w:cs="Times New Roman"/>
          <w:b/>
          <w:bCs w:val="0"/>
          <w:color w:val="auto"/>
          <w:kern w:val="2"/>
          <w:sz w:val="24"/>
          <w:szCs w:val="24"/>
          <w:highlight w:val="none"/>
          <w:lang w:val="en-US" w:eastAsia="zh-CN" w:bidi="ar-SA"/>
        </w:rPr>
        <w:t xml:space="preserve">  </w:t>
      </w:r>
      <w:r>
        <w:rPr>
          <w:rFonts w:hint="eastAsia" w:ascii="Times New Roman" w:hAnsi="Times New Roman" w:eastAsia="宋体" w:cs="Times New Roman"/>
          <w:b/>
          <w:bCs w:val="0"/>
          <w:color w:val="auto"/>
          <w:kern w:val="2"/>
          <w:sz w:val="24"/>
          <w:szCs w:val="24"/>
          <w:highlight w:val="none"/>
          <w:lang w:val="en-US" w:eastAsia="zh-CN" w:bidi="ar-SA"/>
        </w:rPr>
        <w:t>检测方法</w:t>
      </w:r>
    </w:p>
    <w:tbl>
      <w:tblPr>
        <w:tblStyle w:val="2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2"/>
        <w:gridCol w:w="813"/>
        <w:gridCol w:w="1078"/>
        <w:gridCol w:w="2816"/>
        <w:gridCol w:w="1770"/>
        <w:gridCol w:w="1488"/>
      </w:tblGrid>
      <w:tr w14:paraId="4DEDD5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blHeader/>
          <w:jc w:val="center"/>
        </w:trPr>
        <w:tc>
          <w:tcPr>
            <w:tcW w:w="344" w:type="pct"/>
            <w:tcBorders>
              <w:tl2br w:val="nil"/>
              <w:tr2bl w:val="nil"/>
            </w:tcBorders>
            <w:noWrap w:val="0"/>
            <w:vAlign w:val="center"/>
          </w:tcPr>
          <w:p w14:paraId="4A7F503C">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497" w:type="pct"/>
            <w:tcBorders>
              <w:tl2br w:val="nil"/>
              <w:tr2bl w:val="nil"/>
            </w:tcBorders>
            <w:noWrap w:val="0"/>
            <w:vAlign w:val="center"/>
          </w:tcPr>
          <w:p w14:paraId="655B0097">
            <w:pPr>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eastAsia="zh-CN"/>
              </w:rPr>
              <w:t>检测</w:t>
            </w:r>
            <w:r>
              <w:rPr>
                <w:rFonts w:hint="default" w:ascii="Times New Roman" w:hAnsi="Times New Roman" w:eastAsia="宋体" w:cs="Times New Roman"/>
                <w:b/>
                <w:bCs/>
                <w:color w:val="auto"/>
                <w:sz w:val="21"/>
                <w:szCs w:val="21"/>
                <w:lang w:val="en-US" w:eastAsia="zh-CN"/>
              </w:rPr>
              <w:t>类别</w:t>
            </w:r>
          </w:p>
        </w:tc>
        <w:tc>
          <w:tcPr>
            <w:tcW w:w="652" w:type="pct"/>
            <w:tcBorders>
              <w:tl2br w:val="nil"/>
              <w:tr2bl w:val="nil"/>
            </w:tcBorders>
            <w:noWrap w:val="0"/>
            <w:vAlign w:val="center"/>
          </w:tcPr>
          <w:p w14:paraId="6290E280">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检测</w:t>
            </w:r>
            <w:r>
              <w:rPr>
                <w:rFonts w:hint="default" w:ascii="Times New Roman" w:hAnsi="Times New Roman" w:eastAsia="宋体" w:cs="Times New Roman"/>
                <w:b/>
                <w:bCs/>
                <w:color w:val="auto"/>
                <w:sz w:val="21"/>
                <w:szCs w:val="21"/>
              </w:rPr>
              <w:t>项目</w:t>
            </w:r>
          </w:p>
        </w:tc>
        <w:tc>
          <w:tcPr>
            <w:tcW w:w="1672" w:type="pct"/>
            <w:tcBorders>
              <w:tl2br w:val="nil"/>
              <w:tr2bl w:val="nil"/>
            </w:tcBorders>
            <w:noWrap w:val="0"/>
            <w:vAlign w:val="center"/>
          </w:tcPr>
          <w:p w14:paraId="751A8AF7">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检测</w:t>
            </w:r>
            <w:r>
              <w:rPr>
                <w:rFonts w:hint="default" w:ascii="Times New Roman" w:hAnsi="Times New Roman" w:eastAsia="宋体" w:cs="Times New Roman"/>
                <w:b/>
                <w:bCs/>
                <w:color w:val="auto"/>
                <w:sz w:val="21"/>
                <w:szCs w:val="21"/>
              </w:rPr>
              <w:t>依据</w:t>
            </w:r>
          </w:p>
        </w:tc>
        <w:tc>
          <w:tcPr>
            <w:tcW w:w="1058" w:type="pct"/>
            <w:tcBorders>
              <w:tl2br w:val="nil"/>
              <w:tr2bl w:val="nil"/>
            </w:tcBorders>
            <w:noWrap w:val="0"/>
            <w:vAlign w:val="center"/>
          </w:tcPr>
          <w:p w14:paraId="6C919039">
            <w:pPr>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sz w:val="21"/>
                <w:szCs w:val="21"/>
                <w:highlight w:val="none"/>
                <w:lang w:eastAsia="zh-CN"/>
              </w:rPr>
              <w:t>分析仪器名称及型号</w:t>
            </w:r>
          </w:p>
        </w:tc>
        <w:tc>
          <w:tcPr>
            <w:tcW w:w="775" w:type="pct"/>
            <w:tcBorders>
              <w:tl2br w:val="nil"/>
              <w:tr2bl w:val="nil"/>
            </w:tcBorders>
            <w:noWrap w:val="0"/>
            <w:vAlign w:val="center"/>
          </w:tcPr>
          <w:p w14:paraId="0AE219A5">
            <w:pPr>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sz w:val="21"/>
                <w:szCs w:val="21"/>
                <w:highlight w:val="none"/>
                <w:lang w:eastAsia="zh-CN"/>
              </w:rPr>
              <w:t>仪器编号</w:t>
            </w:r>
          </w:p>
        </w:tc>
      </w:tr>
      <w:tr w14:paraId="36FD35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4" w:type="pct"/>
            <w:vMerge w:val="restart"/>
            <w:tcBorders>
              <w:tl2br w:val="nil"/>
              <w:tr2bl w:val="nil"/>
            </w:tcBorders>
            <w:noWrap w:val="0"/>
            <w:vAlign w:val="center"/>
          </w:tcPr>
          <w:p w14:paraId="6F02ABA0">
            <w:pPr>
              <w:numPr>
                <w:ilvl w:val="0"/>
                <w:numId w:val="23"/>
              </w:numPr>
              <w:ind w:left="425" w:leftChars="0" w:hanging="425" w:firstLineChars="0"/>
              <w:jc w:val="center"/>
              <w:rPr>
                <w:rFonts w:hint="default" w:ascii="Times New Roman" w:hAnsi="Times New Roman" w:eastAsia="宋体" w:cs="Times New Roman"/>
                <w:color w:val="auto"/>
                <w:kern w:val="2"/>
                <w:sz w:val="21"/>
                <w:szCs w:val="21"/>
                <w:lang w:val="en-US" w:eastAsia="zh-CN" w:bidi="ar-SA"/>
              </w:rPr>
            </w:pPr>
          </w:p>
        </w:tc>
        <w:tc>
          <w:tcPr>
            <w:tcW w:w="497" w:type="pct"/>
            <w:vMerge w:val="restart"/>
            <w:tcBorders>
              <w:tl2br w:val="nil"/>
              <w:tr2bl w:val="nil"/>
            </w:tcBorders>
            <w:noWrap w:val="0"/>
            <w:vAlign w:val="center"/>
          </w:tcPr>
          <w:p w14:paraId="271563C5">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auto"/>
                <w:sz w:val="21"/>
                <w:szCs w:val="21"/>
                <w:lang w:val="en-US" w:eastAsia="zh-CN"/>
              </w:rPr>
              <w:t>环境空气</w:t>
            </w:r>
          </w:p>
        </w:tc>
        <w:tc>
          <w:tcPr>
            <w:tcW w:w="652" w:type="pct"/>
            <w:vMerge w:val="restart"/>
            <w:tcBorders>
              <w:tl2br w:val="nil"/>
              <w:tr2bl w:val="nil"/>
            </w:tcBorders>
            <w:noWrap w:val="0"/>
            <w:vAlign w:val="center"/>
          </w:tcPr>
          <w:p w14:paraId="0FD78A9D">
            <w:pPr>
              <w:spacing w:line="320" w:lineRule="exact"/>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color w:val="auto"/>
                <w:sz w:val="21"/>
                <w:szCs w:val="21"/>
              </w:rPr>
              <w:t>总悬浮颗粒物</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TSP</w:t>
            </w:r>
            <w:r>
              <w:rPr>
                <w:rFonts w:hint="default" w:ascii="Times New Roman" w:hAnsi="Times New Roman" w:eastAsia="宋体" w:cs="Times New Roman"/>
                <w:color w:val="auto"/>
                <w:sz w:val="21"/>
                <w:szCs w:val="21"/>
                <w:lang w:eastAsia="zh-CN"/>
              </w:rPr>
              <w:t>）</w:t>
            </w:r>
          </w:p>
        </w:tc>
        <w:tc>
          <w:tcPr>
            <w:tcW w:w="1672" w:type="pct"/>
            <w:vMerge w:val="restart"/>
            <w:tcBorders>
              <w:tl2br w:val="nil"/>
              <w:tr2bl w:val="nil"/>
            </w:tcBorders>
            <w:noWrap w:val="0"/>
            <w:vAlign w:val="center"/>
          </w:tcPr>
          <w:p w14:paraId="3912327C">
            <w:pPr>
              <w:adjustRightInd w:val="0"/>
              <w:snapToGrid w:val="0"/>
              <w:spacing w:line="320" w:lineRule="exact"/>
              <w:jc w:val="center"/>
              <w:rPr>
                <w:rFonts w:hint="default" w:ascii="Times New Roman" w:hAnsi="Times New Roman" w:eastAsia="宋体" w:cs="Times New Roman"/>
                <w:color w:val="000000"/>
                <w:spacing w:val="0"/>
                <w:w w:val="100"/>
                <w:position w:val="0"/>
                <w:sz w:val="21"/>
                <w:szCs w:val="21"/>
                <w:lang w:val="en-US" w:eastAsia="en-US" w:bidi="en-US"/>
              </w:rPr>
            </w:pPr>
            <w:r>
              <w:rPr>
                <w:rFonts w:hint="default" w:ascii="Times New Roman" w:hAnsi="Times New Roman" w:eastAsia="宋体" w:cs="Times New Roman"/>
                <w:sz w:val="21"/>
                <w:szCs w:val="21"/>
              </w:rPr>
              <w:t>环境空气 总悬浮颗粒物的测定 重量法</w:t>
            </w:r>
            <w:r>
              <w:rPr>
                <w:rFonts w:hint="default" w:ascii="Times New Roman" w:hAnsi="Times New Roman" w:eastAsia="宋体" w:cs="Times New Roman"/>
                <w:kern w:val="0"/>
                <w:sz w:val="21"/>
                <w:szCs w:val="21"/>
                <w:lang w:val="en-US" w:eastAsia="zh-CN"/>
              </w:rPr>
              <w:t>HJ 1263-2022</w:t>
            </w:r>
          </w:p>
        </w:tc>
        <w:tc>
          <w:tcPr>
            <w:tcW w:w="1058" w:type="pct"/>
            <w:tcBorders>
              <w:tl2br w:val="nil"/>
              <w:tr2bl w:val="nil"/>
            </w:tcBorders>
            <w:noWrap w:val="0"/>
            <w:vAlign w:val="center"/>
          </w:tcPr>
          <w:p w14:paraId="0928D7E8">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智能TSP综合采样器</w:t>
            </w:r>
          </w:p>
          <w:p w14:paraId="2E7037AD">
            <w:pPr>
              <w:jc w:val="center"/>
              <w:rPr>
                <w:rFonts w:hint="default" w:ascii="Times New Roman" w:hAnsi="Times New Roman" w:eastAsia="宋体" w:cs="Times New Roman"/>
                <w:color w:val="000000"/>
                <w:spacing w:val="0"/>
                <w:w w:val="100"/>
                <w:kern w:val="2"/>
                <w:position w:val="0"/>
                <w:sz w:val="21"/>
                <w:szCs w:val="21"/>
                <w:lang w:val="en-US" w:eastAsia="en-US" w:bidi="en-US"/>
              </w:rPr>
            </w:pPr>
            <w:r>
              <w:rPr>
                <w:rFonts w:hint="default" w:ascii="Times New Roman" w:hAnsi="Times New Roman" w:eastAsia="宋体" w:cs="Times New Roman"/>
                <w:sz w:val="21"/>
                <w:szCs w:val="21"/>
              </w:rPr>
              <w:t>2050型</w:t>
            </w:r>
          </w:p>
        </w:tc>
        <w:tc>
          <w:tcPr>
            <w:tcW w:w="775" w:type="pct"/>
            <w:tcBorders>
              <w:tl2br w:val="nil"/>
              <w:tr2bl w:val="nil"/>
            </w:tcBorders>
            <w:noWrap w:val="0"/>
            <w:vAlign w:val="center"/>
          </w:tcPr>
          <w:p w14:paraId="630174C2">
            <w:pPr>
              <w:jc w:val="center"/>
              <w:rPr>
                <w:rFonts w:hint="default" w:ascii="Times New Roman" w:hAnsi="Times New Roman" w:eastAsia="宋体" w:cs="Times New Roman"/>
                <w:color w:val="000000"/>
                <w:spacing w:val="0"/>
                <w:w w:val="100"/>
                <w:kern w:val="2"/>
                <w:position w:val="0"/>
                <w:sz w:val="21"/>
                <w:szCs w:val="21"/>
                <w:lang w:val="en-US" w:eastAsia="en-US" w:bidi="en-US"/>
              </w:rPr>
            </w:pPr>
            <w:r>
              <w:rPr>
                <w:rFonts w:hint="default" w:ascii="Times New Roman" w:hAnsi="Times New Roman" w:eastAsia="宋体" w:cs="Times New Roman"/>
                <w:sz w:val="21"/>
                <w:szCs w:val="21"/>
              </w:rPr>
              <w:t>HYJC-XC-006</w:t>
            </w:r>
          </w:p>
        </w:tc>
      </w:tr>
      <w:tr w14:paraId="1977DA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4" w:type="pct"/>
            <w:vMerge w:val="continue"/>
            <w:tcBorders>
              <w:tl2br w:val="nil"/>
              <w:tr2bl w:val="nil"/>
            </w:tcBorders>
            <w:noWrap w:val="0"/>
            <w:vAlign w:val="center"/>
          </w:tcPr>
          <w:p w14:paraId="57C11D22">
            <w:pPr>
              <w:ind w:left="425" w:leftChars="0" w:hanging="425" w:firstLineChars="0"/>
              <w:jc w:val="center"/>
              <w:rPr>
                <w:rFonts w:hint="default" w:ascii="Times New Roman" w:hAnsi="Times New Roman" w:eastAsia="宋体" w:cs="Times New Roman"/>
                <w:color w:val="auto"/>
                <w:kern w:val="2"/>
                <w:sz w:val="21"/>
                <w:szCs w:val="21"/>
                <w:lang w:val="en-US" w:eastAsia="zh-CN" w:bidi="ar-SA"/>
              </w:rPr>
            </w:pPr>
          </w:p>
        </w:tc>
        <w:tc>
          <w:tcPr>
            <w:tcW w:w="497" w:type="pct"/>
            <w:vMerge w:val="continue"/>
            <w:tcBorders>
              <w:tl2br w:val="nil"/>
              <w:tr2bl w:val="nil"/>
            </w:tcBorders>
            <w:noWrap w:val="0"/>
            <w:vAlign w:val="center"/>
          </w:tcPr>
          <w:p w14:paraId="5ED0A775">
            <w:pPr>
              <w:jc w:val="center"/>
              <w:rPr>
                <w:rFonts w:hint="default" w:ascii="Times New Roman" w:hAnsi="Times New Roman" w:eastAsia="宋体" w:cs="Times New Roman"/>
                <w:color w:val="auto"/>
                <w:sz w:val="21"/>
                <w:szCs w:val="21"/>
                <w:lang w:val="en-US" w:eastAsia="zh-CN"/>
              </w:rPr>
            </w:pPr>
          </w:p>
        </w:tc>
        <w:tc>
          <w:tcPr>
            <w:tcW w:w="652" w:type="pct"/>
            <w:vMerge w:val="continue"/>
            <w:tcBorders>
              <w:tl2br w:val="nil"/>
              <w:tr2bl w:val="nil"/>
            </w:tcBorders>
            <w:noWrap w:val="0"/>
            <w:vAlign w:val="center"/>
          </w:tcPr>
          <w:p w14:paraId="32957F50">
            <w:pPr>
              <w:widowControl/>
              <w:jc w:val="center"/>
              <w:textAlignment w:val="center"/>
              <w:rPr>
                <w:rFonts w:hint="default" w:ascii="Times New Roman" w:hAnsi="Times New Roman" w:eastAsia="宋体" w:cs="Times New Roman"/>
                <w:sz w:val="21"/>
                <w:szCs w:val="21"/>
                <w:lang w:eastAsia="zh-CN"/>
              </w:rPr>
            </w:pPr>
          </w:p>
        </w:tc>
        <w:tc>
          <w:tcPr>
            <w:tcW w:w="1672" w:type="pct"/>
            <w:vMerge w:val="continue"/>
            <w:tcBorders>
              <w:tl2br w:val="nil"/>
              <w:tr2bl w:val="nil"/>
            </w:tcBorders>
            <w:noWrap w:val="0"/>
            <w:vAlign w:val="center"/>
          </w:tcPr>
          <w:p w14:paraId="20511EBA">
            <w:pPr>
              <w:pStyle w:val="68"/>
              <w:keepNext w:val="0"/>
              <w:keepLines w:val="0"/>
              <w:pageBreakBefore w:val="0"/>
              <w:widowControl w:val="0"/>
              <w:shd w:val="clear" w:color="auto" w:fill="auto"/>
              <w:kinsoku/>
              <w:wordWrap/>
              <w:overflowPunct/>
              <w:topLinePunct w:val="0"/>
              <w:autoSpaceDE/>
              <w:autoSpaceDN/>
              <w:bidi w:val="0"/>
              <w:adjustRightInd/>
              <w:snapToGrid/>
              <w:spacing w:before="0" w:line="240" w:lineRule="auto"/>
              <w:ind w:left="0" w:leftChars="0" w:right="0" w:rightChars="0" w:firstLine="0" w:firstLineChars="0"/>
              <w:jc w:val="center"/>
              <w:textAlignment w:val="auto"/>
              <w:rPr>
                <w:rFonts w:hint="default" w:ascii="Times New Roman" w:hAnsi="Times New Roman" w:eastAsia="宋体" w:cs="Times New Roman"/>
                <w:color w:val="000000"/>
                <w:spacing w:val="0"/>
                <w:w w:val="100"/>
                <w:position w:val="0"/>
                <w:sz w:val="21"/>
                <w:szCs w:val="21"/>
                <w:lang w:val="en-US" w:eastAsia="en-US" w:bidi="en-US"/>
              </w:rPr>
            </w:pPr>
          </w:p>
        </w:tc>
        <w:tc>
          <w:tcPr>
            <w:tcW w:w="1058" w:type="pct"/>
            <w:tcBorders>
              <w:tl2br w:val="nil"/>
              <w:tr2bl w:val="nil"/>
            </w:tcBorders>
            <w:noWrap w:val="0"/>
            <w:vAlign w:val="center"/>
          </w:tcPr>
          <w:p w14:paraId="5BFAC18A">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低浓度恒温恒湿称量系统NVN-800S</w:t>
            </w:r>
          </w:p>
        </w:tc>
        <w:tc>
          <w:tcPr>
            <w:tcW w:w="775" w:type="pct"/>
            <w:tcBorders>
              <w:tl2br w:val="nil"/>
              <w:tr2bl w:val="nil"/>
            </w:tcBorders>
            <w:noWrap w:val="0"/>
            <w:vAlign w:val="center"/>
          </w:tcPr>
          <w:p w14:paraId="0944250A">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HYJC-LH-057</w:t>
            </w:r>
          </w:p>
        </w:tc>
      </w:tr>
      <w:tr w14:paraId="5EC3F8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4" w:type="pct"/>
            <w:vMerge w:val="continue"/>
            <w:tcBorders>
              <w:tl2br w:val="nil"/>
              <w:tr2bl w:val="nil"/>
            </w:tcBorders>
            <w:noWrap w:val="0"/>
            <w:vAlign w:val="center"/>
          </w:tcPr>
          <w:p w14:paraId="59127EE4">
            <w:pPr>
              <w:ind w:left="425" w:leftChars="0" w:hanging="425" w:firstLineChars="0"/>
              <w:jc w:val="center"/>
              <w:rPr>
                <w:rFonts w:hint="default" w:ascii="Times New Roman" w:hAnsi="Times New Roman" w:eastAsia="宋体" w:cs="Times New Roman"/>
                <w:color w:val="auto"/>
                <w:kern w:val="2"/>
                <w:sz w:val="21"/>
                <w:szCs w:val="21"/>
                <w:lang w:val="en-US" w:eastAsia="zh-CN" w:bidi="ar-SA"/>
              </w:rPr>
            </w:pPr>
          </w:p>
        </w:tc>
        <w:tc>
          <w:tcPr>
            <w:tcW w:w="497" w:type="pct"/>
            <w:vMerge w:val="continue"/>
            <w:tcBorders>
              <w:tl2br w:val="nil"/>
              <w:tr2bl w:val="nil"/>
            </w:tcBorders>
            <w:noWrap w:val="0"/>
            <w:vAlign w:val="center"/>
          </w:tcPr>
          <w:p w14:paraId="15027ABC">
            <w:pPr>
              <w:jc w:val="center"/>
              <w:rPr>
                <w:rFonts w:hint="default" w:ascii="Times New Roman" w:hAnsi="Times New Roman" w:eastAsia="宋体" w:cs="Times New Roman"/>
                <w:color w:val="auto"/>
                <w:sz w:val="21"/>
                <w:szCs w:val="21"/>
                <w:lang w:val="en-US" w:eastAsia="zh-CN"/>
              </w:rPr>
            </w:pPr>
          </w:p>
        </w:tc>
        <w:tc>
          <w:tcPr>
            <w:tcW w:w="652" w:type="pct"/>
            <w:vMerge w:val="continue"/>
            <w:tcBorders>
              <w:tl2br w:val="nil"/>
              <w:tr2bl w:val="nil"/>
            </w:tcBorders>
            <w:noWrap w:val="0"/>
            <w:vAlign w:val="center"/>
          </w:tcPr>
          <w:p w14:paraId="578BE644">
            <w:pPr>
              <w:widowControl/>
              <w:jc w:val="center"/>
              <w:textAlignment w:val="center"/>
              <w:rPr>
                <w:rFonts w:hint="default" w:ascii="Times New Roman" w:hAnsi="Times New Roman" w:eastAsia="宋体" w:cs="Times New Roman"/>
                <w:sz w:val="21"/>
                <w:szCs w:val="21"/>
                <w:lang w:eastAsia="zh-CN"/>
              </w:rPr>
            </w:pPr>
          </w:p>
        </w:tc>
        <w:tc>
          <w:tcPr>
            <w:tcW w:w="1672" w:type="pct"/>
            <w:vMerge w:val="continue"/>
            <w:tcBorders>
              <w:tl2br w:val="nil"/>
              <w:tr2bl w:val="nil"/>
            </w:tcBorders>
            <w:noWrap w:val="0"/>
            <w:vAlign w:val="center"/>
          </w:tcPr>
          <w:p w14:paraId="798E81C9">
            <w:pPr>
              <w:pStyle w:val="68"/>
              <w:keepNext w:val="0"/>
              <w:keepLines w:val="0"/>
              <w:pageBreakBefore w:val="0"/>
              <w:widowControl w:val="0"/>
              <w:shd w:val="clear" w:color="auto" w:fill="auto"/>
              <w:kinsoku/>
              <w:wordWrap/>
              <w:overflowPunct/>
              <w:topLinePunct w:val="0"/>
              <w:autoSpaceDE/>
              <w:autoSpaceDN/>
              <w:bidi w:val="0"/>
              <w:adjustRightInd/>
              <w:snapToGrid/>
              <w:spacing w:before="0" w:line="240" w:lineRule="auto"/>
              <w:ind w:left="0" w:leftChars="0" w:right="0" w:rightChars="0" w:firstLine="0" w:firstLineChars="0"/>
              <w:jc w:val="center"/>
              <w:textAlignment w:val="auto"/>
              <w:rPr>
                <w:rFonts w:hint="default" w:ascii="Times New Roman" w:hAnsi="Times New Roman" w:eastAsia="宋体" w:cs="Times New Roman"/>
                <w:color w:val="000000"/>
                <w:spacing w:val="0"/>
                <w:w w:val="100"/>
                <w:position w:val="0"/>
                <w:sz w:val="21"/>
                <w:szCs w:val="21"/>
                <w:lang w:val="en-US" w:eastAsia="en-US" w:bidi="en-US"/>
              </w:rPr>
            </w:pPr>
          </w:p>
        </w:tc>
        <w:tc>
          <w:tcPr>
            <w:tcW w:w="1058" w:type="pct"/>
            <w:tcBorders>
              <w:tl2br w:val="nil"/>
              <w:tr2bl w:val="nil"/>
            </w:tcBorders>
            <w:noWrap w:val="0"/>
            <w:vAlign w:val="center"/>
          </w:tcPr>
          <w:p w14:paraId="20663FD5">
            <w:pPr>
              <w:widowControl/>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color w:val="auto"/>
                <w:sz w:val="21"/>
                <w:szCs w:val="21"/>
                <w:highlight w:val="none"/>
                <w:lang w:val="en-US" w:eastAsia="zh-CN"/>
              </w:rPr>
              <w:t>十万分之一分析天平</w:t>
            </w:r>
          </w:p>
          <w:p w14:paraId="1DA2CF0C">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highlight w:val="none"/>
              </w:rPr>
              <w:t>ME155DU</w:t>
            </w:r>
            <w:r>
              <w:rPr>
                <w:rFonts w:hint="default" w:ascii="Times New Roman" w:hAnsi="Times New Roman" w:eastAsia="宋体" w:cs="Times New Roman"/>
                <w:color w:val="auto"/>
                <w:sz w:val="21"/>
                <w:szCs w:val="21"/>
                <w:highlight w:val="none"/>
                <w:lang w:val="en-US" w:eastAsia="zh-CN"/>
              </w:rPr>
              <w:t>-02</w:t>
            </w:r>
          </w:p>
        </w:tc>
        <w:tc>
          <w:tcPr>
            <w:tcW w:w="775" w:type="pct"/>
            <w:tcBorders>
              <w:tl2br w:val="nil"/>
              <w:tr2bl w:val="nil"/>
            </w:tcBorders>
            <w:noWrap w:val="0"/>
            <w:vAlign w:val="center"/>
          </w:tcPr>
          <w:p w14:paraId="395E4339">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HYJC-LH-0</w:t>
            </w:r>
            <w:r>
              <w:rPr>
                <w:rFonts w:hint="default" w:ascii="Times New Roman" w:hAnsi="Times New Roman" w:eastAsia="宋体" w:cs="Times New Roman"/>
                <w:sz w:val="21"/>
                <w:szCs w:val="21"/>
                <w:lang w:val="en-US" w:eastAsia="zh-CN"/>
              </w:rPr>
              <w:t>35</w:t>
            </w:r>
          </w:p>
        </w:tc>
      </w:tr>
      <w:tr w14:paraId="3A40EA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4" w:type="pct"/>
            <w:vMerge w:val="restart"/>
            <w:tcBorders>
              <w:tl2br w:val="nil"/>
              <w:tr2bl w:val="nil"/>
            </w:tcBorders>
            <w:noWrap w:val="0"/>
            <w:vAlign w:val="center"/>
          </w:tcPr>
          <w:p w14:paraId="394E5AC4">
            <w:pPr>
              <w:numPr>
                <w:ilvl w:val="0"/>
                <w:numId w:val="23"/>
              </w:numPr>
              <w:ind w:left="425" w:leftChars="0" w:hanging="425" w:firstLineChars="0"/>
              <w:jc w:val="center"/>
              <w:rPr>
                <w:rFonts w:hint="default" w:ascii="Times New Roman" w:hAnsi="Times New Roman" w:eastAsia="宋体" w:cs="Times New Roman"/>
                <w:color w:val="auto"/>
                <w:kern w:val="2"/>
                <w:sz w:val="21"/>
                <w:szCs w:val="21"/>
                <w:lang w:val="en-US" w:eastAsia="zh-CN" w:bidi="ar-SA"/>
              </w:rPr>
            </w:pPr>
          </w:p>
        </w:tc>
        <w:tc>
          <w:tcPr>
            <w:tcW w:w="497" w:type="pct"/>
            <w:vMerge w:val="continue"/>
            <w:tcBorders>
              <w:tl2br w:val="nil"/>
              <w:tr2bl w:val="nil"/>
            </w:tcBorders>
            <w:noWrap w:val="0"/>
            <w:vAlign w:val="center"/>
          </w:tcPr>
          <w:p w14:paraId="32A83ABA">
            <w:pPr>
              <w:jc w:val="center"/>
              <w:rPr>
                <w:rFonts w:hint="default" w:ascii="Times New Roman" w:hAnsi="Times New Roman" w:eastAsia="宋体" w:cs="Times New Roman"/>
                <w:color w:val="000000"/>
                <w:sz w:val="21"/>
                <w:szCs w:val="21"/>
                <w:highlight w:val="none"/>
                <w:lang w:val="en-US" w:eastAsia="zh-CN"/>
              </w:rPr>
            </w:pPr>
          </w:p>
        </w:tc>
        <w:tc>
          <w:tcPr>
            <w:tcW w:w="652" w:type="pct"/>
            <w:vMerge w:val="restart"/>
            <w:tcBorders>
              <w:tl2br w:val="nil"/>
              <w:tr2bl w:val="nil"/>
            </w:tcBorders>
            <w:noWrap w:val="0"/>
            <w:vAlign w:val="center"/>
          </w:tcPr>
          <w:p w14:paraId="04CE4178">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氮氧化物</w:t>
            </w:r>
          </w:p>
        </w:tc>
        <w:tc>
          <w:tcPr>
            <w:tcW w:w="1672" w:type="pct"/>
            <w:vMerge w:val="restart"/>
            <w:tcBorders>
              <w:tl2br w:val="nil"/>
              <w:tr2bl w:val="nil"/>
            </w:tcBorders>
            <w:noWrap w:val="0"/>
            <w:vAlign w:val="center"/>
          </w:tcPr>
          <w:p w14:paraId="5296B73B">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环境空气 氮氧化物(一氧化氮和二氧化氮)的测定 盐酸萘乙二胺分光光度法HJ 479-2009及修改单</w:t>
            </w:r>
          </w:p>
        </w:tc>
        <w:tc>
          <w:tcPr>
            <w:tcW w:w="1058" w:type="pct"/>
            <w:tcBorders>
              <w:tl2br w:val="nil"/>
              <w:tr2bl w:val="nil"/>
            </w:tcBorders>
            <w:noWrap w:val="0"/>
            <w:vAlign w:val="center"/>
          </w:tcPr>
          <w:p w14:paraId="41840F84">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空气采样器</w:t>
            </w:r>
            <w:r>
              <w:rPr>
                <w:rFonts w:hint="default" w:ascii="Times New Roman" w:hAnsi="Times New Roman" w:eastAsia="宋体" w:cs="Times New Roman"/>
                <w:color w:val="auto"/>
                <w:sz w:val="21"/>
                <w:szCs w:val="21"/>
              </w:rPr>
              <w:t>2020型</w:t>
            </w:r>
          </w:p>
        </w:tc>
        <w:tc>
          <w:tcPr>
            <w:tcW w:w="775" w:type="pct"/>
            <w:tcBorders>
              <w:tl2br w:val="nil"/>
              <w:tr2bl w:val="nil"/>
            </w:tcBorders>
            <w:noWrap w:val="0"/>
            <w:vAlign w:val="center"/>
          </w:tcPr>
          <w:p w14:paraId="68117721">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HYJC-XC-010</w:t>
            </w:r>
          </w:p>
        </w:tc>
      </w:tr>
      <w:tr w14:paraId="7414AB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4" w:type="pct"/>
            <w:vMerge w:val="continue"/>
            <w:tcBorders>
              <w:tl2br w:val="nil"/>
              <w:tr2bl w:val="nil"/>
            </w:tcBorders>
            <w:noWrap w:val="0"/>
            <w:vAlign w:val="center"/>
          </w:tcPr>
          <w:p w14:paraId="714EC5CF">
            <w:pPr>
              <w:widowControl/>
              <w:jc w:val="center"/>
              <w:rPr>
                <w:rFonts w:hint="default" w:ascii="Times New Roman" w:hAnsi="Times New Roman" w:eastAsia="宋体" w:cs="Times New Roman"/>
                <w:sz w:val="21"/>
                <w:szCs w:val="21"/>
              </w:rPr>
            </w:pPr>
          </w:p>
        </w:tc>
        <w:tc>
          <w:tcPr>
            <w:tcW w:w="497" w:type="pct"/>
            <w:vMerge w:val="continue"/>
            <w:tcBorders>
              <w:tl2br w:val="nil"/>
              <w:tr2bl w:val="nil"/>
            </w:tcBorders>
            <w:noWrap w:val="0"/>
            <w:vAlign w:val="center"/>
          </w:tcPr>
          <w:p w14:paraId="4461DCCA">
            <w:pPr>
              <w:widowControl/>
              <w:jc w:val="center"/>
              <w:rPr>
                <w:rFonts w:hint="default" w:ascii="Times New Roman" w:hAnsi="Times New Roman" w:eastAsia="宋体" w:cs="Times New Roman"/>
                <w:sz w:val="21"/>
                <w:szCs w:val="21"/>
              </w:rPr>
            </w:pPr>
          </w:p>
        </w:tc>
        <w:tc>
          <w:tcPr>
            <w:tcW w:w="652" w:type="pct"/>
            <w:vMerge w:val="continue"/>
            <w:tcBorders>
              <w:tl2br w:val="nil"/>
              <w:tr2bl w:val="nil"/>
            </w:tcBorders>
            <w:noWrap w:val="0"/>
            <w:vAlign w:val="center"/>
          </w:tcPr>
          <w:p w14:paraId="098628C2">
            <w:pPr>
              <w:widowControl/>
              <w:jc w:val="center"/>
              <w:rPr>
                <w:rFonts w:hint="default" w:ascii="Times New Roman" w:hAnsi="Times New Roman" w:eastAsia="宋体" w:cs="Times New Roman"/>
                <w:sz w:val="21"/>
                <w:szCs w:val="21"/>
              </w:rPr>
            </w:pPr>
          </w:p>
        </w:tc>
        <w:tc>
          <w:tcPr>
            <w:tcW w:w="1672" w:type="pct"/>
            <w:vMerge w:val="continue"/>
            <w:tcBorders>
              <w:tl2br w:val="nil"/>
              <w:tr2bl w:val="nil"/>
            </w:tcBorders>
            <w:noWrap w:val="0"/>
            <w:vAlign w:val="center"/>
          </w:tcPr>
          <w:p w14:paraId="238A56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p>
        </w:tc>
        <w:tc>
          <w:tcPr>
            <w:tcW w:w="1058" w:type="pct"/>
            <w:tcBorders>
              <w:tl2br w:val="nil"/>
              <w:tr2bl w:val="nil"/>
            </w:tcBorders>
            <w:noWrap w:val="0"/>
            <w:vAlign w:val="center"/>
          </w:tcPr>
          <w:p w14:paraId="442AB544">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紫外可见分光光度计</w:t>
            </w:r>
          </w:p>
          <w:p w14:paraId="25C512C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rPr>
              <w:t>T6新世纪</w:t>
            </w:r>
          </w:p>
        </w:tc>
        <w:tc>
          <w:tcPr>
            <w:tcW w:w="775" w:type="pct"/>
            <w:tcBorders>
              <w:tl2br w:val="nil"/>
              <w:tr2bl w:val="nil"/>
            </w:tcBorders>
            <w:noWrap w:val="0"/>
            <w:vAlign w:val="center"/>
          </w:tcPr>
          <w:p w14:paraId="1297C696">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HYJC-LH-009</w:t>
            </w:r>
          </w:p>
        </w:tc>
      </w:tr>
      <w:tr w14:paraId="0D5D0C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4" w:type="pct"/>
            <w:vMerge w:val="restart"/>
            <w:tcBorders>
              <w:tl2br w:val="nil"/>
              <w:tr2bl w:val="nil"/>
            </w:tcBorders>
            <w:noWrap w:val="0"/>
            <w:vAlign w:val="center"/>
          </w:tcPr>
          <w:p w14:paraId="6880B48A">
            <w:pPr>
              <w:numPr>
                <w:ilvl w:val="0"/>
                <w:numId w:val="23"/>
              </w:numPr>
              <w:ind w:left="425" w:leftChars="0" w:hanging="425" w:firstLineChars="0"/>
              <w:jc w:val="center"/>
              <w:rPr>
                <w:rFonts w:hint="default" w:ascii="Times New Roman" w:hAnsi="Times New Roman" w:eastAsia="宋体" w:cs="Times New Roman"/>
                <w:color w:val="auto"/>
                <w:kern w:val="2"/>
                <w:sz w:val="21"/>
                <w:szCs w:val="21"/>
                <w:lang w:val="en-US" w:eastAsia="zh-CN" w:bidi="ar-SA"/>
              </w:rPr>
            </w:pPr>
          </w:p>
        </w:tc>
        <w:tc>
          <w:tcPr>
            <w:tcW w:w="497" w:type="pct"/>
            <w:vMerge w:val="continue"/>
            <w:tcBorders>
              <w:tl2br w:val="nil"/>
              <w:tr2bl w:val="nil"/>
            </w:tcBorders>
            <w:noWrap w:val="0"/>
            <w:vAlign w:val="center"/>
          </w:tcPr>
          <w:p w14:paraId="77345AA6">
            <w:pPr>
              <w:pStyle w:val="69"/>
              <w:ind w:firstLine="0" w:firstLineChars="0"/>
              <w:jc w:val="center"/>
              <w:rPr>
                <w:rFonts w:hint="default" w:ascii="Times New Roman" w:hAnsi="Times New Roman" w:eastAsia="宋体" w:cs="Times New Roman"/>
                <w:color w:val="000000"/>
                <w:sz w:val="21"/>
                <w:szCs w:val="21"/>
                <w:highlight w:val="none"/>
                <w:lang w:val="en-US" w:eastAsia="zh-CN"/>
              </w:rPr>
            </w:pPr>
          </w:p>
        </w:tc>
        <w:tc>
          <w:tcPr>
            <w:tcW w:w="652" w:type="pct"/>
            <w:vMerge w:val="restart"/>
            <w:tcBorders>
              <w:tl2br w:val="nil"/>
              <w:tr2bl w:val="nil"/>
            </w:tcBorders>
            <w:noWrap w:val="0"/>
            <w:vAlign w:val="center"/>
          </w:tcPr>
          <w:p w14:paraId="6ABA8CE5">
            <w:pPr>
              <w:pStyle w:val="69"/>
              <w:ind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非甲烷总烃</w:t>
            </w:r>
          </w:p>
        </w:tc>
        <w:tc>
          <w:tcPr>
            <w:tcW w:w="1672" w:type="pct"/>
            <w:vMerge w:val="restart"/>
            <w:tcBorders>
              <w:tl2br w:val="nil"/>
              <w:tr2bl w:val="nil"/>
            </w:tcBorders>
            <w:noWrap w:val="0"/>
            <w:vAlign w:val="center"/>
          </w:tcPr>
          <w:p w14:paraId="34CD5D01">
            <w:pPr>
              <w:widowControl/>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环境空气 总烃、甲烷和非甲烷总烃的测定 直接进样-气相色谱法</w:t>
            </w:r>
          </w:p>
          <w:p w14:paraId="076EBB6B">
            <w:pPr>
              <w:widowControl/>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HJ 604-2017</w:t>
            </w:r>
          </w:p>
        </w:tc>
        <w:tc>
          <w:tcPr>
            <w:tcW w:w="1058" w:type="pct"/>
            <w:tcBorders>
              <w:tl2br w:val="nil"/>
              <w:tr2bl w:val="nil"/>
            </w:tcBorders>
            <w:noWrap w:val="0"/>
            <w:vAlign w:val="center"/>
          </w:tcPr>
          <w:p w14:paraId="35E10F2E">
            <w:pPr>
              <w:pStyle w:val="69"/>
              <w:ind w:firstLine="0" w:firstLineChars="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lang w:eastAsia="zh-CN"/>
              </w:rPr>
              <w:t>污染源采样器</w:t>
            </w:r>
            <w:r>
              <w:rPr>
                <w:rFonts w:hint="default" w:ascii="Times New Roman" w:hAnsi="Times New Roman" w:eastAsia="宋体" w:cs="Times New Roman"/>
                <w:color w:val="auto"/>
                <w:kern w:val="2"/>
                <w:sz w:val="21"/>
                <w:szCs w:val="21"/>
                <w:lang w:val="en-US" w:eastAsia="zh-CN" w:bidi="ar-SA"/>
              </w:rPr>
              <w:t>JK-WRY003型</w:t>
            </w:r>
          </w:p>
        </w:tc>
        <w:tc>
          <w:tcPr>
            <w:tcW w:w="775" w:type="pct"/>
            <w:tcBorders>
              <w:tl2br w:val="nil"/>
              <w:tr2bl w:val="nil"/>
            </w:tcBorders>
            <w:noWrap w:val="0"/>
            <w:vAlign w:val="center"/>
          </w:tcPr>
          <w:p w14:paraId="1A312846">
            <w:pPr>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auto"/>
                <w:sz w:val="21"/>
                <w:szCs w:val="21"/>
              </w:rPr>
              <w:t>HYJC-XC-0</w:t>
            </w:r>
            <w:r>
              <w:rPr>
                <w:rFonts w:hint="default" w:ascii="Times New Roman" w:hAnsi="Times New Roman" w:eastAsia="宋体" w:cs="Times New Roman"/>
                <w:color w:val="auto"/>
                <w:sz w:val="21"/>
                <w:szCs w:val="21"/>
                <w:lang w:val="en-US" w:eastAsia="zh-CN"/>
              </w:rPr>
              <w:t>46</w:t>
            </w:r>
          </w:p>
        </w:tc>
      </w:tr>
      <w:tr w14:paraId="3E7008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4" w:type="pct"/>
            <w:vMerge w:val="continue"/>
            <w:tcBorders>
              <w:tl2br w:val="nil"/>
              <w:tr2bl w:val="nil"/>
            </w:tcBorders>
            <w:noWrap w:val="0"/>
            <w:vAlign w:val="center"/>
          </w:tcPr>
          <w:p w14:paraId="0377F425">
            <w:pPr>
              <w:widowControl/>
              <w:jc w:val="center"/>
              <w:rPr>
                <w:rFonts w:hint="default" w:ascii="Times New Roman" w:hAnsi="Times New Roman" w:eastAsia="宋体" w:cs="Times New Roman"/>
                <w:sz w:val="21"/>
                <w:szCs w:val="21"/>
              </w:rPr>
            </w:pPr>
          </w:p>
        </w:tc>
        <w:tc>
          <w:tcPr>
            <w:tcW w:w="497" w:type="pct"/>
            <w:vMerge w:val="continue"/>
            <w:tcBorders>
              <w:tl2br w:val="nil"/>
              <w:tr2bl w:val="nil"/>
            </w:tcBorders>
            <w:noWrap w:val="0"/>
            <w:vAlign w:val="center"/>
          </w:tcPr>
          <w:p w14:paraId="5761B59B">
            <w:pPr>
              <w:widowControl/>
              <w:jc w:val="center"/>
              <w:rPr>
                <w:rFonts w:hint="default" w:ascii="Times New Roman" w:hAnsi="Times New Roman" w:eastAsia="宋体" w:cs="Times New Roman"/>
                <w:sz w:val="21"/>
                <w:szCs w:val="21"/>
              </w:rPr>
            </w:pPr>
          </w:p>
        </w:tc>
        <w:tc>
          <w:tcPr>
            <w:tcW w:w="652" w:type="pct"/>
            <w:vMerge w:val="continue"/>
            <w:tcBorders>
              <w:tl2br w:val="nil"/>
              <w:tr2bl w:val="nil"/>
            </w:tcBorders>
            <w:noWrap w:val="0"/>
            <w:vAlign w:val="center"/>
          </w:tcPr>
          <w:p w14:paraId="4172CFB3">
            <w:pPr>
              <w:widowControl/>
              <w:jc w:val="center"/>
              <w:rPr>
                <w:rFonts w:hint="default" w:ascii="Times New Roman" w:hAnsi="Times New Roman" w:eastAsia="宋体" w:cs="Times New Roman"/>
                <w:sz w:val="21"/>
                <w:szCs w:val="21"/>
              </w:rPr>
            </w:pPr>
          </w:p>
        </w:tc>
        <w:tc>
          <w:tcPr>
            <w:tcW w:w="1672" w:type="pct"/>
            <w:vMerge w:val="continue"/>
            <w:tcBorders>
              <w:tl2br w:val="nil"/>
              <w:tr2bl w:val="nil"/>
            </w:tcBorders>
            <w:noWrap w:val="0"/>
            <w:vAlign w:val="center"/>
          </w:tcPr>
          <w:p w14:paraId="6433AF49">
            <w:pPr>
              <w:widowControl/>
              <w:jc w:val="center"/>
              <w:rPr>
                <w:rFonts w:hint="default" w:ascii="Times New Roman" w:hAnsi="Times New Roman" w:eastAsia="宋体" w:cs="Times New Roman"/>
                <w:sz w:val="21"/>
                <w:szCs w:val="21"/>
              </w:rPr>
            </w:pPr>
          </w:p>
        </w:tc>
        <w:tc>
          <w:tcPr>
            <w:tcW w:w="1058" w:type="pct"/>
            <w:tcBorders>
              <w:tl2br w:val="nil"/>
              <w:tr2bl w:val="nil"/>
            </w:tcBorders>
            <w:noWrap w:val="0"/>
            <w:vAlign w:val="center"/>
          </w:tcPr>
          <w:p w14:paraId="68CE710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气相色谱仪</w:t>
            </w:r>
          </w:p>
          <w:p w14:paraId="6B11DCA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color w:val="auto"/>
                <w:sz w:val="21"/>
                <w:szCs w:val="21"/>
                <w:highlight w:val="none"/>
                <w:lang w:val="en-US" w:eastAsia="zh-CN"/>
              </w:rPr>
              <w:t>GC-979</w:t>
            </w:r>
            <w:r>
              <w:rPr>
                <w:rFonts w:hint="default" w:ascii="Times New Roman" w:hAnsi="Times New Roman" w:eastAsia="宋体" w:cs="Times New Roman"/>
                <w:color w:val="auto"/>
                <w:sz w:val="21"/>
                <w:szCs w:val="21"/>
                <w:highlight w:val="none"/>
              </w:rPr>
              <w:t>0</w:t>
            </w:r>
          </w:p>
        </w:tc>
        <w:tc>
          <w:tcPr>
            <w:tcW w:w="775" w:type="pct"/>
            <w:tcBorders>
              <w:tl2br w:val="nil"/>
              <w:tr2bl w:val="nil"/>
            </w:tcBorders>
            <w:noWrap w:val="0"/>
            <w:vAlign w:val="center"/>
          </w:tcPr>
          <w:p w14:paraId="5971FEDC">
            <w:pPr>
              <w:widowControl/>
              <w:jc w:val="center"/>
              <w:textAlignment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b w:val="0"/>
                <w:bCs w:val="0"/>
                <w:color w:val="000000"/>
                <w:sz w:val="21"/>
                <w:szCs w:val="21"/>
                <w:highlight w:val="none"/>
              </w:rPr>
              <w:t>HYJC-LH-</w:t>
            </w:r>
            <w:r>
              <w:rPr>
                <w:rFonts w:hint="default" w:ascii="Times New Roman" w:hAnsi="Times New Roman" w:eastAsia="宋体" w:cs="Times New Roman"/>
                <w:b w:val="0"/>
                <w:bCs w:val="0"/>
                <w:color w:val="000000"/>
                <w:sz w:val="21"/>
                <w:szCs w:val="21"/>
                <w:highlight w:val="none"/>
                <w:lang w:val="en-US" w:eastAsia="zh-CN"/>
              </w:rPr>
              <w:t>00</w:t>
            </w:r>
            <w:r>
              <w:rPr>
                <w:rFonts w:hint="default" w:ascii="Times New Roman" w:hAnsi="Times New Roman" w:eastAsia="宋体" w:cs="Times New Roman"/>
                <w:b w:val="0"/>
                <w:bCs w:val="0"/>
                <w:color w:val="000000"/>
                <w:sz w:val="21"/>
                <w:szCs w:val="21"/>
                <w:highlight w:val="none"/>
              </w:rPr>
              <w:t>4</w:t>
            </w:r>
          </w:p>
        </w:tc>
      </w:tr>
      <w:tr w14:paraId="2B7A3B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4" w:type="pct"/>
            <w:vMerge w:val="restart"/>
            <w:tcBorders>
              <w:tl2br w:val="nil"/>
              <w:tr2bl w:val="nil"/>
            </w:tcBorders>
            <w:noWrap w:val="0"/>
            <w:vAlign w:val="center"/>
          </w:tcPr>
          <w:p w14:paraId="7B8687A5">
            <w:pPr>
              <w:widowControl/>
              <w:numPr>
                <w:ilvl w:val="0"/>
                <w:numId w:val="23"/>
              </w:numPr>
              <w:ind w:left="425" w:leftChars="0" w:hanging="425" w:firstLineChars="0"/>
              <w:jc w:val="center"/>
              <w:rPr>
                <w:rFonts w:hint="default" w:ascii="Times New Roman" w:hAnsi="Times New Roman" w:eastAsia="宋体" w:cs="Times New Roman"/>
                <w:sz w:val="21"/>
                <w:szCs w:val="21"/>
              </w:rPr>
            </w:pPr>
          </w:p>
        </w:tc>
        <w:tc>
          <w:tcPr>
            <w:tcW w:w="497" w:type="pct"/>
            <w:vMerge w:val="restart"/>
            <w:tcBorders>
              <w:tl2br w:val="nil"/>
              <w:tr2bl w:val="nil"/>
            </w:tcBorders>
            <w:noWrap w:val="0"/>
            <w:vAlign w:val="center"/>
          </w:tcPr>
          <w:p w14:paraId="31B5886E">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环境空气</w:t>
            </w:r>
          </w:p>
        </w:tc>
        <w:tc>
          <w:tcPr>
            <w:tcW w:w="652" w:type="pct"/>
            <w:vMerge w:val="restart"/>
            <w:tcBorders>
              <w:tl2br w:val="nil"/>
              <w:tr2bl w:val="nil"/>
            </w:tcBorders>
            <w:noWrap w:val="0"/>
            <w:vAlign w:val="center"/>
          </w:tcPr>
          <w:p w14:paraId="13503AC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丙烯腈</w:t>
            </w:r>
          </w:p>
        </w:tc>
        <w:tc>
          <w:tcPr>
            <w:tcW w:w="1672" w:type="pct"/>
            <w:vMerge w:val="restart"/>
            <w:tcBorders>
              <w:tl2br w:val="nil"/>
              <w:tr2bl w:val="nil"/>
            </w:tcBorders>
            <w:noWrap w:val="0"/>
            <w:vAlign w:val="center"/>
          </w:tcPr>
          <w:p w14:paraId="2712E1DD">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丙烯腈的测定 气相色谱法《空气和废气监测分析方法》（第四版）国家环境保护总局 （2003年）</w:t>
            </w:r>
          </w:p>
        </w:tc>
        <w:tc>
          <w:tcPr>
            <w:tcW w:w="1058" w:type="pct"/>
            <w:tcBorders>
              <w:tl2br w:val="nil"/>
              <w:tr2bl w:val="nil"/>
            </w:tcBorders>
            <w:noWrap w:val="0"/>
            <w:vAlign w:val="center"/>
          </w:tcPr>
          <w:p w14:paraId="23E21695">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空气采样器</w:t>
            </w:r>
          </w:p>
          <w:p w14:paraId="7ED65B4D">
            <w:pPr>
              <w:jc w:val="center"/>
              <w:rPr>
                <w:rFonts w:hint="default" w:ascii="Times New Roman" w:hAnsi="Times New Roman" w:eastAsia="宋体" w:cs="Times New Roman"/>
                <w:color w:val="auto"/>
                <w:kern w:val="0"/>
                <w:sz w:val="21"/>
                <w:szCs w:val="21"/>
                <w:highlight w:val="yellow"/>
                <w:lang w:val="en-US" w:eastAsia="zh-CN" w:bidi="ar-SA"/>
              </w:rPr>
            </w:pPr>
            <w:r>
              <w:rPr>
                <w:rFonts w:hint="default" w:ascii="Times New Roman" w:hAnsi="Times New Roman" w:eastAsia="宋体" w:cs="Times New Roman"/>
                <w:color w:val="auto"/>
                <w:sz w:val="21"/>
                <w:szCs w:val="21"/>
              </w:rPr>
              <w:t>2020型</w:t>
            </w:r>
          </w:p>
        </w:tc>
        <w:tc>
          <w:tcPr>
            <w:tcW w:w="775" w:type="pct"/>
            <w:tcBorders>
              <w:tl2br w:val="nil"/>
              <w:tr2bl w:val="nil"/>
            </w:tcBorders>
            <w:noWrap w:val="0"/>
            <w:vAlign w:val="center"/>
          </w:tcPr>
          <w:p w14:paraId="7022323A">
            <w:pPr>
              <w:jc w:val="center"/>
              <w:rPr>
                <w:rFonts w:hint="default" w:ascii="Times New Roman" w:hAnsi="Times New Roman" w:eastAsia="宋体" w:cs="Times New Roman"/>
                <w:color w:val="auto"/>
                <w:kern w:val="0"/>
                <w:sz w:val="21"/>
                <w:szCs w:val="21"/>
                <w:highlight w:val="yellow"/>
                <w:lang w:val="en-US" w:eastAsia="zh-CN" w:bidi="ar-SA"/>
              </w:rPr>
            </w:pPr>
            <w:r>
              <w:rPr>
                <w:rFonts w:hint="default" w:ascii="Times New Roman" w:hAnsi="Times New Roman" w:eastAsia="宋体" w:cs="Times New Roman"/>
                <w:color w:val="auto"/>
                <w:sz w:val="21"/>
                <w:szCs w:val="21"/>
              </w:rPr>
              <w:t>HYJC-XC-010</w:t>
            </w:r>
          </w:p>
        </w:tc>
      </w:tr>
      <w:tr w14:paraId="1100BA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4" w:type="pct"/>
            <w:vMerge w:val="continue"/>
            <w:tcBorders>
              <w:tl2br w:val="nil"/>
              <w:tr2bl w:val="nil"/>
            </w:tcBorders>
            <w:noWrap w:val="0"/>
            <w:vAlign w:val="center"/>
          </w:tcPr>
          <w:p w14:paraId="5FD0654C">
            <w:pPr>
              <w:widowControl/>
              <w:ind w:left="425" w:leftChars="0" w:hanging="425" w:firstLineChars="0"/>
              <w:jc w:val="center"/>
              <w:rPr>
                <w:rFonts w:hint="default" w:ascii="Times New Roman" w:hAnsi="Times New Roman" w:eastAsia="宋体" w:cs="Times New Roman"/>
                <w:sz w:val="21"/>
                <w:szCs w:val="21"/>
              </w:rPr>
            </w:pPr>
          </w:p>
        </w:tc>
        <w:tc>
          <w:tcPr>
            <w:tcW w:w="497" w:type="pct"/>
            <w:vMerge w:val="continue"/>
            <w:tcBorders>
              <w:tl2br w:val="nil"/>
              <w:tr2bl w:val="nil"/>
            </w:tcBorders>
            <w:noWrap w:val="0"/>
            <w:vAlign w:val="center"/>
          </w:tcPr>
          <w:p w14:paraId="6C78B574">
            <w:pPr>
              <w:widowControl/>
              <w:jc w:val="center"/>
              <w:rPr>
                <w:rFonts w:hint="default" w:ascii="Times New Roman" w:hAnsi="Times New Roman" w:eastAsia="宋体" w:cs="Times New Roman"/>
                <w:sz w:val="21"/>
                <w:szCs w:val="21"/>
              </w:rPr>
            </w:pPr>
          </w:p>
        </w:tc>
        <w:tc>
          <w:tcPr>
            <w:tcW w:w="652" w:type="pct"/>
            <w:vMerge w:val="continue"/>
            <w:tcBorders>
              <w:tl2br w:val="nil"/>
              <w:tr2bl w:val="nil"/>
            </w:tcBorders>
            <w:noWrap w:val="0"/>
            <w:vAlign w:val="center"/>
          </w:tcPr>
          <w:p w14:paraId="133654D2">
            <w:pPr>
              <w:widowControl/>
              <w:jc w:val="center"/>
              <w:rPr>
                <w:rFonts w:hint="default" w:ascii="Times New Roman" w:hAnsi="Times New Roman" w:eastAsia="宋体" w:cs="Times New Roman"/>
                <w:sz w:val="21"/>
                <w:szCs w:val="21"/>
              </w:rPr>
            </w:pPr>
          </w:p>
        </w:tc>
        <w:tc>
          <w:tcPr>
            <w:tcW w:w="1672" w:type="pct"/>
            <w:vMerge w:val="continue"/>
            <w:tcBorders>
              <w:tl2br w:val="nil"/>
              <w:tr2bl w:val="nil"/>
            </w:tcBorders>
            <w:noWrap w:val="0"/>
            <w:vAlign w:val="center"/>
          </w:tcPr>
          <w:p w14:paraId="10C403C6">
            <w:pPr>
              <w:widowControl/>
              <w:jc w:val="center"/>
              <w:rPr>
                <w:rFonts w:hint="default" w:ascii="Times New Roman" w:hAnsi="Times New Roman" w:eastAsia="宋体" w:cs="Times New Roman"/>
                <w:sz w:val="21"/>
                <w:szCs w:val="21"/>
              </w:rPr>
            </w:pPr>
          </w:p>
        </w:tc>
        <w:tc>
          <w:tcPr>
            <w:tcW w:w="1058" w:type="pct"/>
            <w:tcBorders>
              <w:tl2br w:val="nil"/>
              <w:tr2bl w:val="nil"/>
            </w:tcBorders>
            <w:noWrap w:val="0"/>
            <w:vAlign w:val="center"/>
          </w:tcPr>
          <w:p w14:paraId="24CF418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气相色谱-质谱联用仪TRACE1300</w:t>
            </w:r>
          </w:p>
        </w:tc>
        <w:tc>
          <w:tcPr>
            <w:tcW w:w="775" w:type="pct"/>
            <w:tcBorders>
              <w:tl2br w:val="nil"/>
              <w:tr2bl w:val="nil"/>
            </w:tcBorders>
            <w:noWrap w:val="0"/>
            <w:vAlign w:val="center"/>
          </w:tcPr>
          <w:p w14:paraId="13554960">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color w:val="000000"/>
                <w:sz w:val="21"/>
                <w:szCs w:val="21"/>
                <w:highlight w:val="none"/>
              </w:rPr>
              <w:t>HYJC-LH-034</w:t>
            </w:r>
          </w:p>
        </w:tc>
      </w:tr>
      <w:tr w14:paraId="43D628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4" w:type="pct"/>
            <w:vMerge w:val="restart"/>
            <w:tcBorders>
              <w:tl2br w:val="nil"/>
              <w:tr2bl w:val="nil"/>
            </w:tcBorders>
            <w:noWrap w:val="0"/>
            <w:vAlign w:val="center"/>
          </w:tcPr>
          <w:p w14:paraId="40FCF8D3">
            <w:pPr>
              <w:widowControl/>
              <w:numPr>
                <w:ilvl w:val="0"/>
                <w:numId w:val="23"/>
              </w:numPr>
              <w:ind w:left="425" w:leftChars="0" w:hanging="425" w:firstLineChars="0"/>
              <w:jc w:val="center"/>
              <w:rPr>
                <w:rFonts w:hint="default" w:ascii="Times New Roman" w:hAnsi="Times New Roman" w:eastAsia="宋体" w:cs="Times New Roman"/>
                <w:sz w:val="21"/>
                <w:szCs w:val="21"/>
              </w:rPr>
            </w:pPr>
          </w:p>
        </w:tc>
        <w:tc>
          <w:tcPr>
            <w:tcW w:w="497" w:type="pct"/>
            <w:vMerge w:val="continue"/>
            <w:tcBorders>
              <w:tl2br w:val="nil"/>
              <w:tr2bl w:val="nil"/>
            </w:tcBorders>
            <w:noWrap w:val="0"/>
            <w:vAlign w:val="center"/>
          </w:tcPr>
          <w:p w14:paraId="17E27DF2">
            <w:pPr>
              <w:widowControl/>
              <w:jc w:val="center"/>
              <w:rPr>
                <w:rFonts w:hint="default" w:ascii="Times New Roman" w:hAnsi="Times New Roman" w:eastAsia="宋体" w:cs="Times New Roman"/>
                <w:sz w:val="21"/>
                <w:szCs w:val="21"/>
              </w:rPr>
            </w:pPr>
          </w:p>
        </w:tc>
        <w:tc>
          <w:tcPr>
            <w:tcW w:w="652" w:type="pct"/>
            <w:vMerge w:val="restart"/>
            <w:tcBorders>
              <w:tl2br w:val="nil"/>
              <w:tr2bl w:val="nil"/>
            </w:tcBorders>
            <w:noWrap w:val="0"/>
            <w:vAlign w:val="center"/>
          </w:tcPr>
          <w:p w14:paraId="3BAC7E5A">
            <w:pPr>
              <w:widowControl/>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苯乙烯</w:t>
            </w:r>
          </w:p>
        </w:tc>
        <w:tc>
          <w:tcPr>
            <w:tcW w:w="1672" w:type="pct"/>
            <w:vMerge w:val="restart"/>
            <w:tcBorders>
              <w:tl2br w:val="nil"/>
              <w:tr2bl w:val="nil"/>
            </w:tcBorders>
            <w:noWrap w:val="0"/>
            <w:vAlign w:val="center"/>
          </w:tcPr>
          <w:p w14:paraId="7D4B2E96">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环境空气 挥发性有机物的测定 吸附管采样-热脱附/气相色谱-质谱法</w:t>
            </w:r>
          </w:p>
          <w:p w14:paraId="068490C0">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HJ 644-2013</w:t>
            </w:r>
          </w:p>
        </w:tc>
        <w:tc>
          <w:tcPr>
            <w:tcW w:w="1058" w:type="pct"/>
            <w:tcBorders>
              <w:tl2br w:val="nil"/>
              <w:tr2bl w:val="nil"/>
            </w:tcBorders>
            <w:noWrap w:val="0"/>
            <w:vAlign w:val="center"/>
          </w:tcPr>
          <w:p w14:paraId="16B80695">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空气采样器</w:t>
            </w:r>
          </w:p>
          <w:p w14:paraId="0F79B7D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rPr>
              <w:t>2020型</w:t>
            </w:r>
          </w:p>
        </w:tc>
        <w:tc>
          <w:tcPr>
            <w:tcW w:w="775" w:type="pct"/>
            <w:tcBorders>
              <w:tl2br w:val="nil"/>
              <w:tr2bl w:val="nil"/>
            </w:tcBorders>
            <w:noWrap w:val="0"/>
            <w:vAlign w:val="center"/>
          </w:tcPr>
          <w:p w14:paraId="27AEB42F">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color w:val="auto"/>
                <w:sz w:val="21"/>
                <w:szCs w:val="21"/>
              </w:rPr>
              <w:t>HYJC-XC-010</w:t>
            </w:r>
          </w:p>
        </w:tc>
      </w:tr>
      <w:tr w14:paraId="0408EF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4" w:type="pct"/>
            <w:vMerge w:val="continue"/>
            <w:tcBorders>
              <w:tl2br w:val="nil"/>
              <w:tr2bl w:val="nil"/>
            </w:tcBorders>
            <w:noWrap w:val="0"/>
            <w:vAlign w:val="center"/>
          </w:tcPr>
          <w:p w14:paraId="540B3265">
            <w:pPr>
              <w:widowControl/>
              <w:ind w:left="425" w:leftChars="0" w:hanging="425" w:firstLineChars="0"/>
              <w:jc w:val="center"/>
              <w:rPr>
                <w:rFonts w:hint="default" w:ascii="Times New Roman" w:hAnsi="Times New Roman" w:eastAsia="宋体" w:cs="Times New Roman"/>
                <w:sz w:val="21"/>
                <w:szCs w:val="21"/>
              </w:rPr>
            </w:pPr>
          </w:p>
        </w:tc>
        <w:tc>
          <w:tcPr>
            <w:tcW w:w="497" w:type="pct"/>
            <w:vMerge w:val="continue"/>
            <w:tcBorders>
              <w:tl2br w:val="nil"/>
              <w:tr2bl w:val="nil"/>
            </w:tcBorders>
            <w:noWrap w:val="0"/>
            <w:vAlign w:val="center"/>
          </w:tcPr>
          <w:p w14:paraId="2A327784">
            <w:pPr>
              <w:widowControl/>
              <w:jc w:val="center"/>
              <w:rPr>
                <w:rFonts w:hint="default" w:ascii="Times New Roman" w:hAnsi="Times New Roman" w:eastAsia="宋体" w:cs="Times New Roman"/>
                <w:sz w:val="21"/>
                <w:szCs w:val="21"/>
              </w:rPr>
            </w:pPr>
          </w:p>
        </w:tc>
        <w:tc>
          <w:tcPr>
            <w:tcW w:w="652" w:type="pct"/>
            <w:vMerge w:val="continue"/>
            <w:tcBorders>
              <w:tl2br w:val="nil"/>
              <w:tr2bl w:val="nil"/>
            </w:tcBorders>
            <w:noWrap w:val="0"/>
            <w:vAlign w:val="center"/>
          </w:tcPr>
          <w:p w14:paraId="5B36B278">
            <w:pPr>
              <w:widowControl/>
              <w:jc w:val="center"/>
              <w:rPr>
                <w:rFonts w:hint="default" w:ascii="Times New Roman" w:hAnsi="Times New Roman" w:eastAsia="宋体" w:cs="Times New Roman"/>
                <w:sz w:val="21"/>
                <w:szCs w:val="21"/>
              </w:rPr>
            </w:pPr>
          </w:p>
        </w:tc>
        <w:tc>
          <w:tcPr>
            <w:tcW w:w="1672" w:type="pct"/>
            <w:vMerge w:val="continue"/>
            <w:tcBorders>
              <w:tl2br w:val="nil"/>
              <w:tr2bl w:val="nil"/>
            </w:tcBorders>
            <w:noWrap w:val="0"/>
            <w:vAlign w:val="center"/>
          </w:tcPr>
          <w:p w14:paraId="7B215985">
            <w:pPr>
              <w:widowControl/>
              <w:jc w:val="center"/>
              <w:rPr>
                <w:rFonts w:hint="default" w:ascii="Times New Roman" w:hAnsi="Times New Roman" w:eastAsia="宋体" w:cs="Times New Roman"/>
                <w:sz w:val="21"/>
                <w:szCs w:val="21"/>
              </w:rPr>
            </w:pPr>
          </w:p>
        </w:tc>
        <w:tc>
          <w:tcPr>
            <w:tcW w:w="1058" w:type="pct"/>
            <w:tcBorders>
              <w:tl2br w:val="nil"/>
              <w:tr2bl w:val="nil"/>
            </w:tcBorders>
            <w:noWrap w:val="0"/>
            <w:vAlign w:val="center"/>
          </w:tcPr>
          <w:p w14:paraId="19D41B29">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气相色谱-质谱联用仪</w:t>
            </w:r>
            <w:r>
              <w:rPr>
                <w:rFonts w:hint="default" w:ascii="Times New Roman" w:hAnsi="Times New Roman" w:eastAsia="宋体" w:cs="Times New Roman"/>
                <w:color w:val="auto"/>
                <w:sz w:val="21"/>
                <w:szCs w:val="21"/>
                <w:highlight w:val="none"/>
                <w:lang w:val="en-US" w:eastAsia="zh-CN"/>
              </w:rPr>
              <w:t>ISQ-QD</w:t>
            </w:r>
          </w:p>
        </w:tc>
        <w:tc>
          <w:tcPr>
            <w:tcW w:w="775" w:type="pct"/>
            <w:tcBorders>
              <w:tl2br w:val="nil"/>
              <w:tr2bl w:val="nil"/>
            </w:tcBorders>
            <w:noWrap w:val="0"/>
            <w:vAlign w:val="center"/>
          </w:tcPr>
          <w:p w14:paraId="630B2520">
            <w:pPr>
              <w:widowControl/>
              <w:jc w:val="center"/>
              <w:textAlignment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rPr>
              <w:t>HYJC-LH-0</w:t>
            </w:r>
            <w:r>
              <w:rPr>
                <w:rFonts w:hint="default" w:ascii="Times New Roman" w:hAnsi="Times New Roman" w:eastAsia="宋体" w:cs="Times New Roman"/>
                <w:b w:val="0"/>
                <w:bCs w:val="0"/>
                <w:color w:val="000000"/>
                <w:sz w:val="21"/>
                <w:szCs w:val="21"/>
                <w:lang w:val="en-US" w:eastAsia="zh-CN"/>
              </w:rPr>
              <w:t>42</w:t>
            </w:r>
          </w:p>
        </w:tc>
      </w:tr>
      <w:tr w14:paraId="18701C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4" w:type="pct"/>
            <w:vMerge w:val="restart"/>
            <w:tcBorders>
              <w:tl2br w:val="nil"/>
              <w:tr2bl w:val="nil"/>
            </w:tcBorders>
            <w:noWrap w:val="0"/>
            <w:vAlign w:val="center"/>
          </w:tcPr>
          <w:p w14:paraId="277ACFBD">
            <w:pPr>
              <w:widowControl/>
              <w:numPr>
                <w:ilvl w:val="0"/>
                <w:numId w:val="23"/>
              </w:numPr>
              <w:ind w:left="425" w:leftChars="0" w:hanging="425" w:firstLineChars="0"/>
              <w:jc w:val="center"/>
              <w:rPr>
                <w:rFonts w:hint="default" w:ascii="Times New Roman" w:hAnsi="Times New Roman" w:eastAsia="宋体" w:cs="Times New Roman"/>
                <w:sz w:val="21"/>
                <w:szCs w:val="21"/>
              </w:rPr>
            </w:pPr>
          </w:p>
        </w:tc>
        <w:tc>
          <w:tcPr>
            <w:tcW w:w="497" w:type="pct"/>
            <w:vMerge w:val="continue"/>
            <w:tcBorders>
              <w:tl2br w:val="nil"/>
              <w:tr2bl w:val="nil"/>
            </w:tcBorders>
            <w:noWrap w:val="0"/>
            <w:vAlign w:val="center"/>
          </w:tcPr>
          <w:p w14:paraId="79ED4AB4">
            <w:pPr>
              <w:widowControl/>
              <w:jc w:val="center"/>
              <w:rPr>
                <w:rFonts w:hint="default" w:ascii="Times New Roman" w:hAnsi="Times New Roman" w:eastAsia="宋体" w:cs="Times New Roman"/>
                <w:sz w:val="21"/>
                <w:szCs w:val="21"/>
              </w:rPr>
            </w:pPr>
          </w:p>
        </w:tc>
        <w:tc>
          <w:tcPr>
            <w:tcW w:w="652" w:type="pct"/>
            <w:vMerge w:val="restart"/>
            <w:tcBorders>
              <w:tl2br w:val="nil"/>
              <w:tr2bl w:val="nil"/>
            </w:tcBorders>
            <w:noWrap w:val="0"/>
            <w:vAlign w:val="center"/>
          </w:tcPr>
          <w:p w14:paraId="1D861323">
            <w:pPr>
              <w:widowControl/>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甲苯</w:t>
            </w:r>
          </w:p>
        </w:tc>
        <w:tc>
          <w:tcPr>
            <w:tcW w:w="1672" w:type="pct"/>
            <w:vMerge w:val="restart"/>
            <w:tcBorders>
              <w:tl2br w:val="nil"/>
              <w:tr2bl w:val="nil"/>
            </w:tcBorders>
            <w:noWrap w:val="0"/>
            <w:vAlign w:val="center"/>
          </w:tcPr>
          <w:p w14:paraId="284EB42C">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环境空气 挥发性有机物的测定 吸附管采样-热脱附/气相色谱-质谱法</w:t>
            </w:r>
          </w:p>
          <w:p w14:paraId="1EDE21A7">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HJ 644-2013</w:t>
            </w:r>
          </w:p>
        </w:tc>
        <w:tc>
          <w:tcPr>
            <w:tcW w:w="1058" w:type="pct"/>
            <w:tcBorders>
              <w:tl2br w:val="nil"/>
              <w:tr2bl w:val="nil"/>
            </w:tcBorders>
            <w:noWrap w:val="0"/>
            <w:vAlign w:val="center"/>
          </w:tcPr>
          <w:p w14:paraId="205CA9A1">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空气采样器</w:t>
            </w:r>
          </w:p>
          <w:p w14:paraId="2FC525F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rPr>
              <w:t>2020型</w:t>
            </w:r>
          </w:p>
        </w:tc>
        <w:tc>
          <w:tcPr>
            <w:tcW w:w="775" w:type="pct"/>
            <w:tcBorders>
              <w:tl2br w:val="nil"/>
              <w:tr2bl w:val="nil"/>
            </w:tcBorders>
            <w:noWrap w:val="0"/>
            <w:vAlign w:val="center"/>
          </w:tcPr>
          <w:p w14:paraId="4F30DA89">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color w:val="auto"/>
                <w:sz w:val="21"/>
                <w:szCs w:val="21"/>
              </w:rPr>
              <w:t>HYJC-XC-010</w:t>
            </w:r>
          </w:p>
        </w:tc>
      </w:tr>
      <w:tr w14:paraId="741556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4" w:type="pct"/>
            <w:vMerge w:val="continue"/>
            <w:tcBorders>
              <w:tl2br w:val="nil"/>
              <w:tr2bl w:val="nil"/>
            </w:tcBorders>
            <w:noWrap w:val="0"/>
            <w:vAlign w:val="center"/>
          </w:tcPr>
          <w:p w14:paraId="27C2DB89">
            <w:pPr>
              <w:widowControl/>
              <w:ind w:left="425" w:leftChars="0" w:hanging="425" w:firstLineChars="0"/>
              <w:jc w:val="center"/>
              <w:rPr>
                <w:rFonts w:hint="default" w:ascii="Times New Roman" w:hAnsi="Times New Roman" w:eastAsia="宋体" w:cs="Times New Roman"/>
                <w:sz w:val="21"/>
                <w:szCs w:val="21"/>
              </w:rPr>
            </w:pPr>
          </w:p>
        </w:tc>
        <w:tc>
          <w:tcPr>
            <w:tcW w:w="497" w:type="pct"/>
            <w:vMerge w:val="continue"/>
            <w:tcBorders>
              <w:tl2br w:val="nil"/>
              <w:tr2bl w:val="nil"/>
            </w:tcBorders>
            <w:noWrap w:val="0"/>
            <w:vAlign w:val="center"/>
          </w:tcPr>
          <w:p w14:paraId="57EB6A0E">
            <w:pPr>
              <w:widowControl/>
              <w:jc w:val="center"/>
              <w:rPr>
                <w:rFonts w:hint="default" w:ascii="Times New Roman" w:hAnsi="Times New Roman" w:eastAsia="宋体" w:cs="Times New Roman"/>
                <w:sz w:val="21"/>
                <w:szCs w:val="21"/>
              </w:rPr>
            </w:pPr>
          </w:p>
        </w:tc>
        <w:tc>
          <w:tcPr>
            <w:tcW w:w="652" w:type="pct"/>
            <w:vMerge w:val="continue"/>
            <w:tcBorders>
              <w:tl2br w:val="nil"/>
              <w:tr2bl w:val="nil"/>
            </w:tcBorders>
            <w:noWrap w:val="0"/>
            <w:vAlign w:val="center"/>
          </w:tcPr>
          <w:p w14:paraId="60F82A74">
            <w:pPr>
              <w:widowControl/>
              <w:jc w:val="center"/>
              <w:rPr>
                <w:rFonts w:hint="default" w:ascii="Times New Roman" w:hAnsi="Times New Roman" w:eastAsia="宋体" w:cs="Times New Roman"/>
                <w:sz w:val="21"/>
                <w:szCs w:val="21"/>
              </w:rPr>
            </w:pPr>
          </w:p>
        </w:tc>
        <w:tc>
          <w:tcPr>
            <w:tcW w:w="1672" w:type="pct"/>
            <w:vMerge w:val="continue"/>
            <w:tcBorders>
              <w:tl2br w:val="nil"/>
              <w:tr2bl w:val="nil"/>
            </w:tcBorders>
            <w:noWrap w:val="0"/>
            <w:vAlign w:val="center"/>
          </w:tcPr>
          <w:p w14:paraId="1774D3B8">
            <w:pPr>
              <w:widowControl/>
              <w:jc w:val="center"/>
              <w:rPr>
                <w:rFonts w:hint="default" w:ascii="Times New Roman" w:hAnsi="Times New Roman" w:eastAsia="宋体" w:cs="Times New Roman"/>
                <w:sz w:val="21"/>
                <w:szCs w:val="21"/>
              </w:rPr>
            </w:pPr>
          </w:p>
        </w:tc>
        <w:tc>
          <w:tcPr>
            <w:tcW w:w="1058" w:type="pct"/>
            <w:tcBorders>
              <w:tl2br w:val="nil"/>
              <w:tr2bl w:val="nil"/>
            </w:tcBorders>
            <w:noWrap w:val="0"/>
            <w:vAlign w:val="center"/>
          </w:tcPr>
          <w:p w14:paraId="580F0474">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气相色谱-质谱联用仪</w:t>
            </w:r>
            <w:r>
              <w:rPr>
                <w:rFonts w:hint="default" w:ascii="Times New Roman" w:hAnsi="Times New Roman" w:eastAsia="宋体" w:cs="Times New Roman"/>
                <w:color w:val="auto"/>
                <w:sz w:val="21"/>
                <w:szCs w:val="21"/>
                <w:highlight w:val="none"/>
                <w:lang w:val="en-US" w:eastAsia="zh-CN"/>
              </w:rPr>
              <w:t>ISQ-QD</w:t>
            </w:r>
          </w:p>
        </w:tc>
        <w:tc>
          <w:tcPr>
            <w:tcW w:w="775" w:type="pct"/>
            <w:tcBorders>
              <w:tl2br w:val="nil"/>
              <w:tr2bl w:val="nil"/>
            </w:tcBorders>
            <w:noWrap w:val="0"/>
            <w:vAlign w:val="center"/>
          </w:tcPr>
          <w:p w14:paraId="2B5DD9F9">
            <w:pPr>
              <w:widowControl/>
              <w:jc w:val="center"/>
              <w:textAlignment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rPr>
              <w:t>HYJC-LH-0</w:t>
            </w:r>
            <w:r>
              <w:rPr>
                <w:rFonts w:hint="default" w:ascii="Times New Roman" w:hAnsi="Times New Roman" w:eastAsia="宋体" w:cs="Times New Roman"/>
                <w:b w:val="0"/>
                <w:bCs w:val="0"/>
                <w:color w:val="000000"/>
                <w:sz w:val="21"/>
                <w:szCs w:val="21"/>
                <w:lang w:val="en-US" w:eastAsia="zh-CN"/>
              </w:rPr>
              <w:t>42</w:t>
            </w:r>
          </w:p>
        </w:tc>
      </w:tr>
      <w:tr w14:paraId="264F43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4" w:type="pct"/>
            <w:vMerge w:val="restart"/>
            <w:tcBorders>
              <w:tl2br w:val="nil"/>
              <w:tr2bl w:val="nil"/>
            </w:tcBorders>
            <w:noWrap w:val="0"/>
            <w:vAlign w:val="center"/>
          </w:tcPr>
          <w:p w14:paraId="0E1D1487">
            <w:pPr>
              <w:numPr>
                <w:ilvl w:val="0"/>
                <w:numId w:val="23"/>
              </w:numPr>
              <w:ind w:left="425" w:leftChars="0" w:hanging="425" w:firstLineChars="0"/>
              <w:jc w:val="center"/>
              <w:rPr>
                <w:rFonts w:hint="default" w:ascii="Times New Roman" w:hAnsi="Times New Roman" w:eastAsia="宋体" w:cs="Times New Roman"/>
                <w:color w:val="auto"/>
                <w:kern w:val="2"/>
                <w:sz w:val="21"/>
                <w:szCs w:val="21"/>
                <w:lang w:val="en-US" w:eastAsia="zh-CN" w:bidi="ar-SA"/>
              </w:rPr>
            </w:pPr>
          </w:p>
        </w:tc>
        <w:tc>
          <w:tcPr>
            <w:tcW w:w="497" w:type="pct"/>
            <w:vMerge w:val="continue"/>
            <w:tcBorders>
              <w:tl2br w:val="nil"/>
              <w:tr2bl w:val="nil"/>
            </w:tcBorders>
            <w:noWrap w:val="0"/>
            <w:vAlign w:val="center"/>
          </w:tcPr>
          <w:p w14:paraId="5E4A3199">
            <w:pPr>
              <w:pStyle w:val="69"/>
              <w:ind w:firstLine="0" w:firstLineChars="0"/>
              <w:jc w:val="center"/>
              <w:rPr>
                <w:rFonts w:hint="default" w:ascii="Times New Roman" w:hAnsi="Times New Roman" w:eastAsia="宋体" w:cs="Times New Roman"/>
                <w:color w:val="000000"/>
                <w:sz w:val="21"/>
                <w:szCs w:val="21"/>
                <w:highlight w:val="none"/>
                <w:lang w:val="en-US" w:eastAsia="zh-CN"/>
              </w:rPr>
            </w:pPr>
          </w:p>
        </w:tc>
        <w:tc>
          <w:tcPr>
            <w:tcW w:w="652" w:type="pct"/>
            <w:vMerge w:val="restart"/>
            <w:tcBorders>
              <w:tl2br w:val="nil"/>
              <w:tr2bl w:val="nil"/>
            </w:tcBorders>
            <w:noWrap w:val="0"/>
            <w:vAlign w:val="center"/>
          </w:tcPr>
          <w:p w14:paraId="426FF9CA">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sz w:val="21"/>
                <w:szCs w:val="21"/>
                <w:lang w:eastAsia="zh-CN"/>
              </w:rPr>
              <w:t>氨</w:t>
            </w:r>
          </w:p>
        </w:tc>
        <w:tc>
          <w:tcPr>
            <w:tcW w:w="1672" w:type="pct"/>
            <w:vMerge w:val="restart"/>
            <w:tcBorders>
              <w:tl2br w:val="nil"/>
              <w:tr2bl w:val="nil"/>
            </w:tcBorders>
            <w:noWrap w:val="0"/>
            <w:vAlign w:val="center"/>
          </w:tcPr>
          <w:p w14:paraId="37A37828">
            <w:pPr>
              <w:pStyle w:val="68"/>
              <w:keepNext w:val="0"/>
              <w:keepLines w:val="0"/>
              <w:pageBreakBefore w:val="0"/>
              <w:widowControl w:val="0"/>
              <w:shd w:val="clear" w:color="auto" w:fill="auto"/>
              <w:kinsoku/>
              <w:wordWrap/>
              <w:overflowPunct/>
              <w:topLinePunct w:val="0"/>
              <w:autoSpaceDE/>
              <w:autoSpaceDN/>
              <w:bidi w:val="0"/>
              <w:adjustRightInd/>
              <w:snapToGrid/>
              <w:spacing w:before="0" w:line="240" w:lineRule="auto"/>
              <w:ind w:left="0" w:righ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pacing w:val="0"/>
                <w:w w:val="100"/>
                <w:position w:val="0"/>
                <w:sz w:val="21"/>
                <w:szCs w:val="21"/>
              </w:rPr>
              <w:t>环境空气和废气</w:t>
            </w:r>
            <w:r>
              <w:rPr>
                <w:rFonts w:hint="default" w:ascii="Times New Roman" w:hAnsi="Times New Roman" w:eastAsia="宋体" w:cs="Times New Roman"/>
                <w:color w:val="000000"/>
                <w:spacing w:val="0"/>
                <w:w w:val="100"/>
                <w:position w:val="0"/>
                <w:sz w:val="21"/>
                <w:szCs w:val="21"/>
                <w:lang w:val="en-US" w:eastAsia="zh-CN"/>
              </w:rPr>
              <w:t xml:space="preserve"> </w:t>
            </w:r>
            <w:r>
              <w:rPr>
                <w:rFonts w:hint="default" w:ascii="Times New Roman" w:hAnsi="Times New Roman" w:eastAsia="宋体" w:cs="Times New Roman"/>
                <w:color w:val="000000"/>
                <w:spacing w:val="0"/>
                <w:w w:val="100"/>
                <w:position w:val="0"/>
                <w:sz w:val="21"/>
                <w:szCs w:val="21"/>
              </w:rPr>
              <w:t>氨的测定 纳氏试剂分光光度法</w:t>
            </w:r>
          </w:p>
          <w:p w14:paraId="37526530">
            <w:pPr>
              <w:pStyle w:val="68"/>
              <w:keepNext w:val="0"/>
              <w:keepLines w:val="0"/>
              <w:pageBreakBefore w:val="0"/>
              <w:widowControl w:val="0"/>
              <w:shd w:val="clear" w:color="auto" w:fill="auto"/>
              <w:kinsoku/>
              <w:wordWrap/>
              <w:overflowPunct/>
              <w:topLinePunct w:val="0"/>
              <w:autoSpaceDE/>
              <w:autoSpaceDN/>
              <w:bidi w:val="0"/>
              <w:adjustRightInd/>
              <w:snapToGrid/>
              <w:spacing w:before="0" w:line="240" w:lineRule="auto"/>
              <w:ind w:left="0" w:leftChars="0" w:right="0" w:rightChars="0"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color w:val="000000"/>
                <w:spacing w:val="0"/>
                <w:w w:val="100"/>
                <w:position w:val="0"/>
                <w:sz w:val="21"/>
                <w:szCs w:val="21"/>
                <w:lang w:val="en-US" w:eastAsia="en-US" w:bidi="en-US"/>
              </w:rPr>
              <w:t>HJ 533-2009</w:t>
            </w:r>
          </w:p>
        </w:tc>
        <w:tc>
          <w:tcPr>
            <w:tcW w:w="1058" w:type="pct"/>
            <w:tcBorders>
              <w:tl2br w:val="nil"/>
              <w:tr2bl w:val="nil"/>
            </w:tcBorders>
            <w:noWrap w:val="0"/>
            <w:vAlign w:val="center"/>
          </w:tcPr>
          <w:p w14:paraId="3113BA94">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空气采样器</w:t>
            </w:r>
          </w:p>
          <w:p w14:paraId="256F8B14">
            <w:pPr>
              <w:jc w:val="center"/>
              <w:rPr>
                <w:rFonts w:hint="default" w:ascii="Times New Roman" w:hAnsi="Times New Roman" w:eastAsia="宋体" w:cs="Times New Roman"/>
                <w:color w:val="auto"/>
                <w:kern w:val="0"/>
                <w:sz w:val="21"/>
                <w:szCs w:val="21"/>
                <w:highlight w:val="yellow"/>
                <w:lang w:eastAsia="zh-CN"/>
              </w:rPr>
            </w:pPr>
            <w:r>
              <w:rPr>
                <w:rFonts w:hint="default" w:ascii="Times New Roman" w:hAnsi="Times New Roman" w:eastAsia="宋体" w:cs="Times New Roman"/>
                <w:color w:val="auto"/>
                <w:sz w:val="21"/>
                <w:szCs w:val="21"/>
                <w:highlight w:val="none"/>
              </w:rPr>
              <w:t>2020型</w:t>
            </w:r>
          </w:p>
        </w:tc>
        <w:tc>
          <w:tcPr>
            <w:tcW w:w="775" w:type="pct"/>
            <w:tcBorders>
              <w:tl2br w:val="nil"/>
              <w:tr2bl w:val="nil"/>
            </w:tcBorders>
            <w:noWrap w:val="0"/>
            <w:vAlign w:val="center"/>
          </w:tcPr>
          <w:p w14:paraId="5A30E9F1">
            <w:pPr>
              <w:jc w:val="center"/>
              <w:rPr>
                <w:rFonts w:hint="default" w:ascii="Times New Roman" w:hAnsi="Times New Roman" w:eastAsia="宋体" w:cs="Times New Roman"/>
                <w:color w:val="auto"/>
                <w:kern w:val="0"/>
                <w:sz w:val="21"/>
                <w:szCs w:val="21"/>
                <w:highlight w:val="yellow"/>
                <w:lang w:val="en-US" w:eastAsia="zh-CN" w:bidi="ar-SA"/>
              </w:rPr>
            </w:pPr>
            <w:r>
              <w:rPr>
                <w:rFonts w:hint="default" w:ascii="Times New Roman" w:hAnsi="Times New Roman" w:eastAsia="宋体" w:cs="Times New Roman"/>
                <w:color w:val="auto"/>
                <w:sz w:val="21"/>
                <w:szCs w:val="21"/>
                <w:highlight w:val="none"/>
              </w:rPr>
              <w:t>HYJC-XC-010</w:t>
            </w:r>
          </w:p>
        </w:tc>
      </w:tr>
      <w:tr w14:paraId="0EB25B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4" w:type="pct"/>
            <w:vMerge w:val="continue"/>
            <w:tcBorders>
              <w:tl2br w:val="nil"/>
              <w:tr2bl w:val="nil"/>
            </w:tcBorders>
            <w:noWrap w:val="0"/>
            <w:vAlign w:val="center"/>
          </w:tcPr>
          <w:p w14:paraId="673AC5A6">
            <w:pPr>
              <w:widowControl/>
              <w:jc w:val="center"/>
              <w:rPr>
                <w:rFonts w:hint="default" w:ascii="Times New Roman" w:hAnsi="Times New Roman" w:eastAsia="宋体" w:cs="Times New Roman"/>
                <w:sz w:val="21"/>
                <w:szCs w:val="21"/>
              </w:rPr>
            </w:pPr>
          </w:p>
        </w:tc>
        <w:tc>
          <w:tcPr>
            <w:tcW w:w="497" w:type="pct"/>
            <w:vMerge w:val="continue"/>
            <w:tcBorders>
              <w:tl2br w:val="nil"/>
              <w:tr2bl w:val="nil"/>
            </w:tcBorders>
            <w:noWrap w:val="0"/>
            <w:vAlign w:val="center"/>
          </w:tcPr>
          <w:p w14:paraId="51D5F643">
            <w:pPr>
              <w:widowControl/>
              <w:jc w:val="center"/>
              <w:rPr>
                <w:rFonts w:hint="default" w:ascii="Times New Roman" w:hAnsi="Times New Roman" w:eastAsia="宋体" w:cs="Times New Roman"/>
                <w:sz w:val="21"/>
                <w:szCs w:val="21"/>
              </w:rPr>
            </w:pPr>
          </w:p>
        </w:tc>
        <w:tc>
          <w:tcPr>
            <w:tcW w:w="652" w:type="pct"/>
            <w:vMerge w:val="continue"/>
            <w:tcBorders>
              <w:tl2br w:val="nil"/>
              <w:tr2bl w:val="nil"/>
            </w:tcBorders>
            <w:noWrap w:val="0"/>
            <w:vAlign w:val="center"/>
          </w:tcPr>
          <w:p w14:paraId="1D306333">
            <w:pPr>
              <w:widowControl/>
              <w:rPr>
                <w:rFonts w:hint="default" w:ascii="Times New Roman" w:hAnsi="Times New Roman" w:eastAsia="宋体" w:cs="Times New Roman"/>
                <w:sz w:val="21"/>
                <w:szCs w:val="21"/>
              </w:rPr>
            </w:pPr>
          </w:p>
        </w:tc>
        <w:tc>
          <w:tcPr>
            <w:tcW w:w="1672" w:type="pct"/>
            <w:vMerge w:val="continue"/>
            <w:tcBorders>
              <w:tl2br w:val="nil"/>
              <w:tr2bl w:val="nil"/>
            </w:tcBorders>
            <w:noWrap w:val="0"/>
            <w:vAlign w:val="center"/>
          </w:tcPr>
          <w:p w14:paraId="70CDB1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p>
        </w:tc>
        <w:tc>
          <w:tcPr>
            <w:tcW w:w="1058" w:type="pct"/>
            <w:tcBorders>
              <w:tl2br w:val="nil"/>
              <w:tr2bl w:val="nil"/>
            </w:tcBorders>
            <w:noWrap w:val="0"/>
            <w:vAlign w:val="center"/>
          </w:tcPr>
          <w:p w14:paraId="606C2D58">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紫外可见分光光度计</w:t>
            </w:r>
          </w:p>
          <w:p w14:paraId="1CDDCDDE">
            <w:pPr>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color w:val="auto"/>
                <w:sz w:val="21"/>
                <w:szCs w:val="21"/>
                <w:highlight w:val="none"/>
              </w:rPr>
              <w:t>T6新世纪</w:t>
            </w:r>
          </w:p>
        </w:tc>
        <w:tc>
          <w:tcPr>
            <w:tcW w:w="775" w:type="pct"/>
            <w:tcBorders>
              <w:tl2br w:val="nil"/>
              <w:tr2bl w:val="nil"/>
            </w:tcBorders>
            <w:noWrap w:val="0"/>
            <w:vAlign w:val="center"/>
          </w:tcPr>
          <w:p w14:paraId="05CD4716">
            <w:pPr>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auto"/>
                <w:sz w:val="21"/>
                <w:szCs w:val="21"/>
                <w:highlight w:val="none"/>
              </w:rPr>
              <w:t>HYJC-LH-009</w:t>
            </w:r>
          </w:p>
        </w:tc>
      </w:tr>
      <w:tr w14:paraId="3AB4C4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4" w:type="pct"/>
            <w:vMerge w:val="restart"/>
            <w:tcBorders>
              <w:tl2br w:val="nil"/>
              <w:tr2bl w:val="nil"/>
            </w:tcBorders>
            <w:noWrap w:val="0"/>
            <w:vAlign w:val="center"/>
          </w:tcPr>
          <w:p w14:paraId="5C3CEB72">
            <w:pPr>
              <w:numPr>
                <w:ilvl w:val="0"/>
                <w:numId w:val="23"/>
              </w:numPr>
              <w:tabs>
                <w:tab w:val="left" w:pos="425"/>
              </w:tabs>
              <w:ind w:left="425" w:leftChars="0" w:hanging="425" w:firstLineChars="0"/>
              <w:jc w:val="center"/>
              <w:rPr>
                <w:rFonts w:hint="default" w:ascii="Times New Roman" w:hAnsi="Times New Roman" w:eastAsia="宋体" w:cs="Times New Roman"/>
                <w:color w:val="auto"/>
                <w:kern w:val="2"/>
                <w:sz w:val="21"/>
                <w:szCs w:val="21"/>
                <w:lang w:val="en-US" w:eastAsia="zh-CN" w:bidi="ar-SA"/>
              </w:rPr>
            </w:pPr>
          </w:p>
        </w:tc>
        <w:tc>
          <w:tcPr>
            <w:tcW w:w="497" w:type="pct"/>
            <w:vMerge w:val="continue"/>
            <w:tcBorders>
              <w:tl2br w:val="nil"/>
              <w:tr2bl w:val="nil"/>
            </w:tcBorders>
            <w:noWrap w:val="0"/>
            <w:vAlign w:val="center"/>
          </w:tcPr>
          <w:p w14:paraId="5D1F2EE4">
            <w:pPr>
              <w:jc w:val="center"/>
              <w:rPr>
                <w:rFonts w:hint="default" w:ascii="Times New Roman" w:hAnsi="Times New Roman" w:eastAsia="宋体" w:cs="Times New Roman"/>
                <w:b w:val="0"/>
                <w:bCs w:val="0"/>
                <w:sz w:val="21"/>
                <w:szCs w:val="21"/>
                <w:vertAlign w:val="baseline"/>
                <w:lang w:val="en-US" w:eastAsia="zh-CN"/>
              </w:rPr>
            </w:pPr>
          </w:p>
        </w:tc>
        <w:tc>
          <w:tcPr>
            <w:tcW w:w="652" w:type="pct"/>
            <w:vMerge w:val="restart"/>
            <w:tcBorders>
              <w:tl2br w:val="nil"/>
              <w:tr2bl w:val="nil"/>
            </w:tcBorders>
            <w:noWrap w:val="0"/>
            <w:vAlign w:val="center"/>
          </w:tcPr>
          <w:p w14:paraId="5487296D">
            <w:pPr>
              <w:pStyle w:val="69"/>
              <w:ind w:firstLine="0" w:firstLineChars="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color w:val="000000"/>
                <w:sz w:val="21"/>
                <w:szCs w:val="21"/>
              </w:rPr>
              <w:t>硫化氢</w:t>
            </w:r>
          </w:p>
        </w:tc>
        <w:tc>
          <w:tcPr>
            <w:tcW w:w="1672" w:type="pct"/>
            <w:vMerge w:val="restart"/>
            <w:tcBorders>
              <w:tl2br w:val="nil"/>
              <w:tr2bl w:val="nil"/>
            </w:tcBorders>
            <w:noWrap w:val="0"/>
            <w:vAlign w:val="center"/>
          </w:tcPr>
          <w:p w14:paraId="6B9C301B">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空气质量 硫化氢、甲硫醇、甲硫醚和二甲二硫的测定 气相色谱法</w:t>
            </w:r>
          </w:p>
          <w:p w14:paraId="0800E1E5">
            <w:pPr>
              <w:widowControl/>
              <w:jc w:val="center"/>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sz w:val="21"/>
                <w:szCs w:val="21"/>
              </w:rPr>
              <w:t>GB/T 14678-93</w:t>
            </w:r>
          </w:p>
        </w:tc>
        <w:tc>
          <w:tcPr>
            <w:tcW w:w="1058" w:type="pct"/>
            <w:tcBorders>
              <w:tl2br w:val="nil"/>
              <w:tr2bl w:val="nil"/>
            </w:tcBorders>
            <w:noWrap w:val="0"/>
            <w:vAlign w:val="center"/>
          </w:tcPr>
          <w:p w14:paraId="085CC1DB">
            <w:pPr>
              <w:pStyle w:val="68"/>
              <w:keepNext w:val="0"/>
              <w:keepLines w:val="0"/>
              <w:pageBreakBefore w:val="0"/>
              <w:widowControl w:val="0"/>
              <w:shd w:val="clear" w:color="auto" w:fill="auto"/>
              <w:kinsoku/>
              <w:wordWrap/>
              <w:overflowPunct/>
              <w:topLinePunct w:val="0"/>
              <w:autoSpaceDE/>
              <w:autoSpaceDN/>
              <w:bidi w:val="0"/>
              <w:adjustRightInd/>
              <w:snapToGrid/>
              <w:spacing w:before="0" w:line="240" w:lineRule="auto"/>
              <w:ind w:left="0" w:leftChars="0" w:right="0" w:rightChars="0" w:firstLine="0" w:firstLineChars="0"/>
              <w:jc w:val="center"/>
              <w:textAlignment w:val="auto"/>
              <w:rPr>
                <w:rFonts w:hint="default" w:ascii="Times New Roman" w:hAnsi="Times New Roman" w:eastAsia="宋体" w:cs="Times New Roman"/>
                <w:color w:val="000000"/>
                <w:spacing w:val="0"/>
                <w:w w:val="100"/>
                <w:position w:val="0"/>
                <w:sz w:val="21"/>
                <w:szCs w:val="21"/>
                <w:lang w:val="en-US" w:eastAsia="en-US" w:bidi="en-US"/>
              </w:rPr>
            </w:pPr>
            <w:r>
              <w:rPr>
                <w:rFonts w:hint="default" w:ascii="Times New Roman" w:hAnsi="Times New Roman" w:eastAsia="宋体" w:cs="Times New Roman"/>
                <w:color w:val="auto"/>
                <w:sz w:val="21"/>
                <w:szCs w:val="21"/>
                <w:highlight w:val="none"/>
                <w:lang w:val="en-US" w:eastAsia="zh-CN"/>
              </w:rPr>
              <w:t>污染源采样器JK-WRY003型</w:t>
            </w:r>
          </w:p>
        </w:tc>
        <w:tc>
          <w:tcPr>
            <w:tcW w:w="775" w:type="pct"/>
            <w:tcBorders>
              <w:tl2br w:val="nil"/>
              <w:tr2bl w:val="nil"/>
            </w:tcBorders>
            <w:noWrap w:val="0"/>
            <w:vAlign w:val="center"/>
          </w:tcPr>
          <w:p w14:paraId="4A1E1D25">
            <w:pPr>
              <w:pStyle w:val="68"/>
              <w:keepNext w:val="0"/>
              <w:keepLines w:val="0"/>
              <w:pageBreakBefore w:val="0"/>
              <w:widowControl w:val="0"/>
              <w:shd w:val="clear" w:color="auto" w:fill="auto"/>
              <w:kinsoku/>
              <w:wordWrap/>
              <w:overflowPunct/>
              <w:topLinePunct w:val="0"/>
              <w:autoSpaceDE/>
              <w:autoSpaceDN/>
              <w:bidi w:val="0"/>
              <w:adjustRightInd/>
              <w:snapToGrid/>
              <w:spacing w:before="0" w:line="240" w:lineRule="auto"/>
              <w:ind w:left="0" w:leftChars="0" w:right="0" w:rightChars="0" w:firstLine="0" w:firstLineChars="0"/>
              <w:jc w:val="center"/>
              <w:textAlignment w:val="auto"/>
              <w:rPr>
                <w:rFonts w:hint="default" w:ascii="Times New Roman" w:hAnsi="Times New Roman" w:eastAsia="宋体" w:cs="Times New Roman"/>
                <w:color w:val="000000"/>
                <w:spacing w:val="0"/>
                <w:w w:val="100"/>
                <w:position w:val="0"/>
                <w:sz w:val="21"/>
                <w:szCs w:val="21"/>
                <w:lang w:val="en-US" w:eastAsia="en-US" w:bidi="en-US"/>
              </w:rPr>
            </w:pPr>
            <w:r>
              <w:rPr>
                <w:rFonts w:hint="default" w:ascii="Times New Roman" w:hAnsi="Times New Roman" w:eastAsia="宋体" w:cs="Times New Roman"/>
                <w:color w:val="000000"/>
                <w:spacing w:val="0"/>
                <w:w w:val="100"/>
                <w:position w:val="0"/>
                <w:sz w:val="21"/>
                <w:szCs w:val="21"/>
                <w:highlight w:val="none"/>
                <w:lang w:val="en-US" w:eastAsia="en-US" w:bidi="en-US"/>
              </w:rPr>
              <w:t>HYJC-XC-0</w:t>
            </w:r>
            <w:r>
              <w:rPr>
                <w:rFonts w:hint="default" w:ascii="Times New Roman" w:hAnsi="Times New Roman" w:eastAsia="宋体" w:cs="Times New Roman"/>
                <w:color w:val="000000"/>
                <w:spacing w:val="0"/>
                <w:w w:val="100"/>
                <w:position w:val="0"/>
                <w:sz w:val="21"/>
                <w:szCs w:val="21"/>
                <w:highlight w:val="none"/>
                <w:lang w:val="en-US" w:eastAsia="zh-CN" w:bidi="en-US"/>
              </w:rPr>
              <w:t>46</w:t>
            </w:r>
          </w:p>
        </w:tc>
      </w:tr>
      <w:tr w14:paraId="191626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44" w:type="pct"/>
            <w:vMerge w:val="continue"/>
            <w:tcBorders>
              <w:tl2br w:val="nil"/>
              <w:tr2bl w:val="nil"/>
            </w:tcBorders>
            <w:noWrap w:val="0"/>
            <w:vAlign w:val="center"/>
          </w:tcPr>
          <w:p w14:paraId="2BDAA7A7">
            <w:pPr>
              <w:jc w:val="center"/>
              <w:rPr>
                <w:rFonts w:hint="default" w:ascii="Times New Roman" w:hAnsi="Times New Roman" w:eastAsia="宋体" w:cs="Times New Roman"/>
                <w:sz w:val="21"/>
                <w:szCs w:val="21"/>
              </w:rPr>
            </w:pPr>
          </w:p>
        </w:tc>
        <w:tc>
          <w:tcPr>
            <w:tcW w:w="497" w:type="pct"/>
            <w:vMerge w:val="continue"/>
            <w:tcBorders>
              <w:tl2br w:val="nil"/>
              <w:tr2bl w:val="nil"/>
            </w:tcBorders>
            <w:noWrap w:val="0"/>
            <w:vAlign w:val="center"/>
          </w:tcPr>
          <w:p w14:paraId="52C98371">
            <w:pPr>
              <w:jc w:val="center"/>
              <w:rPr>
                <w:rFonts w:hint="default" w:ascii="Times New Roman" w:hAnsi="Times New Roman" w:eastAsia="宋体" w:cs="Times New Roman"/>
                <w:sz w:val="21"/>
                <w:szCs w:val="21"/>
              </w:rPr>
            </w:pPr>
          </w:p>
        </w:tc>
        <w:tc>
          <w:tcPr>
            <w:tcW w:w="652" w:type="pct"/>
            <w:vMerge w:val="continue"/>
            <w:tcBorders>
              <w:tl2br w:val="nil"/>
              <w:tr2bl w:val="nil"/>
            </w:tcBorders>
            <w:noWrap w:val="0"/>
            <w:vAlign w:val="center"/>
          </w:tcPr>
          <w:p w14:paraId="7B39793E">
            <w:pPr>
              <w:widowControl/>
              <w:rPr>
                <w:rFonts w:hint="default" w:ascii="Times New Roman" w:hAnsi="Times New Roman" w:eastAsia="宋体" w:cs="Times New Roman"/>
                <w:sz w:val="21"/>
                <w:szCs w:val="21"/>
              </w:rPr>
            </w:pPr>
          </w:p>
        </w:tc>
        <w:tc>
          <w:tcPr>
            <w:tcW w:w="1672" w:type="pct"/>
            <w:vMerge w:val="continue"/>
            <w:tcBorders>
              <w:tl2br w:val="nil"/>
              <w:tr2bl w:val="nil"/>
            </w:tcBorders>
            <w:noWrap w:val="0"/>
            <w:vAlign w:val="center"/>
          </w:tcPr>
          <w:p w14:paraId="7CC6ACF5">
            <w:pPr>
              <w:widowControl/>
              <w:jc w:val="center"/>
              <w:rPr>
                <w:rFonts w:hint="default" w:ascii="Times New Roman" w:hAnsi="Times New Roman" w:eastAsia="宋体" w:cs="Times New Roman"/>
                <w:sz w:val="21"/>
                <w:szCs w:val="21"/>
              </w:rPr>
            </w:pPr>
          </w:p>
        </w:tc>
        <w:tc>
          <w:tcPr>
            <w:tcW w:w="1058" w:type="pct"/>
            <w:tcBorders>
              <w:tl2br w:val="nil"/>
              <w:tr2bl w:val="nil"/>
            </w:tcBorders>
            <w:noWrap w:val="0"/>
            <w:vAlign w:val="center"/>
          </w:tcPr>
          <w:p w14:paraId="7058E6B9">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sz w:val="21"/>
                <w:szCs w:val="21"/>
              </w:rPr>
            </w:pPr>
            <w:r>
              <w:rPr>
                <w:rFonts w:hint="default" w:ascii="Times New Roman" w:hAnsi="Times New Roman" w:eastAsia="宋体" w:cs="Times New Roman"/>
                <w:color w:val="auto"/>
                <w:sz w:val="21"/>
                <w:szCs w:val="21"/>
                <w:highlight w:val="none"/>
              </w:rPr>
              <w:t>气相色谱-质谱联用仪TRACE1300</w:t>
            </w:r>
          </w:p>
        </w:tc>
        <w:tc>
          <w:tcPr>
            <w:tcW w:w="775" w:type="pct"/>
            <w:tcBorders>
              <w:tl2br w:val="nil"/>
              <w:tr2bl w:val="nil"/>
            </w:tcBorders>
            <w:noWrap w:val="0"/>
            <w:vAlign w:val="center"/>
          </w:tcPr>
          <w:p w14:paraId="18D87E47">
            <w:pPr>
              <w:widowControl/>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b w:val="0"/>
                <w:bCs w:val="0"/>
                <w:color w:val="000000"/>
                <w:sz w:val="21"/>
                <w:szCs w:val="21"/>
                <w:highlight w:val="none"/>
              </w:rPr>
              <w:t>HYJC-LH-034</w:t>
            </w:r>
          </w:p>
        </w:tc>
      </w:tr>
    </w:tbl>
    <w:p w14:paraId="252E082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4、监测结果</w:t>
      </w:r>
    </w:p>
    <w:p w14:paraId="0CF4A71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eastAsiaTheme="minorEastAsia"/>
          <w:snapToGrid w:val="0"/>
          <w:color w:val="000000" w:themeColor="text1"/>
          <w:kern w:val="0"/>
          <w:sz w:val="24"/>
          <w:szCs w:val="24"/>
          <w:lang w:val="en-US" w:eastAsia="zh-CN" w:bidi="ar-SA"/>
          <w14:textFill>
            <w14:solidFill>
              <w14:schemeClr w14:val="tx1"/>
            </w14:solidFill>
          </w14:textFill>
        </w:rPr>
      </w:pPr>
      <w:r>
        <w:rPr>
          <w:rFonts w:hint="eastAsia" w:ascii="Times New Roman" w:hAnsi="Times New Roman" w:cs="Times New Roman" w:eastAsiaTheme="minorEastAsia"/>
          <w:snapToGrid w:val="0"/>
          <w:color w:val="000000" w:themeColor="text1"/>
          <w:kern w:val="0"/>
          <w:sz w:val="24"/>
          <w:szCs w:val="24"/>
          <w:lang w:val="en-US" w:eastAsia="zh-CN" w:bidi="ar-SA"/>
          <w14:textFill>
            <w14:solidFill>
              <w14:schemeClr w14:val="tx1"/>
            </w14:solidFill>
          </w14:textFill>
        </w:rPr>
        <w:t>环境空气检测结果见表4.2-4、表4.2-5。</w:t>
      </w:r>
    </w:p>
    <w:p w14:paraId="004A62F7">
      <w:pPr>
        <w:jc w:val="center"/>
        <w:rPr>
          <w:rFonts w:hint="default" w:ascii="Times New Roman" w:hAnsi="Times New Roman" w:eastAsia="宋体" w:cs="Times New Roman"/>
          <w:b/>
          <w:bCs/>
          <w:sz w:val="24"/>
          <w:lang w:eastAsia="zh-CN"/>
        </w:rPr>
      </w:pPr>
    </w:p>
    <w:p w14:paraId="2CBEB414">
      <w:pPr>
        <w:jc w:val="center"/>
        <w:rPr>
          <w:rFonts w:hint="default" w:ascii="Times New Roman" w:hAnsi="Times New Roman" w:eastAsia="宋体" w:cs="Times New Roman"/>
          <w:b/>
          <w:bCs/>
          <w:sz w:val="24"/>
          <w:lang w:eastAsia="zh-CN"/>
        </w:rPr>
      </w:pPr>
    </w:p>
    <w:p w14:paraId="0A217347">
      <w:pPr>
        <w:jc w:val="center"/>
        <w:rPr>
          <w:rFonts w:hint="default" w:ascii="Times New Roman" w:hAnsi="Times New Roman" w:eastAsia="宋体" w:cs="Times New Roman"/>
          <w:b/>
          <w:bCs/>
          <w:sz w:val="24"/>
          <w:lang w:eastAsia="zh-CN"/>
        </w:rPr>
      </w:pPr>
    </w:p>
    <w:p w14:paraId="3BADC48B">
      <w:pPr>
        <w:jc w:val="center"/>
        <w:rPr>
          <w:rFonts w:hint="default" w:ascii="Times New Roman" w:hAnsi="Times New Roman" w:cs="Times New Roman"/>
          <w:b/>
          <w:bCs/>
          <w:sz w:val="21"/>
          <w:szCs w:val="21"/>
          <w:vertAlign w:val="superscript"/>
          <w:lang w:val="en-US" w:eastAsia="zh-CN"/>
        </w:rPr>
      </w:pPr>
      <w:r>
        <w:rPr>
          <w:rFonts w:hint="default" w:ascii="Times New Roman" w:hAnsi="Times New Roman" w:eastAsia="宋体" w:cs="Times New Roman"/>
          <w:b/>
          <w:bCs/>
          <w:sz w:val="24"/>
          <w:lang w:eastAsia="zh-CN"/>
        </w:rPr>
        <w:t>表</w:t>
      </w:r>
      <w:r>
        <w:rPr>
          <w:rFonts w:hint="default" w:ascii="Times New Roman" w:hAnsi="Times New Roman" w:eastAsia="宋体" w:cs="Times New Roman"/>
          <w:b/>
          <w:bCs/>
          <w:sz w:val="24"/>
          <w:lang w:val="en-US" w:eastAsia="zh-CN"/>
        </w:rPr>
        <w:t>4</w:t>
      </w:r>
      <w:r>
        <w:rPr>
          <w:rFonts w:hint="eastAsia" w:ascii="Times New Roman" w:hAnsi="Times New Roman" w:eastAsia="宋体" w:cs="Times New Roman"/>
          <w:b/>
          <w:bCs/>
          <w:sz w:val="24"/>
          <w:lang w:val="en-US" w:eastAsia="zh-CN"/>
        </w:rPr>
        <w:t>.</w:t>
      </w:r>
      <w:r>
        <w:rPr>
          <w:rFonts w:hint="default" w:ascii="Times New Roman" w:hAnsi="Times New Roman" w:eastAsia="宋体" w:cs="Times New Roman"/>
          <w:b/>
          <w:bCs/>
          <w:sz w:val="24"/>
          <w:lang w:val="en-US" w:eastAsia="zh-CN"/>
        </w:rPr>
        <w:t>2</w:t>
      </w:r>
      <w:r>
        <w:rPr>
          <w:rFonts w:hint="eastAsia" w:ascii="Times New Roman" w:hAnsi="Times New Roman" w:eastAsia="宋体" w:cs="Times New Roman"/>
          <w:b/>
          <w:bCs/>
          <w:sz w:val="24"/>
          <w:lang w:val="en-US" w:eastAsia="zh-CN"/>
        </w:rPr>
        <w:t>-4</w:t>
      </w:r>
      <w:r>
        <w:rPr>
          <w:rFonts w:hint="default" w:ascii="Times New Roman" w:hAnsi="Times New Roman" w:eastAsia="宋体" w:cs="Times New Roman"/>
          <w:b/>
          <w:bCs/>
          <w:sz w:val="24"/>
          <w:lang w:val="en-US" w:eastAsia="zh-CN"/>
        </w:rPr>
        <w:t xml:space="preserve">   环境空气（小时均值）检测结果          </w:t>
      </w:r>
      <w:r>
        <w:rPr>
          <w:rFonts w:hint="default" w:ascii="Times New Roman" w:hAnsi="Times New Roman" w:cs="Times New Roman"/>
          <w:b/>
          <w:bCs/>
          <w:sz w:val="21"/>
          <w:szCs w:val="21"/>
          <w:vertAlign w:val="baseline"/>
          <w:lang w:val="en-US" w:eastAsia="zh-CN"/>
        </w:rPr>
        <w:t>单位：mg/m</w:t>
      </w:r>
      <w:r>
        <w:rPr>
          <w:rFonts w:hint="default" w:ascii="Times New Roman" w:hAnsi="Times New Roman" w:cs="Times New Roman"/>
          <w:b/>
          <w:bCs/>
          <w:sz w:val="21"/>
          <w:szCs w:val="21"/>
          <w:vertAlign w:val="superscript"/>
          <w:lang w:val="en-US" w:eastAsia="zh-CN"/>
        </w:rPr>
        <w:t>3</w:t>
      </w:r>
    </w:p>
    <w:tbl>
      <w:tblPr>
        <w:tblStyle w:val="23"/>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1"/>
        <w:gridCol w:w="642"/>
        <w:gridCol w:w="358"/>
        <w:gridCol w:w="958"/>
        <w:gridCol w:w="435"/>
        <w:gridCol w:w="958"/>
        <w:gridCol w:w="629"/>
        <w:gridCol w:w="435"/>
        <w:gridCol w:w="958"/>
        <w:gridCol w:w="429"/>
        <w:gridCol w:w="958"/>
        <w:gridCol w:w="435"/>
        <w:gridCol w:w="508"/>
        <w:gridCol w:w="508"/>
      </w:tblGrid>
      <w:tr w14:paraId="1236FE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144" w:type="pct"/>
            <w:tcBorders>
              <w:tl2br w:val="nil"/>
              <w:tr2bl w:val="nil"/>
            </w:tcBorders>
            <w:noWrap w:val="0"/>
            <w:vAlign w:val="center"/>
          </w:tcPr>
          <w:p w14:paraId="47A5E6B2">
            <w:pPr>
              <w:widowControl w:val="0"/>
              <w:bidi w:val="0"/>
              <w:jc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序号</w:t>
            </w:r>
          </w:p>
        </w:tc>
        <w:tc>
          <w:tcPr>
            <w:tcW w:w="238" w:type="pct"/>
            <w:tcBorders>
              <w:tl2br w:val="nil"/>
              <w:tr2bl w:val="nil"/>
            </w:tcBorders>
            <w:noWrap w:val="0"/>
            <w:vAlign w:val="center"/>
          </w:tcPr>
          <w:p w14:paraId="659156B9">
            <w:pPr>
              <w:widowControl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采样</w:t>
            </w:r>
            <w:r>
              <w:rPr>
                <w:rFonts w:hint="default" w:ascii="Times New Roman" w:hAnsi="Times New Roman" w:eastAsia="宋体" w:cs="Times New Roman"/>
                <w:kern w:val="2"/>
                <w:sz w:val="21"/>
                <w:szCs w:val="21"/>
                <w:highlight w:val="none"/>
                <w:lang w:val="en-US" w:eastAsia="zh-CN" w:bidi="ar-SA"/>
              </w:rPr>
              <w:t>日期</w:t>
            </w:r>
          </w:p>
        </w:tc>
        <w:tc>
          <w:tcPr>
            <w:tcW w:w="305" w:type="pct"/>
            <w:tcBorders>
              <w:tl2br w:val="nil"/>
              <w:tr2bl w:val="nil"/>
            </w:tcBorders>
            <w:noWrap w:val="0"/>
            <w:vAlign w:val="center"/>
          </w:tcPr>
          <w:p w14:paraId="4B86D2A4">
            <w:pPr>
              <w:widowControl w:val="0"/>
              <w:bidi w:val="0"/>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检测</w:t>
            </w:r>
          </w:p>
          <w:p w14:paraId="4D617E70">
            <w:pPr>
              <w:widowControl w:val="0"/>
              <w:bidi w:val="0"/>
              <w:jc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点位</w:t>
            </w:r>
          </w:p>
        </w:tc>
        <w:tc>
          <w:tcPr>
            <w:tcW w:w="460" w:type="pct"/>
            <w:tcBorders>
              <w:tl2br w:val="nil"/>
              <w:tr2bl w:val="nil"/>
            </w:tcBorders>
            <w:noWrap w:val="0"/>
            <w:vAlign w:val="center"/>
          </w:tcPr>
          <w:p w14:paraId="42684163">
            <w:pPr>
              <w:widowControl w:val="0"/>
              <w:bidi w:val="0"/>
              <w:jc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样品编号</w:t>
            </w:r>
          </w:p>
        </w:tc>
        <w:tc>
          <w:tcPr>
            <w:tcW w:w="337" w:type="pct"/>
            <w:tcBorders>
              <w:tl2br w:val="nil"/>
              <w:tr2bl w:val="nil"/>
            </w:tcBorders>
            <w:noWrap w:val="0"/>
            <w:vAlign w:val="center"/>
          </w:tcPr>
          <w:p w14:paraId="094E9995">
            <w:pPr>
              <w:widowControl w:val="0"/>
              <w:bidi w:val="0"/>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氨</w:t>
            </w:r>
          </w:p>
        </w:tc>
        <w:tc>
          <w:tcPr>
            <w:tcW w:w="462" w:type="pct"/>
            <w:tcBorders>
              <w:tl2br w:val="nil"/>
              <w:tr2bl w:val="nil"/>
            </w:tcBorders>
            <w:noWrap w:val="0"/>
            <w:vAlign w:val="center"/>
          </w:tcPr>
          <w:p w14:paraId="50FDDE80">
            <w:pPr>
              <w:widowControl w:val="0"/>
              <w:bidi w:val="0"/>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样品编号</w:t>
            </w:r>
          </w:p>
        </w:tc>
        <w:tc>
          <w:tcPr>
            <w:tcW w:w="391" w:type="pct"/>
            <w:tcBorders>
              <w:tl2br w:val="nil"/>
              <w:tr2bl w:val="nil"/>
            </w:tcBorders>
            <w:noWrap w:val="0"/>
            <w:vAlign w:val="center"/>
          </w:tcPr>
          <w:p w14:paraId="3F2770E6">
            <w:pPr>
              <w:widowControl w:val="0"/>
              <w:bidi w:val="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硫化氢</w:t>
            </w:r>
          </w:p>
        </w:tc>
        <w:tc>
          <w:tcPr>
            <w:tcW w:w="446" w:type="pct"/>
            <w:tcBorders>
              <w:tl2br w:val="nil"/>
              <w:tr2bl w:val="nil"/>
            </w:tcBorders>
            <w:noWrap w:val="0"/>
            <w:vAlign w:val="center"/>
          </w:tcPr>
          <w:p w14:paraId="1A58F1D1">
            <w:pPr>
              <w:widowControl w:val="0"/>
              <w:bidi w:val="0"/>
              <w:jc w:val="center"/>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非甲烷总烃</w:t>
            </w:r>
          </w:p>
        </w:tc>
        <w:tc>
          <w:tcPr>
            <w:tcW w:w="454" w:type="pct"/>
            <w:tcBorders>
              <w:tl2br w:val="nil"/>
              <w:tr2bl w:val="nil"/>
            </w:tcBorders>
            <w:noWrap w:val="0"/>
            <w:vAlign w:val="center"/>
          </w:tcPr>
          <w:p w14:paraId="0DDD8D0F">
            <w:pPr>
              <w:widowControl w:val="0"/>
              <w:bidi w:val="0"/>
              <w:jc w:val="center"/>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样品编号</w:t>
            </w:r>
          </w:p>
        </w:tc>
        <w:tc>
          <w:tcPr>
            <w:tcW w:w="372" w:type="pct"/>
            <w:tcBorders>
              <w:tl2br w:val="nil"/>
              <w:tr2bl w:val="nil"/>
            </w:tcBorders>
            <w:noWrap w:val="0"/>
            <w:vAlign w:val="center"/>
          </w:tcPr>
          <w:p w14:paraId="21707695">
            <w:pPr>
              <w:widowControl w:val="0"/>
              <w:bidi w:val="0"/>
              <w:jc w:val="center"/>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氮氧化物</w:t>
            </w:r>
          </w:p>
        </w:tc>
        <w:tc>
          <w:tcPr>
            <w:tcW w:w="454" w:type="pct"/>
            <w:tcBorders>
              <w:tl2br w:val="nil"/>
              <w:tr2bl w:val="nil"/>
            </w:tcBorders>
            <w:noWrap w:val="0"/>
            <w:vAlign w:val="center"/>
          </w:tcPr>
          <w:p w14:paraId="152835A2">
            <w:pPr>
              <w:widowControl w:val="0"/>
              <w:bidi w:val="0"/>
              <w:jc w:val="center"/>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cs="Times New Roman"/>
                <w:sz w:val="21"/>
                <w:szCs w:val="21"/>
                <w:highlight w:val="none"/>
                <w:vertAlign w:val="baseline"/>
                <w:lang w:val="en-US" w:eastAsia="zh-CN"/>
              </w:rPr>
              <w:t>样品编号</w:t>
            </w:r>
          </w:p>
        </w:tc>
        <w:tc>
          <w:tcPr>
            <w:tcW w:w="310" w:type="pct"/>
            <w:tcBorders>
              <w:tl2br w:val="nil"/>
              <w:tr2bl w:val="nil"/>
            </w:tcBorders>
            <w:noWrap w:val="0"/>
            <w:vAlign w:val="center"/>
          </w:tcPr>
          <w:p w14:paraId="7CD79ED9">
            <w:pPr>
              <w:widowControl w:val="0"/>
              <w:bidi w:val="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丙烯腈</w:t>
            </w:r>
          </w:p>
        </w:tc>
        <w:tc>
          <w:tcPr>
            <w:tcW w:w="310" w:type="pct"/>
            <w:tcBorders>
              <w:tl2br w:val="nil"/>
              <w:tr2bl w:val="nil"/>
            </w:tcBorders>
            <w:noWrap w:val="0"/>
            <w:vAlign w:val="center"/>
          </w:tcPr>
          <w:p w14:paraId="79AE18B9">
            <w:pPr>
              <w:widowControl w:val="0"/>
              <w:bidi w:val="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苯乙烯</w:t>
            </w:r>
          </w:p>
        </w:tc>
        <w:tc>
          <w:tcPr>
            <w:tcW w:w="310" w:type="pct"/>
            <w:tcBorders>
              <w:tl2br w:val="nil"/>
              <w:tr2bl w:val="nil"/>
            </w:tcBorders>
            <w:noWrap w:val="0"/>
            <w:vAlign w:val="center"/>
          </w:tcPr>
          <w:p w14:paraId="3144729F">
            <w:pPr>
              <w:widowControl w:val="0"/>
              <w:bidi w:val="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甲苯</w:t>
            </w:r>
          </w:p>
        </w:tc>
      </w:tr>
      <w:tr w14:paraId="4D7C64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44" w:type="pct"/>
            <w:tcBorders>
              <w:tl2br w:val="nil"/>
              <w:tr2bl w:val="nil"/>
            </w:tcBorders>
            <w:noWrap w:val="0"/>
            <w:vAlign w:val="center"/>
          </w:tcPr>
          <w:p w14:paraId="33F167A7">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restart"/>
            <w:tcBorders>
              <w:tl2br w:val="nil"/>
              <w:tr2bl w:val="nil"/>
            </w:tcBorders>
            <w:noWrap w:val="0"/>
            <w:vAlign w:val="center"/>
          </w:tcPr>
          <w:p w14:paraId="26FD139B">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202</w:t>
            </w:r>
            <w:r>
              <w:rPr>
                <w:rFonts w:hint="eastAsia" w:ascii="Times New Roman" w:hAnsi="Times New Roman" w:cs="Times New Roman"/>
                <w:sz w:val="21"/>
                <w:szCs w:val="21"/>
                <w:highlight w:val="none"/>
                <w:lang w:val="en-US" w:eastAsia="zh-CN"/>
              </w:rPr>
              <w:t>5.11.03</w:t>
            </w:r>
          </w:p>
        </w:tc>
        <w:tc>
          <w:tcPr>
            <w:tcW w:w="305" w:type="pct"/>
            <w:vMerge w:val="restart"/>
            <w:tcBorders>
              <w:tl2br w:val="nil"/>
              <w:tr2bl w:val="nil"/>
            </w:tcBorders>
            <w:noWrap w:val="0"/>
            <w:vAlign w:val="center"/>
          </w:tcPr>
          <w:p w14:paraId="077C16F0">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kern w:val="0"/>
                <w:sz w:val="21"/>
                <w:szCs w:val="21"/>
                <w:highlight w:val="none"/>
                <w:lang w:val="en-US" w:eastAsia="zh-CN"/>
              </w:rPr>
              <w:t>1#厂址下风向1</w:t>
            </w:r>
            <w:r>
              <w:rPr>
                <w:rFonts w:hint="eastAsia" w:ascii="宋体" w:hAnsi="宋体" w:eastAsia="宋体" w:cs="宋体"/>
                <w:kern w:val="0"/>
                <w:sz w:val="21"/>
                <w:szCs w:val="21"/>
                <w:highlight w:val="none"/>
                <w:lang w:val="en-US" w:eastAsia="zh-CN"/>
              </w:rPr>
              <w:t>○</w:t>
            </w:r>
          </w:p>
        </w:tc>
        <w:tc>
          <w:tcPr>
            <w:tcW w:w="460" w:type="pct"/>
            <w:tcBorders>
              <w:tl2br w:val="nil"/>
              <w:tr2bl w:val="nil"/>
            </w:tcBorders>
            <w:noWrap w:val="0"/>
            <w:vAlign w:val="center"/>
          </w:tcPr>
          <w:p w14:paraId="47EF6400">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WCG25110301001</w:t>
            </w:r>
          </w:p>
        </w:tc>
        <w:tc>
          <w:tcPr>
            <w:tcW w:w="337" w:type="pct"/>
            <w:tcBorders>
              <w:tl2br w:val="nil"/>
              <w:tr2bl w:val="nil"/>
            </w:tcBorders>
            <w:noWrap w:val="0"/>
            <w:vAlign w:val="center"/>
          </w:tcPr>
          <w:p w14:paraId="6F849410">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7EA525B5">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WCG2511030100</w:t>
            </w:r>
            <w:r>
              <w:rPr>
                <w:rFonts w:hint="eastAsia" w:ascii="Times New Roman" w:hAnsi="Times New Roman" w:eastAsia="宋体" w:cs="Times New Roman"/>
                <w:color w:val="000000"/>
                <w:sz w:val="21"/>
                <w:szCs w:val="21"/>
                <w:highlight w:val="none"/>
                <w:vertAlign w:val="baseline"/>
                <w:lang w:val="en-US" w:eastAsia="zh-CN"/>
              </w:rPr>
              <w:t>5</w:t>
            </w:r>
          </w:p>
        </w:tc>
        <w:tc>
          <w:tcPr>
            <w:tcW w:w="391" w:type="pct"/>
            <w:tcBorders>
              <w:tl2br w:val="nil"/>
              <w:tr2bl w:val="nil"/>
            </w:tcBorders>
            <w:noWrap w:val="0"/>
            <w:vAlign w:val="center"/>
          </w:tcPr>
          <w:p w14:paraId="7ACE04AF">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5B632AD0">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73C27B20">
            <w:pPr>
              <w:widowControl w:val="0"/>
              <w:spacing w:line="24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default" w:ascii="Times New Roman" w:hAnsi="Times New Roman" w:eastAsia="宋体" w:cs="Times New Roman"/>
                <w:color w:val="000000"/>
                <w:sz w:val="21"/>
                <w:szCs w:val="21"/>
                <w:highlight w:val="none"/>
                <w:vertAlign w:val="baseline"/>
                <w:lang w:val="en-US" w:eastAsia="zh-CN"/>
              </w:rPr>
              <w:t>WCG2511030100</w:t>
            </w:r>
            <w:r>
              <w:rPr>
                <w:rFonts w:hint="eastAsia" w:ascii="Times New Roman" w:hAnsi="Times New Roman" w:eastAsia="宋体" w:cs="Times New Roman"/>
                <w:color w:val="000000"/>
                <w:sz w:val="21"/>
                <w:szCs w:val="21"/>
                <w:highlight w:val="none"/>
                <w:vertAlign w:val="baseline"/>
                <w:lang w:val="en-US" w:eastAsia="zh-CN"/>
              </w:rPr>
              <w:t>9</w:t>
            </w:r>
          </w:p>
        </w:tc>
        <w:tc>
          <w:tcPr>
            <w:tcW w:w="372" w:type="pct"/>
            <w:tcBorders>
              <w:tl2br w:val="nil"/>
              <w:tr2bl w:val="nil"/>
            </w:tcBorders>
            <w:noWrap w:val="0"/>
            <w:vAlign w:val="center"/>
          </w:tcPr>
          <w:p w14:paraId="31FB2835">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Times New Roman" w:hAnsi="Times New Roman" w:eastAsia="宋体" w:cs="Times New Roman"/>
                <w:i w:val="0"/>
                <w:iCs w:val="0"/>
                <w:color w:val="000000"/>
                <w:kern w:val="0"/>
                <w:sz w:val="21"/>
                <w:szCs w:val="21"/>
                <w:u w:val="none"/>
                <w:lang w:val="en-US" w:eastAsia="zh-CN" w:bidi="ar"/>
              </w:rPr>
              <w:t>7</w:t>
            </w:r>
          </w:p>
        </w:tc>
        <w:tc>
          <w:tcPr>
            <w:tcW w:w="454" w:type="pct"/>
            <w:tcBorders>
              <w:tl2br w:val="nil"/>
              <w:tr2bl w:val="nil"/>
            </w:tcBorders>
            <w:noWrap w:val="0"/>
            <w:vAlign w:val="center"/>
          </w:tcPr>
          <w:p w14:paraId="5ADD6D17">
            <w:pPr>
              <w:widowControl w:val="0"/>
              <w:spacing w:line="24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13</w:t>
            </w:r>
          </w:p>
        </w:tc>
        <w:tc>
          <w:tcPr>
            <w:tcW w:w="310" w:type="pct"/>
            <w:tcBorders>
              <w:tl2br w:val="nil"/>
              <w:tr2bl w:val="nil"/>
            </w:tcBorders>
            <w:noWrap w:val="0"/>
            <w:vAlign w:val="center"/>
          </w:tcPr>
          <w:p w14:paraId="0CD00CE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02A163B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2D79612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29BDC5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2AF645A3">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45221E0E">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p>
        </w:tc>
        <w:tc>
          <w:tcPr>
            <w:tcW w:w="305" w:type="pct"/>
            <w:vMerge w:val="continue"/>
            <w:tcBorders>
              <w:tl2br w:val="nil"/>
              <w:tr2bl w:val="nil"/>
            </w:tcBorders>
            <w:noWrap w:val="0"/>
            <w:vAlign w:val="center"/>
          </w:tcPr>
          <w:p w14:paraId="60A711FF">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14105C35">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WCG2511030100</w:t>
            </w:r>
            <w:r>
              <w:rPr>
                <w:rFonts w:hint="default" w:ascii="Times New Roman" w:hAnsi="Times New Roman" w:eastAsia="宋体" w:cs="Times New Roman"/>
                <w:i w:val="0"/>
                <w:color w:val="000000"/>
                <w:kern w:val="0"/>
                <w:sz w:val="21"/>
                <w:szCs w:val="21"/>
                <w:highlight w:val="none"/>
                <w:u w:val="none"/>
                <w:lang w:val="en-US" w:eastAsia="zh-CN" w:bidi="ar"/>
              </w:rPr>
              <w:t>2</w:t>
            </w:r>
          </w:p>
        </w:tc>
        <w:tc>
          <w:tcPr>
            <w:tcW w:w="337" w:type="pct"/>
            <w:tcBorders>
              <w:tl2br w:val="nil"/>
              <w:tr2bl w:val="nil"/>
            </w:tcBorders>
            <w:noWrap w:val="0"/>
            <w:vAlign w:val="center"/>
          </w:tcPr>
          <w:p w14:paraId="43F2C8B5">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033AA7A9">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WCG2511030100</w:t>
            </w:r>
            <w:r>
              <w:rPr>
                <w:rFonts w:hint="eastAsia" w:ascii="Times New Roman" w:hAnsi="Times New Roman" w:eastAsia="宋体" w:cs="Times New Roman"/>
                <w:color w:val="000000"/>
                <w:sz w:val="21"/>
                <w:szCs w:val="21"/>
                <w:highlight w:val="none"/>
                <w:vertAlign w:val="baseline"/>
                <w:lang w:val="en-US" w:eastAsia="zh-CN"/>
              </w:rPr>
              <w:t>6</w:t>
            </w:r>
          </w:p>
        </w:tc>
        <w:tc>
          <w:tcPr>
            <w:tcW w:w="391" w:type="pct"/>
            <w:tcBorders>
              <w:tl2br w:val="nil"/>
              <w:tr2bl w:val="nil"/>
            </w:tcBorders>
            <w:noWrap w:val="0"/>
            <w:vAlign w:val="center"/>
          </w:tcPr>
          <w:p w14:paraId="1D48D973">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09588117">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18FEA538">
            <w:pPr>
              <w:widowControl w:val="0"/>
              <w:spacing w:line="24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10</w:t>
            </w:r>
          </w:p>
        </w:tc>
        <w:tc>
          <w:tcPr>
            <w:tcW w:w="372" w:type="pct"/>
            <w:tcBorders>
              <w:tl2br w:val="nil"/>
              <w:tr2bl w:val="nil"/>
            </w:tcBorders>
            <w:noWrap w:val="0"/>
            <w:vAlign w:val="center"/>
          </w:tcPr>
          <w:p w14:paraId="7C24B70A">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0.020</w:t>
            </w:r>
          </w:p>
        </w:tc>
        <w:tc>
          <w:tcPr>
            <w:tcW w:w="454" w:type="pct"/>
            <w:tcBorders>
              <w:tl2br w:val="nil"/>
              <w:tr2bl w:val="nil"/>
            </w:tcBorders>
            <w:noWrap w:val="0"/>
            <w:vAlign w:val="center"/>
          </w:tcPr>
          <w:p w14:paraId="46B76C60">
            <w:pPr>
              <w:widowControl w:val="0"/>
              <w:spacing w:line="24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14</w:t>
            </w:r>
          </w:p>
        </w:tc>
        <w:tc>
          <w:tcPr>
            <w:tcW w:w="310" w:type="pct"/>
            <w:tcBorders>
              <w:tl2br w:val="nil"/>
              <w:tr2bl w:val="nil"/>
            </w:tcBorders>
            <w:noWrap w:val="0"/>
            <w:vAlign w:val="center"/>
          </w:tcPr>
          <w:p w14:paraId="202460C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2412D2D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414F562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380AEB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6088A13D">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68091B88">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p>
        </w:tc>
        <w:tc>
          <w:tcPr>
            <w:tcW w:w="305" w:type="pct"/>
            <w:vMerge w:val="continue"/>
            <w:tcBorders>
              <w:tl2br w:val="nil"/>
              <w:tr2bl w:val="nil"/>
            </w:tcBorders>
            <w:noWrap w:val="0"/>
            <w:vAlign w:val="center"/>
          </w:tcPr>
          <w:p w14:paraId="26C160B4">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6E04EBAD">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WCG2511030100</w:t>
            </w:r>
            <w:r>
              <w:rPr>
                <w:rFonts w:hint="default" w:ascii="Times New Roman" w:hAnsi="Times New Roman" w:eastAsia="宋体" w:cs="Times New Roman"/>
                <w:i w:val="0"/>
                <w:color w:val="000000"/>
                <w:kern w:val="0"/>
                <w:sz w:val="21"/>
                <w:szCs w:val="21"/>
                <w:highlight w:val="none"/>
                <w:u w:val="none"/>
                <w:lang w:val="en-US" w:eastAsia="zh-CN" w:bidi="ar"/>
              </w:rPr>
              <w:t>3</w:t>
            </w:r>
          </w:p>
        </w:tc>
        <w:tc>
          <w:tcPr>
            <w:tcW w:w="337" w:type="pct"/>
            <w:tcBorders>
              <w:tl2br w:val="nil"/>
              <w:tr2bl w:val="nil"/>
            </w:tcBorders>
            <w:noWrap w:val="0"/>
            <w:vAlign w:val="center"/>
          </w:tcPr>
          <w:p w14:paraId="7857E5B2">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32803C59">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WCG2511030100</w:t>
            </w:r>
            <w:r>
              <w:rPr>
                <w:rFonts w:hint="eastAsia" w:ascii="Times New Roman" w:hAnsi="Times New Roman" w:eastAsia="宋体" w:cs="Times New Roman"/>
                <w:color w:val="000000"/>
                <w:sz w:val="21"/>
                <w:szCs w:val="21"/>
                <w:highlight w:val="none"/>
                <w:vertAlign w:val="baseline"/>
                <w:lang w:val="en-US" w:eastAsia="zh-CN"/>
              </w:rPr>
              <w:t>7</w:t>
            </w:r>
          </w:p>
        </w:tc>
        <w:tc>
          <w:tcPr>
            <w:tcW w:w="391" w:type="pct"/>
            <w:tcBorders>
              <w:tl2br w:val="nil"/>
              <w:tr2bl w:val="nil"/>
            </w:tcBorders>
            <w:noWrap w:val="0"/>
            <w:vAlign w:val="center"/>
          </w:tcPr>
          <w:p w14:paraId="34B4A0BA">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57B64936">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0D973100">
            <w:pPr>
              <w:widowControl w:val="0"/>
              <w:spacing w:line="24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11</w:t>
            </w:r>
          </w:p>
        </w:tc>
        <w:tc>
          <w:tcPr>
            <w:tcW w:w="372" w:type="pct"/>
            <w:tcBorders>
              <w:tl2br w:val="nil"/>
              <w:tr2bl w:val="nil"/>
            </w:tcBorders>
            <w:noWrap w:val="0"/>
            <w:vAlign w:val="center"/>
          </w:tcPr>
          <w:p w14:paraId="25720318">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0.024</w:t>
            </w:r>
          </w:p>
        </w:tc>
        <w:tc>
          <w:tcPr>
            <w:tcW w:w="454" w:type="pct"/>
            <w:tcBorders>
              <w:tl2br w:val="nil"/>
              <w:tr2bl w:val="nil"/>
            </w:tcBorders>
            <w:noWrap w:val="0"/>
            <w:vAlign w:val="center"/>
          </w:tcPr>
          <w:p w14:paraId="5D662178">
            <w:pPr>
              <w:widowControl w:val="0"/>
              <w:spacing w:line="24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15</w:t>
            </w:r>
          </w:p>
        </w:tc>
        <w:tc>
          <w:tcPr>
            <w:tcW w:w="310" w:type="pct"/>
            <w:tcBorders>
              <w:tl2br w:val="nil"/>
              <w:tr2bl w:val="nil"/>
            </w:tcBorders>
            <w:noWrap w:val="0"/>
            <w:vAlign w:val="center"/>
          </w:tcPr>
          <w:p w14:paraId="69AC053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4B4934B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5A336BA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017DF2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2FE4DC54">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620F68AF">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p>
        </w:tc>
        <w:tc>
          <w:tcPr>
            <w:tcW w:w="305" w:type="pct"/>
            <w:vMerge w:val="continue"/>
            <w:tcBorders>
              <w:tl2br w:val="nil"/>
              <w:tr2bl w:val="nil"/>
            </w:tcBorders>
            <w:noWrap w:val="0"/>
            <w:vAlign w:val="center"/>
          </w:tcPr>
          <w:p w14:paraId="7D063A7F">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1E785DBB">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WCG2511030100</w:t>
            </w:r>
            <w:r>
              <w:rPr>
                <w:rFonts w:hint="default" w:ascii="Times New Roman" w:hAnsi="Times New Roman" w:eastAsia="宋体" w:cs="Times New Roman"/>
                <w:i w:val="0"/>
                <w:color w:val="000000"/>
                <w:kern w:val="0"/>
                <w:sz w:val="21"/>
                <w:szCs w:val="21"/>
                <w:highlight w:val="none"/>
                <w:u w:val="none"/>
                <w:lang w:val="en-US" w:eastAsia="zh-CN" w:bidi="ar"/>
              </w:rPr>
              <w:t>4</w:t>
            </w:r>
          </w:p>
        </w:tc>
        <w:tc>
          <w:tcPr>
            <w:tcW w:w="337" w:type="pct"/>
            <w:tcBorders>
              <w:tl2br w:val="nil"/>
              <w:tr2bl w:val="nil"/>
            </w:tcBorders>
            <w:noWrap w:val="0"/>
            <w:vAlign w:val="center"/>
          </w:tcPr>
          <w:p w14:paraId="4BF1921F">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4EF6DCC5">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WCG2511030100</w:t>
            </w:r>
            <w:r>
              <w:rPr>
                <w:rFonts w:hint="eastAsia" w:ascii="Times New Roman" w:hAnsi="Times New Roman" w:eastAsia="宋体" w:cs="Times New Roman"/>
                <w:color w:val="000000"/>
                <w:sz w:val="21"/>
                <w:szCs w:val="21"/>
                <w:highlight w:val="none"/>
                <w:vertAlign w:val="baseline"/>
                <w:lang w:val="en-US" w:eastAsia="zh-CN"/>
              </w:rPr>
              <w:t>8</w:t>
            </w:r>
          </w:p>
        </w:tc>
        <w:tc>
          <w:tcPr>
            <w:tcW w:w="391" w:type="pct"/>
            <w:tcBorders>
              <w:tl2br w:val="nil"/>
              <w:tr2bl w:val="nil"/>
            </w:tcBorders>
            <w:noWrap w:val="0"/>
            <w:vAlign w:val="center"/>
          </w:tcPr>
          <w:p w14:paraId="0D22F194">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37B8DEA4">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339EC058">
            <w:pPr>
              <w:widowControl w:val="0"/>
              <w:spacing w:line="24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12</w:t>
            </w:r>
          </w:p>
        </w:tc>
        <w:tc>
          <w:tcPr>
            <w:tcW w:w="372" w:type="pct"/>
            <w:tcBorders>
              <w:tl2br w:val="nil"/>
              <w:tr2bl w:val="nil"/>
            </w:tcBorders>
            <w:noWrap w:val="0"/>
            <w:vAlign w:val="center"/>
          </w:tcPr>
          <w:p w14:paraId="1563C632">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0.018</w:t>
            </w:r>
          </w:p>
        </w:tc>
        <w:tc>
          <w:tcPr>
            <w:tcW w:w="454" w:type="pct"/>
            <w:tcBorders>
              <w:tl2br w:val="nil"/>
              <w:tr2bl w:val="nil"/>
            </w:tcBorders>
            <w:noWrap w:val="0"/>
            <w:vAlign w:val="center"/>
          </w:tcPr>
          <w:p w14:paraId="74765AAF">
            <w:pPr>
              <w:widowControl w:val="0"/>
              <w:spacing w:line="240" w:lineRule="auto"/>
              <w:jc w:val="center"/>
              <w:rPr>
                <w:rFonts w:hint="default" w:ascii="Times New Roman" w:hAnsi="Times New Roman" w:eastAsia="宋体" w:cs="Times New Roman"/>
                <w:color w:val="000000"/>
                <w:kern w:val="2"/>
                <w:sz w:val="21"/>
                <w:szCs w:val="21"/>
                <w:highlight w:val="none"/>
                <w:vertAlign w:val="baseline"/>
                <w:lang w:val="en-US" w:eastAsia="zh-CN" w:bidi="ar-SA"/>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16</w:t>
            </w:r>
          </w:p>
        </w:tc>
        <w:tc>
          <w:tcPr>
            <w:tcW w:w="310" w:type="pct"/>
            <w:tcBorders>
              <w:tl2br w:val="nil"/>
              <w:tr2bl w:val="nil"/>
            </w:tcBorders>
            <w:noWrap w:val="0"/>
            <w:vAlign w:val="center"/>
          </w:tcPr>
          <w:p w14:paraId="60D80B4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7BB22EA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758D063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4BC417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574ED41A">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restart"/>
            <w:tcBorders>
              <w:tl2br w:val="nil"/>
              <w:tr2bl w:val="nil"/>
            </w:tcBorders>
            <w:noWrap w:val="0"/>
            <w:vAlign w:val="center"/>
          </w:tcPr>
          <w:p w14:paraId="229A83B6">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2025.11.0</w:t>
            </w:r>
            <w:r>
              <w:rPr>
                <w:rFonts w:hint="eastAsia" w:ascii="Times New Roman" w:hAnsi="Times New Roman" w:cs="Times New Roman"/>
                <w:sz w:val="21"/>
                <w:szCs w:val="21"/>
                <w:highlight w:val="none"/>
                <w:lang w:val="en-US" w:eastAsia="zh-CN"/>
              </w:rPr>
              <w:t>4</w:t>
            </w:r>
          </w:p>
        </w:tc>
        <w:tc>
          <w:tcPr>
            <w:tcW w:w="305" w:type="pct"/>
            <w:vMerge w:val="restart"/>
            <w:tcBorders>
              <w:tl2br w:val="nil"/>
              <w:tr2bl w:val="nil"/>
            </w:tcBorders>
            <w:noWrap w:val="0"/>
            <w:vAlign w:val="center"/>
          </w:tcPr>
          <w:p w14:paraId="60D919FF">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kern w:val="0"/>
                <w:sz w:val="21"/>
                <w:szCs w:val="21"/>
                <w:highlight w:val="none"/>
                <w:lang w:val="en-US" w:eastAsia="zh-CN"/>
              </w:rPr>
              <w:t>1#厂址下风向</w:t>
            </w:r>
            <w:r>
              <w:rPr>
                <w:rFonts w:hint="default" w:ascii="Times New Roman" w:hAnsi="Times New Roman" w:eastAsia="宋体" w:cs="Times New Roman"/>
                <w:b w:val="0"/>
                <w:bCs w:val="0"/>
                <w:sz w:val="21"/>
                <w:szCs w:val="21"/>
                <w:highlight w:val="none"/>
                <w:lang w:val="en-US" w:eastAsia="zh-CN"/>
              </w:rPr>
              <w:t>1</w:t>
            </w:r>
            <w:r>
              <w:rPr>
                <w:rFonts w:hint="eastAsia" w:ascii="宋体" w:hAnsi="宋体" w:eastAsia="宋体" w:cs="宋体"/>
                <w:b w:val="0"/>
                <w:bCs w:val="0"/>
                <w:sz w:val="21"/>
                <w:szCs w:val="21"/>
                <w:highlight w:val="none"/>
                <w:lang w:val="en-US" w:eastAsia="zh-CN"/>
              </w:rPr>
              <w:t>○</w:t>
            </w:r>
          </w:p>
        </w:tc>
        <w:tc>
          <w:tcPr>
            <w:tcW w:w="460" w:type="pct"/>
            <w:tcBorders>
              <w:tl2br w:val="nil"/>
              <w:tr2bl w:val="nil"/>
            </w:tcBorders>
            <w:noWrap w:val="0"/>
            <w:vAlign w:val="center"/>
          </w:tcPr>
          <w:p w14:paraId="67912B64">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WCG25110401001</w:t>
            </w:r>
          </w:p>
        </w:tc>
        <w:tc>
          <w:tcPr>
            <w:tcW w:w="337" w:type="pct"/>
            <w:tcBorders>
              <w:tl2br w:val="nil"/>
              <w:tr2bl w:val="nil"/>
            </w:tcBorders>
            <w:noWrap w:val="0"/>
            <w:vAlign w:val="center"/>
          </w:tcPr>
          <w:p w14:paraId="181763FD">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706F0FEA">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4</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5</w:t>
            </w:r>
          </w:p>
        </w:tc>
        <w:tc>
          <w:tcPr>
            <w:tcW w:w="391" w:type="pct"/>
            <w:tcBorders>
              <w:tl2br w:val="nil"/>
              <w:tr2bl w:val="nil"/>
            </w:tcBorders>
            <w:noWrap w:val="0"/>
            <w:vAlign w:val="center"/>
          </w:tcPr>
          <w:p w14:paraId="492C697B">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137CF975">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67455B20">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4</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9</w:t>
            </w:r>
          </w:p>
        </w:tc>
        <w:tc>
          <w:tcPr>
            <w:tcW w:w="372" w:type="pct"/>
            <w:tcBorders>
              <w:tl2br w:val="nil"/>
              <w:tr2bl w:val="nil"/>
            </w:tcBorders>
            <w:noWrap w:val="0"/>
            <w:vAlign w:val="center"/>
          </w:tcPr>
          <w:p w14:paraId="125A0FB2">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0.016</w:t>
            </w:r>
          </w:p>
        </w:tc>
        <w:tc>
          <w:tcPr>
            <w:tcW w:w="454" w:type="pct"/>
            <w:tcBorders>
              <w:tl2br w:val="nil"/>
              <w:tr2bl w:val="nil"/>
            </w:tcBorders>
            <w:noWrap w:val="0"/>
            <w:vAlign w:val="center"/>
          </w:tcPr>
          <w:p w14:paraId="27FABA79">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4</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13</w:t>
            </w:r>
          </w:p>
        </w:tc>
        <w:tc>
          <w:tcPr>
            <w:tcW w:w="310" w:type="pct"/>
            <w:tcBorders>
              <w:tl2br w:val="nil"/>
              <w:tr2bl w:val="nil"/>
            </w:tcBorders>
            <w:noWrap w:val="0"/>
            <w:vAlign w:val="center"/>
          </w:tcPr>
          <w:p w14:paraId="5E79D76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102C66F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73EF032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34982E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756C7345">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28ABF32B">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p>
        </w:tc>
        <w:tc>
          <w:tcPr>
            <w:tcW w:w="305" w:type="pct"/>
            <w:vMerge w:val="continue"/>
            <w:tcBorders>
              <w:tl2br w:val="nil"/>
              <w:tr2bl w:val="nil"/>
            </w:tcBorders>
            <w:noWrap w:val="0"/>
            <w:vAlign w:val="center"/>
          </w:tcPr>
          <w:p w14:paraId="3760E8EF">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64E21DAE">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WCG2511040100</w:t>
            </w:r>
            <w:r>
              <w:rPr>
                <w:rFonts w:hint="default" w:ascii="Times New Roman" w:hAnsi="Times New Roman" w:eastAsia="宋体" w:cs="Times New Roman"/>
                <w:i w:val="0"/>
                <w:color w:val="000000"/>
                <w:kern w:val="0"/>
                <w:sz w:val="21"/>
                <w:szCs w:val="21"/>
                <w:highlight w:val="none"/>
                <w:u w:val="none"/>
                <w:lang w:val="en-US" w:eastAsia="zh-CN" w:bidi="ar"/>
              </w:rPr>
              <w:t>2</w:t>
            </w:r>
          </w:p>
        </w:tc>
        <w:tc>
          <w:tcPr>
            <w:tcW w:w="337" w:type="pct"/>
            <w:tcBorders>
              <w:tl2br w:val="nil"/>
              <w:tr2bl w:val="nil"/>
            </w:tcBorders>
            <w:noWrap w:val="0"/>
            <w:vAlign w:val="center"/>
          </w:tcPr>
          <w:p w14:paraId="558B4F6F">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5C6E4E2E">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4</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6</w:t>
            </w:r>
          </w:p>
        </w:tc>
        <w:tc>
          <w:tcPr>
            <w:tcW w:w="391" w:type="pct"/>
            <w:tcBorders>
              <w:tl2br w:val="nil"/>
              <w:tr2bl w:val="nil"/>
            </w:tcBorders>
            <w:noWrap w:val="0"/>
            <w:vAlign w:val="center"/>
          </w:tcPr>
          <w:p w14:paraId="39513140">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085514E7">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3E09A245">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4</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10</w:t>
            </w:r>
          </w:p>
        </w:tc>
        <w:tc>
          <w:tcPr>
            <w:tcW w:w="372" w:type="pct"/>
            <w:tcBorders>
              <w:tl2br w:val="nil"/>
              <w:tr2bl w:val="nil"/>
            </w:tcBorders>
            <w:noWrap w:val="0"/>
            <w:vAlign w:val="center"/>
          </w:tcPr>
          <w:p w14:paraId="7C2E2FA8">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0.028</w:t>
            </w:r>
          </w:p>
        </w:tc>
        <w:tc>
          <w:tcPr>
            <w:tcW w:w="454" w:type="pct"/>
            <w:tcBorders>
              <w:tl2br w:val="nil"/>
              <w:tr2bl w:val="nil"/>
            </w:tcBorders>
            <w:noWrap w:val="0"/>
            <w:vAlign w:val="center"/>
          </w:tcPr>
          <w:p w14:paraId="6DE03A13">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4</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14</w:t>
            </w:r>
          </w:p>
        </w:tc>
        <w:tc>
          <w:tcPr>
            <w:tcW w:w="310" w:type="pct"/>
            <w:tcBorders>
              <w:tl2br w:val="nil"/>
              <w:tr2bl w:val="nil"/>
            </w:tcBorders>
            <w:noWrap w:val="0"/>
            <w:vAlign w:val="center"/>
          </w:tcPr>
          <w:p w14:paraId="652144F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704EB14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6B629E0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0F128D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75DCAA3A">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02A07490">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p>
        </w:tc>
        <w:tc>
          <w:tcPr>
            <w:tcW w:w="305" w:type="pct"/>
            <w:vMerge w:val="continue"/>
            <w:tcBorders>
              <w:tl2br w:val="nil"/>
              <w:tr2bl w:val="nil"/>
            </w:tcBorders>
            <w:noWrap w:val="0"/>
            <w:vAlign w:val="center"/>
          </w:tcPr>
          <w:p w14:paraId="4FEC149B">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2846050C">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WCG2511040100</w:t>
            </w:r>
            <w:r>
              <w:rPr>
                <w:rFonts w:hint="default" w:ascii="Times New Roman" w:hAnsi="Times New Roman" w:eastAsia="宋体" w:cs="Times New Roman"/>
                <w:i w:val="0"/>
                <w:color w:val="000000"/>
                <w:kern w:val="0"/>
                <w:sz w:val="21"/>
                <w:szCs w:val="21"/>
                <w:highlight w:val="none"/>
                <w:u w:val="none"/>
                <w:lang w:val="en-US" w:eastAsia="zh-CN" w:bidi="ar"/>
              </w:rPr>
              <w:t>3</w:t>
            </w:r>
          </w:p>
        </w:tc>
        <w:tc>
          <w:tcPr>
            <w:tcW w:w="337" w:type="pct"/>
            <w:tcBorders>
              <w:tl2br w:val="nil"/>
              <w:tr2bl w:val="nil"/>
            </w:tcBorders>
            <w:noWrap w:val="0"/>
            <w:vAlign w:val="center"/>
          </w:tcPr>
          <w:p w14:paraId="7E8DB68A">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43E6F82A">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4</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7</w:t>
            </w:r>
          </w:p>
        </w:tc>
        <w:tc>
          <w:tcPr>
            <w:tcW w:w="391" w:type="pct"/>
            <w:tcBorders>
              <w:tl2br w:val="nil"/>
              <w:tr2bl w:val="nil"/>
            </w:tcBorders>
            <w:noWrap w:val="0"/>
            <w:vAlign w:val="center"/>
          </w:tcPr>
          <w:p w14:paraId="0EC97B3B">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7E25582F">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73EF4011">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4</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11</w:t>
            </w:r>
          </w:p>
        </w:tc>
        <w:tc>
          <w:tcPr>
            <w:tcW w:w="372" w:type="pct"/>
            <w:tcBorders>
              <w:tl2br w:val="nil"/>
              <w:tr2bl w:val="nil"/>
            </w:tcBorders>
            <w:noWrap w:val="0"/>
            <w:vAlign w:val="center"/>
          </w:tcPr>
          <w:p w14:paraId="1774AE65">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0.016</w:t>
            </w:r>
          </w:p>
        </w:tc>
        <w:tc>
          <w:tcPr>
            <w:tcW w:w="454" w:type="pct"/>
            <w:tcBorders>
              <w:tl2br w:val="nil"/>
              <w:tr2bl w:val="nil"/>
            </w:tcBorders>
            <w:noWrap w:val="0"/>
            <w:vAlign w:val="center"/>
          </w:tcPr>
          <w:p w14:paraId="46E403A0">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4</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15</w:t>
            </w:r>
          </w:p>
        </w:tc>
        <w:tc>
          <w:tcPr>
            <w:tcW w:w="310" w:type="pct"/>
            <w:tcBorders>
              <w:tl2br w:val="nil"/>
              <w:tr2bl w:val="nil"/>
            </w:tcBorders>
            <w:noWrap w:val="0"/>
            <w:vAlign w:val="center"/>
          </w:tcPr>
          <w:p w14:paraId="621769F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634F4D2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451C54A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0FF071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346E073E">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5C83629C">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p>
        </w:tc>
        <w:tc>
          <w:tcPr>
            <w:tcW w:w="305" w:type="pct"/>
            <w:vMerge w:val="continue"/>
            <w:tcBorders>
              <w:tl2br w:val="nil"/>
              <w:tr2bl w:val="nil"/>
            </w:tcBorders>
            <w:noWrap w:val="0"/>
            <w:vAlign w:val="center"/>
          </w:tcPr>
          <w:p w14:paraId="0352C96C">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277DC672">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WCG2511040100</w:t>
            </w:r>
            <w:r>
              <w:rPr>
                <w:rFonts w:hint="default" w:ascii="Times New Roman" w:hAnsi="Times New Roman" w:eastAsia="宋体" w:cs="Times New Roman"/>
                <w:i w:val="0"/>
                <w:color w:val="000000"/>
                <w:kern w:val="0"/>
                <w:sz w:val="21"/>
                <w:szCs w:val="21"/>
                <w:highlight w:val="none"/>
                <w:u w:val="none"/>
                <w:lang w:val="en-US" w:eastAsia="zh-CN" w:bidi="ar"/>
              </w:rPr>
              <w:t>4</w:t>
            </w:r>
          </w:p>
        </w:tc>
        <w:tc>
          <w:tcPr>
            <w:tcW w:w="337" w:type="pct"/>
            <w:tcBorders>
              <w:tl2br w:val="nil"/>
              <w:tr2bl w:val="nil"/>
            </w:tcBorders>
            <w:noWrap w:val="0"/>
            <w:vAlign w:val="center"/>
          </w:tcPr>
          <w:p w14:paraId="6B056BB9">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7836D304">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4</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8</w:t>
            </w:r>
          </w:p>
        </w:tc>
        <w:tc>
          <w:tcPr>
            <w:tcW w:w="391" w:type="pct"/>
            <w:tcBorders>
              <w:tl2br w:val="nil"/>
              <w:tr2bl w:val="nil"/>
            </w:tcBorders>
            <w:noWrap w:val="0"/>
            <w:vAlign w:val="center"/>
          </w:tcPr>
          <w:p w14:paraId="26285262">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32F3B791">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624B0506">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4</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12</w:t>
            </w:r>
          </w:p>
        </w:tc>
        <w:tc>
          <w:tcPr>
            <w:tcW w:w="372" w:type="pct"/>
            <w:tcBorders>
              <w:tl2br w:val="nil"/>
              <w:tr2bl w:val="nil"/>
            </w:tcBorders>
            <w:noWrap w:val="0"/>
            <w:vAlign w:val="center"/>
          </w:tcPr>
          <w:p w14:paraId="0AF369C2">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0.048</w:t>
            </w:r>
          </w:p>
        </w:tc>
        <w:tc>
          <w:tcPr>
            <w:tcW w:w="454" w:type="pct"/>
            <w:tcBorders>
              <w:tl2br w:val="nil"/>
              <w:tr2bl w:val="nil"/>
            </w:tcBorders>
            <w:noWrap w:val="0"/>
            <w:vAlign w:val="center"/>
          </w:tcPr>
          <w:p w14:paraId="231AC01F">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4</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16</w:t>
            </w:r>
          </w:p>
        </w:tc>
        <w:tc>
          <w:tcPr>
            <w:tcW w:w="310" w:type="pct"/>
            <w:tcBorders>
              <w:tl2br w:val="nil"/>
              <w:tr2bl w:val="nil"/>
            </w:tcBorders>
            <w:noWrap w:val="0"/>
            <w:vAlign w:val="center"/>
          </w:tcPr>
          <w:p w14:paraId="4E9FB7C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52F386A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41E0915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38CEC0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7BA9B2C1">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restart"/>
            <w:tcBorders>
              <w:tl2br w:val="nil"/>
              <w:tr2bl w:val="nil"/>
            </w:tcBorders>
            <w:noWrap w:val="0"/>
            <w:vAlign w:val="center"/>
          </w:tcPr>
          <w:p w14:paraId="56179DAB">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2025.11.0</w:t>
            </w:r>
            <w:r>
              <w:rPr>
                <w:rFonts w:hint="eastAsia" w:ascii="Times New Roman" w:hAnsi="Times New Roman" w:cs="Times New Roman"/>
                <w:sz w:val="21"/>
                <w:szCs w:val="21"/>
                <w:highlight w:val="none"/>
                <w:lang w:val="en-US" w:eastAsia="zh-CN"/>
              </w:rPr>
              <w:t>5</w:t>
            </w:r>
          </w:p>
        </w:tc>
        <w:tc>
          <w:tcPr>
            <w:tcW w:w="305" w:type="pct"/>
            <w:vMerge w:val="restart"/>
            <w:tcBorders>
              <w:tl2br w:val="nil"/>
              <w:tr2bl w:val="nil"/>
            </w:tcBorders>
            <w:noWrap w:val="0"/>
            <w:vAlign w:val="center"/>
          </w:tcPr>
          <w:p w14:paraId="19B64961">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kern w:val="0"/>
                <w:sz w:val="21"/>
                <w:szCs w:val="21"/>
                <w:highlight w:val="none"/>
                <w:lang w:val="en-US" w:eastAsia="zh-CN"/>
              </w:rPr>
              <w:t>1#厂址下风向</w:t>
            </w:r>
            <w:r>
              <w:rPr>
                <w:rFonts w:hint="default" w:ascii="Times New Roman" w:hAnsi="Times New Roman" w:eastAsia="宋体" w:cs="Times New Roman"/>
                <w:b w:val="0"/>
                <w:bCs w:val="0"/>
                <w:sz w:val="21"/>
                <w:szCs w:val="21"/>
                <w:highlight w:val="none"/>
                <w:lang w:val="en-US" w:eastAsia="zh-CN"/>
              </w:rPr>
              <w:t>1</w:t>
            </w:r>
            <w:r>
              <w:rPr>
                <w:rFonts w:hint="eastAsia" w:ascii="宋体" w:hAnsi="宋体" w:eastAsia="宋体" w:cs="宋体"/>
                <w:b w:val="0"/>
                <w:bCs w:val="0"/>
                <w:sz w:val="21"/>
                <w:szCs w:val="21"/>
                <w:highlight w:val="none"/>
                <w:lang w:val="en-US" w:eastAsia="zh-CN"/>
              </w:rPr>
              <w:t>○</w:t>
            </w:r>
          </w:p>
        </w:tc>
        <w:tc>
          <w:tcPr>
            <w:tcW w:w="460" w:type="pct"/>
            <w:tcBorders>
              <w:tl2br w:val="nil"/>
              <w:tr2bl w:val="nil"/>
            </w:tcBorders>
            <w:noWrap w:val="0"/>
            <w:vAlign w:val="center"/>
          </w:tcPr>
          <w:p w14:paraId="7E260B2B">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WCG25110501001</w:t>
            </w:r>
          </w:p>
        </w:tc>
        <w:tc>
          <w:tcPr>
            <w:tcW w:w="337" w:type="pct"/>
            <w:tcBorders>
              <w:tl2br w:val="nil"/>
              <w:tr2bl w:val="nil"/>
            </w:tcBorders>
            <w:noWrap w:val="0"/>
            <w:vAlign w:val="center"/>
          </w:tcPr>
          <w:p w14:paraId="14F7964B">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28A78345">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5</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5</w:t>
            </w:r>
          </w:p>
        </w:tc>
        <w:tc>
          <w:tcPr>
            <w:tcW w:w="391" w:type="pct"/>
            <w:tcBorders>
              <w:tl2br w:val="nil"/>
              <w:tr2bl w:val="nil"/>
            </w:tcBorders>
            <w:noWrap w:val="0"/>
            <w:vAlign w:val="center"/>
          </w:tcPr>
          <w:p w14:paraId="187EA9A7">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148F0BD0">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284B469F">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5</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9</w:t>
            </w:r>
          </w:p>
        </w:tc>
        <w:tc>
          <w:tcPr>
            <w:tcW w:w="372" w:type="pct"/>
            <w:tcBorders>
              <w:tl2br w:val="nil"/>
              <w:tr2bl w:val="nil"/>
            </w:tcBorders>
            <w:noWrap w:val="0"/>
            <w:vAlign w:val="center"/>
          </w:tcPr>
          <w:p w14:paraId="304C421E">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0.051</w:t>
            </w:r>
          </w:p>
        </w:tc>
        <w:tc>
          <w:tcPr>
            <w:tcW w:w="454" w:type="pct"/>
            <w:tcBorders>
              <w:tl2br w:val="nil"/>
              <w:tr2bl w:val="nil"/>
            </w:tcBorders>
            <w:noWrap w:val="0"/>
            <w:vAlign w:val="center"/>
          </w:tcPr>
          <w:p w14:paraId="702830A0">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5</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13</w:t>
            </w:r>
          </w:p>
        </w:tc>
        <w:tc>
          <w:tcPr>
            <w:tcW w:w="310" w:type="pct"/>
            <w:tcBorders>
              <w:tl2br w:val="nil"/>
              <w:tr2bl w:val="nil"/>
            </w:tcBorders>
            <w:noWrap w:val="0"/>
            <w:vAlign w:val="center"/>
          </w:tcPr>
          <w:p w14:paraId="2DBCC33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62AB26B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084650C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139792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23D05874">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3F267E4E">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p>
        </w:tc>
        <w:tc>
          <w:tcPr>
            <w:tcW w:w="305" w:type="pct"/>
            <w:vMerge w:val="continue"/>
            <w:tcBorders>
              <w:tl2br w:val="nil"/>
              <w:tr2bl w:val="nil"/>
            </w:tcBorders>
            <w:noWrap w:val="0"/>
            <w:vAlign w:val="center"/>
          </w:tcPr>
          <w:p w14:paraId="41F72ABD">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411C3BE7">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WCG2511050100</w:t>
            </w:r>
            <w:r>
              <w:rPr>
                <w:rFonts w:hint="default" w:ascii="Times New Roman" w:hAnsi="Times New Roman" w:eastAsia="宋体" w:cs="Times New Roman"/>
                <w:i w:val="0"/>
                <w:color w:val="000000"/>
                <w:kern w:val="0"/>
                <w:sz w:val="21"/>
                <w:szCs w:val="21"/>
                <w:highlight w:val="none"/>
                <w:u w:val="none"/>
                <w:lang w:val="en-US" w:eastAsia="zh-CN" w:bidi="ar"/>
              </w:rPr>
              <w:t>2</w:t>
            </w:r>
          </w:p>
        </w:tc>
        <w:tc>
          <w:tcPr>
            <w:tcW w:w="337" w:type="pct"/>
            <w:tcBorders>
              <w:tl2br w:val="nil"/>
              <w:tr2bl w:val="nil"/>
            </w:tcBorders>
            <w:noWrap w:val="0"/>
            <w:vAlign w:val="center"/>
          </w:tcPr>
          <w:p w14:paraId="684447F7">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10C25D27">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5</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6</w:t>
            </w:r>
          </w:p>
        </w:tc>
        <w:tc>
          <w:tcPr>
            <w:tcW w:w="391" w:type="pct"/>
            <w:tcBorders>
              <w:tl2br w:val="nil"/>
              <w:tr2bl w:val="nil"/>
            </w:tcBorders>
            <w:noWrap w:val="0"/>
            <w:vAlign w:val="center"/>
          </w:tcPr>
          <w:p w14:paraId="1A753E5C">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26DA6636">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2A90DA9D">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5</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10</w:t>
            </w:r>
          </w:p>
        </w:tc>
        <w:tc>
          <w:tcPr>
            <w:tcW w:w="372" w:type="pct"/>
            <w:tcBorders>
              <w:tl2br w:val="nil"/>
              <w:tr2bl w:val="nil"/>
            </w:tcBorders>
            <w:noWrap w:val="0"/>
            <w:vAlign w:val="center"/>
          </w:tcPr>
          <w:p w14:paraId="10E498DF">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0.031</w:t>
            </w:r>
          </w:p>
        </w:tc>
        <w:tc>
          <w:tcPr>
            <w:tcW w:w="454" w:type="pct"/>
            <w:tcBorders>
              <w:tl2br w:val="nil"/>
              <w:tr2bl w:val="nil"/>
            </w:tcBorders>
            <w:noWrap w:val="0"/>
            <w:vAlign w:val="center"/>
          </w:tcPr>
          <w:p w14:paraId="248D2670">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5</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14</w:t>
            </w:r>
          </w:p>
        </w:tc>
        <w:tc>
          <w:tcPr>
            <w:tcW w:w="310" w:type="pct"/>
            <w:tcBorders>
              <w:tl2br w:val="nil"/>
              <w:tr2bl w:val="nil"/>
            </w:tcBorders>
            <w:noWrap w:val="0"/>
            <w:vAlign w:val="center"/>
          </w:tcPr>
          <w:p w14:paraId="2717965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1168AF8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48822E4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2D6EF2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14B2E9F9">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3DAE9101">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p>
        </w:tc>
        <w:tc>
          <w:tcPr>
            <w:tcW w:w="305" w:type="pct"/>
            <w:vMerge w:val="continue"/>
            <w:tcBorders>
              <w:tl2br w:val="nil"/>
              <w:tr2bl w:val="nil"/>
            </w:tcBorders>
            <w:noWrap w:val="0"/>
            <w:vAlign w:val="center"/>
          </w:tcPr>
          <w:p w14:paraId="63820266">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1F9B8217">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WCG2511050100</w:t>
            </w:r>
            <w:r>
              <w:rPr>
                <w:rFonts w:hint="default" w:ascii="Times New Roman" w:hAnsi="Times New Roman" w:eastAsia="宋体" w:cs="Times New Roman"/>
                <w:i w:val="0"/>
                <w:color w:val="000000"/>
                <w:kern w:val="0"/>
                <w:sz w:val="21"/>
                <w:szCs w:val="21"/>
                <w:highlight w:val="none"/>
                <w:u w:val="none"/>
                <w:lang w:val="en-US" w:eastAsia="zh-CN" w:bidi="ar"/>
              </w:rPr>
              <w:t>3</w:t>
            </w:r>
          </w:p>
        </w:tc>
        <w:tc>
          <w:tcPr>
            <w:tcW w:w="337" w:type="pct"/>
            <w:tcBorders>
              <w:tl2br w:val="nil"/>
              <w:tr2bl w:val="nil"/>
            </w:tcBorders>
            <w:noWrap w:val="0"/>
            <w:vAlign w:val="center"/>
          </w:tcPr>
          <w:p w14:paraId="164F569B">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4E4AFBDC">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5</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7</w:t>
            </w:r>
          </w:p>
        </w:tc>
        <w:tc>
          <w:tcPr>
            <w:tcW w:w="391" w:type="pct"/>
            <w:tcBorders>
              <w:tl2br w:val="nil"/>
              <w:tr2bl w:val="nil"/>
            </w:tcBorders>
            <w:noWrap w:val="0"/>
            <w:vAlign w:val="center"/>
          </w:tcPr>
          <w:p w14:paraId="6A4FFD23">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34F819C2">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6BE77FCE">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5</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11</w:t>
            </w:r>
          </w:p>
        </w:tc>
        <w:tc>
          <w:tcPr>
            <w:tcW w:w="372" w:type="pct"/>
            <w:tcBorders>
              <w:tl2br w:val="nil"/>
              <w:tr2bl w:val="nil"/>
            </w:tcBorders>
            <w:noWrap w:val="0"/>
            <w:vAlign w:val="center"/>
          </w:tcPr>
          <w:p w14:paraId="1084374C">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0.035</w:t>
            </w:r>
          </w:p>
        </w:tc>
        <w:tc>
          <w:tcPr>
            <w:tcW w:w="454" w:type="pct"/>
            <w:tcBorders>
              <w:tl2br w:val="nil"/>
              <w:tr2bl w:val="nil"/>
            </w:tcBorders>
            <w:noWrap w:val="0"/>
            <w:vAlign w:val="center"/>
          </w:tcPr>
          <w:p w14:paraId="5EED56FA">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5</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15</w:t>
            </w:r>
          </w:p>
        </w:tc>
        <w:tc>
          <w:tcPr>
            <w:tcW w:w="310" w:type="pct"/>
            <w:tcBorders>
              <w:tl2br w:val="nil"/>
              <w:tr2bl w:val="nil"/>
            </w:tcBorders>
            <w:noWrap w:val="0"/>
            <w:vAlign w:val="center"/>
          </w:tcPr>
          <w:p w14:paraId="65F173A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73849F2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3BF0B67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11696F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3D6F5E19">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67EE39BD">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p>
        </w:tc>
        <w:tc>
          <w:tcPr>
            <w:tcW w:w="305" w:type="pct"/>
            <w:vMerge w:val="continue"/>
            <w:tcBorders>
              <w:tl2br w:val="nil"/>
              <w:tr2bl w:val="nil"/>
            </w:tcBorders>
            <w:noWrap w:val="0"/>
            <w:vAlign w:val="center"/>
          </w:tcPr>
          <w:p w14:paraId="4CC4CAC7">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6B275DF8">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WCG2511050100</w:t>
            </w:r>
            <w:r>
              <w:rPr>
                <w:rFonts w:hint="default" w:ascii="Times New Roman" w:hAnsi="Times New Roman" w:eastAsia="宋体" w:cs="Times New Roman"/>
                <w:i w:val="0"/>
                <w:color w:val="000000"/>
                <w:kern w:val="0"/>
                <w:sz w:val="21"/>
                <w:szCs w:val="21"/>
                <w:highlight w:val="none"/>
                <w:u w:val="none"/>
                <w:lang w:val="en-US" w:eastAsia="zh-CN" w:bidi="ar"/>
              </w:rPr>
              <w:t>4</w:t>
            </w:r>
          </w:p>
        </w:tc>
        <w:tc>
          <w:tcPr>
            <w:tcW w:w="337" w:type="pct"/>
            <w:tcBorders>
              <w:tl2br w:val="nil"/>
              <w:tr2bl w:val="nil"/>
            </w:tcBorders>
            <w:noWrap w:val="0"/>
            <w:vAlign w:val="center"/>
          </w:tcPr>
          <w:p w14:paraId="6D7B2CBA">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7BAF0CB0">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5</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8</w:t>
            </w:r>
          </w:p>
        </w:tc>
        <w:tc>
          <w:tcPr>
            <w:tcW w:w="391" w:type="pct"/>
            <w:tcBorders>
              <w:tl2br w:val="nil"/>
              <w:tr2bl w:val="nil"/>
            </w:tcBorders>
            <w:noWrap w:val="0"/>
            <w:vAlign w:val="center"/>
          </w:tcPr>
          <w:p w14:paraId="53A71EE3">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6F6EE9A5">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39CFE586">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5</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12</w:t>
            </w:r>
          </w:p>
        </w:tc>
        <w:tc>
          <w:tcPr>
            <w:tcW w:w="372" w:type="pct"/>
            <w:tcBorders>
              <w:tl2br w:val="nil"/>
              <w:tr2bl w:val="nil"/>
            </w:tcBorders>
            <w:noWrap w:val="0"/>
            <w:vAlign w:val="center"/>
          </w:tcPr>
          <w:p w14:paraId="3DE48815">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0.033</w:t>
            </w:r>
          </w:p>
        </w:tc>
        <w:tc>
          <w:tcPr>
            <w:tcW w:w="454" w:type="pct"/>
            <w:tcBorders>
              <w:tl2br w:val="nil"/>
              <w:tr2bl w:val="nil"/>
            </w:tcBorders>
            <w:noWrap w:val="0"/>
            <w:vAlign w:val="center"/>
          </w:tcPr>
          <w:p w14:paraId="526E40F5">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5</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16</w:t>
            </w:r>
          </w:p>
        </w:tc>
        <w:tc>
          <w:tcPr>
            <w:tcW w:w="310" w:type="pct"/>
            <w:tcBorders>
              <w:tl2br w:val="nil"/>
              <w:tr2bl w:val="nil"/>
            </w:tcBorders>
            <w:noWrap w:val="0"/>
            <w:vAlign w:val="center"/>
          </w:tcPr>
          <w:p w14:paraId="237D97A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683114D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2D4BC20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1D17D9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34241EE2">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restart"/>
            <w:tcBorders>
              <w:tl2br w:val="nil"/>
              <w:tr2bl w:val="nil"/>
            </w:tcBorders>
            <w:noWrap w:val="0"/>
            <w:vAlign w:val="center"/>
          </w:tcPr>
          <w:p w14:paraId="69C1A3C5">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2025.11.0</w:t>
            </w:r>
            <w:r>
              <w:rPr>
                <w:rFonts w:hint="eastAsia" w:ascii="Times New Roman" w:hAnsi="Times New Roman" w:cs="Times New Roman"/>
                <w:sz w:val="21"/>
                <w:szCs w:val="21"/>
                <w:highlight w:val="none"/>
                <w:lang w:val="en-US" w:eastAsia="zh-CN"/>
              </w:rPr>
              <w:t>6</w:t>
            </w:r>
          </w:p>
        </w:tc>
        <w:tc>
          <w:tcPr>
            <w:tcW w:w="305" w:type="pct"/>
            <w:vMerge w:val="restart"/>
            <w:tcBorders>
              <w:tl2br w:val="nil"/>
              <w:tr2bl w:val="nil"/>
            </w:tcBorders>
            <w:noWrap w:val="0"/>
            <w:vAlign w:val="center"/>
          </w:tcPr>
          <w:p w14:paraId="34961D7A">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kern w:val="0"/>
                <w:sz w:val="21"/>
                <w:szCs w:val="21"/>
                <w:highlight w:val="none"/>
                <w:lang w:val="en-US" w:eastAsia="zh-CN"/>
              </w:rPr>
              <w:t>1#厂址下风向</w:t>
            </w:r>
            <w:r>
              <w:rPr>
                <w:rFonts w:hint="default" w:ascii="Times New Roman" w:hAnsi="Times New Roman" w:eastAsia="宋体" w:cs="Times New Roman"/>
                <w:b w:val="0"/>
                <w:bCs w:val="0"/>
                <w:sz w:val="21"/>
                <w:szCs w:val="21"/>
                <w:highlight w:val="none"/>
                <w:lang w:val="en-US" w:eastAsia="zh-CN"/>
              </w:rPr>
              <w:t>1</w:t>
            </w:r>
            <w:r>
              <w:rPr>
                <w:rFonts w:hint="eastAsia" w:ascii="宋体" w:hAnsi="宋体" w:eastAsia="宋体" w:cs="宋体"/>
                <w:b w:val="0"/>
                <w:bCs w:val="0"/>
                <w:sz w:val="21"/>
                <w:szCs w:val="21"/>
                <w:highlight w:val="none"/>
                <w:lang w:val="en-US" w:eastAsia="zh-CN"/>
              </w:rPr>
              <w:t>○</w:t>
            </w:r>
          </w:p>
        </w:tc>
        <w:tc>
          <w:tcPr>
            <w:tcW w:w="460" w:type="pct"/>
            <w:tcBorders>
              <w:tl2br w:val="nil"/>
              <w:tr2bl w:val="nil"/>
            </w:tcBorders>
            <w:noWrap w:val="0"/>
            <w:vAlign w:val="center"/>
          </w:tcPr>
          <w:p w14:paraId="64DEED27">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WCG25110601001</w:t>
            </w:r>
          </w:p>
        </w:tc>
        <w:tc>
          <w:tcPr>
            <w:tcW w:w="337" w:type="pct"/>
            <w:tcBorders>
              <w:tl2br w:val="nil"/>
              <w:tr2bl w:val="nil"/>
            </w:tcBorders>
            <w:noWrap w:val="0"/>
            <w:vAlign w:val="center"/>
          </w:tcPr>
          <w:p w14:paraId="50144B17">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155D8898">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6</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5</w:t>
            </w:r>
          </w:p>
        </w:tc>
        <w:tc>
          <w:tcPr>
            <w:tcW w:w="391" w:type="pct"/>
            <w:tcBorders>
              <w:tl2br w:val="nil"/>
              <w:tr2bl w:val="nil"/>
            </w:tcBorders>
            <w:noWrap w:val="0"/>
            <w:vAlign w:val="center"/>
          </w:tcPr>
          <w:p w14:paraId="46071B3E">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7D605DFB">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31E3A16D">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6</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9</w:t>
            </w:r>
          </w:p>
        </w:tc>
        <w:tc>
          <w:tcPr>
            <w:tcW w:w="372" w:type="pct"/>
            <w:tcBorders>
              <w:tl2br w:val="nil"/>
              <w:tr2bl w:val="nil"/>
            </w:tcBorders>
            <w:noWrap w:val="0"/>
            <w:vAlign w:val="center"/>
          </w:tcPr>
          <w:p w14:paraId="00A25A39">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0.065</w:t>
            </w:r>
          </w:p>
        </w:tc>
        <w:tc>
          <w:tcPr>
            <w:tcW w:w="454" w:type="pct"/>
            <w:tcBorders>
              <w:tl2br w:val="nil"/>
              <w:tr2bl w:val="nil"/>
            </w:tcBorders>
            <w:noWrap w:val="0"/>
            <w:vAlign w:val="center"/>
          </w:tcPr>
          <w:p w14:paraId="7E9E0155">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6</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13</w:t>
            </w:r>
          </w:p>
        </w:tc>
        <w:tc>
          <w:tcPr>
            <w:tcW w:w="310" w:type="pct"/>
            <w:tcBorders>
              <w:tl2br w:val="nil"/>
              <w:tr2bl w:val="nil"/>
            </w:tcBorders>
            <w:noWrap w:val="0"/>
            <w:vAlign w:val="center"/>
          </w:tcPr>
          <w:p w14:paraId="247D861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073F904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3846FDA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319DFA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149B49E6">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0677A070">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p>
        </w:tc>
        <w:tc>
          <w:tcPr>
            <w:tcW w:w="305" w:type="pct"/>
            <w:vMerge w:val="continue"/>
            <w:tcBorders>
              <w:tl2br w:val="nil"/>
              <w:tr2bl w:val="nil"/>
            </w:tcBorders>
            <w:noWrap w:val="0"/>
            <w:vAlign w:val="center"/>
          </w:tcPr>
          <w:p w14:paraId="565A9425">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709F89C6">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WCG2511060100</w:t>
            </w:r>
            <w:r>
              <w:rPr>
                <w:rFonts w:hint="default" w:ascii="Times New Roman" w:hAnsi="Times New Roman" w:eastAsia="宋体" w:cs="Times New Roman"/>
                <w:i w:val="0"/>
                <w:color w:val="000000"/>
                <w:kern w:val="0"/>
                <w:sz w:val="21"/>
                <w:szCs w:val="21"/>
                <w:highlight w:val="none"/>
                <w:u w:val="none"/>
                <w:lang w:val="en-US" w:eastAsia="zh-CN" w:bidi="ar"/>
              </w:rPr>
              <w:t>2</w:t>
            </w:r>
          </w:p>
        </w:tc>
        <w:tc>
          <w:tcPr>
            <w:tcW w:w="337" w:type="pct"/>
            <w:tcBorders>
              <w:tl2br w:val="nil"/>
              <w:tr2bl w:val="nil"/>
            </w:tcBorders>
            <w:noWrap w:val="0"/>
            <w:vAlign w:val="center"/>
          </w:tcPr>
          <w:p w14:paraId="516ED109">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2A3A31A5">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6</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6</w:t>
            </w:r>
          </w:p>
        </w:tc>
        <w:tc>
          <w:tcPr>
            <w:tcW w:w="391" w:type="pct"/>
            <w:tcBorders>
              <w:tl2br w:val="nil"/>
              <w:tr2bl w:val="nil"/>
            </w:tcBorders>
            <w:noWrap w:val="0"/>
            <w:vAlign w:val="center"/>
          </w:tcPr>
          <w:p w14:paraId="784324C9">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59C1389B">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03F893C3">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6</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10</w:t>
            </w:r>
          </w:p>
        </w:tc>
        <w:tc>
          <w:tcPr>
            <w:tcW w:w="372" w:type="pct"/>
            <w:tcBorders>
              <w:tl2br w:val="nil"/>
              <w:tr2bl w:val="nil"/>
            </w:tcBorders>
            <w:noWrap w:val="0"/>
            <w:vAlign w:val="center"/>
          </w:tcPr>
          <w:p w14:paraId="706137A0">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0.036</w:t>
            </w:r>
          </w:p>
        </w:tc>
        <w:tc>
          <w:tcPr>
            <w:tcW w:w="454" w:type="pct"/>
            <w:tcBorders>
              <w:tl2br w:val="nil"/>
              <w:tr2bl w:val="nil"/>
            </w:tcBorders>
            <w:noWrap w:val="0"/>
            <w:vAlign w:val="center"/>
          </w:tcPr>
          <w:p w14:paraId="0256F005">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6</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14</w:t>
            </w:r>
          </w:p>
        </w:tc>
        <w:tc>
          <w:tcPr>
            <w:tcW w:w="310" w:type="pct"/>
            <w:tcBorders>
              <w:tl2br w:val="nil"/>
              <w:tr2bl w:val="nil"/>
            </w:tcBorders>
            <w:noWrap w:val="0"/>
            <w:vAlign w:val="center"/>
          </w:tcPr>
          <w:p w14:paraId="4A198B7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351A77C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2FF98C6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5FA4E0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2F4D96F9">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4FD2E44C">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p>
        </w:tc>
        <w:tc>
          <w:tcPr>
            <w:tcW w:w="305" w:type="pct"/>
            <w:vMerge w:val="continue"/>
            <w:tcBorders>
              <w:tl2br w:val="nil"/>
              <w:tr2bl w:val="nil"/>
            </w:tcBorders>
            <w:noWrap w:val="0"/>
            <w:vAlign w:val="center"/>
          </w:tcPr>
          <w:p w14:paraId="1C06EC0E">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58F2D1F6">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WCG2511060100</w:t>
            </w:r>
            <w:r>
              <w:rPr>
                <w:rFonts w:hint="default" w:ascii="Times New Roman" w:hAnsi="Times New Roman" w:eastAsia="宋体" w:cs="Times New Roman"/>
                <w:i w:val="0"/>
                <w:color w:val="000000"/>
                <w:kern w:val="0"/>
                <w:sz w:val="21"/>
                <w:szCs w:val="21"/>
                <w:highlight w:val="none"/>
                <w:u w:val="none"/>
                <w:lang w:val="en-US" w:eastAsia="zh-CN" w:bidi="ar"/>
              </w:rPr>
              <w:t>3</w:t>
            </w:r>
          </w:p>
        </w:tc>
        <w:tc>
          <w:tcPr>
            <w:tcW w:w="337" w:type="pct"/>
            <w:tcBorders>
              <w:tl2br w:val="nil"/>
              <w:tr2bl w:val="nil"/>
            </w:tcBorders>
            <w:noWrap w:val="0"/>
            <w:vAlign w:val="center"/>
          </w:tcPr>
          <w:p w14:paraId="0FC5A092">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57F82A96">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6</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7</w:t>
            </w:r>
          </w:p>
        </w:tc>
        <w:tc>
          <w:tcPr>
            <w:tcW w:w="391" w:type="pct"/>
            <w:tcBorders>
              <w:tl2br w:val="nil"/>
              <w:tr2bl w:val="nil"/>
            </w:tcBorders>
            <w:noWrap w:val="0"/>
            <w:vAlign w:val="center"/>
          </w:tcPr>
          <w:p w14:paraId="62319CAB">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63C4D9EB">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72E22B04">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6</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11</w:t>
            </w:r>
          </w:p>
        </w:tc>
        <w:tc>
          <w:tcPr>
            <w:tcW w:w="372" w:type="pct"/>
            <w:tcBorders>
              <w:tl2br w:val="nil"/>
              <w:tr2bl w:val="nil"/>
            </w:tcBorders>
            <w:noWrap w:val="0"/>
            <w:vAlign w:val="center"/>
          </w:tcPr>
          <w:p w14:paraId="36D512B5">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0.034</w:t>
            </w:r>
          </w:p>
        </w:tc>
        <w:tc>
          <w:tcPr>
            <w:tcW w:w="454" w:type="pct"/>
            <w:tcBorders>
              <w:tl2br w:val="nil"/>
              <w:tr2bl w:val="nil"/>
            </w:tcBorders>
            <w:noWrap w:val="0"/>
            <w:vAlign w:val="center"/>
          </w:tcPr>
          <w:p w14:paraId="51C673CA">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6</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15</w:t>
            </w:r>
          </w:p>
        </w:tc>
        <w:tc>
          <w:tcPr>
            <w:tcW w:w="310" w:type="pct"/>
            <w:tcBorders>
              <w:tl2br w:val="nil"/>
              <w:tr2bl w:val="nil"/>
            </w:tcBorders>
            <w:noWrap w:val="0"/>
            <w:vAlign w:val="center"/>
          </w:tcPr>
          <w:p w14:paraId="1BD24B3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6AD409A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5DE6D96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3D933E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406882CD">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592A518F">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p>
        </w:tc>
        <w:tc>
          <w:tcPr>
            <w:tcW w:w="305" w:type="pct"/>
            <w:vMerge w:val="continue"/>
            <w:tcBorders>
              <w:tl2br w:val="nil"/>
              <w:tr2bl w:val="nil"/>
            </w:tcBorders>
            <w:noWrap w:val="0"/>
            <w:vAlign w:val="center"/>
          </w:tcPr>
          <w:p w14:paraId="31A7CB92">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3F44988F">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WCG2511060100</w:t>
            </w:r>
            <w:r>
              <w:rPr>
                <w:rFonts w:hint="default" w:ascii="Times New Roman" w:hAnsi="Times New Roman" w:eastAsia="宋体" w:cs="Times New Roman"/>
                <w:i w:val="0"/>
                <w:color w:val="000000"/>
                <w:kern w:val="0"/>
                <w:sz w:val="21"/>
                <w:szCs w:val="21"/>
                <w:highlight w:val="none"/>
                <w:u w:val="none"/>
                <w:lang w:val="en-US" w:eastAsia="zh-CN" w:bidi="ar"/>
              </w:rPr>
              <w:t>4</w:t>
            </w:r>
          </w:p>
        </w:tc>
        <w:tc>
          <w:tcPr>
            <w:tcW w:w="337" w:type="pct"/>
            <w:tcBorders>
              <w:tl2br w:val="nil"/>
              <w:tr2bl w:val="nil"/>
            </w:tcBorders>
            <w:noWrap w:val="0"/>
            <w:vAlign w:val="center"/>
          </w:tcPr>
          <w:p w14:paraId="610DFEAC">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05B0BE0D">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6</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8</w:t>
            </w:r>
          </w:p>
        </w:tc>
        <w:tc>
          <w:tcPr>
            <w:tcW w:w="391" w:type="pct"/>
            <w:tcBorders>
              <w:tl2br w:val="nil"/>
              <w:tr2bl w:val="nil"/>
            </w:tcBorders>
            <w:noWrap w:val="0"/>
            <w:vAlign w:val="center"/>
          </w:tcPr>
          <w:p w14:paraId="7F613914">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1227304F">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36242546">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6</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12</w:t>
            </w:r>
          </w:p>
        </w:tc>
        <w:tc>
          <w:tcPr>
            <w:tcW w:w="372" w:type="pct"/>
            <w:tcBorders>
              <w:tl2br w:val="nil"/>
              <w:tr2bl w:val="nil"/>
            </w:tcBorders>
            <w:noWrap w:val="0"/>
            <w:vAlign w:val="center"/>
          </w:tcPr>
          <w:p w14:paraId="0DF5099D">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0.037</w:t>
            </w:r>
          </w:p>
        </w:tc>
        <w:tc>
          <w:tcPr>
            <w:tcW w:w="454" w:type="pct"/>
            <w:tcBorders>
              <w:tl2br w:val="nil"/>
              <w:tr2bl w:val="nil"/>
            </w:tcBorders>
            <w:noWrap w:val="0"/>
            <w:vAlign w:val="center"/>
          </w:tcPr>
          <w:p w14:paraId="5AF1AF92">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6</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16</w:t>
            </w:r>
          </w:p>
        </w:tc>
        <w:tc>
          <w:tcPr>
            <w:tcW w:w="310" w:type="pct"/>
            <w:tcBorders>
              <w:tl2br w:val="nil"/>
              <w:tr2bl w:val="nil"/>
            </w:tcBorders>
            <w:noWrap w:val="0"/>
            <w:vAlign w:val="center"/>
          </w:tcPr>
          <w:p w14:paraId="3B5CC56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0D2A6B1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7932D2B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4BED4E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1EEF0426">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restart"/>
            <w:tcBorders>
              <w:tl2br w:val="nil"/>
              <w:tr2bl w:val="nil"/>
            </w:tcBorders>
            <w:noWrap w:val="0"/>
            <w:vAlign w:val="center"/>
          </w:tcPr>
          <w:p w14:paraId="73ACADF7">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2025.11.0</w:t>
            </w:r>
            <w:r>
              <w:rPr>
                <w:rFonts w:hint="eastAsia" w:ascii="Times New Roman" w:hAnsi="Times New Roman" w:cs="Times New Roman"/>
                <w:sz w:val="21"/>
                <w:szCs w:val="21"/>
                <w:highlight w:val="none"/>
                <w:lang w:val="en-US" w:eastAsia="zh-CN"/>
              </w:rPr>
              <w:t>7</w:t>
            </w:r>
          </w:p>
        </w:tc>
        <w:tc>
          <w:tcPr>
            <w:tcW w:w="305" w:type="pct"/>
            <w:vMerge w:val="restart"/>
            <w:tcBorders>
              <w:tl2br w:val="nil"/>
              <w:tr2bl w:val="nil"/>
            </w:tcBorders>
            <w:noWrap w:val="0"/>
            <w:vAlign w:val="center"/>
          </w:tcPr>
          <w:p w14:paraId="3F463AA1">
            <w:pPr>
              <w:keepNext w:val="0"/>
              <w:keepLines w:val="0"/>
              <w:widowControl/>
              <w:suppressLineNumbers w:val="0"/>
              <w:jc w:val="center"/>
              <w:textAlignment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1#厂址下风向</w:t>
            </w:r>
          </w:p>
          <w:p w14:paraId="6DA92DE4">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b w:val="0"/>
                <w:bCs w:val="0"/>
                <w:sz w:val="21"/>
                <w:szCs w:val="21"/>
                <w:highlight w:val="none"/>
                <w:lang w:val="en-US" w:eastAsia="zh-CN"/>
              </w:rPr>
              <w:t>1</w:t>
            </w:r>
            <w:r>
              <w:rPr>
                <w:rFonts w:hint="eastAsia" w:ascii="宋体" w:hAnsi="宋体" w:eastAsia="宋体" w:cs="宋体"/>
                <w:b w:val="0"/>
                <w:bCs w:val="0"/>
                <w:sz w:val="21"/>
                <w:szCs w:val="21"/>
                <w:highlight w:val="none"/>
                <w:lang w:val="en-US" w:eastAsia="zh-CN"/>
              </w:rPr>
              <w:t>○</w:t>
            </w:r>
          </w:p>
        </w:tc>
        <w:tc>
          <w:tcPr>
            <w:tcW w:w="460" w:type="pct"/>
            <w:tcBorders>
              <w:tl2br w:val="nil"/>
              <w:tr2bl w:val="nil"/>
            </w:tcBorders>
            <w:noWrap w:val="0"/>
            <w:vAlign w:val="center"/>
          </w:tcPr>
          <w:p w14:paraId="272D38FF">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WCG25110701001</w:t>
            </w:r>
          </w:p>
        </w:tc>
        <w:tc>
          <w:tcPr>
            <w:tcW w:w="337" w:type="pct"/>
            <w:tcBorders>
              <w:tl2br w:val="nil"/>
              <w:tr2bl w:val="nil"/>
            </w:tcBorders>
            <w:noWrap w:val="0"/>
            <w:vAlign w:val="center"/>
          </w:tcPr>
          <w:p w14:paraId="5906B99C">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5CDD46A0">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7</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5</w:t>
            </w:r>
          </w:p>
        </w:tc>
        <w:tc>
          <w:tcPr>
            <w:tcW w:w="391" w:type="pct"/>
            <w:tcBorders>
              <w:tl2br w:val="nil"/>
              <w:tr2bl w:val="nil"/>
            </w:tcBorders>
            <w:noWrap w:val="0"/>
            <w:vAlign w:val="center"/>
          </w:tcPr>
          <w:p w14:paraId="35E5018F">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2184B748">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265E4244">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7</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9</w:t>
            </w:r>
          </w:p>
        </w:tc>
        <w:tc>
          <w:tcPr>
            <w:tcW w:w="372" w:type="pct"/>
            <w:tcBorders>
              <w:tl2br w:val="nil"/>
              <w:tr2bl w:val="nil"/>
            </w:tcBorders>
            <w:noWrap w:val="0"/>
            <w:vAlign w:val="center"/>
          </w:tcPr>
          <w:p w14:paraId="3B3C30B1">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0.008</w:t>
            </w:r>
          </w:p>
        </w:tc>
        <w:tc>
          <w:tcPr>
            <w:tcW w:w="454" w:type="pct"/>
            <w:tcBorders>
              <w:tl2br w:val="nil"/>
              <w:tr2bl w:val="nil"/>
            </w:tcBorders>
            <w:noWrap w:val="0"/>
            <w:vAlign w:val="center"/>
          </w:tcPr>
          <w:p w14:paraId="1E439718">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13</w:t>
            </w:r>
          </w:p>
        </w:tc>
        <w:tc>
          <w:tcPr>
            <w:tcW w:w="310" w:type="pct"/>
            <w:tcBorders>
              <w:tl2br w:val="nil"/>
              <w:tr2bl w:val="nil"/>
            </w:tcBorders>
            <w:noWrap w:val="0"/>
            <w:vAlign w:val="center"/>
          </w:tcPr>
          <w:p w14:paraId="2775A7D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6AC5EFB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63F7846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1C0CCE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0868EE14">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6D7371B1">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p>
        </w:tc>
        <w:tc>
          <w:tcPr>
            <w:tcW w:w="305" w:type="pct"/>
            <w:vMerge w:val="continue"/>
            <w:tcBorders>
              <w:tl2br w:val="nil"/>
              <w:tr2bl w:val="nil"/>
            </w:tcBorders>
            <w:noWrap w:val="0"/>
            <w:vAlign w:val="center"/>
          </w:tcPr>
          <w:p w14:paraId="407E874D">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348495C8">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WCG2511070100</w:t>
            </w:r>
            <w:r>
              <w:rPr>
                <w:rFonts w:hint="default" w:ascii="Times New Roman" w:hAnsi="Times New Roman" w:eastAsia="宋体" w:cs="Times New Roman"/>
                <w:i w:val="0"/>
                <w:color w:val="000000"/>
                <w:kern w:val="0"/>
                <w:sz w:val="21"/>
                <w:szCs w:val="21"/>
                <w:highlight w:val="none"/>
                <w:u w:val="none"/>
                <w:lang w:val="en-US" w:eastAsia="zh-CN" w:bidi="ar"/>
              </w:rPr>
              <w:t>2</w:t>
            </w:r>
          </w:p>
        </w:tc>
        <w:tc>
          <w:tcPr>
            <w:tcW w:w="337" w:type="pct"/>
            <w:tcBorders>
              <w:tl2br w:val="nil"/>
              <w:tr2bl w:val="nil"/>
            </w:tcBorders>
            <w:noWrap w:val="0"/>
            <w:vAlign w:val="center"/>
          </w:tcPr>
          <w:p w14:paraId="41C0B0F1">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7ACD6C9B">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7</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6</w:t>
            </w:r>
          </w:p>
        </w:tc>
        <w:tc>
          <w:tcPr>
            <w:tcW w:w="391" w:type="pct"/>
            <w:tcBorders>
              <w:tl2br w:val="nil"/>
              <w:tr2bl w:val="nil"/>
            </w:tcBorders>
            <w:noWrap w:val="0"/>
            <w:vAlign w:val="center"/>
          </w:tcPr>
          <w:p w14:paraId="79457937">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36DFC038">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2D9095A4">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7</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10</w:t>
            </w:r>
          </w:p>
        </w:tc>
        <w:tc>
          <w:tcPr>
            <w:tcW w:w="372" w:type="pct"/>
            <w:tcBorders>
              <w:tl2br w:val="nil"/>
              <w:tr2bl w:val="nil"/>
            </w:tcBorders>
            <w:noWrap w:val="0"/>
            <w:vAlign w:val="center"/>
          </w:tcPr>
          <w:p w14:paraId="10C56C3A">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0.012</w:t>
            </w:r>
          </w:p>
        </w:tc>
        <w:tc>
          <w:tcPr>
            <w:tcW w:w="454" w:type="pct"/>
            <w:tcBorders>
              <w:tl2br w:val="nil"/>
              <w:tr2bl w:val="nil"/>
            </w:tcBorders>
            <w:noWrap w:val="0"/>
            <w:vAlign w:val="center"/>
          </w:tcPr>
          <w:p w14:paraId="40922FE7">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14</w:t>
            </w:r>
          </w:p>
        </w:tc>
        <w:tc>
          <w:tcPr>
            <w:tcW w:w="310" w:type="pct"/>
            <w:tcBorders>
              <w:tl2br w:val="nil"/>
              <w:tr2bl w:val="nil"/>
            </w:tcBorders>
            <w:noWrap w:val="0"/>
            <w:vAlign w:val="center"/>
          </w:tcPr>
          <w:p w14:paraId="22FEAD6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4275D1A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0EFC839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623A33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07642FA5">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16F16351">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p>
        </w:tc>
        <w:tc>
          <w:tcPr>
            <w:tcW w:w="305" w:type="pct"/>
            <w:vMerge w:val="continue"/>
            <w:tcBorders>
              <w:tl2br w:val="nil"/>
              <w:tr2bl w:val="nil"/>
            </w:tcBorders>
            <w:noWrap w:val="0"/>
            <w:vAlign w:val="center"/>
          </w:tcPr>
          <w:p w14:paraId="2E6A0313">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4B371288">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WCG2511070100</w:t>
            </w:r>
            <w:r>
              <w:rPr>
                <w:rFonts w:hint="default" w:ascii="Times New Roman" w:hAnsi="Times New Roman" w:eastAsia="宋体" w:cs="Times New Roman"/>
                <w:i w:val="0"/>
                <w:color w:val="000000"/>
                <w:kern w:val="0"/>
                <w:sz w:val="21"/>
                <w:szCs w:val="21"/>
                <w:highlight w:val="none"/>
                <w:u w:val="none"/>
                <w:lang w:val="en-US" w:eastAsia="zh-CN" w:bidi="ar"/>
              </w:rPr>
              <w:t>3</w:t>
            </w:r>
          </w:p>
        </w:tc>
        <w:tc>
          <w:tcPr>
            <w:tcW w:w="337" w:type="pct"/>
            <w:tcBorders>
              <w:tl2br w:val="nil"/>
              <w:tr2bl w:val="nil"/>
            </w:tcBorders>
            <w:noWrap w:val="0"/>
            <w:vAlign w:val="center"/>
          </w:tcPr>
          <w:p w14:paraId="7C359E30">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12529ED1">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7</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7</w:t>
            </w:r>
          </w:p>
        </w:tc>
        <w:tc>
          <w:tcPr>
            <w:tcW w:w="391" w:type="pct"/>
            <w:tcBorders>
              <w:tl2br w:val="nil"/>
              <w:tr2bl w:val="nil"/>
            </w:tcBorders>
            <w:noWrap w:val="0"/>
            <w:vAlign w:val="center"/>
          </w:tcPr>
          <w:p w14:paraId="374E720E">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0565AEB0">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7A4ED0C8">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7</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11</w:t>
            </w:r>
          </w:p>
        </w:tc>
        <w:tc>
          <w:tcPr>
            <w:tcW w:w="372" w:type="pct"/>
            <w:tcBorders>
              <w:tl2br w:val="nil"/>
              <w:tr2bl w:val="nil"/>
            </w:tcBorders>
            <w:noWrap w:val="0"/>
            <w:vAlign w:val="center"/>
          </w:tcPr>
          <w:p w14:paraId="447EA92A">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0.01</w:t>
            </w:r>
            <w:r>
              <w:rPr>
                <w:rFonts w:hint="default" w:ascii="Times New Roman" w:hAnsi="Times New Roman" w:eastAsia="宋体" w:cs="Times New Roman"/>
                <w:i w:val="0"/>
                <w:iCs w:val="0"/>
                <w:color w:val="000000"/>
                <w:kern w:val="0"/>
                <w:sz w:val="21"/>
                <w:szCs w:val="21"/>
                <w:u w:val="none"/>
                <w:lang w:val="en-US" w:eastAsia="zh-CN" w:bidi="ar"/>
              </w:rPr>
              <w:t>1</w:t>
            </w:r>
          </w:p>
        </w:tc>
        <w:tc>
          <w:tcPr>
            <w:tcW w:w="454" w:type="pct"/>
            <w:tcBorders>
              <w:tl2br w:val="nil"/>
              <w:tr2bl w:val="nil"/>
            </w:tcBorders>
            <w:noWrap w:val="0"/>
            <w:vAlign w:val="center"/>
          </w:tcPr>
          <w:p w14:paraId="7FB09A49">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15</w:t>
            </w:r>
          </w:p>
        </w:tc>
        <w:tc>
          <w:tcPr>
            <w:tcW w:w="310" w:type="pct"/>
            <w:tcBorders>
              <w:tl2br w:val="nil"/>
              <w:tr2bl w:val="nil"/>
            </w:tcBorders>
            <w:noWrap w:val="0"/>
            <w:vAlign w:val="center"/>
          </w:tcPr>
          <w:p w14:paraId="146C423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7D1C758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2D35F75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58A9B6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2CD3C0C6">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5FA326A8">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p>
        </w:tc>
        <w:tc>
          <w:tcPr>
            <w:tcW w:w="305" w:type="pct"/>
            <w:vMerge w:val="continue"/>
            <w:tcBorders>
              <w:tl2br w:val="nil"/>
              <w:tr2bl w:val="nil"/>
            </w:tcBorders>
            <w:noWrap w:val="0"/>
            <w:vAlign w:val="center"/>
          </w:tcPr>
          <w:p w14:paraId="41C387C0">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05BFF7E4">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WCG2511070100</w:t>
            </w:r>
            <w:r>
              <w:rPr>
                <w:rFonts w:hint="default" w:ascii="Times New Roman" w:hAnsi="Times New Roman" w:eastAsia="宋体" w:cs="Times New Roman"/>
                <w:i w:val="0"/>
                <w:color w:val="000000"/>
                <w:kern w:val="0"/>
                <w:sz w:val="21"/>
                <w:szCs w:val="21"/>
                <w:highlight w:val="none"/>
                <w:u w:val="none"/>
                <w:lang w:val="en-US" w:eastAsia="zh-CN" w:bidi="ar"/>
              </w:rPr>
              <w:t>4</w:t>
            </w:r>
          </w:p>
        </w:tc>
        <w:tc>
          <w:tcPr>
            <w:tcW w:w="337" w:type="pct"/>
            <w:tcBorders>
              <w:tl2br w:val="nil"/>
              <w:tr2bl w:val="nil"/>
            </w:tcBorders>
            <w:noWrap w:val="0"/>
            <w:vAlign w:val="center"/>
          </w:tcPr>
          <w:p w14:paraId="767C1188">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7B4764DE">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7</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8</w:t>
            </w:r>
          </w:p>
        </w:tc>
        <w:tc>
          <w:tcPr>
            <w:tcW w:w="391" w:type="pct"/>
            <w:tcBorders>
              <w:tl2br w:val="nil"/>
              <w:tr2bl w:val="nil"/>
            </w:tcBorders>
            <w:noWrap w:val="0"/>
            <w:vAlign w:val="center"/>
          </w:tcPr>
          <w:p w14:paraId="6A57052C">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5B507044">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27F3664F">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7</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12</w:t>
            </w:r>
          </w:p>
        </w:tc>
        <w:tc>
          <w:tcPr>
            <w:tcW w:w="372" w:type="pct"/>
            <w:tcBorders>
              <w:tl2br w:val="nil"/>
              <w:tr2bl w:val="nil"/>
            </w:tcBorders>
            <w:noWrap w:val="0"/>
            <w:vAlign w:val="center"/>
          </w:tcPr>
          <w:p w14:paraId="4BB08AE6">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0.033</w:t>
            </w:r>
          </w:p>
        </w:tc>
        <w:tc>
          <w:tcPr>
            <w:tcW w:w="454" w:type="pct"/>
            <w:tcBorders>
              <w:tl2br w:val="nil"/>
              <w:tr2bl w:val="nil"/>
            </w:tcBorders>
            <w:noWrap w:val="0"/>
            <w:vAlign w:val="center"/>
          </w:tcPr>
          <w:p w14:paraId="581D6ABF">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16</w:t>
            </w:r>
          </w:p>
        </w:tc>
        <w:tc>
          <w:tcPr>
            <w:tcW w:w="310" w:type="pct"/>
            <w:tcBorders>
              <w:tl2br w:val="nil"/>
              <w:tr2bl w:val="nil"/>
            </w:tcBorders>
            <w:noWrap w:val="0"/>
            <w:vAlign w:val="center"/>
          </w:tcPr>
          <w:p w14:paraId="4C4D1DE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1053DBF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7EC814E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0A6F89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53F6A9BD">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restart"/>
            <w:tcBorders>
              <w:tl2br w:val="nil"/>
              <w:tr2bl w:val="nil"/>
            </w:tcBorders>
            <w:noWrap w:val="0"/>
            <w:vAlign w:val="center"/>
          </w:tcPr>
          <w:p w14:paraId="7E3866B7">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r>
              <w:rPr>
                <w:rFonts w:hint="default" w:ascii="Times New Roman" w:hAnsi="Times New Roman" w:eastAsia="宋体" w:cs="Times New Roman"/>
                <w:sz w:val="21"/>
                <w:szCs w:val="21"/>
                <w:highlight w:val="none"/>
                <w:lang w:val="en-US" w:eastAsia="zh-CN"/>
              </w:rPr>
              <w:t>2025.11.0</w:t>
            </w:r>
            <w:r>
              <w:rPr>
                <w:rFonts w:hint="eastAsia" w:ascii="Times New Roman" w:hAnsi="Times New Roman" w:cs="Times New Roman"/>
                <w:sz w:val="21"/>
                <w:szCs w:val="21"/>
                <w:highlight w:val="none"/>
                <w:lang w:val="en-US" w:eastAsia="zh-CN"/>
              </w:rPr>
              <w:t>8</w:t>
            </w:r>
          </w:p>
        </w:tc>
        <w:tc>
          <w:tcPr>
            <w:tcW w:w="305" w:type="pct"/>
            <w:vMerge w:val="restart"/>
            <w:tcBorders>
              <w:tl2br w:val="nil"/>
              <w:tr2bl w:val="nil"/>
            </w:tcBorders>
            <w:noWrap w:val="0"/>
            <w:vAlign w:val="center"/>
          </w:tcPr>
          <w:p w14:paraId="3157473D">
            <w:pPr>
              <w:keepNext w:val="0"/>
              <w:keepLines w:val="0"/>
              <w:widowControl/>
              <w:suppressLineNumbers w:val="0"/>
              <w:jc w:val="center"/>
              <w:textAlignment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1#厂址下风向</w:t>
            </w:r>
          </w:p>
          <w:p w14:paraId="27EA79FC">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b w:val="0"/>
                <w:bCs w:val="0"/>
                <w:sz w:val="21"/>
                <w:szCs w:val="21"/>
                <w:highlight w:val="none"/>
                <w:lang w:val="en-US" w:eastAsia="zh-CN"/>
              </w:rPr>
              <w:t>1</w:t>
            </w:r>
            <w:r>
              <w:rPr>
                <w:rFonts w:hint="eastAsia" w:ascii="宋体" w:hAnsi="宋体" w:eastAsia="宋体" w:cs="宋体"/>
                <w:b w:val="0"/>
                <w:bCs w:val="0"/>
                <w:sz w:val="21"/>
                <w:szCs w:val="21"/>
                <w:highlight w:val="none"/>
                <w:lang w:val="en-US" w:eastAsia="zh-CN"/>
              </w:rPr>
              <w:t>○</w:t>
            </w:r>
          </w:p>
        </w:tc>
        <w:tc>
          <w:tcPr>
            <w:tcW w:w="460" w:type="pct"/>
            <w:tcBorders>
              <w:tl2br w:val="nil"/>
              <w:tr2bl w:val="nil"/>
            </w:tcBorders>
            <w:noWrap w:val="0"/>
            <w:vAlign w:val="center"/>
          </w:tcPr>
          <w:p w14:paraId="5E0DC256">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WCG25110801001</w:t>
            </w:r>
          </w:p>
        </w:tc>
        <w:tc>
          <w:tcPr>
            <w:tcW w:w="337" w:type="pct"/>
            <w:tcBorders>
              <w:tl2br w:val="nil"/>
              <w:tr2bl w:val="nil"/>
            </w:tcBorders>
            <w:noWrap w:val="0"/>
            <w:vAlign w:val="center"/>
          </w:tcPr>
          <w:p w14:paraId="09A312CC">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07AFA63D">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8</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5</w:t>
            </w:r>
          </w:p>
        </w:tc>
        <w:tc>
          <w:tcPr>
            <w:tcW w:w="391" w:type="pct"/>
            <w:tcBorders>
              <w:tl2br w:val="nil"/>
              <w:tr2bl w:val="nil"/>
            </w:tcBorders>
            <w:noWrap w:val="0"/>
            <w:vAlign w:val="center"/>
          </w:tcPr>
          <w:p w14:paraId="74063719">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420C8ED6">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719B872B">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8</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9</w:t>
            </w:r>
          </w:p>
        </w:tc>
        <w:tc>
          <w:tcPr>
            <w:tcW w:w="372" w:type="pct"/>
            <w:tcBorders>
              <w:tl2br w:val="nil"/>
              <w:tr2bl w:val="nil"/>
            </w:tcBorders>
            <w:noWrap w:val="0"/>
            <w:vAlign w:val="center"/>
          </w:tcPr>
          <w:p w14:paraId="1780DE58">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0.043</w:t>
            </w:r>
          </w:p>
        </w:tc>
        <w:tc>
          <w:tcPr>
            <w:tcW w:w="454" w:type="pct"/>
            <w:tcBorders>
              <w:tl2br w:val="nil"/>
              <w:tr2bl w:val="nil"/>
            </w:tcBorders>
            <w:noWrap w:val="0"/>
            <w:vAlign w:val="center"/>
          </w:tcPr>
          <w:p w14:paraId="3BE6FC39">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13</w:t>
            </w:r>
          </w:p>
        </w:tc>
        <w:tc>
          <w:tcPr>
            <w:tcW w:w="310" w:type="pct"/>
            <w:tcBorders>
              <w:tl2br w:val="nil"/>
              <w:tr2bl w:val="nil"/>
            </w:tcBorders>
            <w:noWrap w:val="0"/>
            <w:vAlign w:val="center"/>
          </w:tcPr>
          <w:p w14:paraId="295FA34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51C4EE4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6F4C2ED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19B3BC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5A2D8ED4">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003BA540">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p>
        </w:tc>
        <w:tc>
          <w:tcPr>
            <w:tcW w:w="305" w:type="pct"/>
            <w:vMerge w:val="continue"/>
            <w:tcBorders>
              <w:tl2br w:val="nil"/>
              <w:tr2bl w:val="nil"/>
            </w:tcBorders>
            <w:noWrap w:val="0"/>
            <w:vAlign w:val="center"/>
          </w:tcPr>
          <w:p w14:paraId="3C406709">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6974E6BE">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WCG2511080100</w:t>
            </w:r>
            <w:r>
              <w:rPr>
                <w:rFonts w:hint="default" w:ascii="Times New Roman" w:hAnsi="Times New Roman" w:eastAsia="宋体" w:cs="Times New Roman"/>
                <w:i w:val="0"/>
                <w:color w:val="000000"/>
                <w:kern w:val="0"/>
                <w:sz w:val="21"/>
                <w:szCs w:val="21"/>
                <w:highlight w:val="none"/>
                <w:u w:val="none"/>
                <w:lang w:val="en-US" w:eastAsia="zh-CN" w:bidi="ar"/>
              </w:rPr>
              <w:t>2</w:t>
            </w:r>
          </w:p>
        </w:tc>
        <w:tc>
          <w:tcPr>
            <w:tcW w:w="337" w:type="pct"/>
            <w:tcBorders>
              <w:tl2br w:val="nil"/>
              <w:tr2bl w:val="nil"/>
            </w:tcBorders>
            <w:noWrap w:val="0"/>
            <w:vAlign w:val="center"/>
          </w:tcPr>
          <w:p w14:paraId="2D422536">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4A613B53">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8</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6</w:t>
            </w:r>
          </w:p>
        </w:tc>
        <w:tc>
          <w:tcPr>
            <w:tcW w:w="391" w:type="pct"/>
            <w:tcBorders>
              <w:tl2br w:val="nil"/>
              <w:tr2bl w:val="nil"/>
            </w:tcBorders>
            <w:noWrap w:val="0"/>
            <w:vAlign w:val="center"/>
          </w:tcPr>
          <w:p w14:paraId="34757B81">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34D5A9AA">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79E8A3E0">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8</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10</w:t>
            </w:r>
          </w:p>
        </w:tc>
        <w:tc>
          <w:tcPr>
            <w:tcW w:w="372" w:type="pct"/>
            <w:tcBorders>
              <w:tl2br w:val="nil"/>
              <w:tr2bl w:val="nil"/>
            </w:tcBorders>
            <w:noWrap w:val="0"/>
            <w:vAlign w:val="center"/>
          </w:tcPr>
          <w:p w14:paraId="623EEEAE">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0.025</w:t>
            </w:r>
          </w:p>
        </w:tc>
        <w:tc>
          <w:tcPr>
            <w:tcW w:w="454" w:type="pct"/>
            <w:tcBorders>
              <w:tl2br w:val="nil"/>
              <w:tr2bl w:val="nil"/>
            </w:tcBorders>
            <w:noWrap w:val="0"/>
            <w:vAlign w:val="center"/>
          </w:tcPr>
          <w:p w14:paraId="23136A86">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14</w:t>
            </w:r>
          </w:p>
        </w:tc>
        <w:tc>
          <w:tcPr>
            <w:tcW w:w="310" w:type="pct"/>
            <w:tcBorders>
              <w:tl2br w:val="nil"/>
              <w:tr2bl w:val="nil"/>
            </w:tcBorders>
            <w:noWrap w:val="0"/>
            <w:vAlign w:val="center"/>
          </w:tcPr>
          <w:p w14:paraId="50C969B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618FBB3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14030D4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4BFA8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2AAA7052">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05744BDE">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p>
        </w:tc>
        <w:tc>
          <w:tcPr>
            <w:tcW w:w="305" w:type="pct"/>
            <w:vMerge w:val="continue"/>
            <w:tcBorders>
              <w:tl2br w:val="nil"/>
              <w:tr2bl w:val="nil"/>
            </w:tcBorders>
            <w:noWrap w:val="0"/>
            <w:vAlign w:val="center"/>
          </w:tcPr>
          <w:p w14:paraId="7C1329A4">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72D1B5FD">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WCG2511080100</w:t>
            </w:r>
            <w:r>
              <w:rPr>
                <w:rFonts w:hint="default" w:ascii="Times New Roman" w:hAnsi="Times New Roman" w:eastAsia="宋体" w:cs="Times New Roman"/>
                <w:i w:val="0"/>
                <w:color w:val="000000"/>
                <w:kern w:val="0"/>
                <w:sz w:val="21"/>
                <w:szCs w:val="21"/>
                <w:highlight w:val="none"/>
                <w:u w:val="none"/>
                <w:lang w:val="en-US" w:eastAsia="zh-CN" w:bidi="ar"/>
              </w:rPr>
              <w:t>3</w:t>
            </w:r>
          </w:p>
        </w:tc>
        <w:tc>
          <w:tcPr>
            <w:tcW w:w="337" w:type="pct"/>
            <w:tcBorders>
              <w:tl2br w:val="nil"/>
              <w:tr2bl w:val="nil"/>
            </w:tcBorders>
            <w:noWrap w:val="0"/>
            <w:vAlign w:val="center"/>
          </w:tcPr>
          <w:p w14:paraId="630216D2">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799E4872">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8</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7</w:t>
            </w:r>
          </w:p>
        </w:tc>
        <w:tc>
          <w:tcPr>
            <w:tcW w:w="391" w:type="pct"/>
            <w:tcBorders>
              <w:tl2br w:val="nil"/>
              <w:tr2bl w:val="nil"/>
            </w:tcBorders>
            <w:noWrap w:val="0"/>
            <w:vAlign w:val="center"/>
          </w:tcPr>
          <w:p w14:paraId="4397CA18">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206BBDCC">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3CE08001">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8</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11</w:t>
            </w:r>
          </w:p>
        </w:tc>
        <w:tc>
          <w:tcPr>
            <w:tcW w:w="372" w:type="pct"/>
            <w:tcBorders>
              <w:tl2br w:val="nil"/>
              <w:tr2bl w:val="nil"/>
            </w:tcBorders>
            <w:noWrap w:val="0"/>
            <w:vAlign w:val="center"/>
          </w:tcPr>
          <w:p w14:paraId="04A9AB9D">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0.028</w:t>
            </w:r>
          </w:p>
        </w:tc>
        <w:tc>
          <w:tcPr>
            <w:tcW w:w="454" w:type="pct"/>
            <w:tcBorders>
              <w:tl2br w:val="nil"/>
              <w:tr2bl w:val="nil"/>
            </w:tcBorders>
            <w:noWrap w:val="0"/>
            <w:vAlign w:val="center"/>
          </w:tcPr>
          <w:p w14:paraId="45999370">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15</w:t>
            </w:r>
          </w:p>
        </w:tc>
        <w:tc>
          <w:tcPr>
            <w:tcW w:w="310" w:type="pct"/>
            <w:tcBorders>
              <w:tl2br w:val="nil"/>
              <w:tr2bl w:val="nil"/>
            </w:tcBorders>
            <w:noWrap w:val="0"/>
            <w:vAlign w:val="center"/>
          </w:tcPr>
          <w:p w14:paraId="1B47D53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5730277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57C3735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3F7F18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144" w:type="pct"/>
            <w:tcBorders>
              <w:tl2br w:val="nil"/>
              <w:tr2bl w:val="nil"/>
            </w:tcBorders>
            <w:noWrap w:val="0"/>
            <w:vAlign w:val="center"/>
          </w:tcPr>
          <w:p w14:paraId="132E656B">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7BAD31B4">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p>
        </w:tc>
        <w:tc>
          <w:tcPr>
            <w:tcW w:w="305" w:type="pct"/>
            <w:vMerge w:val="continue"/>
            <w:tcBorders>
              <w:tl2br w:val="nil"/>
              <w:tr2bl w:val="nil"/>
            </w:tcBorders>
            <w:noWrap w:val="0"/>
            <w:vAlign w:val="center"/>
          </w:tcPr>
          <w:p w14:paraId="77422A5D">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79EB62D8">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WCG2511080100</w:t>
            </w:r>
            <w:r>
              <w:rPr>
                <w:rFonts w:hint="default" w:ascii="Times New Roman" w:hAnsi="Times New Roman" w:eastAsia="宋体" w:cs="Times New Roman"/>
                <w:i w:val="0"/>
                <w:color w:val="000000"/>
                <w:kern w:val="0"/>
                <w:sz w:val="21"/>
                <w:szCs w:val="21"/>
                <w:highlight w:val="none"/>
                <w:u w:val="none"/>
                <w:lang w:val="en-US" w:eastAsia="zh-CN" w:bidi="ar"/>
              </w:rPr>
              <w:t>4</w:t>
            </w:r>
          </w:p>
        </w:tc>
        <w:tc>
          <w:tcPr>
            <w:tcW w:w="337" w:type="pct"/>
            <w:tcBorders>
              <w:tl2br w:val="nil"/>
              <w:tr2bl w:val="nil"/>
            </w:tcBorders>
            <w:noWrap w:val="0"/>
            <w:vAlign w:val="center"/>
          </w:tcPr>
          <w:p w14:paraId="4C48E663">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4EFEE4F2">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8</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8</w:t>
            </w:r>
          </w:p>
        </w:tc>
        <w:tc>
          <w:tcPr>
            <w:tcW w:w="391" w:type="pct"/>
            <w:tcBorders>
              <w:tl2br w:val="nil"/>
              <w:tr2bl w:val="nil"/>
            </w:tcBorders>
            <w:noWrap w:val="0"/>
            <w:vAlign w:val="center"/>
          </w:tcPr>
          <w:p w14:paraId="5B238DA5">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550ACB51">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0336AEEF">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8</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12</w:t>
            </w:r>
          </w:p>
        </w:tc>
        <w:tc>
          <w:tcPr>
            <w:tcW w:w="372" w:type="pct"/>
            <w:tcBorders>
              <w:tl2br w:val="nil"/>
              <w:tr2bl w:val="nil"/>
            </w:tcBorders>
            <w:noWrap w:val="0"/>
            <w:vAlign w:val="center"/>
          </w:tcPr>
          <w:p w14:paraId="174127A9">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0.024</w:t>
            </w:r>
          </w:p>
        </w:tc>
        <w:tc>
          <w:tcPr>
            <w:tcW w:w="454" w:type="pct"/>
            <w:tcBorders>
              <w:tl2br w:val="nil"/>
              <w:tr2bl w:val="nil"/>
            </w:tcBorders>
            <w:noWrap w:val="0"/>
            <w:vAlign w:val="center"/>
          </w:tcPr>
          <w:p w14:paraId="56407B03">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16</w:t>
            </w:r>
          </w:p>
        </w:tc>
        <w:tc>
          <w:tcPr>
            <w:tcW w:w="310" w:type="pct"/>
            <w:tcBorders>
              <w:tl2br w:val="nil"/>
              <w:tr2bl w:val="nil"/>
            </w:tcBorders>
            <w:noWrap w:val="0"/>
            <w:vAlign w:val="center"/>
          </w:tcPr>
          <w:p w14:paraId="1C6BD34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0B63512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59DB18A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341860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7F8FA4C5">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restart"/>
            <w:tcBorders>
              <w:tl2br w:val="nil"/>
              <w:tr2bl w:val="nil"/>
            </w:tcBorders>
            <w:noWrap w:val="0"/>
            <w:vAlign w:val="center"/>
          </w:tcPr>
          <w:p w14:paraId="328D9C69">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2025.11.0</w:t>
            </w:r>
            <w:r>
              <w:rPr>
                <w:rFonts w:hint="eastAsia" w:ascii="Times New Roman" w:hAnsi="Times New Roman" w:cs="Times New Roman"/>
                <w:sz w:val="21"/>
                <w:szCs w:val="21"/>
                <w:highlight w:val="none"/>
                <w:lang w:val="en-US" w:eastAsia="zh-CN"/>
              </w:rPr>
              <w:t>9</w:t>
            </w:r>
          </w:p>
        </w:tc>
        <w:tc>
          <w:tcPr>
            <w:tcW w:w="305" w:type="pct"/>
            <w:vMerge w:val="restart"/>
            <w:tcBorders>
              <w:tl2br w:val="nil"/>
              <w:tr2bl w:val="nil"/>
            </w:tcBorders>
            <w:noWrap w:val="0"/>
            <w:vAlign w:val="center"/>
          </w:tcPr>
          <w:p w14:paraId="193D51D0">
            <w:pPr>
              <w:keepNext w:val="0"/>
              <w:keepLines w:val="0"/>
              <w:widowControl/>
              <w:suppressLineNumbers w:val="0"/>
              <w:jc w:val="center"/>
              <w:textAlignment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1#厂址下风向</w:t>
            </w:r>
          </w:p>
          <w:p w14:paraId="4DB5A131">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b w:val="0"/>
                <w:bCs w:val="0"/>
                <w:sz w:val="21"/>
                <w:szCs w:val="21"/>
                <w:highlight w:val="none"/>
                <w:lang w:val="en-US" w:eastAsia="zh-CN"/>
              </w:rPr>
              <w:t>1</w:t>
            </w:r>
            <w:r>
              <w:rPr>
                <w:rFonts w:hint="eastAsia" w:ascii="宋体" w:hAnsi="宋体" w:eastAsia="宋体" w:cs="宋体"/>
                <w:b w:val="0"/>
                <w:bCs w:val="0"/>
                <w:sz w:val="21"/>
                <w:szCs w:val="21"/>
                <w:highlight w:val="none"/>
                <w:lang w:val="en-US" w:eastAsia="zh-CN"/>
              </w:rPr>
              <w:t>○</w:t>
            </w:r>
          </w:p>
        </w:tc>
        <w:tc>
          <w:tcPr>
            <w:tcW w:w="460" w:type="pct"/>
            <w:tcBorders>
              <w:tl2br w:val="nil"/>
              <w:tr2bl w:val="nil"/>
            </w:tcBorders>
            <w:noWrap w:val="0"/>
            <w:vAlign w:val="center"/>
          </w:tcPr>
          <w:p w14:paraId="295868B0">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WCG25110901001</w:t>
            </w:r>
          </w:p>
        </w:tc>
        <w:tc>
          <w:tcPr>
            <w:tcW w:w="337" w:type="pct"/>
            <w:tcBorders>
              <w:tl2br w:val="nil"/>
              <w:tr2bl w:val="nil"/>
            </w:tcBorders>
            <w:noWrap w:val="0"/>
            <w:vAlign w:val="center"/>
          </w:tcPr>
          <w:p w14:paraId="6282731D">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1A62F5C7">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9</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5</w:t>
            </w:r>
          </w:p>
        </w:tc>
        <w:tc>
          <w:tcPr>
            <w:tcW w:w="391" w:type="pct"/>
            <w:tcBorders>
              <w:tl2br w:val="nil"/>
              <w:tr2bl w:val="nil"/>
            </w:tcBorders>
            <w:noWrap w:val="0"/>
            <w:vAlign w:val="center"/>
          </w:tcPr>
          <w:p w14:paraId="7A7443C7">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63CE5C37">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1701979A">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9</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9</w:t>
            </w:r>
          </w:p>
        </w:tc>
        <w:tc>
          <w:tcPr>
            <w:tcW w:w="372" w:type="pct"/>
            <w:tcBorders>
              <w:tl2br w:val="nil"/>
              <w:tr2bl w:val="nil"/>
            </w:tcBorders>
            <w:noWrap w:val="0"/>
            <w:vAlign w:val="center"/>
          </w:tcPr>
          <w:p w14:paraId="2843DB1D">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0.012</w:t>
            </w:r>
          </w:p>
        </w:tc>
        <w:tc>
          <w:tcPr>
            <w:tcW w:w="454" w:type="pct"/>
            <w:tcBorders>
              <w:tl2br w:val="nil"/>
              <w:tr2bl w:val="nil"/>
            </w:tcBorders>
            <w:noWrap w:val="0"/>
            <w:vAlign w:val="center"/>
          </w:tcPr>
          <w:p w14:paraId="55DE5C4E">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13</w:t>
            </w:r>
          </w:p>
        </w:tc>
        <w:tc>
          <w:tcPr>
            <w:tcW w:w="310" w:type="pct"/>
            <w:tcBorders>
              <w:tl2br w:val="nil"/>
              <w:tr2bl w:val="nil"/>
            </w:tcBorders>
            <w:noWrap w:val="0"/>
            <w:vAlign w:val="center"/>
          </w:tcPr>
          <w:p w14:paraId="32FAE5E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170BFD4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5FC63AA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5D89AB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2F84799A">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2D62AC3F">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p>
        </w:tc>
        <w:tc>
          <w:tcPr>
            <w:tcW w:w="305" w:type="pct"/>
            <w:vMerge w:val="continue"/>
            <w:tcBorders>
              <w:tl2br w:val="nil"/>
              <w:tr2bl w:val="nil"/>
            </w:tcBorders>
            <w:noWrap w:val="0"/>
            <w:vAlign w:val="center"/>
          </w:tcPr>
          <w:p w14:paraId="5D3655D8">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3592EDE0">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WCG2511090100</w:t>
            </w:r>
            <w:r>
              <w:rPr>
                <w:rFonts w:hint="default" w:ascii="Times New Roman" w:hAnsi="Times New Roman" w:eastAsia="宋体" w:cs="Times New Roman"/>
                <w:i w:val="0"/>
                <w:color w:val="000000"/>
                <w:kern w:val="0"/>
                <w:sz w:val="21"/>
                <w:szCs w:val="21"/>
                <w:highlight w:val="none"/>
                <w:u w:val="none"/>
                <w:lang w:val="en-US" w:eastAsia="zh-CN" w:bidi="ar"/>
              </w:rPr>
              <w:t>2</w:t>
            </w:r>
          </w:p>
        </w:tc>
        <w:tc>
          <w:tcPr>
            <w:tcW w:w="337" w:type="pct"/>
            <w:tcBorders>
              <w:tl2br w:val="nil"/>
              <w:tr2bl w:val="nil"/>
            </w:tcBorders>
            <w:noWrap w:val="0"/>
            <w:vAlign w:val="center"/>
          </w:tcPr>
          <w:p w14:paraId="373E9DFC">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43E99E5D">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9</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6</w:t>
            </w:r>
          </w:p>
        </w:tc>
        <w:tc>
          <w:tcPr>
            <w:tcW w:w="391" w:type="pct"/>
            <w:tcBorders>
              <w:tl2br w:val="nil"/>
              <w:tr2bl w:val="nil"/>
            </w:tcBorders>
            <w:noWrap w:val="0"/>
            <w:vAlign w:val="center"/>
          </w:tcPr>
          <w:p w14:paraId="1B2A7CDB">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61CDA9EA">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057D4784">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9</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10</w:t>
            </w:r>
          </w:p>
        </w:tc>
        <w:tc>
          <w:tcPr>
            <w:tcW w:w="372" w:type="pct"/>
            <w:tcBorders>
              <w:tl2br w:val="nil"/>
              <w:tr2bl w:val="nil"/>
            </w:tcBorders>
            <w:noWrap w:val="0"/>
            <w:vAlign w:val="center"/>
          </w:tcPr>
          <w:p w14:paraId="68153819">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0.026</w:t>
            </w:r>
          </w:p>
        </w:tc>
        <w:tc>
          <w:tcPr>
            <w:tcW w:w="454" w:type="pct"/>
            <w:tcBorders>
              <w:tl2br w:val="nil"/>
              <w:tr2bl w:val="nil"/>
            </w:tcBorders>
            <w:noWrap w:val="0"/>
            <w:vAlign w:val="center"/>
          </w:tcPr>
          <w:p w14:paraId="627B6F5C">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14</w:t>
            </w:r>
          </w:p>
        </w:tc>
        <w:tc>
          <w:tcPr>
            <w:tcW w:w="310" w:type="pct"/>
            <w:tcBorders>
              <w:tl2br w:val="nil"/>
              <w:tr2bl w:val="nil"/>
            </w:tcBorders>
            <w:noWrap w:val="0"/>
            <w:vAlign w:val="center"/>
          </w:tcPr>
          <w:p w14:paraId="696FA57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260EC04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653831B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620F48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4BE74F90">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16CD7BE0">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p>
        </w:tc>
        <w:tc>
          <w:tcPr>
            <w:tcW w:w="305" w:type="pct"/>
            <w:vMerge w:val="continue"/>
            <w:tcBorders>
              <w:tl2br w:val="nil"/>
              <w:tr2bl w:val="nil"/>
            </w:tcBorders>
            <w:noWrap w:val="0"/>
            <w:vAlign w:val="center"/>
          </w:tcPr>
          <w:p w14:paraId="10FF11F0">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51DDBF16">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WCG2511090100</w:t>
            </w:r>
            <w:r>
              <w:rPr>
                <w:rFonts w:hint="default" w:ascii="Times New Roman" w:hAnsi="Times New Roman" w:eastAsia="宋体" w:cs="Times New Roman"/>
                <w:i w:val="0"/>
                <w:color w:val="000000"/>
                <w:kern w:val="0"/>
                <w:sz w:val="21"/>
                <w:szCs w:val="21"/>
                <w:highlight w:val="none"/>
                <w:u w:val="none"/>
                <w:lang w:val="en-US" w:eastAsia="zh-CN" w:bidi="ar"/>
              </w:rPr>
              <w:t>3</w:t>
            </w:r>
          </w:p>
        </w:tc>
        <w:tc>
          <w:tcPr>
            <w:tcW w:w="337" w:type="pct"/>
            <w:tcBorders>
              <w:tl2br w:val="nil"/>
              <w:tr2bl w:val="nil"/>
            </w:tcBorders>
            <w:noWrap w:val="0"/>
            <w:vAlign w:val="center"/>
          </w:tcPr>
          <w:p w14:paraId="34D762CC">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7A949C44">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9</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7</w:t>
            </w:r>
          </w:p>
        </w:tc>
        <w:tc>
          <w:tcPr>
            <w:tcW w:w="391" w:type="pct"/>
            <w:tcBorders>
              <w:tl2br w:val="nil"/>
              <w:tr2bl w:val="nil"/>
            </w:tcBorders>
            <w:noWrap w:val="0"/>
            <w:vAlign w:val="center"/>
          </w:tcPr>
          <w:p w14:paraId="7F67D861">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759F6766">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0E5D3798">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9</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11</w:t>
            </w:r>
          </w:p>
        </w:tc>
        <w:tc>
          <w:tcPr>
            <w:tcW w:w="372" w:type="pct"/>
            <w:tcBorders>
              <w:tl2br w:val="nil"/>
              <w:tr2bl w:val="nil"/>
            </w:tcBorders>
            <w:noWrap w:val="0"/>
            <w:vAlign w:val="center"/>
          </w:tcPr>
          <w:p w14:paraId="3B6473B2">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0.008</w:t>
            </w:r>
          </w:p>
        </w:tc>
        <w:tc>
          <w:tcPr>
            <w:tcW w:w="454" w:type="pct"/>
            <w:tcBorders>
              <w:tl2br w:val="nil"/>
              <w:tr2bl w:val="nil"/>
            </w:tcBorders>
            <w:noWrap w:val="0"/>
            <w:vAlign w:val="center"/>
          </w:tcPr>
          <w:p w14:paraId="563721D8">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15</w:t>
            </w:r>
          </w:p>
        </w:tc>
        <w:tc>
          <w:tcPr>
            <w:tcW w:w="310" w:type="pct"/>
            <w:tcBorders>
              <w:tl2br w:val="nil"/>
              <w:tr2bl w:val="nil"/>
            </w:tcBorders>
            <w:noWrap w:val="0"/>
            <w:vAlign w:val="center"/>
          </w:tcPr>
          <w:p w14:paraId="1BBED2E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1315B22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243369B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r w14:paraId="7F260F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4" w:type="pct"/>
            <w:tcBorders>
              <w:tl2br w:val="nil"/>
              <w:tr2bl w:val="nil"/>
            </w:tcBorders>
            <w:noWrap w:val="0"/>
            <w:vAlign w:val="center"/>
          </w:tcPr>
          <w:p w14:paraId="18C438F4">
            <w:pPr>
              <w:widowControl w:val="0"/>
              <w:numPr>
                <w:ilvl w:val="0"/>
                <w:numId w:val="24"/>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238" w:type="pct"/>
            <w:vMerge w:val="continue"/>
            <w:tcBorders>
              <w:tl2br w:val="nil"/>
              <w:tr2bl w:val="nil"/>
            </w:tcBorders>
            <w:noWrap w:val="0"/>
            <w:vAlign w:val="center"/>
          </w:tcPr>
          <w:p w14:paraId="3555A293">
            <w:pPr>
              <w:keepNext w:val="0"/>
              <w:keepLines w:val="0"/>
              <w:widowControl/>
              <w:suppressLineNumbers w:val="0"/>
              <w:jc w:val="center"/>
              <w:textAlignment w:val="center"/>
              <w:rPr>
                <w:rFonts w:hint="default" w:ascii="Times New Roman" w:hAnsi="Times New Roman" w:eastAsia="宋体" w:cs="Times New Roman"/>
                <w:b w:val="0"/>
                <w:bCs w:val="0"/>
                <w:color w:val="auto"/>
                <w:w w:val="100"/>
                <w:sz w:val="21"/>
                <w:szCs w:val="21"/>
                <w:lang w:val="en-US" w:eastAsia="zh-CN"/>
              </w:rPr>
            </w:pPr>
          </w:p>
        </w:tc>
        <w:tc>
          <w:tcPr>
            <w:tcW w:w="305" w:type="pct"/>
            <w:vMerge w:val="continue"/>
            <w:tcBorders>
              <w:tl2br w:val="nil"/>
              <w:tr2bl w:val="nil"/>
            </w:tcBorders>
            <w:noWrap w:val="0"/>
            <w:vAlign w:val="center"/>
          </w:tcPr>
          <w:p w14:paraId="2ACC97FE">
            <w:pPr>
              <w:keepNext w:val="0"/>
              <w:keepLines w:val="0"/>
              <w:widowControl/>
              <w:suppressLineNumbers w:val="0"/>
              <w:jc w:val="center"/>
              <w:textAlignment w:val="center"/>
              <w:rPr>
                <w:rFonts w:hint="default" w:ascii="Times New Roman" w:hAnsi="Times New Roman" w:eastAsia="宋体" w:cs="Times New Roman"/>
                <w:w w:val="100"/>
                <w:sz w:val="21"/>
                <w:szCs w:val="21"/>
                <w:lang w:val="en-US" w:eastAsia="zh-CN"/>
              </w:rPr>
            </w:pPr>
          </w:p>
        </w:tc>
        <w:tc>
          <w:tcPr>
            <w:tcW w:w="460" w:type="pct"/>
            <w:tcBorders>
              <w:tl2br w:val="nil"/>
              <w:tr2bl w:val="nil"/>
            </w:tcBorders>
            <w:noWrap w:val="0"/>
            <w:vAlign w:val="center"/>
          </w:tcPr>
          <w:p w14:paraId="736104DF">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cs="Times New Roman"/>
                <w:i w:val="0"/>
                <w:color w:val="000000"/>
                <w:kern w:val="0"/>
                <w:sz w:val="21"/>
                <w:szCs w:val="21"/>
                <w:highlight w:val="none"/>
                <w:u w:val="none"/>
                <w:lang w:val="en-US" w:eastAsia="zh-CN" w:bidi="ar"/>
              </w:rPr>
              <w:t>WCG2511090100</w:t>
            </w:r>
            <w:r>
              <w:rPr>
                <w:rFonts w:hint="default" w:ascii="Times New Roman" w:hAnsi="Times New Roman" w:eastAsia="宋体" w:cs="Times New Roman"/>
                <w:i w:val="0"/>
                <w:color w:val="000000"/>
                <w:kern w:val="0"/>
                <w:sz w:val="21"/>
                <w:szCs w:val="21"/>
                <w:highlight w:val="none"/>
                <w:u w:val="none"/>
                <w:lang w:val="en-US" w:eastAsia="zh-CN" w:bidi="ar"/>
              </w:rPr>
              <w:t>4</w:t>
            </w:r>
          </w:p>
        </w:tc>
        <w:tc>
          <w:tcPr>
            <w:tcW w:w="337" w:type="pct"/>
            <w:tcBorders>
              <w:tl2br w:val="nil"/>
              <w:tr2bl w:val="nil"/>
            </w:tcBorders>
            <w:noWrap w:val="0"/>
            <w:vAlign w:val="center"/>
          </w:tcPr>
          <w:p w14:paraId="0D1E9050">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&lt;0.01</w:t>
            </w:r>
          </w:p>
        </w:tc>
        <w:tc>
          <w:tcPr>
            <w:tcW w:w="462" w:type="pct"/>
            <w:tcBorders>
              <w:tl2br w:val="nil"/>
              <w:tr2bl w:val="nil"/>
            </w:tcBorders>
            <w:noWrap w:val="0"/>
            <w:vAlign w:val="center"/>
          </w:tcPr>
          <w:p w14:paraId="5F744235">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9</w:t>
            </w:r>
            <w:r>
              <w:rPr>
                <w:rFonts w:hint="default" w:ascii="Times New Roman" w:hAnsi="Times New Roman" w:eastAsia="宋体" w:cs="Times New Roman"/>
                <w:color w:val="000000"/>
                <w:sz w:val="21"/>
                <w:szCs w:val="21"/>
                <w:highlight w:val="none"/>
                <w:vertAlign w:val="baseline"/>
                <w:lang w:val="en-US" w:eastAsia="zh-CN"/>
              </w:rPr>
              <w:t>0100</w:t>
            </w:r>
            <w:r>
              <w:rPr>
                <w:rFonts w:hint="eastAsia" w:ascii="Times New Roman" w:hAnsi="Times New Roman" w:eastAsia="宋体" w:cs="Times New Roman"/>
                <w:color w:val="000000"/>
                <w:sz w:val="21"/>
                <w:szCs w:val="21"/>
                <w:highlight w:val="none"/>
                <w:vertAlign w:val="baseline"/>
                <w:lang w:val="en-US" w:eastAsia="zh-CN"/>
              </w:rPr>
              <w:t>8</w:t>
            </w:r>
          </w:p>
        </w:tc>
        <w:tc>
          <w:tcPr>
            <w:tcW w:w="391" w:type="pct"/>
            <w:tcBorders>
              <w:tl2br w:val="nil"/>
              <w:tr2bl w:val="nil"/>
            </w:tcBorders>
            <w:noWrap w:val="0"/>
            <w:vAlign w:val="center"/>
          </w:tcPr>
          <w:p w14:paraId="3531AF78">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&lt;0.</w:t>
            </w:r>
            <w:r>
              <w:rPr>
                <w:rFonts w:hint="eastAsia" w:ascii="Times New Roman" w:hAnsi="Times New Roman" w:eastAsia="宋体" w:cs="Times New Roman"/>
                <w:color w:val="000000"/>
                <w:sz w:val="21"/>
                <w:szCs w:val="21"/>
                <w:highlight w:val="none"/>
                <w:vertAlign w:val="baseline"/>
                <w:lang w:val="en-US" w:eastAsia="zh-CN"/>
              </w:rPr>
              <w:t>2×10</w:t>
            </w:r>
            <w:r>
              <w:rPr>
                <w:rFonts w:hint="eastAsia" w:ascii="Times New Roman" w:hAnsi="Times New Roman" w:eastAsia="宋体" w:cs="Times New Roman"/>
                <w:color w:val="000000"/>
                <w:sz w:val="21"/>
                <w:szCs w:val="21"/>
                <w:highlight w:val="none"/>
                <w:vertAlign w:val="superscript"/>
                <w:lang w:val="en-US" w:eastAsia="zh-CN"/>
              </w:rPr>
              <w:t>-3</w:t>
            </w:r>
          </w:p>
        </w:tc>
        <w:tc>
          <w:tcPr>
            <w:tcW w:w="446" w:type="pct"/>
            <w:tcBorders>
              <w:tl2br w:val="nil"/>
              <w:tr2bl w:val="nil"/>
            </w:tcBorders>
            <w:noWrap w:val="0"/>
            <w:vAlign w:val="center"/>
          </w:tcPr>
          <w:p w14:paraId="1F02A7B6">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sz w:val="21"/>
                <w:szCs w:val="21"/>
                <w:highlight w:val="none"/>
                <w:vertAlign w:val="baseline"/>
                <w:lang w:val="en-US" w:eastAsia="zh-CN"/>
              </w:rPr>
              <w:t>&lt;</w:t>
            </w:r>
            <w:r>
              <w:rPr>
                <w:rFonts w:hint="default" w:ascii="Times New Roman" w:hAnsi="Times New Roman" w:cs="Times New Roman"/>
                <w:color w:val="000000"/>
                <w:sz w:val="21"/>
                <w:szCs w:val="21"/>
                <w:highlight w:val="none"/>
                <w:vertAlign w:val="baseline"/>
                <w:lang w:val="en-US" w:eastAsia="zh-CN"/>
              </w:rPr>
              <w:t>0.07</w:t>
            </w:r>
          </w:p>
        </w:tc>
        <w:tc>
          <w:tcPr>
            <w:tcW w:w="454" w:type="pct"/>
            <w:tcBorders>
              <w:tl2br w:val="nil"/>
              <w:tr2bl w:val="nil"/>
            </w:tcBorders>
            <w:noWrap w:val="0"/>
            <w:vAlign w:val="center"/>
          </w:tcPr>
          <w:p w14:paraId="2C798F6F">
            <w:pPr>
              <w:widowControl w:val="0"/>
              <w:spacing w:line="240" w:lineRule="auto"/>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WCG25110</w:t>
            </w:r>
            <w:r>
              <w:rPr>
                <w:rFonts w:hint="eastAsia" w:ascii="Times New Roman" w:hAnsi="Times New Roman" w:eastAsia="宋体" w:cs="Times New Roman"/>
                <w:color w:val="000000"/>
                <w:sz w:val="21"/>
                <w:szCs w:val="21"/>
                <w:highlight w:val="none"/>
                <w:vertAlign w:val="baseline"/>
                <w:lang w:val="en-US" w:eastAsia="zh-CN"/>
              </w:rPr>
              <w:t>9</w:t>
            </w:r>
            <w:r>
              <w:rPr>
                <w:rFonts w:hint="default" w:ascii="Times New Roman" w:hAnsi="Times New Roman" w:eastAsia="宋体" w:cs="Times New Roman"/>
                <w:color w:val="000000"/>
                <w:sz w:val="21"/>
                <w:szCs w:val="21"/>
                <w:highlight w:val="none"/>
                <w:vertAlign w:val="baseline"/>
                <w:lang w:val="en-US" w:eastAsia="zh-CN"/>
              </w:rPr>
              <w:t>010</w:t>
            </w:r>
            <w:r>
              <w:rPr>
                <w:rFonts w:hint="eastAsia" w:ascii="Times New Roman" w:hAnsi="Times New Roman" w:eastAsia="宋体" w:cs="Times New Roman"/>
                <w:color w:val="000000"/>
                <w:sz w:val="21"/>
                <w:szCs w:val="21"/>
                <w:highlight w:val="none"/>
                <w:vertAlign w:val="baseline"/>
                <w:lang w:val="en-US" w:eastAsia="zh-CN"/>
              </w:rPr>
              <w:t>12</w:t>
            </w:r>
          </w:p>
        </w:tc>
        <w:tc>
          <w:tcPr>
            <w:tcW w:w="372" w:type="pct"/>
            <w:tcBorders>
              <w:tl2br w:val="nil"/>
              <w:tr2bl w:val="nil"/>
            </w:tcBorders>
            <w:noWrap w:val="0"/>
            <w:vAlign w:val="center"/>
          </w:tcPr>
          <w:p w14:paraId="7F245529">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0.01</w:t>
            </w:r>
            <w:r>
              <w:rPr>
                <w:rFonts w:hint="default" w:ascii="Times New Roman" w:hAnsi="Times New Roman" w:eastAsia="宋体" w:cs="Times New Roman"/>
                <w:i w:val="0"/>
                <w:iCs w:val="0"/>
                <w:color w:val="000000"/>
                <w:kern w:val="0"/>
                <w:sz w:val="21"/>
                <w:szCs w:val="21"/>
                <w:u w:val="none"/>
                <w:lang w:val="en-US" w:eastAsia="zh-CN" w:bidi="ar"/>
              </w:rPr>
              <w:t>3</w:t>
            </w:r>
          </w:p>
        </w:tc>
        <w:tc>
          <w:tcPr>
            <w:tcW w:w="454" w:type="pct"/>
            <w:tcBorders>
              <w:tl2br w:val="nil"/>
              <w:tr2bl w:val="nil"/>
            </w:tcBorders>
            <w:noWrap w:val="0"/>
            <w:vAlign w:val="center"/>
          </w:tcPr>
          <w:p w14:paraId="72F330CA">
            <w:pPr>
              <w:widowControl w:val="0"/>
              <w:spacing w:line="240" w:lineRule="auto"/>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color w:val="000000"/>
                <w:sz w:val="21"/>
                <w:szCs w:val="21"/>
                <w:highlight w:val="none"/>
                <w:vertAlign w:val="baseline"/>
                <w:lang w:val="en-US" w:eastAsia="zh-CN"/>
              </w:rPr>
              <w:t>WCG251103010</w:t>
            </w:r>
            <w:r>
              <w:rPr>
                <w:rFonts w:hint="eastAsia" w:ascii="Times New Roman" w:hAnsi="Times New Roman" w:eastAsia="宋体" w:cs="Times New Roman"/>
                <w:color w:val="000000"/>
                <w:sz w:val="21"/>
                <w:szCs w:val="21"/>
                <w:highlight w:val="none"/>
                <w:vertAlign w:val="baseline"/>
                <w:lang w:val="en-US" w:eastAsia="zh-CN"/>
              </w:rPr>
              <w:t>16</w:t>
            </w:r>
          </w:p>
        </w:tc>
        <w:tc>
          <w:tcPr>
            <w:tcW w:w="310" w:type="pct"/>
            <w:tcBorders>
              <w:tl2br w:val="nil"/>
              <w:tr2bl w:val="nil"/>
            </w:tcBorders>
            <w:noWrap w:val="0"/>
            <w:vAlign w:val="center"/>
          </w:tcPr>
          <w:p w14:paraId="1BBBDFD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&lt;0.05</w:t>
            </w:r>
          </w:p>
        </w:tc>
        <w:tc>
          <w:tcPr>
            <w:tcW w:w="310" w:type="pct"/>
            <w:tcBorders>
              <w:tl2br w:val="nil"/>
              <w:tr2bl w:val="nil"/>
            </w:tcBorders>
            <w:noWrap w:val="0"/>
            <w:vAlign w:val="center"/>
          </w:tcPr>
          <w:p w14:paraId="3A831BA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w:t>
            </w:r>
            <w:r>
              <w:rPr>
                <w:rFonts w:hint="eastAsia" w:ascii="Times New Roman" w:hAnsi="Times New Roman" w:eastAsia="宋体" w:cs="Times New Roman"/>
                <w:i w:val="0"/>
                <w:iCs w:val="0"/>
                <w:color w:val="000000"/>
                <w:kern w:val="0"/>
                <w:sz w:val="21"/>
                <w:szCs w:val="21"/>
                <w:u w:val="none"/>
                <w:lang w:val="en-US" w:eastAsia="zh-CN" w:bidi="ar"/>
              </w:rPr>
              <w:t>00006</w:t>
            </w:r>
          </w:p>
        </w:tc>
        <w:tc>
          <w:tcPr>
            <w:tcW w:w="310" w:type="pct"/>
            <w:tcBorders>
              <w:tl2br w:val="nil"/>
              <w:tr2bl w:val="nil"/>
            </w:tcBorders>
            <w:noWrap w:val="0"/>
            <w:vAlign w:val="center"/>
          </w:tcPr>
          <w:p w14:paraId="5A84FE8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&lt;0000</w:t>
            </w:r>
            <w:r>
              <w:rPr>
                <w:rFonts w:hint="eastAsia" w:ascii="Times New Roman" w:hAnsi="Times New Roman" w:eastAsia="宋体" w:cs="Times New Roman"/>
                <w:i w:val="0"/>
                <w:iCs w:val="0"/>
                <w:color w:val="000000"/>
                <w:kern w:val="0"/>
                <w:sz w:val="21"/>
                <w:szCs w:val="21"/>
                <w:u w:val="none"/>
                <w:lang w:val="en-US" w:eastAsia="zh-CN" w:bidi="ar"/>
              </w:rPr>
              <w:t>4</w:t>
            </w:r>
          </w:p>
        </w:tc>
      </w:tr>
    </w:tbl>
    <w:p w14:paraId="1528DDB8">
      <w:pPr>
        <w:pStyle w:val="59"/>
        <w:keepNext w:val="0"/>
        <w:keepLines w:val="0"/>
        <w:pageBreakBefore w:val="0"/>
        <w:widowControl/>
        <w:numPr>
          <w:ilvl w:val="0"/>
          <w:numId w:val="0"/>
        </w:numPr>
        <w:kinsoku/>
        <w:wordWrap/>
        <w:overflowPunct/>
        <w:topLinePunct w:val="0"/>
        <w:autoSpaceDE/>
        <w:autoSpaceDN/>
        <w:bidi w:val="0"/>
        <w:adjustRightInd/>
        <w:snapToGrid/>
        <w:jc w:val="center"/>
        <w:textAlignment w:val="auto"/>
        <w:rPr>
          <w:rFonts w:hint="eastAsia" w:cs="宋体"/>
          <w:b/>
          <w:bCs/>
          <w:sz w:val="30"/>
          <w:szCs w:val="30"/>
          <w:lang w:val="en-US" w:eastAsia="zh-CN"/>
        </w:rPr>
      </w:pPr>
      <w:r>
        <w:rPr>
          <w:rFonts w:hint="eastAsia" w:cs="宋体"/>
          <w:b/>
          <w:bCs/>
          <w:sz w:val="24"/>
          <w:szCs w:val="24"/>
          <w:lang w:val="en-US" w:eastAsia="zh-CN"/>
        </w:rPr>
        <w:t>表4.2-5   环境空气（24小时均值）检测结果</w:t>
      </w:r>
      <w:r>
        <w:rPr>
          <w:rFonts w:hint="eastAsia" w:ascii="Times New Roman" w:hAnsi="Times New Roman" w:eastAsia="宋体" w:cs="Times New Roman"/>
          <w:b/>
          <w:bCs/>
          <w:sz w:val="24"/>
          <w:lang w:val="en-US" w:eastAsia="zh-CN"/>
        </w:rPr>
        <w:t xml:space="preserve">       </w:t>
      </w:r>
      <w:bookmarkStart w:id="27" w:name="OLE_LINK1"/>
      <w:r>
        <w:rPr>
          <w:rFonts w:hint="eastAsia"/>
          <w:b/>
          <w:bCs/>
          <w:sz w:val="21"/>
          <w:szCs w:val="21"/>
          <w:lang w:eastAsia="zh-CN"/>
        </w:rPr>
        <w:t>单位：</w:t>
      </w:r>
      <w:r>
        <w:rPr>
          <w:rFonts w:hint="eastAsia" w:ascii="Times New Roman" w:hAnsi="Times New Roman" w:cs="Times New Roman"/>
          <w:b/>
          <w:bCs/>
          <w:sz w:val="21"/>
          <w:szCs w:val="21"/>
          <w:lang w:val="en-US" w:eastAsia="zh-CN"/>
        </w:rPr>
        <w:t>m</w:t>
      </w:r>
      <w:r>
        <w:rPr>
          <w:rFonts w:hint="eastAsia"/>
          <w:b/>
          <w:bCs/>
          <w:sz w:val="21"/>
          <w:szCs w:val="21"/>
          <w:lang w:val="en-US" w:eastAsia="zh-CN"/>
        </w:rPr>
        <w:t>g/m</w:t>
      </w:r>
      <w:r>
        <w:rPr>
          <w:rFonts w:hint="eastAsia"/>
          <w:b/>
          <w:bCs/>
          <w:sz w:val="21"/>
          <w:szCs w:val="21"/>
          <w:vertAlign w:val="superscript"/>
          <w:lang w:val="en-US" w:eastAsia="zh-CN"/>
        </w:rPr>
        <w:t>3</w:t>
      </w:r>
      <w:bookmarkEnd w:id="27"/>
    </w:p>
    <w:tbl>
      <w:tblPr>
        <w:tblStyle w:val="23"/>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736"/>
        <w:gridCol w:w="1161"/>
        <w:gridCol w:w="1861"/>
        <w:gridCol w:w="1207"/>
        <w:gridCol w:w="1861"/>
        <w:gridCol w:w="1268"/>
      </w:tblGrid>
      <w:tr w14:paraId="401F78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85" w:type="pct"/>
            <w:tcBorders>
              <w:tl2br w:val="nil"/>
              <w:tr2bl w:val="nil"/>
            </w:tcBorders>
            <w:noWrap w:val="0"/>
            <w:vAlign w:val="center"/>
          </w:tcPr>
          <w:p w14:paraId="5692B8C5">
            <w:pPr>
              <w:widowControl w:val="0"/>
              <w:bidi w:val="0"/>
              <w:jc w:val="center"/>
              <w:rPr>
                <w:rFonts w:hint="default" w:ascii="Times New Roman" w:hAnsi="Times New Roman" w:cs="Times New Roman"/>
              </w:rPr>
            </w:pPr>
            <w:r>
              <w:rPr>
                <w:rFonts w:hint="default" w:ascii="Times New Roman" w:hAnsi="Times New Roman" w:eastAsia="宋体" w:cs="Times New Roman"/>
                <w:sz w:val="21"/>
                <w:szCs w:val="21"/>
                <w:highlight w:val="none"/>
                <w:vertAlign w:val="baseline"/>
                <w:lang w:val="en-US" w:eastAsia="zh-CN"/>
              </w:rPr>
              <w:t>序号</w:t>
            </w:r>
          </w:p>
        </w:tc>
        <w:tc>
          <w:tcPr>
            <w:tcW w:w="626" w:type="pct"/>
            <w:tcBorders>
              <w:tl2br w:val="nil"/>
              <w:tr2bl w:val="nil"/>
            </w:tcBorders>
            <w:noWrap w:val="0"/>
            <w:vAlign w:val="center"/>
          </w:tcPr>
          <w:p w14:paraId="27BD65AD">
            <w:pPr>
              <w:widowControl w:val="0"/>
              <w:bidi w:val="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检测点位</w:t>
            </w:r>
          </w:p>
        </w:tc>
        <w:tc>
          <w:tcPr>
            <w:tcW w:w="582" w:type="pct"/>
            <w:tcBorders>
              <w:tl2br w:val="nil"/>
              <w:tr2bl w:val="nil"/>
            </w:tcBorders>
            <w:noWrap w:val="0"/>
            <w:vAlign w:val="center"/>
          </w:tcPr>
          <w:p w14:paraId="2B111DBD">
            <w:pPr>
              <w:widowControl w:val="0"/>
              <w:bidi w:val="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采样日期</w:t>
            </w:r>
          </w:p>
        </w:tc>
        <w:tc>
          <w:tcPr>
            <w:tcW w:w="926" w:type="pct"/>
            <w:tcBorders>
              <w:tl2br w:val="nil"/>
              <w:tr2bl w:val="nil"/>
            </w:tcBorders>
            <w:noWrap w:val="0"/>
            <w:vAlign w:val="center"/>
          </w:tcPr>
          <w:p w14:paraId="76C6F0F0">
            <w:pPr>
              <w:widowControl w:val="0"/>
              <w:bidi w:val="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样品编号</w:t>
            </w:r>
          </w:p>
        </w:tc>
        <w:tc>
          <w:tcPr>
            <w:tcW w:w="822" w:type="pct"/>
            <w:tcBorders>
              <w:tl2br w:val="nil"/>
              <w:tr2bl w:val="nil"/>
            </w:tcBorders>
            <w:noWrap w:val="0"/>
            <w:vAlign w:val="center"/>
          </w:tcPr>
          <w:p w14:paraId="7DE9BE8A">
            <w:pPr>
              <w:widowControl w:val="0"/>
              <w:bidi w:val="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总悬浮颗粒物</w:t>
            </w:r>
          </w:p>
        </w:tc>
        <w:tc>
          <w:tcPr>
            <w:tcW w:w="898" w:type="pct"/>
            <w:tcBorders>
              <w:tl2br w:val="nil"/>
              <w:tr2bl w:val="nil"/>
            </w:tcBorders>
            <w:noWrap w:val="0"/>
            <w:vAlign w:val="center"/>
          </w:tcPr>
          <w:p w14:paraId="2CDF82F0">
            <w:pPr>
              <w:widowControl w:val="0"/>
              <w:bidi w:val="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样品编号</w:t>
            </w:r>
          </w:p>
        </w:tc>
        <w:tc>
          <w:tcPr>
            <w:tcW w:w="858" w:type="pct"/>
            <w:tcBorders>
              <w:tl2br w:val="nil"/>
              <w:tr2bl w:val="nil"/>
            </w:tcBorders>
            <w:noWrap w:val="0"/>
            <w:vAlign w:val="center"/>
          </w:tcPr>
          <w:p w14:paraId="1572F2C3">
            <w:pPr>
              <w:widowControl w:val="0"/>
              <w:bidi w:val="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氮氧化物</w:t>
            </w:r>
          </w:p>
        </w:tc>
      </w:tr>
      <w:tr w14:paraId="611F2C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tcBorders>
              <w:tl2br w:val="nil"/>
              <w:tr2bl w:val="nil"/>
            </w:tcBorders>
            <w:noWrap w:val="0"/>
            <w:vAlign w:val="center"/>
          </w:tcPr>
          <w:p w14:paraId="0236F01B">
            <w:pPr>
              <w:widowControl w:val="0"/>
              <w:numPr>
                <w:ilvl w:val="0"/>
                <w:numId w:val="25"/>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626" w:type="pct"/>
            <w:vMerge w:val="restart"/>
            <w:tcBorders>
              <w:tl2br w:val="nil"/>
              <w:tr2bl w:val="nil"/>
            </w:tcBorders>
            <w:noWrap w:val="0"/>
            <w:vAlign w:val="center"/>
          </w:tcPr>
          <w:p w14:paraId="1004F3AE">
            <w:pPr>
              <w:keepNext w:val="0"/>
              <w:keepLines w:val="0"/>
              <w:widowControl/>
              <w:suppressLineNumbers w:val="0"/>
              <w:jc w:val="center"/>
              <w:textAlignment w:val="center"/>
              <w:rPr>
                <w:rFonts w:hint="default" w:ascii="Times New Roman" w:hAnsi="Times New Roman" w:cs="Times New Roman"/>
                <w:i w:val="0"/>
                <w:color w:val="000000"/>
                <w:kern w:val="0"/>
                <w:sz w:val="21"/>
                <w:szCs w:val="21"/>
                <w:highlight w:val="none"/>
                <w:u w:val="none"/>
                <w:lang w:val="en-US" w:eastAsia="zh-CN" w:bidi="ar"/>
              </w:rPr>
            </w:pPr>
            <w:r>
              <w:rPr>
                <w:rFonts w:hint="default" w:ascii="Times New Roman" w:hAnsi="Times New Roman" w:eastAsia="宋体" w:cs="Times New Roman"/>
                <w:kern w:val="0"/>
                <w:sz w:val="21"/>
                <w:szCs w:val="21"/>
                <w:highlight w:val="none"/>
                <w:lang w:eastAsia="zh-CN"/>
              </w:rPr>
              <w:t>厂址</w:t>
            </w:r>
            <w:r>
              <w:rPr>
                <w:rFonts w:hint="default" w:ascii="Times New Roman" w:hAnsi="Times New Roman" w:eastAsia="宋体" w:cs="Times New Roman"/>
                <w:kern w:val="0"/>
                <w:sz w:val="21"/>
                <w:szCs w:val="21"/>
                <w:highlight w:val="none"/>
                <w:lang w:val="en-US" w:eastAsia="zh-CN"/>
              </w:rPr>
              <w:t>下风向</w:t>
            </w:r>
            <w:r>
              <w:rPr>
                <w:rFonts w:hint="default" w:ascii="Times New Roman" w:hAnsi="Times New Roman" w:eastAsia="宋体" w:cs="Times New Roman"/>
                <w:b w:val="0"/>
                <w:bCs w:val="0"/>
                <w:sz w:val="21"/>
                <w:szCs w:val="21"/>
                <w:highlight w:val="none"/>
                <w:lang w:val="en-US" w:eastAsia="zh-CN"/>
              </w:rPr>
              <w:t>1○</w:t>
            </w:r>
          </w:p>
        </w:tc>
        <w:tc>
          <w:tcPr>
            <w:tcW w:w="582" w:type="pct"/>
            <w:tcBorders>
              <w:tl2br w:val="nil"/>
              <w:tr2bl w:val="nil"/>
            </w:tcBorders>
            <w:noWrap w:val="0"/>
            <w:vAlign w:val="center"/>
          </w:tcPr>
          <w:p w14:paraId="1DE96A2C">
            <w:pPr>
              <w:keepNext w:val="0"/>
              <w:keepLines w:val="0"/>
              <w:widowControl/>
              <w:suppressLineNumbers w:val="0"/>
              <w:jc w:val="both"/>
              <w:textAlignment w:val="center"/>
              <w:rPr>
                <w:rFonts w:hint="default" w:ascii="Times New Roman" w:hAnsi="Times New Roman"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2025.11.03</w:t>
            </w:r>
          </w:p>
        </w:tc>
        <w:tc>
          <w:tcPr>
            <w:tcW w:w="926" w:type="pct"/>
            <w:tcBorders>
              <w:tl2br w:val="nil"/>
              <w:tr2bl w:val="nil"/>
            </w:tcBorders>
            <w:noWrap w:val="0"/>
            <w:vAlign w:val="center"/>
          </w:tcPr>
          <w:p w14:paraId="0601A446">
            <w:pPr>
              <w:keepNext w:val="0"/>
              <w:keepLines w:val="0"/>
              <w:widowControl/>
              <w:suppressLineNumbers w:val="0"/>
              <w:jc w:val="center"/>
              <w:textAlignment w:val="center"/>
              <w:rPr>
                <w:rFonts w:hint="default" w:ascii="Times New Roman" w:hAnsi="Times New Roman" w:cs="Times New Roman"/>
                <w:i w:val="0"/>
                <w:color w:val="000000"/>
                <w:kern w:val="0"/>
                <w:sz w:val="21"/>
                <w:szCs w:val="21"/>
                <w:highlight w:val="none"/>
                <w:u w:val="none"/>
                <w:lang w:val="en-US" w:eastAsia="zh-CN" w:bidi="ar"/>
              </w:rPr>
            </w:pPr>
            <w:r>
              <w:rPr>
                <w:rFonts w:hint="default" w:ascii="Times New Roman" w:hAnsi="Times New Roman" w:cs="Times New Roman"/>
                <w:i w:val="0"/>
                <w:color w:val="000000"/>
                <w:kern w:val="0"/>
                <w:sz w:val="21"/>
                <w:szCs w:val="21"/>
                <w:highlight w:val="none"/>
                <w:u w:val="none"/>
                <w:lang w:val="en-US" w:eastAsia="zh-CN" w:bidi="ar"/>
              </w:rPr>
              <w:t>WCG25110301017</w:t>
            </w:r>
          </w:p>
        </w:tc>
        <w:tc>
          <w:tcPr>
            <w:tcW w:w="822" w:type="pct"/>
            <w:tcBorders>
              <w:tl2br w:val="nil"/>
              <w:tr2bl w:val="nil"/>
            </w:tcBorders>
            <w:noWrap w:val="0"/>
            <w:vAlign w:val="center"/>
          </w:tcPr>
          <w:p w14:paraId="7BC2053B">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0.108</w:t>
            </w:r>
          </w:p>
        </w:tc>
        <w:tc>
          <w:tcPr>
            <w:tcW w:w="898" w:type="pct"/>
            <w:tcBorders>
              <w:tl2br w:val="nil"/>
              <w:tr2bl w:val="nil"/>
            </w:tcBorders>
            <w:noWrap w:val="0"/>
            <w:vAlign w:val="center"/>
          </w:tcPr>
          <w:p w14:paraId="105D73F3">
            <w:pPr>
              <w:widowControl w:val="0"/>
              <w:spacing w:line="240" w:lineRule="auto"/>
              <w:jc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WCG25110301018</w:t>
            </w:r>
          </w:p>
        </w:tc>
        <w:tc>
          <w:tcPr>
            <w:tcW w:w="858" w:type="pct"/>
            <w:tcBorders>
              <w:tl2br w:val="nil"/>
              <w:tr2bl w:val="nil"/>
            </w:tcBorders>
            <w:noWrap w:val="0"/>
            <w:vAlign w:val="center"/>
          </w:tcPr>
          <w:p w14:paraId="6F22F8F2">
            <w:pPr>
              <w:widowControl w:val="0"/>
              <w:spacing w:line="240" w:lineRule="auto"/>
              <w:jc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0.022</w:t>
            </w:r>
          </w:p>
        </w:tc>
      </w:tr>
      <w:tr w14:paraId="095D14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tcBorders>
              <w:tl2br w:val="nil"/>
              <w:tr2bl w:val="nil"/>
            </w:tcBorders>
            <w:noWrap w:val="0"/>
            <w:vAlign w:val="center"/>
          </w:tcPr>
          <w:p w14:paraId="4CC89787">
            <w:pPr>
              <w:widowControl w:val="0"/>
              <w:numPr>
                <w:ilvl w:val="0"/>
                <w:numId w:val="25"/>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626" w:type="pct"/>
            <w:vMerge w:val="continue"/>
            <w:tcBorders>
              <w:tl2br w:val="nil"/>
              <w:tr2bl w:val="nil"/>
            </w:tcBorders>
            <w:noWrap w:val="0"/>
            <w:vAlign w:val="center"/>
          </w:tcPr>
          <w:p w14:paraId="2FE912F7">
            <w:pPr>
              <w:keepNext w:val="0"/>
              <w:keepLines w:val="0"/>
              <w:widowControl/>
              <w:suppressLineNumbers w:val="0"/>
              <w:jc w:val="center"/>
              <w:textAlignment w:val="center"/>
              <w:rPr>
                <w:rFonts w:hint="default" w:ascii="Times New Roman" w:hAnsi="Times New Roman" w:cs="Times New Roman"/>
                <w:w w:val="100"/>
                <w:sz w:val="21"/>
                <w:szCs w:val="21"/>
                <w:lang w:val="en-US" w:eastAsia="zh-CN"/>
              </w:rPr>
            </w:pPr>
          </w:p>
        </w:tc>
        <w:tc>
          <w:tcPr>
            <w:tcW w:w="582" w:type="pct"/>
            <w:tcBorders>
              <w:tl2br w:val="nil"/>
              <w:tr2bl w:val="nil"/>
            </w:tcBorders>
            <w:noWrap w:val="0"/>
            <w:vAlign w:val="center"/>
          </w:tcPr>
          <w:p w14:paraId="77C15DE6">
            <w:pPr>
              <w:keepNext w:val="0"/>
              <w:keepLines w:val="0"/>
              <w:widowControl/>
              <w:suppressLineNumbers w:val="0"/>
              <w:jc w:val="both"/>
              <w:textAlignment w:val="center"/>
              <w:rPr>
                <w:rFonts w:hint="default" w:ascii="Times New Roman" w:hAnsi="Times New Roman"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2025.11.04</w:t>
            </w:r>
          </w:p>
        </w:tc>
        <w:tc>
          <w:tcPr>
            <w:tcW w:w="926" w:type="pct"/>
            <w:tcBorders>
              <w:tl2br w:val="nil"/>
              <w:tr2bl w:val="nil"/>
            </w:tcBorders>
            <w:noWrap w:val="0"/>
            <w:vAlign w:val="center"/>
          </w:tcPr>
          <w:p w14:paraId="51F83069">
            <w:pPr>
              <w:keepNext w:val="0"/>
              <w:keepLines w:val="0"/>
              <w:widowControl/>
              <w:suppressLineNumbers w:val="0"/>
              <w:jc w:val="center"/>
              <w:textAlignment w:val="center"/>
              <w:rPr>
                <w:rFonts w:hint="default" w:ascii="Times New Roman" w:hAnsi="Times New Roman" w:cs="Times New Roman"/>
                <w:i w:val="0"/>
                <w:color w:val="000000"/>
                <w:kern w:val="0"/>
                <w:sz w:val="21"/>
                <w:szCs w:val="21"/>
                <w:highlight w:val="none"/>
                <w:u w:val="none"/>
                <w:lang w:val="en-US" w:eastAsia="zh-CN" w:bidi="ar"/>
              </w:rPr>
            </w:pPr>
            <w:r>
              <w:rPr>
                <w:rFonts w:hint="default" w:ascii="Times New Roman" w:hAnsi="Times New Roman" w:cs="Times New Roman"/>
                <w:i w:val="0"/>
                <w:color w:val="000000"/>
                <w:kern w:val="0"/>
                <w:sz w:val="21"/>
                <w:szCs w:val="21"/>
                <w:highlight w:val="none"/>
                <w:u w:val="none"/>
                <w:lang w:val="en-US" w:eastAsia="zh-CN" w:bidi="ar"/>
              </w:rPr>
              <w:t>WCG25110401017</w:t>
            </w:r>
          </w:p>
        </w:tc>
        <w:tc>
          <w:tcPr>
            <w:tcW w:w="822" w:type="pct"/>
            <w:tcBorders>
              <w:tl2br w:val="nil"/>
              <w:tr2bl w:val="nil"/>
            </w:tcBorders>
            <w:noWrap w:val="0"/>
            <w:vAlign w:val="center"/>
          </w:tcPr>
          <w:p w14:paraId="3303DD5D">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0.099</w:t>
            </w:r>
          </w:p>
        </w:tc>
        <w:tc>
          <w:tcPr>
            <w:tcW w:w="898" w:type="pct"/>
            <w:tcBorders>
              <w:tl2br w:val="nil"/>
              <w:tr2bl w:val="nil"/>
            </w:tcBorders>
            <w:noWrap w:val="0"/>
            <w:vAlign w:val="center"/>
          </w:tcPr>
          <w:p w14:paraId="2F8BB80B">
            <w:pPr>
              <w:widowControl w:val="0"/>
              <w:spacing w:line="240" w:lineRule="auto"/>
              <w:jc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WCG25110401018</w:t>
            </w:r>
          </w:p>
        </w:tc>
        <w:tc>
          <w:tcPr>
            <w:tcW w:w="858" w:type="pct"/>
            <w:tcBorders>
              <w:tl2br w:val="nil"/>
              <w:tr2bl w:val="nil"/>
            </w:tcBorders>
            <w:noWrap w:val="0"/>
            <w:vAlign w:val="center"/>
          </w:tcPr>
          <w:p w14:paraId="64D92D7C">
            <w:pPr>
              <w:widowControl w:val="0"/>
              <w:spacing w:line="240" w:lineRule="auto"/>
              <w:jc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0.028</w:t>
            </w:r>
          </w:p>
        </w:tc>
      </w:tr>
      <w:tr w14:paraId="759F72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tcBorders>
              <w:tl2br w:val="nil"/>
              <w:tr2bl w:val="nil"/>
            </w:tcBorders>
            <w:noWrap w:val="0"/>
            <w:vAlign w:val="center"/>
          </w:tcPr>
          <w:p w14:paraId="38257389">
            <w:pPr>
              <w:widowControl w:val="0"/>
              <w:numPr>
                <w:ilvl w:val="0"/>
                <w:numId w:val="25"/>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626" w:type="pct"/>
            <w:vMerge w:val="continue"/>
            <w:tcBorders>
              <w:tl2br w:val="nil"/>
              <w:tr2bl w:val="nil"/>
            </w:tcBorders>
            <w:noWrap w:val="0"/>
            <w:vAlign w:val="center"/>
          </w:tcPr>
          <w:p w14:paraId="390458E5">
            <w:pPr>
              <w:keepNext w:val="0"/>
              <w:keepLines w:val="0"/>
              <w:widowControl/>
              <w:suppressLineNumbers w:val="0"/>
              <w:jc w:val="center"/>
              <w:textAlignment w:val="center"/>
              <w:rPr>
                <w:rFonts w:hint="default" w:ascii="Times New Roman" w:hAnsi="Times New Roman" w:cs="Times New Roman"/>
                <w:w w:val="100"/>
                <w:sz w:val="21"/>
                <w:szCs w:val="21"/>
                <w:lang w:val="en-US" w:eastAsia="zh-CN"/>
              </w:rPr>
            </w:pPr>
          </w:p>
        </w:tc>
        <w:tc>
          <w:tcPr>
            <w:tcW w:w="582" w:type="pct"/>
            <w:tcBorders>
              <w:tl2br w:val="nil"/>
              <w:tr2bl w:val="nil"/>
            </w:tcBorders>
            <w:noWrap w:val="0"/>
            <w:vAlign w:val="center"/>
          </w:tcPr>
          <w:p w14:paraId="6A592CBA">
            <w:pPr>
              <w:keepNext w:val="0"/>
              <w:keepLines w:val="0"/>
              <w:widowControl/>
              <w:suppressLineNumbers w:val="0"/>
              <w:jc w:val="both"/>
              <w:textAlignment w:val="center"/>
              <w:rPr>
                <w:rFonts w:hint="default" w:ascii="Times New Roman" w:hAnsi="Times New Roman"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2025.11.05</w:t>
            </w:r>
          </w:p>
        </w:tc>
        <w:tc>
          <w:tcPr>
            <w:tcW w:w="926" w:type="pct"/>
            <w:tcBorders>
              <w:tl2br w:val="nil"/>
              <w:tr2bl w:val="nil"/>
            </w:tcBorders>
            <w:noWrap w:val="0"/>
            <w:vAlign w:val="center"/>
          </w:tcPr>
          <w:p w14:paraId="577CC0A9">
            <w:pPr>
              <w:keepNext w:val="0"/>
              <w:keepLines w:val="0"/>
              <w:widowControl/>
              <w:suppressLineNumbers w:val="0"/>
              <w:jc w:val="center"/>
              <w:textAlignment w:val="center"/>
              <w:rPr>
                <w:rFonts w:hint="default" w:ascii="Times New Roman" w:hAnsi="Times New Roman" w:cs="Times New Roman"/>
                <w:i w:val="0"/>
                <w:color w:val="000000"/>
                <w:kern w:val="0"/>
                <w:sz w:val="21"/>
                <w:szCs w:val="21"/>
                <w:highlight w:val="none"/>
                <w:u w:val="none"/>
                <w:lang w:val="en-US" w:eastAsia="zh-CN" w:bidi="ar"/>
              </w:rPr>
            </w:pPr>
            <w:r>
              <w:rPr>
                <w:rFonts w:hint="default" w:ascii="Times New Roman" w:hAnsi="Times New Roman" w:cs="Times New Roman"/>
                <w:i w:val="0"/>
                <w:color w:val="000000"/>
                <w:kern w:val="0"/>
                <w:sz w:val="21"/>
                <w:szCs w:val="21"/>
                <w:highlight w:val="none"/>
                <w:u w:val="none"/>
                <w:lang w:val="en-US" w:eastAsia="zh-CN" w:bidi="ar"/>
              </w:rPr>
              <w:t>WCG25110501017</w:t>
            </w:r>
          </w:p>
        </w:tc>
        <w:tc>
          <w:tcPr>
            <w:tcW w:w="822" w:type="pct"/>
            <w:tcBorders>
              <w:tl2br w:val="nil"/>
              <w:tr2bl w:val="nil"/>
            </w:tcBorders>
            <w:noWrap w:val="0"/>
            <w:vAlign w:val="center"/>
          </w:tcPr>
          <w:p w14:paraId="4EA14EDE">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0.097</w:t>
            </w:r>
          </w:p>
        </w:tc>
        <w:tc>
          <w:tcPr>
            <w:tcW w:w="898" w:type="pct"/>
            <w:tcBorders>
              <w:tl2br w:val="nil"/>
              <w:tr2bl w:val="nil"/>
            </w:tcBorders>
            <w:noWrap w:val="0"/>
            <w:vAlign w:val="center"/>
          </w:tcPr>
          <w:p w14:paraId="5A24ED3C">
            <w:pPr>
              <w:widowControl w:val="0"/>
              <w:spacing w:line="240" w:lineRule="auto"/>
              <w:jc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WCG25110501018</w:t>
            </w:r>
          </w:p>
        </w:tc>
        <w:tc>
          <w:tcPr>
            <w:tcW w:w="858" w:type="pct"/>
            <w:tcBorders>
              <w:tl2br w:val="nil"/>
              <w:tr2bl w:val="nil"/>
            </w:tcBorders>
            <w:noWrap w:val="0"/>
            <w:vAlign w:val="center"/>
          </w:tcPr>
          <w:p w14:paraId="3C5B5A04">
            <w:pPr>
              <w:widowControl w:val="0"/>
              <w:spacing w:line="240" w:lineRule="auto"/>
              <w:jc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0.042</w:t>
            </w:r>
          </w:p>
        </w:tc>
      </w:tr>
      <w:tr w14:paraId="0FF10F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tcBorders>
              <w:tl2br w:val="nil"/>
              <w:tr2bl w:val="nil"/>
            </w:tcBorders>
            <w:noWrap w:val="0"/>
            <w:vAlign w:val="center"/>
          </w:tcPr>
          <w:p w14:paraId="2708402A">
            <w:pPr>
              <w:widowControl w:val="0"/>
              <w:numPr>
                <w:ilvl w:val="0"/>
                <w:numId w:val="25"/>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626" w:type="pct"/>
            <w:vMerge w:val="continue"/>
            <w:tcBorders>
              <w:tl2br w:val="nil"/>
              <w:tr2bl w:val="nil"/>
            </w:tcBorders>
            <w:noWrap w:val="0"/>
            <w:vAlign w:val="center"/>
          </w:tcPr>
          <w:p w14:paraId="3CB895C5">
            <w:pPr>
              <w:keepNext w:val="0"/>
              <w:keepLines w:val="0"/>
              <w:widowControl/>
              <w:suppressLineNumbers w:val="0"/>
              <w:jc w:val="center"/>
              <w:textAlignment w:val="center"/>
              <w:rPr>
                <w:rFonts w:hint="default" w:ascii="Times New Roman" w:hAnsi="Times New Roman" w:cs="Times New Roman"/>
                <w:w w:val="100"/>
                <w:sz w:val="21"/>
                <w:szCs w:val="21"/>
                <w:lang w:val="en-US" w:eastAsia="zh-CN"/>
              </w:rPr>
            </w:pPr>
          </w:p>
        </w:tc>
        <w:tc>
          <w:tcPr>
            <w:tcW w:w="582" w:type="pct"/>
            <w:tcBorders>
              <w:tl2br w:val="nil"/>
              <w:tr2bl w:val="nil"/>
            </w:tcBorders>
            <w:noWrap w:val="0"/>
            <w:vAlign w:val="center"/>
          </w:tcPr>
          <w:p w14:paraId="5B09617A">
            <w:pPr>
              <w:keepNext w:val="0"/>
              <w:keepLines w:val="0"/>
              <w:widowControl/>
              <w:suppressLineNumbers w:val="0"/>
              <w:jc w:val="both"/>
              <w:textAlignment w:val="center"/>
              <w:rPr>
                <w:rFonts w:hint="default" w:ascii="Times New Roman" w:hAnsi="Times New Roman"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2025.11.06</w:t>
            </w:r>
          </w:p>
        </w:tc>
        <w:tc>
          <w:tcPr>
            <w:tcW w:w="926" w:type="pct"/>
            <w:tcBorders>
              <w:tl2br w:val="nil"/>
              <w:tr2bl w:val="nil"/>
            </w:tcBorders>
            <w:noWrap w:val="0"/>
            <w:vAlign w:val="center"/>
          </w:tcPr>
          <w:p w14:paraId="66709704">
            <w:pPr>
              <w:keepNext w:val="0"/>
              <w:keepLines w:val="0"/>
              <w:widowControl/>
              <w:suppressLineNumbers w:val="0"/>
              <w:jc w:val="center"/>
              <w:textAlignment w:val="center"/>
              <w:rPr>
                <w:rFonts w:hint="default" w:ascii="Times New Roman" w:hAnsi="Times New Roman" w:cs="Times New Roman"/>
                <w:i w:val="0"/>
                <w:color w:val="000000"/>
                <w:kern w:val="0"/>
                <w:sz w:val="21"/>
                <w:szCs w:val="21"/>
                <w:highlight w:val="none"/>
                <w:u w:val="none"/>
                <w:lang w:val="en-US" w:eastAsia="zh-CN" w:bidi="ar"/>
              </w:rPr>
            </w:pPr>
            <w:r>
              <w:rPr>
                <w:rFonts w:hint="default" w:ascii="Times New Roman" w:hAnsi="Times New Roman" w:cs="Times New Roman"/>
                <w:i w:val="0"/>
                <w:color w:val="000000"/>
                <w:kern w:val="0"/>
                <w:sz w:val="21"/>
                <w:szCs w:val="21"/>
                <w:highlight w:val="none"/>
                <w:u w:val="none"/>
                <w:lang w:val="en-US" w:eastAsia="zh-CN" w:bidi="ar"/>
              </w:rPr>
              <w:t>WCG25110601017</w:t>
            </w:r>
          </w:p>
        </w:tc>
        <w:tc>
          <w:tcPr>
            <w:tcW w:w="822" w:type="pct"/>
            <w:tcBorders>
              <w:tl2br w:val="nil"/>
              <w:tr2bl w:val="nil"/>
            </w:tcBorders>
            <w:noWrap w:val="0"/>
            <w:vAlign w:val="center"/>
          </w:tcPr>
          <w:p w14:paraId="58CC5ABC">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0.101</w:t>
            </w:r>
          </w:p>
        </w:tc>
        <w:tc>
          <w:tcPr>
            <w:tcW w:w="898" w:type="pct"/>
            <w:tcBorders>
              <w:tl2br w:val="nil"/>
              <w:tr2bl w:val="nil"/>
            </w:tcBorders>
            <w:noWrap w:val="0"/>
            <w:vAlign w:val="center"/>
          </w:tcPr>
          <w:p w14:paraId="70B7B94F">
            <w:pPr>
              <w:widowControl w:val="0"/>
              <w:spacing w:line="240" w:lineRule="auto"/>
              <w:jc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WCG25110601018</w:t>
            </w:r>
          </w:p>
        </w:tc>
        <w:tc>
          <w:tcPr>
            <w:tcW w:w="858" w:type="pct"/>
            <w:tcBorders>
              <w:tl2br w:val="nil"/>
              <w:tr2bl w:val="nil"/>
            </w:tcBorders>
            <w:noWrap w:val="0"/>
            <w:vAlign w:val="center"/>
          </w:tcPr>
          <w:p w14:paraId="225C5640">
            <w:pPr>
              <w:widowControl w:val="0"/>
              <w:spacing w:line="240" w:lineRule="auto"/>
              <w:jc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0.045</w:t>
            </w:r>
          </w:p>
        </w:tc>
      </w:tr>
      <w:tr w14:paraId="5D677F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tcBorders>
              <w:tl2br w:val="nil"/>
              <w:tr2bl w:val="nil"/>
            </w:tcBorders>
            <w:noWrap w:val="0"/>
            <w:vAlign w:val="center"/>
          </w:tcPr>
          <w:p w14:paraId="43858888">
            <w:pPr>
              <w:widowControl w:val="0"/>
              <w:numPr>
                <w:ilvl w:val="0"/>
                <w:numId w:val="25"/>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626" w:type="pct"/>
            <w:vMerge w:val="continue"/>
            <w:tcBorders>
              <w:tl2br w:val="nil"/>
              <w:tr2bl w:val="nil"/>
            </w:tcBorders>
            <w:noWrap w:val="0"/>
            <w:vAlign w:val="center"/>
          </w:tcPr>
          <w:p w14:paraId="42DAC8A5">
            <w:pPr>
              <w:keepNext w:val="0"/>
              <w:keepLines w:val="0"/>
              <w:widowControl/>
              <w:suppressLineNumbers w:val="0"/>
              <w:jc w:val="center"/>
              <w:textAlignment w:val="center"/>
              <w:rPr>
                <w:rFonts w:hint="default" w:ascii="Times New Roman" w:hAnsi="Times New Roman" w:cs="Times New Roman"/>
                <w:w w:val="100"/>
                <w:sz w:val="21"/>
                <w:szCs w:val="21"/>
                <w:lang w:val="en-US" w:eastAsia="zh-CN"/>
              </w:rPr>
            </w:pPr>
          </w:p>
        </w:tc>
        <w:tc>
          <w:tcPr>
            <w:tcW w:w="582" w:type="pct"/>
            <w:tcBorders>
              <w:tl2br w:val="nil"/>
              <w:tr2bl w:val="nil"/>
            </w:tcBorders>
            <w:noWrap w:val="0"/>
            <w:vAlign w:val="center"/>
          </w:tcPr>
          <w:p w14:paraId="067E0220">
            <w:pPr>
              <w:keepNext w:val="0"/>
              <w:keepLines w:val="0"/>
              <w:widowControl/>
              <w:suppressLineNumbers w:val="0"/>
              <w:jc w:val="both"/>
              <w:textAlignment w:val="center"/>
              <w:rPr>
                <w:rFonts w:hint="default" w:ascii="Times New Roman" w:hAnsi="Times New Roman"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2025.11.07</w:t>
            </w:r>
          </w:p>
        </w:tc>
        <w:tc>
          <w:tcPr>
            <w:tcW w:w="926" w:type="pct"/>
            <w:tcBorders>
              <w:tl2br w:val="nil"/>
              <w:tr2bl w:val="nil"/>
            </w:tcBorders>
            <w:noWrap w:val="0"/>
            <w:vAlign w:val="center"/>
          </w:tcPr>
          <w:p w14:paraId="04B6A962">
            <w:pPr>
              <w:keepNext w:val="0"/>
              <w:keepLines w:val="0"/>
              <w:widowControl/>
              <w:suppressLineNumbers w:val="0"/>
              <w:jc w:val="center"/>
              <w:textAlignment w:val="center"/>
              <w:rPr>
                <w:rFonts w:hint="default" w:ascii="Times New Roman" w:hAnsi="Times New Roman" w:cs="Times New Roman"/>
                <w:i w:val="0"/>
                <w:color w:val="000000"/>
                <w:kern w:val="0"/>
                <w:sz w:val="21"/>
                <w:szCs w:val="21"/>
                <w:highlight w:val="none"/>
                <w:u w:val="none"/>
                <w:lang w:val="en-US" w:eastAsia="zh-CN" w:bidi="ar"/>
              </w:rPr>
            </w:pPr>
            <w:r>
              <w:rPr>
                <w:rFonts w:hint="default" w:ascii="Times New Roman" w:hAnsi="Times New Roman" w:cs="Times New Roman"/>
                <w:i w:val="0"/>
                <w:color w:val="000000"/>
                <w:kern w:val="0"/>
                <w:sz w:val="21"/>
                <w:szCs w:val="21"/>
                <w:highlight w:val="none"/>
                <w:u w:val="none"/>
                <w:lang w:val="en-US" w:eastAsia="zh-CN" w:bidi="ar"/>
              </w:rPr>
              <w:t>WCG25110701017</w:t>
            </w:r>
          </w:p>
        </w:tc>
        <w:tc>
          <w:tcPr>
            <w:tcW w:w="822" w:type="pct"/>
            <w:tcBorders>
              <w:tl2br w:val="nil"/>
              <w:tr2bl w:val="nil"/>
            </w:tcBorders>
            <w:noWrap w:val="0"/>
            <w:vAlign w:val="center"/>
          </w:tcPr>
          <w:p w14:paraId="196D12C8">
            <w:pPr>
              <w:keepNext w:val="0"/>
              <w:keepLines w:val="0"/>
              <w:widowControl/>
              <w:suppressLineNumbers w:val="0"/>
              <w:jc w:val="center"/>
              <w:textAlignment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0.124</w:t>
            </w:r>
          </w:p>
        </w:tc>
        <w:tc>
          <w:tcPr>
            <w:tcW w:w="898" w:type="pct"/>
            <w:tcBorders>
              <w:tl2br w:val="nil"/>
              <w:tr2bl w:val="nil"/>
            </w:tcBorders>
            <w:noWrap w:val="0"/>
            <w:vAlign w:val="center"/>
          </w:tcPr>
          <w:p w14:paraId="49258AEA">
            <w:pPr>
              <w:widowControl w:val="0"/>
              <w:spacing w:line="240" w:lineRule="auto"/>
              <w:jc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WCG25110701018</w:t>
            </w:r>
          </w:p>
        </w:tc>
        <w:tc>
          <w:tcPr>
            <w:tcW w:w="858" w:type="pct"/>
            <w:tcBorders>
              <w:tl2br w:val="nil"/>
              <w:tr2bl w:val="nil"/>
            </w:tcBorders>
            <w:noWrap w:val="0"/>
            <w:vAlign w:val="center"/>
          </w:tcPr>
          <w:p w14:paraId="2B44AF20">
            <w:pPr>
              <w:widowControl w:val="0"/>
              <w:spacing w:line="240" w:lineRule="auto"/>
              <w:jc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0.021</w:t>
            </w:r>
          </w:p>
        </w:tc>
      </w:tr>
      <w:tr w14:paraId="5B1891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tcBorders>
              <w:tl2br w:val="nil"/>
              <w:tr2bl w:val="nil"/>
            </w:tcBorders>
            <w:noWrap w:val="0"/>
            <w:vAlign w:val="center"/>
          </w:tcPr>
          <w:p w14:paraId="5515DB75">
            <w:pPr>
              <w:widowControl w:val="0"/>
              <w:numPr>
                <w:ilvl w:val="0"/>
                <w:numId w:val="25"/>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626" w:type="pct"/>
            <w:vMerge w:val="continue"/>
            <w:tcBorders>
              <w:tl2br w:val="nil"/>
              <w:tr2bl w:val="nil"/>
            </w:tcBorders>
            <w:noWrap w:val="0"/>
            <w:vAlign w:val="center"/>
          </w:tcPr>
          <w:p w14:paraId="25D08FB6">
            <w:pPr>
              <w:keepNext w:val="0"/>
              <w:keepLines w:val="0"/>
              <w:widowControl/>
              <w:suppressLineNumbers w:val="0"/>
              <w:jc w:val="center"/>
              <w:textAlignment w:val="center"/>
              <w:rPr>
                <w:rFonts w:hint="default" w:ascii="Times New Roman" w:hAnsi="Times New Roman" w:cs="Times New Roman"/>
                <w:w w:val="100"/>
                <w:sz w:val="21"/>
                <w:szCs w:val="21"/>
                <w:lang w:val="en-US" w:eastAsia="zh-CN"/>
              </w:rPr>
            </w:pPr>
          </w:p>
        </w:tc>
        <w:tc>
          <w:tcPr>
            <w:tcW w:w="582" w:type="pct"/>
            <w:tcBorders>
              <w:tl2br w:val="nil"/>
              <w:tr2bl w:val="nil"/>
            </w:tcBorders>
            <w:noWrap w:val="0"/>
            <w:vAlign w:val="center"/>
          </w:tcPr>
          <w:p w14:paraId="000F7BED">
            <w:pPr>
              <w:keepNext w:val="0"/>
              <w:keepLines w:val="0"/>
              <w:widowControl/>
              <w:suppressLineNumbers w:val="0"/>
              <w:jc w:val="both"/>
              <w:textAlignment w:val="center"/>
              <w:rPr>
                <w:rFonts w:hint="default" w:ascii="Times New Roman" w:hAnsi="Times New Roman"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2025.11.08</w:t>
            </w:r>
          </w:p>
        </w:tc>
        <w:tc>
          <w:tcPr>
            <w:tcW w:w="926" w:type="pct"/>
            <w:tcBorders>
              <w:tl2br w:val="nil"/>
              <w:tr2bl w:val="nil"/>
            </w:tcBorders>
            <w:noWrap w:val="0"/>
            <w:vAlign w:val="center"/>
          </w:tcPr>
          <w:p w14:paraId="28654B3A">
            <w:pPr>
              <w:keepNext w:val="0"/>
              <w:keepLines w:val="0"/>
              <w:widowControl/>
              <w:suppressLineNumbers w:val="0"/>
              <w:jc w:val="center"/>
              <w:textAlignment w:val="center"/>
              <w:rPr>
                <w:rFonts w:hint="default" w:ascii="Times New Roman" w:hAnsi="Times New Roman" w:cs="Times New Roman"/>
                <w:i w:val="0"/>
                <w:color w:val="000000"/>
                <w:kern w:val="0"/>
                <w:sz w:val="21"/>
                <w:szCs w:val="21"/>
                <w:highlight w:val="none"/>
                <w:u w:val="none"/>
                <w:lang w:val="en-US" w:eastAsia="zh-CN" w:bidi="ar"/>
              </w:rPr>
            </w:pPr>
            <w:r>
              <w:rPr>
                <w:rFonts w:hint="default" w:ascii="Times New Roman" w:hAnsi="Times New Roman" w:cs="Times New Roman"/>
                <w:i w:val="0"/>
                <w:color w:val="000000"/>
                <w:kern w:val="0"/>
                <w:sz w:val="21"/>
                <w:szCs w:val="21"/>
                <w:highlight w:val="none"/>
                <w:u w:val="none"/>
                <w:lang w:val="en-US" w:eastAsia="zh-CN" w:bidi="ar"/>
              </w:rPr>
              <w:t>WCG25110801017</w:t>
            </w:r>
          </w:p>
        </w:tc>
        <w:tc>
          <w:tcPr>
            <w:tcW w:w="822" w:type="pct"/>
            <w:tcBorders>
              <w:tl2br w:val="nil"/>
              <w:tr2bl w:val="nil"/>
            </w:tcBorders>
            <w:noWrap w:val="0"/>
            <w:vAlign w:val="center"/>
          </w:tcPr>
          <w:p w14:paraId="309BBB36">
            <w:pPr>
              <w:keepNext w:val="0"/>
              <w:keepLines w:val="0"/>
              <w:widowControl/>
              <w:suppressLineNumbers w:val="0"/>
              <w:jc w:val="center"/>
              <w:textAlignment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0.109</w:t>
            </w:r>
          </w:p>
        </w:tc>
        <w:tc>
          <w:tcPr>
            <w:tcW w:w="898" w:type="pct"/>
            <w:tcBorders>
              <w:tl2br w:val="nil"/>
              <w:tr2bl w:val="nil"/>
            </w:tcBorders>
            <w:noWrap w:val="0"/>
            <w:vAlign w:val="center"/>
          </w:tcPr>
          <w:p w14:paraId="385288E3">
            <w:pPr>
              <w:widowControl w:val="0"/>
              <w:spacing w:line="240" w:lineRule="auto"/>
              <w:jc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WCG25110801018</w:t>
            </w:r>
          </w:p>
        </w:tc>
        <w:tc>
          <w:tcPr>
            <w:tcW w:w="858" w:type="pct"/>
            <w:tcBorders>
              <w:tl2br w:val="nil"/>
              <w:tr2bl w:val="nil"/>
            </w:tcBorders>
            <w:noWrap w:val="0"/>
            <w:vAlign w:val="center"/>
          </w:tcPr>
          <w:p w14:paraId="5DD82554">
            <w:pPr>
              <w:widowControl w:val="0"/>
              <w:spacing w:line="240" w:lineRule="auto"/>
              <w:jc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0.030</w:t>
            </w:r>
          </w:p>
        </w:tc>
      </w:tr>
      <w:tr w14:paraId="7849BD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 w:type="pct"/>
            <w:tcBorders>
              <w:tl2br w:val="nil"/>
              <w:tr2bl w:val="nil"/>
            </w:tcBorders>
            <w:noWrap w:val="0"/>
            <w:vAlign w:val="center"/>
          </w:tcPr>
          <w:p w14:paraId="19EECEF1">
            <w:pPr>
              <w:widowControl w:val="0"/>
              <w:numPr>
                <w:ilvl w:val="0"/>
                <w:numId w:val="25"/>
              </w:numPr>
              <w:bidi w:val="0"/>
              <w:ind w:left="425" w:leftChars="0" w:hanging="425" w:firstLineChars="0"/>
              <w:jc w:val="center"/>
              <w:rPr>
                <w:rFonts w:hint="default" w:ascii="Times New Roman" w:hAnsi="Times New Roman" w:eastAsia="宋体" w:cs="Times New Roman"/>
                <w:sz w:val="21"/>
                <w:szCs w:val="21"/>
                <w:highlight w:val="none"/>
                <w:vertAlign w:val="baseline"/>
              </w:rPr>
            </w:pPr>
          </w:p>
        </w:tc>
        <w:tc>
          <w:tcPr>
            <w:tcW w:w="626" w:type="pct"/>
            <w:vMerge w:val="continue"/>
            <w:tcBorders>
              <w:tl2br w:val="nil"/>
              <w:tr2bl w:val="nil"/>
            </w:tcBorders>
            <w:noWrap w:val="0"/>
            <w:vAlign w:val="center"/>
          </w:tcPr>
          <w:p w14:paraId="60493E9A">
            <w:pPr>
              <w:keepNext w:val="0"/>
              <w:keepLines w:val="0"/>
              <w:widowControl/>
              <w:suppressLineNumbers w:val="0"/>
              <w:jc w:val="center"/>
              <w:textAlignment w:val="center"/>
              <w:rPr>
                <w:rFonts w:hint="default" w:ascii="Times New Roman" w:hAnsi="Times New Roman" w:cs="Times New Roman"/>
                <w:w w:val="100"/>
                <w:sz w:val="21"/>
                <w:szCs w:val="21"/>
                <w:lang w:val="en-US" w:eastAsia="zh-CN"/>
              </w:rPr>
            </w:pPr>
          </w:p>
        </w:tc>
        <w:tc>
          <w:tcPr>
            <w:tcW w:w="582" w:type="pct"/>
            <w:tcBorders>
              <w:tl2br w:val="nil"/>
              <w:tr2bl w:val="nil"/>
            </w:tcBorders>
            <w:noWrap w:val="0"/>
            <w:vAlign w:val="center"/>
          </w:tcPr>
          <w:p w14:paraId="10225F19">
            <w:pPr>
              <w:keepNext w:val="0"/>
              <w:keepLines w:val="0"/>
              <w:widowControl/>
              <w:suppressLineNumbers w:val="0"/>
              <w:jc w:val="both"/>
              <w:textAlignment w:val="center"/>
              <w:rPr>
                <w:rFonts w:hint="default" w:ascii="Times New Roman" w:hAnsi="Times New Roman"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2025.11.09</w:t>
            </w:r>
          </w:p>
        </w:tc>
        <w:tc>
          <w:tcPr>
            <w:tcW w:w="926" w:type="pct"/>
            <w:tcBorders>
              <w:tl2br w:val="nil"/>
              <w:tr2bl w:val="nil"/>
            </w:tcBorders>
            <w:noWrap w:val="0"/>
            <w:vAlign w:val="center"/>
          </w:tcPr>
          <w:p w14:paraId="511D7B81">
            <w:pPr>
              <w:keepNext w:val="0"/>
              <w:keepLines w:val="0"/>
              <w:widowControl/>
              <w:suppressLineNumbers w:val="0"/>
              <w:jc w:val="center"/>
              <w:textAlignment w:val="center"/>
              <w:rPr>
                <w:rFonts w:hint="default" w:ascii="Times New Roman" w:hAnsi="Times New Roman" w:cs="Times New Roman"/>
                <w:i w:val="0"/>
                <w:color w:val="000000"/>
                <w:kern w:val="0"/>
                <w:sz w:val="21"/>
                <w:szCs w:val="21"/>
                <w:highlight w:val="none"/>
                <w:u w:val="none"/>
                <w:lang w:val="en-US" w:eastAsia="zh-CN" w:bidi="ar"/>
              </w:rPr>
            </w:pPr>
            <w:r>
              <w:rPr>
                <w:rFonts w:hint="default" w:ascii="Times New Roman" w:hAnsi="Times New Roman" w:cs="Times New Roman"/>
                <w:i w:val="0"/>
                <w:color w:val="000000"/>
                <w:kern w:val="0"/>
                <w:sz w:val="21"/>
                <w:szCs w:val="21"/>
                <w:highlight w:val="none"/>
                <w:u w:val="none"/>
                <w:lang w:val="en-US" w:eastAsia="zh-CN" w:bidi="ar"/>
              </w:rPr>
              <w:t>WCG25110901017</w:t>
            </w:r>
          </w:p>
        </w:tc>
        <w:tc>
          <w:tcPr>
            <w:tcW w:w="822" w:type="pct"/>
            <w:tcBorders>
              <w:tl2br w:val="nil"/>
              <w:tr2bl w:val="nil"/>
            </w:tcBorders>
            <w:noWrap w:val="0"/>
            <w:vAlign w:val="center"/>
          </w:tcPr>
          <w:p w14:paraId="76765835">
            <w:pPr>
              <w:keepNext w:val="0"/>
              <w:keepLines w:val="0"/>
              <w:widowControl/>
              <w:suppressLineNumbers w:val="0"/>
              <w:jc w:val="center"/>
              <w:textAlignment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0.112</w:t>
            </w:r>
          </w:p>
        </w:tc>
        <w:tc>
          <w:tcPr>
            <w:tcW w:w="898" w:type="pct"/>
            <w:tcBorders>
              <w:tl2br w:val="nil"/>
              <w:tr2bl w:val="nil"/>
            </w:tcBorders>
            <w:noWrap w:val="0"/>
            <w:vAlign w:val="center"/>
          </w:tcPr>
          <w:p w14:paraId="2D215ECA">
            <w:pPr>
              <w:widowControl w:val="0"/>
              <w:spacing w:line="240" w:lineRule="auto"/>
              <w:jc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WCG25110901018</w:t>
            </w:r>
          </w:p>
        </w:tc>
        <w:tc>
          <w:tcPr>
            <w:tcW w:w="858" w:type="pct"/>
            <w:tcBorders>
              <w:tl2br w:val="nil"/>
              <w:tr2bl w:val="nil"/>
            </w:tcBorders>
            <w:noWrap w:val="0"/>
            <w:vAlign w:val="center"/>
          </w:tcPr>
          <w:p w14:paraId="169BCDFF">
            <w:pPr>
              <w:widowControl w:val="0"/>
              <w:spacing w:line="240" w:lineRule="auto"/>
              <w:jc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0.021</w:t>
            </w:r>
          </w:p>
        </w:tc>
      </w:tr>
    </w:tbl>
    <w:p w14:paraId="57B5EE4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eastAsia"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5、评价方法</w:t>
      </w:r>
    </w:p>
    <w:p w14:paraId="12BB8131">
      <w:pPr>
        <w:pStyle w:val="40"/>
        <w:keepNext w:val="0"/>
        <w:keepLines w:val="0"/>
        <w:pageBreakBefore w:val="0"/>
        <w:widowControl/>
        <w:kinsoku w:val="0"/>
        <w:wordWrap/>
        <w:overflowPunct/>
        <w:topLinePunct w:val="0"/>
        <w:autoSpaceDE w:val="0"/>
        <w:autoSpaceDN w:val="0"/>
        <w:bidi w:val="0"/>
        <w:spacing w:line="360" w:lineRule="auto"/>
        <w:ind w:firstLine="480" w:firstLineChars="200"/>
        <w:textAlignment w:val="baseline"/>
        <w:rPr>
          <w:rFonts w:hint="default" w:ascii="Times New Roman" w:hAnsi="Times New Roman" w:cs="Times New Roman"/>
          <w:color w:val="000000" w:themeColor="text1"/>
          <w:sz w:val="24"/>
          <w:szCs w:val="24"/>
          <w14:textFill>
            <w14:solidFill>
              <w14:schemeClr w14:val="tx1"/>
            </w14:solidFill>
          </w14:textFill>
        </w:rPr>
      </w:pPr>
      <w:bookmarkStart w:id="28" w:name="_Hlk11617203"/>
      <w:r>
        <w:rPr>
          <w:rFonts w:hint="default" w:ascii="Times New Roman" w:hAnsi="Times New Roman" w:cs="Times New Roman"/>
          <w:color w:val="000000" w:themeColor="text1"/>
          <w:sz w:val="24"/>
          <w:szCs w:val="24"/>
          <w14:textFill>
            <w14:solidFill>
              <w14:schemeClr w14:val="tx1"/>
            </w14:solidFill>
          </w14:textFill>
        </w:rPr>
        <w:t>根据《环境影响评价技术导则 大气环境》（HJ2.2-2018），监测结果统计分析要求以列表的方式给出各监测点大气污染物的不同取值时间的变化范围，计算并列表给出各取值时间最大浓度值占相应浓度标准浓度限值的百分比和超标率，并评价达标情况。</w:t>
      </w:r>
    </w:p>
    <w:bookmarkEnd w:id="28"/>
    <w:p w14:paraId="3ECC4023">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
        </w:rPr>
      </w:pPr>
      <w:r>
        <w:rPr>
          <w:rFonts w:hint="eastAsia" w:ascii="Times New Roman" w:hAnsi="Times New Roman" w:eastAsia="宋体" w:cs="Times New Roman"/>
          <w:snapToGrid w:val="0"/>
          <w:color w:val="auto"/>
          <w:kern w:val="0"/>
          <w:sz w:val="24"/>
          <w:szCs w:val="24"/>
          <w:lang w:val="en-US" w:eastAsia="zh-CN" w:bidi="ar"/>
        </w:rPr>
        <w:t>本项目其他污染物环境质量现状（监测结果）表见表4.2-6。</w:t>
      </w:r>
    </w:p>
    <w:p w14:paraId="4BC8A858">
      <w:pPr>
        <w:pStyle w:val="32"/>
        <w:keepNext w:val="0"/>
        <w:keepLines w:val="0"/>
        <w:pageBreakBefore w:val="0"/>
        <w:widowControl w:val="0"/>
        <w:kinsoku/>
        <w:wordWrap/>
        <w:overflowPunct/>
        <w:topLinePunct w:val="0"/>
        <w:autoSpaceDE w:val="0"/>
        <w:autoSpaceDN w:val="0"/>
        <w:bidi w:val="0"/>
        <w:adjustRightInd w:val="0"/>
        <w:snapToGrid/>
        <w:jc w:val="center"/>
        <w:textAlignment w:val="baseline"/>
        <w:rPr>
          <w:rFonts w:hint="default" w:ascii="Times New Roman" w:hAnsi="Times New Roman" w:eastAsia="宋体" w:cs="Times New Roman"/>
          <w:b/>
          <w:bCs w:val="0"/>
          <w:color w:val="auto"/>
          <w:kern w:val="2"/>
          <w:sz w:val="24"/>
          <w:szCs w:val="24"/>
          <w:highlight w:val="none"/>
          <w:lang w:val="en-US" w:eastAsia="zh-CN" w:bidi="ar-SA"/>
        </w:rPr>
      </w:pPr>
      <w:r>
        <w:rPr>
          <w:rFonts w:hint="default" w:ascii="Times New Roman" w:hAnsi="Times New Roman" w:eastAsia="宋体" w:cs="Times New Roman"/>
          <w:b/>
          <w:bCs w:val="0"/>
          <w:color w:val="auto"/>
          <w:kern w:val="2"/>
          <w:sz w:val="24"/>
          <w:szCs w:val="24"/>
          <w:highlight w:val="none"/>
          <w:lang w:val="en-US" w:eastAsia="zh-CN" w:bidi="ar-SA"/>
        </w:rPr>
        <w:t>表4.2-</w:t>
      </w:r>
      <w:r>
        <w:rPr>
          <w:rFonts w:hint="eastAsia" w:ascii="Times New Roman" w:hAnsi="Times New Roman" w:eastAsia="宋体" w:cs="Times New Roman"/>
          <w:b/>
          <w:bCs w:val="0"/>
          <w:color w:val="auto"/>
          <w:kern w:val="2"/>
          <w:sz w:val="24"/>
          <w:szCs w:val="24"/>
          <w:highlight w:val="none"/>
          <w:lang w:val="en-US" w:eastAsia="zh-CN" w:bidi="ar-SA"/>
        </w:rPr>
        <w:t>6 其他污染物环境质量现状（监测结果）表</w:t>
      </w:r>
    </w:p>
    <w:tbl>
      <w:tblPr>
        <w:tblStyle w:val="22"/>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088"/>
        <w:gridCol w:w="650"/>
        <w:gridCol w:w="612"/>
        <w:gridCol w:w="1024"/>
        <w:gridCol w:w="1224"/>
        <w:gridCol w:w="1242"/>
        <w:gridCol w:w="1163"/>
        <w:gridCol w:w="780"/>
        <w:gridCol w:w="605"/>
        <w:gridCol w:w="684"/>
      </w:tblGrid>
      <w:tr w14:paraId="0AD0F1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1088" w:type="dxa"/>
            <w:vMerge w:val="restart"/>
            <w:tcBorders>
              <w:tl2br w:val="nil"/>
              <w:tr2bl w:val="nil"/>
            </w:tcBorders>
            <w:shd w:val="clear" w:color="000000" w:fill="FFFFFF"/>
            <w:vAlign w:val="center"/>
          </w:tcPr>
          <w:p w14:paraId="3DB5D58B">
            <w:pPr>
              <w:pStyle w:val="59"/>
              <w:snapToGrid w:val="0"/>
              <w:rPr>
                <w:rFonts w:hint="eastAsia" w:eastAsia="宋体"/>
                <w:b/>
                <w:bCs w:val="0"/>
                <w:color w:val="auto"/>
                <w:sz w:val="21"/>
                <w:szCs w:val="21"/>
                <w:lang w:val="en-US" w:eastAsia="zh-CN"/>
              </w:rPr>
            </w:pPr>
            <w:r>
              <w:rPr>
                <w:rFonts w:hint="eastAsia"/>
                <w:b/>
                <w:bCs w:val="0"/>
                <w:color w:val="auto"/>
                <w:sz w:val="21"/>
                <w:szCs w:val="21"/>
                <w:lang w:val="en-US" w:eastAsia="zh-CN"/>
              </w:rPr>
              <w:t>监测点位</w:t>
            </w:r>
          </w:p>
        </w:tc>
        <w:tc>
          <w:tcPr>
            <w:tcW w:w="1262" w:type="dxa"/>
            <w:gridSpan w:val="2"/>
            <w:tcBorders>
              <w:tl2br w:val="nil"/>
              <w:tr2bl w:val="nil"/>
            </w:tcBorders>
            <w:shd w:val="clear" w:color="000000" w:fill="FFFFFF"/>
            <w:vAlign w:val="center"/>
          </w:tcPr>
          <w:p w14:paraId="069F7551">
            <w:pPr>
              <w:keepNext w:val="0"/>
              <w:keepLines w:val="0"/>
              <w:pageBreakBefore w:val="0"/>
              <w:widowControl/>
              <w:suppressLineNumbers w:val="0"/>
              <w:kinsoku/>
              <w:wordWrap/>
              <w:overflowPunct/>
              <w:topLinePunct w:val="0"/>
              <w:autoSpaceDE/>
              <w:autoSpaceDN/>
              <w:bidi w:val="0"/>
              <w:adjustRightInd/>
              <w:snapToGrid/>
              <w:jc w:val="center"/>
              <w:textAlignment w:val="center"/>
              <w:rPr>
                <w:b/>
                <w:bCs w:val="0"/>
                <w:color w:val="auto"/>
                <w:sz w:val="21"/>
                <w:szCs w:val="21"/>
              </w:rPr>
            </w:pPr>
            <w:r>
              <w:rPr>
                <w:rFonts w:hint="default" w:ascii="Times New Roman" w:hAnsi="Times New Roman" w:eastAsia="宋体" w:cs="Times New Roman"/>
                <w:b/>
                <w:bCs w:val="0"/>
                <w:i w:val="0"/>
                <w:color w:val="auto"/>
                <w:kern w:val="0"/>
                <w:sz w:val="21"/>
                <w:szCs w:val="21"/>
                <w:highlight w:val="none"/>
                <w:u w:val="none"/>
                <w:lang w:val="en-US" w:eastAsia="zh-CN" w:bidi="ar"/>
              </w:rPr>
              <w:t>监测点坐标/经纬度</w:t>
            </w:r>
          </w:p>
        </w:tc>
        <w:tc>
          <w:tcPr>
            <w:tcW w:w="1024" w:type="dxa"/>
            <w:vMerge w:val="restart"/>
            <w:tcBorders>
              <w:tl2br w:val="nil"/>
              <w:tr2bl w:val="nil"/>
            </w:tcBorders>
            <w:shd w:val="clear" w:color="000000" w:fill="FFFFFF"/>
            <w:vAlign w:val="center"/>
          </w:tcPr>
          <w:p w14:paraId="42395D0A">
            <w:pPr>
              <w:pStyle w:val="59"/>
              <w:snapToGrid w:val="0"/>
              <w:rPr>
                <w:b/>
                <w:bCs w:val="0"/>
                <w:color w:val="auto"/>
                <w:sz w:val="21"/>
                <w:szCs w:val="21"/>
              </w:rPr>
            </w:pPr>
            <w:r>
              <w:rPr>
                <w:b/>
                <w:bCs w:val="0"/>
                <w:color w:val="auto"/>
                <w:sz w:val="21"/>
                <w:szCs w:val="21"/>
              </w:rPr>
              <w:t>污染物</w:t>
            </w:r>
          </w:p>
        </w:tc>
        <w:tc>
          <w:tcPr>
            <w:tcW w:w="1224" w:type="dxa"/>
            <w:vMerge w:val="restart"/>
            <w:tcBorders>
              <w:tl2br w:val="nil"/>
              <w:tr2bl w:val="nil"/>
            </w:tcBorders>
            <w:shd w:val="clear" w:color="000000" w:fill="FFFFFF"/>
            <w:vAlign w:val="center"/>
          </w:tcPr>
          <w:p w14:paraId="361E2F32">
            <w:pPr>
              <w:pStyle w:val="59"/>
              <w:snapToGrid w:val="0"/>
              <w:rPr>
                <w:b/>
                <w:bCs w:val="0"/>
                <w:color w:val="auto"/>
                <w:sz w:val="21"/>
                <w:szCs w:val="21"/>
              </w:rPr>
            </w:pPr>
            <w:r>
              <w:rPr>
                <w:b/>
                <w:bCs w:val="0"/>
                <w:color w:val="auto"/>
                <w:sz w:val="21"/>
                <w:szCs w:val="21"/>
              </w:rPr>
              <w:t>平均时间</w:t>
            </w:r>
          </w:p>
        </w:tc>
        <w:tc>
          <w:tcPr>
            <w:tcW w:w="1242" w:type="dxa"/>
            <w:tcBorders>
              <w:tl2br w:val="nil"/>
              <w:tr2bl w:val="nil"/>
            </w:tcBorders>
            <w:shd w:val="clear" w:color="000000" w:fill="FFFFFF"/>
            <w:vAlign w:val="center"/>
          </w:tcPr>
          <w:p w14:paraId="101DFB80">
            <w:pPr>
              <w:pStyle w:val="59"/>
              <w:snapToGrid w:val="0"/>
              <w:rPr>
                <w:b/>
                <w:bCs w:val="0"/>
                <w:color w:val="auto"/>
                <w:sz w:val="21"/>
                <w:szCs w:val="21"/>
              </w:rPr>
            </w:pPr>
            <w:r>
              <w:rPr>
                <w:b/>
                <w:bCs w:val="0"/>
                <w:color w:val="auto"/>
                <w:sz w:val="21"/>
                <w:szCs w:val="21"/>
              </w:rPr>
              <w:t>评价标准/</w:t>
            </w:r>
          </w:p>
        </w:tc>
        <w:tc>
          <w:tcPr>
            <w:tcW w:w="1163" w:type="dxa"/>
            <w:vMerge w:val="restart"/>
            <w:tcBorders>
              <w:tl2br w:val="nil"/>
              <w:tr2bl w:val="nil"/>
            </w:tcBorders>
            <w:shd w:val="clear" w:color="000000" w:fill="FFFFFF"/>
            <w:vAlign w:val="center"/>
          </w:tcPr>
          <w:p w14:paraId="5F73D9C5">
            <w:pPr>
              <w:pStyle w:val="59"/>
              <w:snapToGrid w:val="0"/>
              <w:rPr>
                <w:b/>
                <w:color w:val="auto"/>
                <w:sz w:val="21"/>
                <w:szCs w:val="21"/>
              </w:rPr>
            </w:pPr>
            <w:r>
              <w:rPr>
                <w:b/>
                <w:color w:val="auto"/>
                <w:sz w:val="21"/>
                <w:szCs w:val="21"/>
              </w:rPr>
              <w:t>监测浓度范围/（μg/m</w:t>
            </w:r>
            <w:r>
              <w:rPr>
                <w:b/>
                <w:color w:val="auto"/>
                <w:sz w:val="21"/>
                <w:szCs w:val="21"/>
                <w:vertAlign w:val="superscript"/>
              </w:rPr>
              <w:t>3</w:t>
            </w:r>
            <w:r>
              <w:rPr>
                <w:b/>
                <w:color w:val="auto"/>
                <w:sz w:val="21"/>
                <w:szCs w:val="21"/>
              </w:rPr>
              <w:t>）</w:t>
            </w:r>
          </w:p>
        </w:tc>
        <w:tc>
          <w:tcPr>
            <w:tcW w:w="780" w:type="dxa"/>
            <w:vMerge w:val="restart"/>
            <w:tcBorders>
              <w:tl2br w:val="nil"/>
              <w:tr2bl w:val="nil"/>
            </w:tcBorders>
            <w:shd w:val="clear" w:color="000000" w:fill="FFFFFF"/>
            <w:vAlign w:val="center"/>
          </w:tcPr>
          <w:p w14:paraId="200377A3">
            <w:pPr>
              <w:pStyle w:val="59"/>
              <w:snapToGrid w:val="0"/>
              <w:rPr>
                <w:b/>
                <w:color w:val="auto"/>
                <w:sz w:val="21"/>
                <w:szCs w:val="21"/>
              </w:rPr>
            </w:pPr>
            <w:r>
              <w:rPr>
                <w:b/>
                <w:color w:val="auto"/>
                <w:sz w:val="21"/>
                <w:szCs w:val="21"/>
              </w:rPr>
              <w:t>最大浓度占标率/%</w:t>
            </w:r>
          </w:p>
        </w:tc>
        <w:tc>
          <w:tcPr>
            <w:tcW w:w="605" w:type="dxa"/>
            <w:tcBorders>
              <w:tl2br w:val="nil"/>
              <w:tr2bl w:val="nil"/>
            </w:tcBorders>
            <w:shd w:val="clear" w:color="000000" w:fill="FFFFFF"/>
            <w:vAlign w:val="center"/>
          </w:tcPr>
          <w:p w14:paraId="4C37F8F5">
            <w:pPr>
              <w:pStyle w:val="59"/>
              <w:snapToGrid w:val="0"/>
              <w:rPr>
                <w:b/>
                <w:color w:val="auto"/>
                <w:sz w:val="21"/>
                <w:szCs w:val="21"/>
              </w:rPr>
            </w:pPr>
            <w:r>
              <w:rPr>
                <w:b/>
                <w:color w:val="auto"/>
                <w:sz w:val="21"/>
                <w:szCs w:val="21"/>
              </w:rPr>
              <w:t>超标概率/</w:t>
            </w:r>
          </w:p>
        </w:tc>
        <w:tc>
          <w:tcPr>
            <w:tcW w:w="684" w:type="dxa"/>
            <w:vMerge w:val="restart"/>
            <w:tcBorders>
              <w:tl2br w:val="nil"/>
              <w:tr2bl w:val="nil"/>
            </w:tcBorders>
            <w:shd w:val="clear" w:color="000000" w:fill="FFFFFF"/>
            <w:vAlign w:val="center"/>
          </w:tcPr>
          <w:p w14:paraId="0F55079E">
            <w:pPr>
              <w:pStyle w:val="59"/>
              <w:snapToGrid w:val="0"/>
              <w:rPr>
                <w:b/>
                <w:color w:val="auto"/>
                <w:sz w:val="21"/>
                <w:szCs w:val="21"/>
              </w:rPr>
            </w:pPr>
            <w:r>
              <w:rPr>
                <w:b/>
                <w:color w:val="auto"/>
                <w:sz w:val="21"/>
                <w:szCs w:val="21"/>
              </w:rPr>
              <w:t>达标情况</w:t>
            </w:r>
          </w:p>
        </w:tc>
      </w:tr>
      <w:tr w14:paraId="686CC8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1088" w:type="dxa"/>
            <w:vMerge w:val="continue"/>
            <w:tcBorders>
              <w:tl2br w:val="nil"/>
              <w:tr2bl w:val="nil"/>
            </w:tcBorders>
            <w:shd w:val="clear" w:color="auto" w:fill="auto"/>
            <w:vAlign w:val="center"/>
          </w:tcPr>
          <w:p w14:paraId="621BC4C8">
            <w:pPr>
              <w:pStyle w:val="59"/>
              <w:snapToGrid w:val="0"/>
              <w:rPr>
                <w:b/>
                <w:bCs w:val="0"/>
                <w:color w:val="auto"/>
                <w:sz w:val="21"/>
                <w:szCs w:val="21"/>
              </w:rPr>
            </w:pPr>
          </w:p>
        </w:tc>
        <w:tc>
          <w:tcPr>
            <w:tcW w:w="650" w:type="dxa"/>
            <w:tcBorders>
              <w:tl2br w:val="nil"/>
              <w:tr2bl w:val="nil"/>
            </w:tcBorders>
            <w:shd w:val="clear" w:color="000000" w:fill="FFFFFF"/>
            <w:vAlign w:val="center"/>
          </w:tcPr>
          <w:p w14:paraId="0E8309BB">
            <w:pPr>
              <w:keepNext w:val="0"/>
              <w:keepLines w:val="0"/>
              <w:pageBreakBefore w:val="0"/>
              <w:widowControl/>
              <w:suppressLineNumbers w:val="0"/>
              <w:kinsoku/>
              <w:wordWrap/>
              <w:overflowPunct/>
              <w:topLinePunct w:val="0"/>
              <w:autoSpaceDE/>
              <w:autoSpaceDN/>
              <w:bidi w:val="0"/>
              <w:adjustRightInd/>
              <w:snapToGrid/>
              <w:jc w:val="center"/>
              <w:textAlignment w:val="center"/>
              <w:rPr>
                <w:b/>
                <w:bCs w:val="0"/>
                <w:color w:val="auto"/>
                <w:sz w:val="21"/>
                <w:szCs w:val="21"/>
              </w:rPr>
            </w:pPr>
            <w:r>
              <w:rPr>
                <w:rFonts w:hint="eastAsia" w:ascii="Times New Roman" w:hAnsi="Times New Roman" w:eastAsia="宋体" w:cs="Times New Roman"/>
                <w:b/>
                <w:bCs w:val="0"/>
                <w:i w:val="0"/>
                <w:color w:val="auto"/>
                <w:sz w:val="21"/>
                <w:szCs w:val="21"/>
                <w:highlight w:val="none"/>
                <w:u w:val="none"/>
                <w:lang w:val="en-US" w:eastAsia="zh-CN"/>
              </w:rPr>
              <w:t>E</w:t>
            </w:r>
          </w:p>
        </w:tc>
        <w:tc>
          <w:tcPr>
            <w:tcW w:w="612" w:type="dxa"/>
            <w:tcBorders>
              <w:tl2br w:val="nil"/>
              <w:tr2bl w:val="nil"/>
            </w:tcBorders>
            <w:shd w:val="clear" w:color="000000" w:fill="FFFFFF"/>
            <w:vAlign w:val="center"/>
          </w:tcPr>
          <w:p w14:paraId="03DE03F9">
            <w:pPr>
              <w:keepNext w:val="0"/>
              <w:keepLines w:val="0"/>
              <w:pageBreakBefore w:val="0"/>
              <w:widowControl/>
              <w:suppressLineNumbers w:val="0"/>
              <w:kinsoku/>
              <w:wordWrap/>
              <w:overflowPunct/>
              <w:topLinePunct w:val="0"/>
              <w:autoSpaceDE/>
              <w:autoSpaceDN/>
              <w:bidi w:val="0"/>
              <w:adjustRightInd/>
              <w:snapToGrid/>
              <w:jc w:val="center"/>
              <w:textAlignment w:val="center"/>
              <w:rPr>
                <w:b/>
                <w:bCs w:val="0"/>
                <w:color w:val="auto"/>
                <w:sz w:val="21"/>
                <w:szCs w:val="21"/>
              </w:rPr>
            </w:pPr>
            <w:r>
              <w:rPr>
                <w:rFonts w:hint="eastAsia" w:ascii="Times New Roman" w:hAnsi="Times New Roman" w:eastAsia="宋体" w:cs="Times New Roman"/>
                <w:b/>
                <w:bCs w:val="0"/>
                <w:i w:val="0"/>
                <w:color w:val="auto"/>
                <w:kern w:val="0"/>
                <w:sz w:val="21"/>
                <w:szCs w:val="21"/>
                <w:highlight w:val="none"/>
                <w:u w:val="none"/>
                <w:lang w:val="en-US" w:eastAsia="zh-CN" w:bidi="ar"/>
              </w:rPr>
              <w:t>N</w:t>
            </w:r>
          </w:p>
        </w:tc>
        <w:tc>
          <w:tcPr>
            <w:tcW w:w="1024" w:type="dxa"/>
            <w:vMerge w:val="continue"/>
            <w:tcBorders>
              <w:tl2br w:val="nil"/>
              <w:tr2bl w:val="nil"/>
            </w:tcBorders>
            <w:shd w:val="clear" w:color="auto" w:fill="auto"/>
            <w:vAlign w:val="center"/>
          </w:tcPr>
          <w:p w14:paraId="073C6F17">
            <w:pPr>
              <w:pStyle w:val="59"/>
              <w:snapToGrid w:val="0"/>
              <w:rPr>
                <w:b/>
                <w:bCs w:val="0"/>
                <w:color w:val="auto"/>
                <w:sz w:val="21"/>
                <w:szCs w:val="21"/>
              </w:rPr>
            </w:pPr>
          </w:p>
        </w:tc>
        <w:tc>
          <w:tcPr>
            <w:tcW w:w="1224" w:type="dxa"/>
            <w:vMerge w:val="continue"/>
            <w:tcBorders>
              <w:tl2br w:val="nil"/>
              <w:tr2bl w:val="nil"/>
            </w:tcBorders>
            <w:shd w:val="clear" w:color="auto" w:fill="auto"/>
            <w:vAlign w:val="center"/>
          </w:tcPr>
          <w:p w14:paraId="12A3BE75">
            <w:pPr>
              <w:pStyle w:val="59"/>
              <w:snapToGrid w:val="0"/>
              <w:rPr>
                <w:b/>
                <w:bCs w:val="0"/>
                <w:color w:val="auto"/>
                <w:sz w:val="21"/>
                <w:szCs w:val="21"/>
              </w:rPr>
            </w:pPr>
          </w:p>
        </w:tc>
        <w:tc>
          <w:tcPr>
            <w:tcW w:w="1242" w:type="dxa"/>
            <w:tcBorders>
              <w:tl2br w:val="nil"/>
              <w:tr2bl w:val="nil"/>
            </w:tcBorders>
            <w:shd w:val="clear" w:color="000000" w:fill="FFFFFF"/>
            <w:vAlign w:val="center"/>
          </w:tcPr>
          <w:p w14:paraId="3118A07A">
            <w:pPr>
              <w:pStyle w:val="59"/>
              <w:snapToGrid w:val="0"/>
              <w:rPr>
                <w:b/>
                <w:bCs w:val="0"/>
                <w:color w:val="auto"/>
                <w:sz w:val="21"/>
                <w:szCs w:val="21"/>
              </w:rPr>
            </w:pPr>
            <w:r>
              <w:rPr>
                <w:b/>
                <w:bCs w:val="0"/>
                <w:color w:val="auto"/>
                <w:sz w:val="21"/>
                <w:szCs w:val="21"/>
              </w:rPr>
              <w:t>（μg/m</w:t>
            </w:r>
            <w:r>
              <w:rPr>
                <w:b/>
                <w:bCs w:val="0"/>
                <w:color w:val="auto"/>
                <w:sz w:val="21"/>
                <w:szCs w:val="21"/>
                <w:vertAlign w:val="superscript"/>
              </w:rPr>
              <w:t>3</w:t>
            </w:r>
            <w:r>
              <w:rPr>
                <w:b/>
                <w:bCs w:val="0"/>
                <w:color w:val="auto"/>
                <w:sz w:val="21"/>
                <w:szCs w:val="21"/>
              </w:rPr>
              <w:t>）</w:t>
            </w:r>
          </w:p>
        </w:tc>
        <w:tc>
          <w:tcPr>
            <w:tcW w:w="1163" w:type="dxa"/>
            <w:vMerge w:val="continue"/>
            <w:tcBorders>
              <w:tl2br w:val="nil"/>
              <w:tr2bl w:val="nil"/>
            </w:tcBorders>
            <w:shd w:val="clear" w:color="auto" w:fill="auto"/>
            <w:vAlign w:val="center"/>
          </w:tcPr>
          <w:p w14:paraId="2A384D5F">
            <w:pPr>
              <w:pStyle w:val="59"/>
              <w:snapToGrid w:val="0"/>
              <w:rPr>
                <w:b/>
                <w:color w:val="FF0000"/>
                <w:sz w:val="21"/>
                <w:szCs w:val="21"/>
              </w:rPr>
            </w:pPr>
          </w:p>
        </w:tc>
        <w:tc>
          <w:tcPr>
            <w:tcW w:w="780" w:type="dxa"/>
            <w:vMerge w:val="continue"/>
            <w:tcBorders>
              <w:tl2br w:val="nil"/>
              <w:tr2bl w:val="nil"/>
            </w:tcBorders>
            <w:shd w:val="clear" w:color="auto" w:fill="auto"/>
            <w:vAlign w:val="center"/>
          </w:tcPr>
          <w:p w14:paraId="24B4991B">
            <w:pPr>
              <w:pStyle w:val="59"/>
              <w:snapToGrid w:val="0"/>
              <w:rPr>
                <w:b/>
                <w:color w:val="FF0000"/>
                <w:sz w:val="21"/>
                <w:szCs w:val="21"/>
              </w:rPr>
            </w:pPr>
          </w:p>
        </w:tc>
        <w:tc>
          <w:tcPr>
            <w:tcW w:w="605" w:type="dxa"/>
            <w:tcBorders>
              <w:tl2br w:val="nil"/>
              <w:tr2bl w:val="nil"/>
            </w:tcBorders>
            <w:shd w:val="clear" w:color="000000" w:fill="FFFFFF"/>
            <w:vAlign w:val="center"/>
          </w:tcPr>
          <w:p w14:paraId="5949F8D2">
            <w:pPr>
              <w:pStyle w:val="59"/>
              <w:snapToGrid w:val="0"/>
              <w:rPr>
                <w:b/>
                <w:color w:val="auto"/>
                <w:sz w:val="21"/>
                <w:szCs w:val="21"/>
              </w:rPr>
            </w:pPr>
            <w:r>
              <w:rPr>
                <w:b/>
                <w:color w:val="auto"/>
                <w:sz w:val="21"/>
                <w:szCs w:val="21"/>
              </w:rPr>
              <w:t>%</w:t>
            </w:r>
          </w:p>
        </w:tc>
        <w:tc>
          <w:tcPr>
            <w:tcW w:w="684" w:type="dxa"/>
            <w:vMerge w:val="continue"/>
            <w:tcBorders>
              <w:tl2br w:val="nil"/>
              <w:tr2bl w:val="nil"/>
            </w:tcBorders>
            <w:vAlign w:val="center"/>
          </w:tcPr>
          <w:p w14:paraId="3BD785CA">
            <w:pPr>
              <w:pStyle w:val="59"/>
              <w:snapToGrid w:val="0"/>
              <w:rPr>
                <w:b/>
                <w:color w:val="auto"/>
                <w:sz w:val="21"/>
                <w:szCs w:val="21"/>
              </w:rPr>
            </w:pPr>
          </w:p>
        </w:tc>
      </w:tr>
      <w:tr w14:paraId="43E6AA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88" w:type="dxa"/>
            <w:vMerge w:val="restart"/>
            <w:tcBorders>
              <w:tl2br w:val="nil"/>
              <w:tr2bl w:val="nil"/>
            </w:tcBorders>
            <w:noWrap/>
            <w:vAlign w:val="center"/>
          </w:tcPr>
          <w:p w14:paraId="13B2132B">
            <w:pPr>
              <w:keepNext w:val="0"/>
              <w:keepLines w:val="0"/>
              <w:pageBreakBefore w:val="0"/>
              <w:widowControl/>
              <w:suppressLineNumbers w:val="0"/>
              <w:kinsoku/>
              <w:wordWrap/>
              <w:overflowPunct/>
              <w:topLinePunct w:val="0"/>
              <w:autoSpaceDE/>
              <w:autoSpaceDN/>
              <w:bidi w:val="0"/>
              <w:adjustRightInd/>
              <w:snapToGrid/>
              <w:jc w:val="center"/>
              <w:textAlignment w:val="center"/>
              <w:rPr>
                <w:b w:val="0"/>
                <w:bCs/>
                <w:color w:val="auto"/>
                <w:sz w:val="21"/>
                <w:szCs w:val="21"/>
              </w:rPr>
            </w:pPr>
            <w:r>
              <w:rPr>
                <w:rFonts w:hint="eastAsia" w:ascii="Times New Roman" w:hAnsi="Times New Roman" w:eastAsia="宋体" w:cs="Times New Roman"/>
                <w:b w:val="0"/>
                <w:bCs/>
                <w:i w:val="0"/>
                <w:color w:val="auto"/>
                <w:sz w:val="21"/>
                <w:szCs w:val="21"/>
                <w:highlight w:val="none"/>
                <w:u w:val="none"/>
                <w:lang w:val="en-US" w:eastAsia="zh-CN"/>
              </w:rPr>
              <w:t>厂址下风向</w:t>
            </w:r>
          </w:p>
        </w:tc>
        <w:tc>
          <w:tcPr>
            <w:tcW w:w="650" w:type="dxa"/>
            <w:vMerge w:val="restart"/>
            <w:tcBorders>
              <w:tl2br w:val="nil"/>
              <w:tr2bl w:val="nil"/>
            </w:tcBorders>
            <w:noWrap/>
            <w:vAlign w:val="center"/>
          </w:tcPr>
          <w:p w14:paraId="5140D35B">
            <w:pPr>
              <w:keepNext w:val="0"/>
              <w:keepLines w:val="0"/>
              <w:pageBreakBefore w:val="0"/>
              <w:widowControl/>
              <w:suppressLineNumbers w:val="0"/>
              <w:kinsoku/>
              <w:wordWrap/>
              <w:overflowPunct/>
              <w:topLinePunct w:val="0"/>
              <w:autoSpaceDE/>
              <w:autoSpaceDN/>
              <w:bidi w:val="0"/>
              <w:adjustRightInd/>
              <w:snapToGrid/>
              <w:jc w:val="center"/>
              <w:textAlignment w:val="center"/>
              <w:rPr>
                <w:b w:val="0"/>
                <w:bCs/>
                <w:color w:val="auto"/>
                <w:sz w:val="21"/>
                <w:szCs w:val="21"/>
              </w:rPr>
            </w:pPr>
            <w:r>
              <w:rPr>
                <w:rFonts w:hint="eastAsia" w:ascii="Times New Roman" w:hAnsi="Times New Roman" w:eastAsia="宋体" w:cs="Times New Roman"/>
                <w:b w:val="0"/>
                <w:bCs/>
                <w:i w:val="0"/>
                <w:color w:val="auto"/>
                <w:sz w:val="21"/>
                <w:szCs w:val="21"/>
                <w:highlight w:val="none"/>
                <w:u w:val="none"/>
                <w:lang w:val="en-US" w:eastAsia="zh-CN"/>
              </w:rPr>
              <w:t>126°43′43.206″</w:t>
            </w:r>
          </w:p>
        </w:tc>
        <w:tc>
          <w:tcPr>
            <w:tcW w:w="612" w:type="dxa"/>
            <w:vMerge w:val="restart"/>
            <w:tcBorders>
              <w:tl2br w:val="nil"/>
              <w:tr2bl w:val="nil"/>
            </w:tcBorders>
            <w:noWrap/>
            <w:vAlign w:val="center"/>
          </w:tcPr>
          <w:p w14:paraId="26767BA0">
            <w:pPr>
              <w:keepNext w:val="0"/>
              <w:keepLines w:val="0"/>
              <w:pageBreakBefore w:val="0"/>
              <w:widowControl/>
              <w:suppressLineNumbers w:val="0"/>
              <w:kinsoku/>
              <w:wordWrap/>
              <w:overflowPunct/>
              <w:topLinePunct w:val="0"/>
              <w:autoSpaceDE/>
              <w:autoSpaceDN/>
              <w:bidi w:val="0"/>
              <w:adjustRightInd/>
              <w:snapToGrid/>
              <w:jc w:val="center"/>
              <w:textAlignment w:val="center"/>
              <w:rPr>
                <w:b w:val="0"/>
                <w:bCs/>
                <w:color w:val="auto"/>
                <w:sz w:val="21"/>
                <w:szCs w:val="21"/>
              </w:rPr>
            </w:pPr>
            <w:r>
              <w:rPr>
                <w:rFonts w:hint="eastAsia" w:ascii="Times New Roman" w:hAnsi="Times New Roman" w:eastAsia="宋体" w:cs="Times New Roman"/>
                <w:b w:val="0"/>
                <w:bCs/>
                <w:i w:val="0"/>
                <w:color w:val="auto"/>
                <w:sz w:val="21"/>
                <w:szCs w:val="21"/>
                <w:highlight w:val="none"/>
                <w:u w:val="none"/>
                <w:lang w:val="en-US" w:eastAsia="zh-CN"/>
              </w:rPr>
              <w:t>45°25′58.594″</w:t>
            </w:r>
          </w:p>
        </w:tc>
        <w:tc>
          <w:tcPr>
            <w:tcW w:w="1024" w:type="dxa"/>
            <w:tcBorders>
              <w:tl2br w:val="nil"/>
              <w:tr2bl w:val="nil"/>
            </w:tcBorders>
            <w:shd w:val="clear" w:color="auto" w:fill="auto"/>
            <w:noWrap/>
            <w:vAlign w:val="center"/>
          </w:tcPr>
          <w:p w14:paraId="58A85733">
            <w:pPr>
              <w:pStyle w:val="59"/>
              <w:snapToGrid w:val="0"/>
              <w:rPr>
                <w:rFonts w:hint="eastAsia" w:ascii="Times New Roman" w:hAnsi="Times New Roman" w:eastAsia="宋体" w:cs="Times New Roman"/>
                <w:b w:val="0"/>
                <w:bCs/>
                <w:color w:val="auto"/>
                <w:kern w:val="2"/>
                <w:sz w:val="21"/>
                <w:szCs w:val="21"/>
                <w:lang w:val="en-US" w:eastAsia="zh-CN" w:bidi="ar-SA"/>
              </w:rPr>
            </w:pPr>
            <w:r>
              <w:rPr>
                <w:rFonts w:hint="eastAsia"/>
                <w:b w:val="0"/>
                <w:bCs/>
                <w:color w:val="auto"/>
                <w:sz w:val="21"/>
                <w:szCs w:val="21"/>
              </w:rPr>
              <w:t>氨</w:t>
            </w:r>
          </w:p>
        </w:tc>
        <w:tc>
          <w:tcPr>
            <w:tcW w:w="1224" w:type="dxa"/>
            <w:tcBorders>
              <w:tl2br w:val="nil"/>
              <w:tr2bl w:val="nil"/>
            </w:tcBorders>
            <w:noWrap/>
            <w:vAlign w:val="center"/>
          </w:tcPr>
          <w:p w14:paraId="5518FA7F">
            <w:pPr>
              <w:pStyle w:val="59"/>
              <w:snapToGrid w:val="0"/>
              <w:rPr>
                <w:b w:val="0"/>
                <w:bCs/>
                <w:color w:val="auto"/>
                <w:sz w:val="21"/>
                <w:szCs w:val="21"/>
              </w:rPr>
            </w:pPr>
            <w:r>
              <w:rPr>
                <w:rFonts w:hint="eastAsia"/>
                <w:b w:val="0"/>
                <w:bCs/>
                <w:color w:val="auto"/>
                <w:sz w:val="21"/>
                <w:szCs w:val="21"/>
              </w:rPr>
              <w:t>1h平均</w:t>
            </w:r>
          </w:p>
        </w:tc>
        <w:tc>
          <w:tcPr>
            <w:tcW w:w="1242" w:type="dxa"/>
            <w:tcBorders>
              <w:tl2br w:val="nil"/>
              <w:tr2bl w:val="nil"/>
            </w:tcBorders>
            <w:noWrap/>
            <w:vAlign w:val="center"/>
          </w:tcPr>
          <w:p w14:paraId="652411CA">
            <w:pPr>
              <w:pStyle w:val="59"/>
              <w:snapToGrid w:val="0"/>
              <w:rPr>
                <w:b w:val="0"/>
                <w:bCs/>
                <w:color w:val="auto"/>
                <w:sz w:val="21"/>
                <w:szCs w:val="21"/>
              </w:rPr>
            </w:pPr>
            <w:r>
              <w:rPr>
                <w:b w:val="0"/>
                <w:bCs/>
                <w:color w:val="auto"/>
                <w:sz w:val="21"/>
                <w:szCs w:val="21"/>
              </w:rPr>
              <w:t>200</w:t>
            </w:r>
          </w:p>
        </w:tc>
        <w:tc>
          <w:tcPr>
            <w:tcW w:w="1163" w:type="dxa"/>
            <w:tcBorders>
              <w:tl2br w:val="nil"/>
              <w:tr2bl w:val="nil"/>
            </w:tcBorders>
            <w:noWrap/>
            <w:vAlign w:val="center"/>
          </w:tcPr>
          <w:p w14:paraId="07EFDA15">
            <w:pPr>
              <w:pStyle w:val="59"/>
              <w:snapToGrid w:val="0"/>
              <w:rPr>
                <w:rFonts w:hint="default" w:eastAsia="宋体"/>
                <w:color w:val="auto"/>
                <w:sz w:val="21"/>
                <w:szCs w:val="21"/>
                <w:lang w:val="en-US" w:eastAsia="zh-CN"/>
              </w:rPr>
            </w:pPr>
            <w:r>
              <w:rPr>
                <w:rFonts w:hint="eastAsia"/>
                <w:color w:val="auto"/>
                <w:sz w:val="21"/>
                <w:szCs w:val="21"/>
              </w:rPr>
              <w:t>＜</w:t>
            </w:r>
            <w:r>
              <w:rPr>
                <w:rFonts w:hint="eastAsia"/>
                <w:color w:val="auto"/>
                <w:sz w:val="21"/>
                <w:szCs w:val="21"/>
                <w:lang w:val="en-US" w:eastAsia="zh-CN"/>
              </w:rPr>
              <w:t>0.01</w:t>
            </w:r>
          </w:p>
        </w:tc>
        <w:tc>
          <w:tcPr>
            <w:tcW w:w="780" w:type="dxa"/>
            <w:tcBorders>
              <w:tl2br w:val="nil"/>
              <w:tr2bl w:val="nil"/>
            </w:tcBorders>
            <w:noWrap/>
            <w:vAlign w:val="center"/>
          </w:tcPr>
          <w:p w14:paraId="5C50C75F">
            <w:pPr>
              <w:pStyle w:val="59"/>
              <w:snapToGrid w:val="0"/>
              <w:rPr>
                <w:rFonts w:hint="default" w:eastAsia="宋体"/>
                <w:color w:val="auto"/>
                <w:sz w:val="21"/>
                <w:szCs w:val="21"/>
                <w:lang w:val="en-US" w:eastAsia="zh-CN"/>
              </w:rPr>
            </w:pPr>
            <w:r>
              <w:rPr>
                <w:rFonts w:hint="eastAsia"/>
                <w:color w:val="auto"/>
                <w:sz w:val="21"/>
                <w:szCs w:val="21"/>
                <w:lang w:val="en-US" w:eastAsia="zh-CN"/>
              </w:rPr>
              <w:t>0.0025</w:t>
            </w:r>
          </w:p>
        </w:tc>
        <w:tc>
          <w:tcPr>
            <w:tcW w:w="605" w:type="dxa"/>
            <w:tcBorders>
              <w:tl2br w:val="nil"/>
              <w:tr2bl w:val="nil"/>
            </w:tcBorders>
            <w:noWrap/>
            <w:vAlign w:val="center"/>
          </w:tcPr>
          <w:p w14:paraId="35A5802C">
            <w:pPr>
              <w:pStyle w:val="59"/>
              <w:snapToGrid w:val="0"/>
              <w:rPr>
                <w:color w:val="auto"/>
                <w:sz w:val="21"/>
                <w:szCs w:val="21"/>
              </w:rPr>
            </w:pPr>
            <w:r>
              <w:rPr>
                <w:rFonts w:hint="eastAsia"/>
                <w:color w:val="auto"/>
                <w:sz w:val="21"/>
                <w:szCs w:val="21"/>
              </w:rPr>
              <w:t>0</w:t>
            </w:r>
          </w:p>
        </w:tc>
        <w:tc>
          <w:tcPr>
            <w:tcW w:w="684" w:type="dxa"/>
            <w:tcBorders>
              <w:tl2br w:val="nil"/>
              <w:tr2bl w:val="nil"/>
            </w:tcBorders>
            <w:noWrap/>
            <w:vAlign w:val="center"/>
          </w:tcPr>
          <w:p w14:paraId="2578DBB5">
            <w:pPr>
              <w:pStyle w:val="59"/>
              <w:snapToGrid w:val="0"/>
              <w:rPr>
                <w:color w:val="auto"/>
                <w:sz w:val="21"/>
                <w:szCs w:val="21"/>
              </w:rPr>
            </w:pPr>
            <w:r>
              <w:rPr>
                <w:color w:val="auto"/>
                <w:sz w:val="21"/>
                <w:szCs w:val="21"/>
              </w:rPr>
              <w:t>达标</w:t>
            </w:r>
          </w:p>
        </w:tc>
      </w:tr>
      <w:tr w14:paraId="5983D5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88" w:type="dxa"/>
            <w:vMerge w:val="continue"/>
            <w:tcBorders>
              <w:tl2br w:val="nil"/>
              <w:tr2bl w:val="nil"/>
            </w:tcBorders>
            <w:noWrap/>
            <w:vAlign w:val="center"/>
          </w:tcPr>
          <w:p w14:paraId="03E7A48F">
            <w:pPr>
              <w:pStyle w:val="59"/>
              <w:snapToGrid w:val="0"/>
              <w:rPr>
                <w:b w:val="0"/>
                <w:bCs/>
                <w:color w:val="auto"/>
                <w:sz w:val="21"/>
                <w:szCs w:val="21"/>
              </w:rPr>
            </w:pPr>
          </w:p>
        </w:tc>
        <w:tc>
          <w:tcPr>
            <w:tcW w:w="650" w:type="dxa"/>
            <w:vMerge w:val="continue"/>
            <w:tcBorders>
              <w:tl2br w:val="nil"/>
              <w:tr2bl w:val="nil"/>
            </w:tcBorders>
            <w:noWrap/>
            <w:vAlign w:val="center"/>
          </w:tcPr>
          <w:p w14:paraId="3821EDC9">
            <w:pPr>
              <w:pStyle w:val="59"/>
              <w:snapToGrid w:val="0"/>
              <w:rPr>
                <w:b w:val="0"/>
                <w:bCs/>
                <w:color w:val="auto"/>
                <w:sz w:val="21"/>
                <w:szCs w:val="21"/>
              </w:rPr>
            </w:pPr>
          </w:p>
        </w:tc>
        <w:tc>
          <w:tcPr>
            <w:tcW w:w="612" w:type="dxa"/>
            <w:vMerge w:val="continue"/>
            <w:tcBorders>
              <w:tl2br w:val="nil"/>
              <w:tr2bl w:val="nil"/>
            </w:tcBorders>
            <w:noWrap/>
            <w:vAlign w:val="center"/>
          </w:tcPr>
          <w:p w14:paraId="164CDF96">
            <w:pPr>
              <w:pStyle w:val="59"/>
              <w:snapToGrid w:val="0"/>
              <w:rPr>
                <w:b w:val="0"/>
                <w:bCs/>
                <w:color w:val="auto"/>
                <w:sz w:val="21"/>
                <w:szCs w:val="21"/>
              </w:rPr>
            </w:pPr>
          </w:p>
        </w:tc>
        <w:tc>
          <w:tcPr>
            <w:tcW w:w="1024" w:type="dxa"/>
            <w:tcBorders>
              <w:tl2br w:val="nil"/>
              <w:tr2bl w:val="nil"/>
            </w:tcBorders>
            <w:shd w:val="clear" w:color="auto" w:fill="auto"/>
            <w:noWrap/>
            <w:vAlign w:val="center"/>
          </w:tcPr>
          <w:p w14:paraId="63D5C306">
            <w:pPr>
              <w:pStyle w:val="59"/>
              <w:snapToGrid w:val="0"/>
              <w:rPr>
                <w:rFonts w:ascii="Times New Roman" w:hAnsi="Times New Roman" w:eastAsia="宋体" w:cs="Times New Roman"/>
                <w:b w:val="0"/>
                <w:bCs/>
                <w:color w:val="auto"/>
                <w:kern w:val="2"/>
                <w:sz w:val="21"/>
                <w:szCs w:val="21"/>
                <w:lang w:val="en-US" w:eastAsia="zh-CN" w:bidi="ar-SA"/>
              </w:rPr>
            </w:pPr>
            <w:r>
              <w:rPr>
                <w:rFonts w:hint="eastAsia"/>
                <w:b w:val="0"/>
                <w:bCs/>
                <w:color w:val="auto"/>
                <w:sz w:val="21"/>
                <w:szCs w:val="21"/>
              </w:rPr>
              <w:t>硫化氢</w:t>
            </w:r>
          </w:p>
        </w:tc>
        <w:tc>
          <w:tcPr>
            <w:tcW w:w="1224" w:type="dxa"/>
            <w:tcBorders>
              <w:tl2br w:val="nil"/>
              <w:tr2bl w:val="nil"/>
            </w:tcBorders>
            <w:noWrap/>
            <w:vAlign w:val="center"/>
          </w:tcPr>
          <w:p w14:paraId="01479FD9">
            <w:pPr>
              <w:pStyle w:val="59"/>
              <w:snapToGrid w:val="0"/>
              <w:rPr>
                <w:b w:val="0"/>
                <w:bCs/>
                <w:color w:val="auto"/>
                <w:sz w:val="21"/>
                <w:szCs w:val="21"/>
              </w:rPr>
            </w:pPr>
            <w:r>
              <w:rPr>
                <w:rFonts w:hint="eastAsia"/>
                <w:b w:val="0"/>
                <w:bCs/>
                <w:color w:val="auto"/>
                <w:sz w:val="21"/>
                <w:szCs w:val="21"/>
              </w:rPr>
              <w:t>1h平均</w:t>
            </w:r>
          </w:p>
        </w:tc>
        <w:tc>
          <w:tcPr>
            <w:tcW w:w="1242" w:type="dxa"/>
            <w:tcBorders>
              <w:tl2br w:val="nil"/>
              <w:tr2bl w:val="nil"/>
            </w:tcBorders>
            <w:noWrap/>
            <w:vAlign w:val="center"/>
          </w:tcPr>
          <w:p w14:paraId="6C1EBE6B">
            <w:pPr>
              <w:pStyle w:val="59"/>
              <w:snapToGrid w:val="0"/>
              <w:rPr>
                <w:rFonts w:hint="default" w:eastAsia="宋体"/>
                <w:b w:val="0"/>
                <w:bCs/>
                <w:color w:val="auto"/>
                <w:sz w:val="21"/>
                <w:szCs w:val="21"/>
                <w:lang w:val="en-US" w:eastAsia="zh-CN"/>
              </w:rPr>
            </w:pPr>
            <w:r>
              <w:rPr>
                <w:rFonts w:hint="eastAsia"/>
                <w:b w:val="0"/>
                <w:bCs/>
                <w:color w:val="auto"/>
                <w:sz w:val="21"/>
                <w:szCs w:val="21"/>
                <w:lang w:val="en-US" w:eastAsia="zh-CN"/>
              </w:rPr>
              <w:t>10</w:t>
            </w:r>
          </w:p>
        </w:tc>
        <w:tc>
          <w:tcPr>
            <w:tcW w:w="1163" w:type="dxa"/>
            <w:tcBorders>
              <w:tl2br w:val="nil"/>
              <w:tr2bl w:val="nil"/>
            </w:tcBorders>
            <w:noWrap/>
            <w:vAlign w:val="center"/>
          </w:tcPr>
          <w:p w14:paraId="3EEEC193">
            <w:pPr>
              <w:pStyle w:val="59"/>
              <w:snapToGrid w:val="0"/>
              <w:rPr>
                <w:color w:val="auto"/>
                <w:sz w:val="21"/>
                <w:szCs w:val="21"/>
              </w:rPr>
            </w:pPr>
            <w:r>
              <w:rPr>
                <w:rFonts w:hint="default" w:ascii="Times New Roman" w:hAnsi="Times New Roman" w:eastAsia="宋体" w:cs="Times New Roman"/>
                <w:color w:val="auto"/>
                <w:sz w:val="21"/>
                <w:szCs w:val="21"/>
                <w:highlight w:val="none"/>
                <w:vertAlign w:val="baseline"/>
                <w:lang w:val="en-US" w:eastAsia="zh-CN"/>
              </w:rPr>
              <w:t>&lt;0.</w:t>
            </w:r>
            <w:r>
              <w:rPr>
                <w:rFonts w:hint="eastAsia" w:ascii="Times New Roman" w:hAnsi="Times New Roman" w:eastAsia="宋体" w:cs="Times New Roman"/>
                <w:color w:val="auto"/>
                <w:sz w:val="21"/>
                <w:szCs w:val="21"/>
                <w:highlight w:val="none"/>
                <w:vertAlign w:val="baseline"/>
                <w:lang w:val="en-US" w:eastAsia="zh-CN"/>
              </w:rPr>
              <w:t>2×10</w:t>
            </w:r>
            <w:r>
              <w:rPr>
                <w:rFonts w:hint="eastAsia" w:ascii="Times New Roman" w:hAnsi="Times New Roman" w:eastAsia="宋体" w:cs="Times New Roman"/>
                <w:color w:val="auto"/>
                <w:sz w:val="21"/>
                <w:szCs w:val="21"/>
                <w:highlight w:val="none"/>
                <w:vertAlign w:val="superscript"/>
                <w:lang w:val="en-US" w:eastAsia="zh-CN"/>
              </w:rPr>
              <w:t>-3</w:t>
            </w:r>
          </w:p>
        </w:tc>
        <w:tc>
          <w:tcPr>
            <w:tcW w:w="780" w:type="dxa"/>
            <w:tcBorders>
              <w:tl2br w:val="nil"/>
              <w:tr2bl w:val="nil"/>
            </w:tcBorders>
            <w:noWrap/>
            <w:vAlign w:val="center"/>
          </w:tcPr>
          <w:p w14:paraId="5E4955C9">
            <w:pPr>
              <w:pStyle w:val="59"/>
              <w:snapToGrid w:val="0"/>
              <w:rPr>
                <w:rFonts w:hint="default" w:eastAsia="宋体"/>
                <w:color w:val="auto"/>
                <w:sz w:val="21"/>
                <w:szCs w:val="21"/>
                <w:lang w:val="en-US" w:eastAsia="zh-CN"/>
              </w:rPr>
            </w:pPr>
            <w:r>
              <w:rPr>
                <w:rFonts w:hint="eastAsia"/>
                <w:color w:val="auto"/>
                <w:sz w:val="21"/>
                <w:szCs w:val="21"/>
                <w:lang w:val="en-US" w:eastAsia="zh-CN"/>
              </w:rPr>
              <w:t>0.001</w:t>
            </w:r>
          </w:p>
        </w:tc>
        <w:tc>
          <w:tcPr>
            <w:tcW w:w="605" w:type="dxa"/>
            <w:tcBorders>
              <w:tl2br w:val="nil"/>
              <w:tr2bl w:val="nil"/>
            </w:tcBorders>
            <w:noWrap/>
            <w:vAlign w:val="center"/>
          </w:tcPr>
          <w:p w14:paraId="0E8F67EF">
            <w:pPr>
              <w:pStyle w:val="59"/>
              <w:snapToGrid w:val="0"/>
              <w:rPr>
                <w:color w:val="auto"/>
                <w:sz w:val="21"/>
                <w:szCs w:val="21"/>
              </w:rPr>
            </w:pPr>
            <w:r>
              <w:rPr>
                <w:rFonts w:hint="eastAsia"/>
                <w:color w:val="auto"/>
                <w:sz w:val="21"/>
                <w:szCs w:val="21"/>
              </w:rPr>
              <w:t>0</w:t>
            </w:r>
          </w:p>
        </w:tc>
        <w:tc>
          <w:tcPr>
            <w:tcW w:w="684" w:type="dxa"/>
            <w:tcBorders>
              <w:tl2br w:val="nil"/>
              <w:tr2bl w:val="nil"/>
            </w:tcBorders>
            <w:noWrap/>
            <w:vAlign w:val="center"/>
          </w:tcPr>
          <w:p w14:paraId="2DB5E749">
            <w:pPr>
              <w:pStyle w:val="59"/>
              <w:snapToGrid w:val="0"/>
              <w:rPr>
                <w:color w:val="auto"/>
                <w:sz w:val="21"/>
                <w:szCs w:val="21"/>
              </w:rPr>
            </w:pPr>
            <w:r>
              <w:rPr>
                <w:color w:val="auto"/>
                <w:sz w:val="21"/>
                <w:szCs w:val="21"/>
              </w:rPr>
              <w:t>达标</w:t>
            </w:r>
          </w:p>
        </w:tc>
      </w:tr>
      <w:tr w14:paraId="0CE3A8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88" w:type="dxa"/>
            <w:vMerge w:val="continue"/>
            <w:tcBorders>
              <w:tl2br w:val="nil"/>
              <w:tr2bl w:val="nil"/>
            </w:tcBorders>
            <w:noWrap/>
            <w:vAlign w:val="center"/>
          </w:tcPr>
          <w:p w14:paraId="039DFAB5">
            <w:pPr>
              <w:pStyle w:val="59"/>
              <w:snapToGrid w:val="0"/>
              <w:rPr>
                <w:b w:val="0"/>
                <w:bCs/>
                <w:color w:val="auto"/>
                <w:sz w:val="21"/>
                <w:szCs w:val="21"/>
              </w:rPr>
            </w:pPr>
          </w:p>
        </w:tc>
        <w:tc>
          <w:tcPr>
            <w:tcW w:w="650" w:type="dxa"/>
            <w:vMerge w:val="continue"/>
            <w:tcBorders>
              <w:tl2br w:val="nil"/>
              <w:tr2bl w:val="nil"/>
            </w:tcBorders>
            <w:noWrap/>
            <w:vAlign w:val="center"/>
          </w:tcPr>
          <w:p w14:paraId="7101AAFA">
            <w:pPr>
              <w:pStyle w:val="59"/>
              <w:snapToGrid w:val="0"/>
              <w:rPr>
                <w:b w:val="0"/>
                <w:bCs/>
                <w:color w:val="auto"/>
                <w:sz w:val="21"/>
                <w:szCs w:val="21"/>
              </w:rPr>
            </w:pPr>
          </w:p>
        </w:tc>
        <w:tc>
          <w:tcPr>
            <w:tcW w:w="612" w:type="dxa"/>
            <w:vMerge w:val="continue"/>
            <w:tcBorders>
              <w:tl2br w:val="nil"/>
              <w:tr2bl w:val="nil"/>
            </w:tcBorders>
            <w:noWrap/>
            <w:vAlign w:val="center"/>
          </w:tcPr>
          <w:p w14:paraId="53817450">
            <w:pPr>
              <w:pStyle w:val="59"/>
              <w:snapToGrid w:val="0"/>
              <w:rPr>
                <w:b w:val="0"/>
                <w:bCs/>
                <w:color w:val="auto"/>
                <w:sz w:val="21"/>
                <w:szCs w:val="21"/>
              </w:rPr>
            </w:pPr>
          </w:p>
        </w:tc>
        <w:tc>
          <w:tcPr>
            <w:tcW w:w="1024" w:type="dxa"/>
            <w:tcBorders>
              <w:tl2br w:val="nil"/>
              <w:tr2bl w:val="nil"/>
            </w:tcBorders>
            <w:noWrap/>
            <w:vAlign w:val="center"/>
          </w:tcPr>
          <w:p w14:paraId="30271B3C">
            <w:pPr>
              <w:pStyle w:val="59"/>
              <w:snapToGrid w:val="0"/>
              <w:rPr>
                <w:b w:val="0"/>
                <w:bCs/>
                <w:color w:val="auto"/>
                <w:sz w:val="21"/>
                <w:szCs w:val="21"/>
              </w:rPr>
            </w:pPr>
            <w:r>
              <w:rPr>
                <w:rFonts w:hint="eastAsia"/>
                <w:b w:val="0"/>
                <w:bCs/>
                <w:color w:val="auto"/>
                <w:sz w:val="21"/>
                <w:szCs w:val="21"/>
                <w:lang w:val="en-US" w:eastAsia="zh-CN"/>
              </w:rPr>
              <w:t>非甲烷总烃</w:t>
            </w:r>
          </w:p>
        </w:tc>
        <w:tc>
          <w:tcPr>
            <w:tcW w:w="1224" w:type="dxa"/>
            <w:tcBorders>
              <w:tl2br w:val="nil"/>
              <w:tr2bl w:val="nil"/>
            </w:tcBorders>
            <w:noWrap/>
            <w:vAlign w:val="center"/>
          </w:tcPr>
          <w:p w14:paraId="7B04F37F">
            <w:pPr>
              <w:pStyle w:val="59"/>
              <w:snapToGrid w:val="0"/>
              <w:rPr>
                <w:b w:val="0"/>
                <w:bCs/>
                <w:color w:val="auto"/>
                <w:sz w:val="21"/>
                <w:szCs w:val="21"/>
              </w:rPr>
            </w:pPr>
            <w:r>
              <w:rPr>
                <w:rFonts w:hint="eastAsia"/>
                <w:b w:val="0"/>
                <w:bCs/>
                <w:color w:val="auto"/>
                <w:sz w:val="21"/>
                <w:szCs w:val="21"/>
              </w:rPr>
              <w:t>1h平均</w:t>
            </w:r>
          </w:p>
        </w:tc>
        <w:tc>
          <w:tcPr>
            <w:tcW w:w="1242" w:type="dxa"/>
            <w:tcBorders>
              <w:tl2br w:val="nil"/>
              <w:tr2bl w:val="nil"/>
            </w:tcBorders>
            <w:noWrap/>
            <w:vAlign w:val="center"/>
          </w:tcPr>
          <w:p w14:paraId="62D51233">
            <w:pPr>
              <w:pStyle w:val="59"/>
              <w:snapToGrid w:val="0"/>
              <w:rPr>
                <w:rFonts w:hint="eastAsia" w:eastAsia="宋体"/>
                <w:b w:val="0"/>
                <w:bCs/>
                <w:color w:val="auto"/>
                <w:sz w:val="21"/>
                <w:szCs w:val="21"/>
                <w:lang w:val="en-US" w:eastAsia="zh-CN"/>
              </w:rPr>
            </w:pPr>
            <w:r>
              <w:rPr>
                <w:rFonts w:hint="eastAsia"/>
                <w:b w:val="0"/>
                <w:bCs/>
                <w:color w:val="auto"/>
                <w:sz w:val="21"/>
                <w:szCs w:val="21"/>
              </w:rPr>
              <w:t>200</w:t>
            </w:r>
            <w:r>
              <w:rPr>
                <w:rFonts w:hint="eastAsia"/>
                <w:b w:val="0"/>
                <w:bCs/>
                <w:color w:val="auto"/>
                <w:sz w:val="21"/>
                <w:szCs w:val="21"/>
                <w:lang w:val="en-US" w:eastAsia="zh-CN"/>
              </w:rPr>
              <w:t>0</w:t>
            </w:r>
          </w:p>
        </w:tc>
        <w:tc>
          <w:tcPr>
            <w:tcW w:w="1163" w:type="dxa"/>
            <w:tcBorders>
              <w:tl2br w:val="nil"/>
              <w:tr2bl w:val="nil"/>
            </w:tcBorders>
            <w:noWrap/>
            <w:vAlign w:val="center"/>
          </w:tcPr>
          <w:p w14:paraId="2852A8FF">
            <w:pPr>
              <w:pStyle w:val="59"/>
              <w:snapToGrid w:val="0"/>
              <w:rPr>
                <w:rFonts w:hint="default" w:eastAsia="宋体"/>
                <w:color w:val="auto"/>
                <w:sz w:val="21"/>
                <w:szCs w:val="21"/>
                <w:lang w:val="en-US" w:eastAsia="zh-CN"/>
              </w:rPr>
            </w:pPr>
            <w:r>
              <w:rPr>
                <w:rFonts w:hint="eastAsia"/>
                <w:color w:val="auto"/>
                <w:sz w:val="21"/>
                <w:szCs w:val="21"/>
              </w:rPr>
              <w:t>＜0.</w:t>
            </w:r>
            <w:r>
              <w:rPr>
                <w:rFonts w:hint="eastAsia"/>
                <w:color w:val="auto"/>
                <w:sz w:val="21"/>
                <w:szCs w:val="21"/>
                <w:lang w:val="en-US" w:eastAsia="zh-CN"/>
              </w:rPr>
              <w:t>07</w:t>
            </w:r>
          </w:p>
        </w:tc>
        <w:tc>
          <w:tcPr>
            <w:tcW w:w="780" w:type="dxa"/>
            <w:tcBorders>
              <w:tl2br w:val="nil"/>
              <w:tr2bl w:val="nil"/>
            </w:tcBorders>
            <w:noWrap/>
            <w:vAlign w:val="center"/>
          </w:tcPr>
          <w:p w14:paraId="32D1DFC1">
            <w:pPr>
              <w:pStyle w:val="59"/>
              <w:snapToGrid w:val="0"/>
              <w:rPr>
                <w:rFonts w:hint="default" w:eastAsia="宋体"/>
                <w:color w:val="auto"/>
                <w:sz w:val="21"/>
                <w:szCs w:val="21"/>
                <w:lang w:val="en-US" w:eastAsia="zh-CN"/>
              </w:rPr>
            </w:pPr>
            <w:r>
              <w:rPr>
                <w:rFonts w:hint="eastAsia"/>
                <w:color w:val="auto"/>
                <w:sz w:val="21"/>
                <w:szCs w:val="21"/>
                <w:lang w:val="en-US" w:eastAsia="zh-CN"/>
              </w:rPr>
              <w:t>0.00175</w:t>
            </w:r>
          </w:p>
        </w:tc>
        <w:tc>
          <w:tcPr>
            <w:tcW w:w="605" w:type="dxa"/>
            <w:tcBorders>
              <w:tl2br w:val="nil"/>
              <w:tr2bl w:val="nil"/>
            </w:tcBorders>
            <w:noWrap/>
            <w:vAlign w:val="center"/>
          </w:tcPr>
          <w:p w14:paraId="64B4D3BB">
            <w:pPr>
              <w:pStyle w:val="59"/>
              <w:snapToGrid w:val="0"/>
              <w:rPr>
                <w:color w:val="auto"/>
                <w:sz w:val="21"/>
                <w:szCs w:val="21"/>
              </w:rPr>
            </w:pPr>
            <w:r>
              <w:rPr>
                <w:rFonts w:hint="eastAsia"/>
                <w:color w:val="auto"/>
                <w:sz w:val="21"/>
                <w:szCs w:val="21"/>
              </w:rPr>
              <w:t>0</w:t>
            </w:r>
          </w:p>
        </w:tc>
        <w:tc>
          <w:tcPr>
            <w:tcW w:w="684" w:type="dxa"/>
            <w:tcBorders>
              <w:tl2br w:val="nil"/>
              <w:tr2bl w:val="nil"/>
            </w:tcBorders>
            <w:noWrap/>
            <w:vAlign w:val="center"/>
          </w:tcPr>
          <w:p w14:paraId="202C68F5">
            <w:pPr>
              <w:pStyle w:val="59"/>
              <w:snapToGrid w:val="0"/>
              <w:rPr>
                <w:color w:val="auto"/>
                <w:sz w:val="21"/>
                <w:szCs w:val="21"/>
              </w:rPr>
            </w:pPr>
            <w:r>
              <w:rPr>
                <w:color w:val="auto"/>
                <w:sz w:val="21"/>
                <w:szCs w:val="21"/>
              </w:rPr>
              <w:t>达标</w:t>
            </w:r>
          </w:p>
        </w:tc>
      </w:tr>
      <w:tr w14:paraId="722892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88" w:type="dxa"/>
            <w:vMerge w:val="continue"/>
            <w:tcBorders>
              <w:tl2br w:val="nil"/>
              <w:tr2bl w:val="nil"/>
            </w:tcBorders>
            <w:noWrap/>
            <w:vAlign w:val="center"/>
          </w:tcPr>
          <w:p w14:paraId="6B31F1A4">
            <w:pPr>
              <w:pStyle w:val="59"/>
              <w:snapToGrid w:val="0"/>
              <w:rPr>
                <w:color w:val="FF0000"/>
                <w:sz w:val="21"/>
                <w:szCs w:val="21"/>
              </w:rPr>
            </w:pPr>
          </w:p>
        </w:tc>
        <w:tc>
          <w:tcPr>
            <w:tcW w:w="650" w:type="dxa"/>
            <w:vMerge w:val="continue"/>
            <w:tcBorders>
              <w:tl2br w:val="nil"/>
              <w:tr2bl w:val="nil"/>
            </w:tcBorders>
            <w:noWrap/>
            <w:vAlign w:val="center"/>
          </w:tcPr>
          <w:p w14:paraId="09BAE38B">
            <w:pPr>
              <w:pStyle w:val="59"/>
              <w:snapToGrid w:val="0"/>
              <w:rPr>
                <w:color w:val="FF0000"/>
                <w:sz w:val="21"/>
                <w:szCs w:val="21"/>
              </w:rPr>
            </w:pPr>
          </w:p>
        </w:tc>
        <w:tc>
          <w:tcPr>
            <w:tcW w:w="612" w:type="dxa"/>
            <w:vMerge w:val="continue"/>
            <w:tcBorders>
              <w:tl2br w:val="nil"/>
              <w:tr2bl w:val="nil"/>
            </w:tcBorders>
            <w:noWrap/>
            <w:vAlign w:val="center"/>
          </w:tcPr>
          <w:p w14:paraId="5F9B40D9">
            <w:pPr>
              <w:pStyle w:val="59"/>
              <w:snapToGrid w:val="0"/>
              <w:rPr>
                <w:color w:val="FF0000"/>
                <w:sz w:val="21"/>
                <w:szCs w:val="21"/>
              </w:rPr>
            </w:pPr>
          </w:p>
        </w:tc>
        <w:tc>
          <w:tcPr>
            <w:tcW w:w="1024" w:type="dxa"/>
            <w:vMerge w:val="restart"/>
            <w:tcBorders>
              <w:tl2br w:val="nil"/>
              <w:tr2bl w:val="nil"/>
            </w:tcBorders>
            <w:noWrap/>
            <w:vAlign w:val="center"/>
          </w:tcPr>
          <w:p w14:paraId="6003897F">
            <w:pPr>
              <w:pStyle w:val="59"/>
              <w:snapToGrid w:val="0"/>
              <w:rPr>
                <w:rFonts w:hint="eastAsia" w:eastAsia="宋体"/>
                <w:color w:val="auto"/>
                <w:sz w:val="21"/>
                <w:szCs w:val="21"/>
                <w:lang w:val="en-US" w:eastAsia="zh-CN"/>
              </w:rPr>
            </w:pPr>
            <w:r>
              <w:rPr>
                <w:rFonts w:hint="eastAsia"/>
                <w:color w:val="auto"/>
                <w:sz w:val="21"/>
                <w:szCs w:val="21"/>
                <w:lang w:val="en-US" w:eastAsia="zh-CN"/>
              </w:rPr>
              <w:t>氮氧化物</w:t>
            </w:r>
          </w:p>
        </w:tc>
        <w:tc>
          <w:tcPr>
            <w:tcW w:w="1224" w:type="dxa"/>
            <w:tcBorders>
              <w:tl2br w:val="nil"/>
              <w:tr2bl w:val="nil"/>
            </w:tcBorders>
            <w:noWrap/>
            <w:vAlign w:val="center"/>
          </w:tcPr>
          <w:p w14:paraId="5B702769">
            <w:pPr>
              <w:pStyle w:val="59"/>
              <w:snapToGrid w:val="0"/>
              <w:rPr>
                <w:color w:val="auto"/>
                <w:sz w:val="21"/>
                <w:szCs w:val="21"/>
              </w:rPr>
            </w:pPr>
            <w:r>
              <w:rPr>
                <w:rFonts w:hint="eastAsia"/>
                <w:color w:val="auto"/>
                <w:sz w:val="21"/>
                <w:szCs w:val="21"/>
              </w:rPr>
              <w:t>1h平均</w:t>
            </w:r>
          </w:p>
        </w:tc>
        <w:tc>
          <w:tcPr>
            <w:tcW w:w="1242" w:type="dxa"/>
            <w:tcBorders>
              <w:tl2br w:val="nil"/>
              <w:tr2bl w:val="nil"/>
            </w:tcBorders>
            <w:noWrap/>
            <w:vAlign w:val="center"/>
          </w:tcPr>
          <w:p w14:paraId="29D247E0">
            <w:pPr>
              <w:pStyle w:val="59"/>
              <w:snapToGrid w:val="0"/>
              <w:rPr>
                <w:rFonts w:hint="default" w:eastAsia="宋体"/>
                <w:color w:val="auto"/>
                <w:sz w:val="21"/>
                <w:szCs w:val="21"/>
                <w:lang w:val="en-US" w:eastAsia="zh-CN"/>
              </w:rPr>
            </w:pPr>
            <w:r>
              <w:rPr>
                <w:rFonts w:hint="eastAsia"/>
                <w:color w:val="auto"/>
                <w:sz w:val="21"/>
                <w:szCs w:val="21"/>
                <w:lang w:val="en-US" w:eastAsia="zh-CN"/>
              </w:rPr>
              <w:t>250</w:t>
            </w:r>
          </w:p>
        </w:tc>
        <w:tc>
          <w:tcPr>
            <w:tcW w:w="1163" w:type="dxa"/>
            <w:tcBorders>
              <w:tl2br w:val="nil"/>
              <w:tr2bl w:val="nil"/>
            </w:tcBorders>
            <w:noWrap/>
            <w:vAlign w:val="center"/>
          </w:tcPr>
          <w:p w14:paraId="6C0AF7AC">
            <w:pPr>
              <w:pStyle w:val="59"/>
              <w:snapToGrid w:val="0"/>
              <w:rPr>
                <w:rFonts w:hint="default" w:eastAsia="宋体"/>
                <w:color w:val="auto"/>
                <w:sz w:val="21"/>
                <w:szCs w:val="21"/>
                <w:lang w:val="en-US" w:eastAsia="zh-CN"/>
              </w:rPr>
            </w:pPr>
            <w:r>
              <w:rPr>
                <w:rFonts w:hint="eastAsia"/>
                <w:color w:val="auto"/>
                <w:sz w:val="21"/>
                <w:szCs w:val="21"/>
                <w:lang w:val="en-US" w:eastAsia="zh-CN"/>
              </w:rPr>
              <w:t>8</w:t>
            </w:r>
            <w:r>
              <w:rPr>
                <w:rFonts w:hint="eastAsia"/>
                <w:color w:val="auto"/>
                <w:sz w:val="21"/>
                <w:szCs w:val="21"/>
              </w:rPr>
              <w:t>~</w:t>
            </w:r>
            <w:r>
              <w:rPr>
                <w:rFonts w:hint="eastAsia"/>
                <w:color w:val="auto"/>
                <w:sz w:val="21"/>
                <w:szCs w:val="21"/>
                <w:lang w:val="en-US" w:eastAsia="zh-CN"/>
              </w:rPr>
              <w:t>65</w:t>
            </w:r>
          </w:p>
        </w:tc>
        <w:tc>
          <w:tcPr>
            <w:tcW w:w="780" w:type="dxa"/>
            <w:tcBorders>
              <w:tl2br w:val="nil"/>
              <w:tr2bl w:val="nil"/>
            </w:tcBorders>
            <w:noWrap/>
            <w:vAlign w:val="center"/>
          </w:tcPr>
          <w:p w14:paraId="0AFF865C">
            <w:pPr>
              <w:pStyle w:val="59"/>
              <w:snapToGrid w:val="0"/>
              <w:rPr>
                <w:rFonts w:hint="default" w:eastAsia="宋体"/>
                <w:color w:val="auto"/>
                <w:sz w:val="21"/>
                <w:szCs w:val="21"/>
                <w:lang w:val="en-US" w:eastAsia="zh-CN"/>
              </w:rPr>
            </w:pPr>
            <w:r>
              <w:rPr>
                <w:rFonts w:hint="eastAsia"/>
                <w:color w:val="auto"/>
                <w:sz w:val="21"/>
                <w:szCs w:val="21"/>
                <w:lang w:val="en-US" w:eastAsia="zh-CN"/>
              </w:rPr>
              <w:t>26</w:t>
            </w:r>
          </w:p>
        </w:tc>
        <w:tc>
          <w:tcPr>
            <w:tcW w:w="605" w:type="dxa"/>
            <w:tcBorders>
              <w:tl2br w:val="nil"/>
              <w:tr2bl w:val="nil"/>
            </w:tcBorders>
            <w:noWrap/>
            <w:vAlign w:val="center"/>
          </w:tcPr>
          <w:p w14:paraId="524F8E29">
            <w:pPr>
              <w:pStyle w:val="59"/>
              <w:snapToGrid w:val="0"/>
              <w:rPr>
                <w:rFonts w:hint="eastAsia" w:eastAsia="宋体"/>
                <w:color w:val="auto"/>
                <w:sz w:val="21"/>
                <w:szCs w:val="21"/>
                <w:lang w:val="en-US" w:eastAsia="zh-CN"/>
              </w:rPr>
            </w:pPr>
            <w:r>
              <w:rPr>
                <w:rFonts w:hint="eastAsia"/>
                <w:color w:val="auto"/>
                <w:sz w:val="21"/>
                <w:szCs w:val="21"/>
                <w:lang w:val="en-US" w:eastAsia="zh-CN"/>
              </w:rPr>
              <w:t>0</w:t>
            </w:r>
          </w:p>
        </w:tc>
        <w:tc>
          <w:tcPr>
            <w:tcW w:w="684" w:type="dxa"/>
            <w:tcBorders>
              <w:tl2br w:val="nil"/>
              <w:tr2bl w:val="nil"/>
            </w:tcBorders>
            <w:noWrap/>
            <w:vAlign w:val="center"/>
          </w:tcPr>
          <w:p w14:paraId="3E02E525">
            <w:pPr>
              <w:pStyle w:val="59"/>
              <w:snapToGrid w:val="0"/>
              <w:rPr>
                <w:color w:val="auto"/>
                <w:sz w:val="21"/>
                <w:szCs w:val="21"/>
              </w:rPr>
            </w:pPr>
            <w:r>
              <w:rPr>
                <w:color w:val="auto"/>
                <w:sz w:val="21"/>
                <w:szCs w:val="21"/>
              </w:rPr>
              <w:t>达标</w:t>
            </w:r>
          </w:p>
        </w:tc>
      </w:tr>
      <w:tr w14:paraId="01E068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88" w:type="dxa"/>
            <w:vMerge w:val="continue"/>
            <w:tcBorders>
              <w:tl2br w:val="nil"/>
              <w:tr2bl w:val="nil"/>
            </w:tcBorders>
            <w:noWrap/>
            <w:vAlign w:val="center"/>
          </w:tcPr>
          <w:p w14:paraId="13226669">
            <w:pPr>
              <w:pStyle w:val="59"/>
              <w:snapToGrid w:val="0"/>
              <w:rPr>
                <w:color w:val="FF0000"/>
                <w:sz w:val="21"/>
                <w:szCs w:val="21"/>
              </w:rPr>
            </w:pPr>
          </w:p>
        </w:tc>
        <w:tc>
          <w:tcPr>
            <w:tcW w:w="650" w:type="dxa"/>
            <w:vMerge w:val="continue"/>
            <w:tcBorders>
              <w:tl2br w:val="nil"/>
              <w:tr2bl w:val="nil"/>
            </w:tcBorders>
            <w:noWrap/>
            <w:vAlign w:val="center"/>
          </w:tcPr>
          <w:p w14:paraId="6F9E3966">
            <w:pPr>
              <w:pStyle w:val="59"/>
              <w:snapToGrid w:val="0"/>
              <w:rPr>
                <w:color w:val="FF0000"/>
                <w:sz w:val="21"/>
                <w:szCs w:val="21"/>
              </w:rPr>
            </w:pPr>
          </w:p>
        </w:tc>
        <w:tc>
          <w:tcPr>
            <w:tcW w:w="612" w:type="dxa"/>
            <w:vMerge w:val="continue"/>
            <w:tcBorders>
              <w:tl2br w:val="nil"/>
              <w:tr2bl w:val="nil"/>
            </w:tcBorders>
            <w:noWrap/>
            <w:vAlign w:val="center"/>
          </w:tcPr>
          <w:p w14:paraId="59806C9F">
            <w:pPr>
              <w:pStyle w:val="59"/>
              <w:snapToGrid w:val="0"/>
              <w:rPr>
                <w:color w:val="FF0000"/>
                <w:sz w:val="21"/>
                <w:szCs w:val="21"/>
              </w:rPr>
            </w:pPr>
          </w:p>
        </w:tc>
        <w:tc>
          <w:tcPr>
            <w:tcW w:w="1024" w:type="dxa"/>
            <w:vMerge w:val="continue"/>
            <w:tcBorders>
              <w:tl2br w:val="nil"/>
              <w:tr2bl w:val="nil"/>
            </w:tcBorders>
            <w:noWrap/>
            <w:vAlign w:val="center"/>
          </w:tcPr>
          <w:p w14:paraId="5C8FD83B">
            <w:pPr>
              <w:pStyle w:val="59"/>
              <w:snapToGrid w:val="0"/>
              <w:rPr>
                <w:rFonts w:hint="default"/>
                <w:color w:val="auto"/>
                <w:sz w:val="21"/>
                <w:szCs w:val="21"/>
                <w:lang w:val="en-US" w:eastAsia="zh-CN"/>
              </w:rPr>
            </w:pPr>
          </w:p>
        </w:tc>
        <w:tc>
          <w:tcPr>
            <w:tcW w:w="1224" w:type="dxa"/>
            <w:tcBorders>
              <w:tl2br w:val="nil"/>
              <w:tr2bl w:val="nil"/>
            </w:tcBorders>
            <w:noWrap/>
            <w:vAlign w:val="center"/>
          </w:tcPr>
          <w:p w14:paraId="27DEBB58">
            <w:pPr>
              <w:pStyle w:val="59"/>
              <w:snapToGrid w:val="0"/>
              <w:rPr>
                <w:rFonts w:hint="default" w:eastAsia="宋体"/>
                <w:color w:val="auto"/>
                <w:sz w:val="21"/>
                <w:szCs w:val="21"/>
                <w:lang w:val="en-US" w:eastAsia="zh-CN"/>
              </w:rPr>
            </w:pPr>
            <w:r>
              <w:rPr>
                <w:rFonts w:hint="eastAsia"/>
                <w:color w:val="auto"/>
                <w:sz w:val="21"/>
                <w:szCs w:val="21"/>
                <w:lang w:val="en-US" w:eastAsia="zh-CN"/>
              </w:rPr>
              <w:t>24h平均</w:t>
            </w:r>
          </w:p>
        </w:tc>
        <w:tc>
          <w:tcPr>
            <w:tcW w:w="1242" w:type="dxa"/>
            <w:tcBorders>
              <w:tl2br w:val="nil"/>
              <w:tr2bl w:val="nil"/>
            </w:tcBorders>
            <w:noWrap/>
            <w:vAlign w:val="center"/>
          </w:tcPr>
          <w:p w14:paraId="036150BA">
            <w:pPr>
              <w:pStyle w:val="59"/>
              <w:snapToGrid w:val="0"/>
              <w:rPr>
                <w:rFonts w:hint="default" w:eastAsia="宋体"/>
                <w:color w:val="auto"/>
                <w:sz w:val="21"/>
                <w:szCs w:val="21"/>
                <w:lang w:val="en-US" w:eastAsia="zh-CN"/>
              </w:rPr>
            </w:pPr>
            <w:r>
              <w:rPr>
                <w:rFonts w:hint="eastAsia"/>
                <w:color w:val="auto"/>
                <w:sz w:val="21"/>
                <w:szCs w:val="21"/>
                <w:lang w:val="en-US" w:eastAsia="zh-CN"/>
              </w:rPr>
              <w:t>100</w:t>
            </w:r>
          </w:p>
        </w:tc>
        <w:tc>
          <w:tcPr>
            <w:tcW w:w="1163" w:type="dxa"/>
            <w:tcBorders>
              <w:tl2br w:val="nil"/>
              <w:tr2bl w:val="nil"/>
            </w:tcBorders>
            <w:noWrap/>
            <w:vAlign w:val="center"/>
          </w:tcPr>
          <w:p w14:paraId="3CF5D7C5">
            <w:pPr>
              <w:pStyle w:val="59"/>
              <w:snapToGrid w:val="0"/>
              <w:rPr>
                <w:rFonts w:hint="default" w:eastAsia="宋体"/>
                <w:color w:val="auto"/>
                <w:sz w:val="21"/>
                <w:szCs w:val="21"/>
                <w:lang w:val="en-US" w:eastAsia="zh-CN"/>
              </w:rPr>
            </w:pPr>
            <w:r>
              <w:rPr>
                <w:rFonts w:hint="eastAsia"/>
                <w:color w:val="auto"/>
                <w:sz w:val="21"/>
                <w:szCs w:val="21"/>
                <w:lang w:val="en-US" w:eastAsia="zh-CN"/>
              </w:rPr>
              <w:t>21</w:t>
            </w:r>
            <w:r>
              <w:rPr>
                <w:rFonts w:hint="eastAsia"/>
                <w:color w:val="auto"/>
                <w:sz w:val="21"/>
                <w:szCs w:val="21"/>
              </w:rPr>
              <w:t>~</w:t>
            </w:r>
            <w:r>
              <w:rPr>
                <w:rFonts w:hint="eastAsia"/>
                <w:color w:val="auto"/>
                <w:sz w:val="21"/>
                <w:szCs w:val="21"/>
                <w:lang w:val="en-US" w:eastAsia="zh-CN"/>
              </w:rPr>
              <w:t>45</w:t>
            </w:r>
          </w:p>
        </w:tc>
        <w:tc>
          <w:tcPr>
            <w:tcW w:w="780" w:type="dxa"/>
            <w:tcBorders>
              <w:tl2br w:val="nil"/>
              <w:tr2bl w:val="nil"/>
            </w:tcBorders>
            <w:noWrap/>
            <w:vAlign w:val="center"/>
          </w:tcPr>
          <w:p w14:paraId="1992C25E">
            <w:pPr>
              <w:pStyle w:val="59"/>
              <w:snapToGrid w:val="0"/>
              <w:rPr>
                <w:rFonts w:hint="default" w:eastAsia="宋体"/>
                <w:color w:val="auto"/>
                <w:sz w:val="21"/>
                <w:szCs w:val="21"/>
                <w:lang w:val="en-US" w:eastAsia="zh-CN"/>
              </w:rPr>
            </w:pPr>
            <w:r>
              <w:rPr>
                <w:rFonts w:hint="eastAsia"/>
                <w:color w:val="auto"/>
                <w:sz w:val="21"/>
                <w:szCs w:val="21"/>
                <w:lang w:val="en-US" w:eastAsia="zh-CN"/>
              </w:rPr>
              <w:t>45</w:t>
            </w:r>
          </w:p>
        </w:tc>
        <w:tc>
          <w:tcPr>
            <w:tcW w:w="605" w:type="dxa"/>
            <w:tcBorders>
              <w:tl2br w:val="nil"/>
              <w:tr2bl w:val="nil"/>
            </w:tcBorders>
            <w:noWrap/>
            <w:vAlign w:val="center"/>
          </w:tcPr>
          <w:p w14:paraId="689C6C8B">
            <w:pPr>
              <w:pStyle w:val="59"/>
              <w:snapToGrid w:val="0"/>
              <w:rPr>
                <w:rFonts w:hint="eastAsia" w:eastAsia="宋体"/>
                <w:color w:val="auto"/>
                <w:sz w:val="21"/>
                <w:szCs w:val="21"/>
                <w:lang w:val="en-US" w:eastAsia="zh-CN"/>
              </w:rPr>
            </w:pPr>
            <w:r>
              <w:rPr>
                <w:rFonts w:hint="eastAsia"/>
                <w:color w:val="auto"/>
                <w:sz w:val="21"/>
                <w:szCs w:val="21"/>
                <w:lang w:val="en-US" w:eastAsia="zh-CN"/>
              </w:rPr>
              <w:t>0</w:t>
            </w:r>
          </w:p>
        </w:tc>
        <w:tc>
          <w:tcPr>
            <w:tcW w:w="684" w:type="dxa"/>
            <w:tcBorders>
              <w:tl2br w:val="nil"/>
              <w:tr2bl w:val="nil"/>
            </w:tcBorders>
            <w:noWrap/>
            <w:vAlign w:val="center"/>
          </w:tcPr>
          <w:p w14:paraId="2928E97F">
            <w:pPr>
              <w:pStyle w:val="59"/>
              <w:snapToGrid w:val="0"/>
              <w:rPr>
                <w:rFonts w:hint="eastAsia" w:eastAsia="宋体"/>
                <w:color w:val="auto"/>
                <w:sz w:val="21"/>
                <w:szCs w:val="21"/>
                <w:lang w:val="en-US" w:eastAsia="zh-CN"/>
              </w:rPr>
            </w:pPr>
            <w:r>
              <w:rPr>
                <w:rFonts w:hint="eastAsia"/>
                <w:color w:val="auto"/>
                <w:sz w:val="21"/>
                <w:szCs w:val="21"/>
                <w:lang w:val="en-US" w:eastAsia="zh-CN"/>
              </w:rPr>
              <w:t>达标</w:t>
            </w:r>
          </w:p>
        </w:tc>
      </w:tr>
      <w:tr w14:paraId="205F14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88" w:type="dxa"/>
            <w:vMerge w:val="continue"/>
            <w:tcBorders>
              <w:tl2br w:val="nil"/>
              <w:tr2bl w:val="nil"/>
            </w:tcBorders>
            <w:noWrap/>
            <w:vAlign w:val="center"/>
          </w:tcPr>
          <w:p w14:paraId="1EBDA003">
            <w:pPr>
              <w:pStyle w:val="59"/>
              <w:snapToGrid w:val="0"/>
              <w:rPr>
                <w:color w:val="FF0000"/>
                <w:sz w:val="21"/>
                <w:szCs w:val="21"/>
              </w:rPr>
            </w:pPr>
          </w:p>
        </w:tc>
        <w:tc>
          <w:tcPr>
            <w:tcW w:w="650" w:type="dxa"/>
            <w:vMerge w:val="continue"/>
            <w:tcBorders>
              <w:tl2br w:val="nil"/>
              <w:tr2bl w:val="nil"/>
            </w:tcBorders>
            <w:noWrap/>
            <w:vAlign w:val="center"/>
          </w:tcPr>
          <w:p w14:paraId="4EB4CD46">
            <w:pPr>
              <w:pStyle w:val="59"/>
              <w:snapToGrid w:val="0"/>
              <w:rPr>
                <w:color w:val="FF0000"/>
                <w:sz w:val="21"/>
                <w:szCs w:val="21"/>
              </w:rPr>
            </w:pPr>
          </w:p>
        </w:tc>
        <w:tc>
          <w:tcPr>
            <w:tcW w:w="612" w:type="dxa"/>
            <w:vMerge w:val="continue"/>
            <w:tcBorders>
              <w:tl2br w:val="nil"/>
              <w:tr2bl w:val="nil"/>
            </w:tcBorders>
            <w:noWrap/>
            <w:vAlign w:val="center"/>
          </w:tcPr>
          <w:p w14:paraId="115AADB3">
            <w:pPr>
              <w:pStyle w:val="59"/>
              <w:snapToGrid w:val="0"/>
              <w:rPr>
                <w:color w:val="FF0000"/>
                <w:sz w:val="21"/>
                <w:szCs w:val="21"/>
              </w:rPr>
            </w:pPr>
          </w:p>
        </w:tc>
        <w:tc>
          <w:tcPr>
            <w:tcW w:w="1024" w:type="dxa"/>
            <w:tcBorders>
              <w:tl2br w:val="nil"/>
              <w:tr2bl w:val="nil"/>
            </w:tcBorders>
            <w:noWrap/>
            <w:vAlign w:val="center"/>
          </w:tcPr>
          <w:p w14:paraId="6172E2E0">
            <w:pPr>
              <w:pStyle w:val="59"/>
              <w:snapToGrid w:val="0"/>
              <w:rPr>
                <w:color w:val="auto"/>
                <w:sz w:val="21"/>
                <w:szCs w:val="21"/>
              </w:rPr>
            </w:pPr>
            <w:r>
              <w:rPr>
                <w:rFonts w:hint="eastAsia"/>
                <w:color w:val="auto"/>
                <w:sz w:val="21"/>
                <w:szCs w:val="21"/>
                <w:lang w:val="en-US" w:eastAsia="zh-CN"/>
              </w:rPr>
              <w:t>丙烯腈</w:t>
            </w:r>
          </w:p>
        </w:tc>
        <w:tc>
          <w:tcPr>
            <w:tcW w:w="1224" w:type="dxa"/>
            <w:tcBorders>
              <w:tl2br w:val="nil"/>
              <w:tr2bl w:val="nil"/>
            </w:tcBorders>
            <w:noWrap/>
            <w:vAlign w:val="center"/>
          </w:tcPr>
          <w:p w14:paraId="77D2F99E">
            <w:pPr>
              <w:pStyle w:val="59"/>
              <w:snapToGrid w:val="0"/>
              <w:rPr>
                <w:color w:val="auto"/>
                <w:sz w:val="21"/>
                <w:szCs w:val="21"/>
              </w:rPr>
            </w:pPr>
            <w:r>
              <w:rPr>
                <w:rFonts w:hint="eastAsia"/>
                <w:color w:val="auto"/>
                <w:sz w:val="21"/>
                <w:szCs w:val="21"/>
              </w:rPr>
              <w:t>1h平均</w:t>
            </w:r>
          </w:p>
        </w:tc>
        <w:tc>
          <w:tcPr>
            <w:tcW w:w="1242" w:type="dxa"/>
            <w:tcBorders>
              <w:tl2br w:val="nil"/>
              <w:tr2bl w:val="nil"/>
            </w:tcBorders>
            <w:noWrap/>
            <w:vAlign w:val="center"/>
          </w:tcPr>
          <w:p w14:paraId="365E0ECE">
            <w:pPr>
              <w:pStyle w:val="59"/>
              <w:snapToGrid w:val="0"/>
              <w:rPr>
                <w:rFonts w:hint="default" w:eastAsia="宋体"/>
                <w:color w:val="auto"/>
                <w:sz w:val="21"/>
                <w:szCs w:val="21"/>
                <w:lang w:val="en-US" w:eastAsia="zh-CN"/>
              </w:rPr>
            </w:pPr>
            <w:r>
              <w:rPr>
                <w:rFonts w:hint="eastAsia"/>
                <w:color w:val="auto"/>
                <w:sz w:val="21"/>
                <w:szCs w:val="21"/>
                <w:lang w:val="en-US" w:eastAsia="zh-CN"/>
              </w:rPr>
              <w:t>50</w:t>
            </w:r>
          </w:p>
        </w:tc>
        <w:tc>
          <w:tcPr>
            <w:tcW w:w="1163" w:type="dxa"/>
            <w:tcBorders>
              <w:tl2br w:val="nil"/>
              <w:tr2bl w:val="nil"/>
            </w:tcBorders>
            <w:noWrap/>
            <w:vAlign w:val="center"/>
          </w:tcPr>
          <w:p w14:paraId="01D0E405">
            <w:pPr>
              <w:pStyle w:val="59"/>
              <w:snapToGrid w:val="0"/>
              <w:rPr>
                <w:rFonts w:hint="default" w:eastAsia="宋体"/>
                <w:color w:val="auto"/>
                <w:sz w:val="21"/>
                <w:szCs w:val="21"/>
                <w:lang w:val="en-US" w:eastAsia="zh-CN"/>
              </w:rPr>
            </w:pPr>
            <w:r>
              <w:rPr>
                <w:rFonts w:hint="eastAsia"/>
                <w:color w:val="auto"/>
                <w:sz w:val="21"/>
                <w:szCs w:val="21"/>
              </w:rPr>
              <w:t>＜</w:t>
            </w:r>
            <w:r>
              <w:rPr>
                <w:rFonts w:hint="eastAsia"/>
                <w:color w:val="auto"/>
                <w:sz w:val="21"/>
                <w:szCs w:val="21"/>
                <w:lang w:val="en-US" w:eastAsia="zh-CN"/>
              </w:rPr>
              <w:t>0.05</w:t>
            </w:r>
          </w:p>
        </w:tc>
        <w:tc>
          <w:tcPr>
            <w:tcW w:w="780" w:type="dxa"/>
            <w:tcBorders>
              <w:tl2br w:val="nil"/>
              <w:tr2bl w:val="nil"/>
            </w:tcBorders>
            <w:noWrap/>
            <w:vAlign w:val="center"/>
          </w:tcPr>
          <w:p w14:paraId="6BB0FB00">
            <w:pPr>
              <w:pStyle w:val="59"/>
              <w:snapToGrid w:val="0"/>
              <w:rPr>
                <w:rFonts w:hint="default" w:eastAsia="宋体"/>
                <w:color w:val="auto"/>
                <w:sz w:val="21"/>
                <w:szCs w:val="21"/>
                <w:lang w:val="en-US" w:eastAsia="zh-CN"/>
              </w:rPr>
            </w:pPr>
            <w:r>
              <w:rPr>
                <w:rFonts w:hint="eastAsia"/>
                <w:color w:val="auto"/>
                <w:sz w:val="21"/>
                <w:szCs w:val="21"/>
                <w:lang w:val="en-US" w:eastAsia="zh-CN"/>
              </w:rPr>
              <w:t>0.05</w:t>
            </w:r>
          </w:p>
        </w:tc>
        <w:tc>
          <w:tcPr>
            <w:tcW w:w="605" w:type="dxa"/>
            <w:tcBorders>
              <w:tl2br w:val="nil"/>
              <w:tr2bl w:val="nil"/>
            </w:tcBorders>
            <w:noWrap/>
            <w:vAlign w:val="center"/>
          </w:tcPr>
          <w:p w14:paraId="6827E34F">
            <w:pPr>
              <w:pStyle w:val="59"/>
              <w:snapToGrid w:val="0"/>
              <w:rPr>
                <w:color w:val="auto"/>
                <w:sz w:val="21"/>
                <w:szCs w:val="21"/>
              </w:rPr>
            </w:pPr>
            <w:r>
              <w:rPr>
                <w:rFonts w:hint="eastAsia"/>
                <w:color w:val="auto"/>
                <w:sz w:val="21"/>
                <w:szCs w:val="21"/>
              </w:rPr>
              <w:t>0</w:t>
            </w:r>
          </w:p>
        </w:tc>
        <w:tc>
          <w:tcPr>
            <w:tcW w:w="684" w:type="dxa"/>
            <w:tcBorders>
              <w:tl2br w:val="nil"/>
              <w:tr2bl w:val="nil"/>
            </w:tcBorders>
            <w:noWrap/>
            <w:vAlign w:val="center"/>
          </w:tcPr>
          <w:p w14:paraId="43F35511">
            <w:pPr>
              <w:pStyle w:val="59"/>
              <w:snapToGrid w:val="0"/>
              <w:rPr>
                <w:color w:val="auto"/>
                <w:sz w:val="21"/>
                <w:szCs w:val="21"/>
              </w:rPr>
            </w:pPr>
            <w:r>
              <w:rPr>
                <w:color w:val="auto"/>
                <w:sz w:val="21"/>
                <w:szCs w:val="21"/>
              </w:rPr>
              <w:t>达标</w:t>
            </w:r>
          </w:p>
        </w:tc>
      </w:tr>
      <w:tr w14:paraId="01318C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88" w:type="dxa"/>
            <w:vMerge w:val="continue"/>
            <w:tcBorders>
              <w:tl2br w:val="nil"/>
              <w:tr2bl w:val="nil"/>
            </w:tcBorders>
            <w:noWrap/>
            <w:vAlign w:val="center"/>
          </w:tcPr>
          <w:p w14:paraId="05DC867D">
            <w:pPr>
              <w:pStyle w:val="59"/>
              <w:snapToGrid w:val="0"/>
              <w:rPr>
                <w:color w:val="FF0000"/>
                <w:sz w:val="21"/>
                <w:szCs w:val="21"/>
              </w:rPr>
            </w:pPr>
          </w:p>
        </w:tc>
        <w:tc>
          <w:tcPr>
            <w:tcW w:w="650" w:type="dxa"/>
            <w:vMerge w:val="continue"/>
            <w:tcBorders>
              <w:tl2br w:val="nil"/>
              <w:tr2bl w:val="nil"/>
            </w:tcBorders>
            <w:noWrap/>
            <w:vAlign w:val="center"/>
          </w:tcPr>
          <w:p w14:paraId="62151AAE">
            <w:pPr>
              <w:pStyle w:val="59"/>
              <w:snapToGrid w:val="0"/>
              <w:rPr>
                <w:color w:val="FF0000"/>
                <w:sz w:val="21"/>
                <w:szCs w:val="21"/>
              </w:rPr>
            </w:pPr>
          </w:p>
        </w:tc>
        <w:tc>
          <w:tcPr>
            <w:tcW w:w="612" w:type="dxa"/>
            <w:vMerge w:val="continue"/>
            <w:tcBorders>
              <w:tl2br w:val="nil"/>
              <w:tr2bl w:val="nil"/>
            </w:tcBorders>
            <w:noWrap/>
            <w:vAlign w:val="center"/>
          </w:tcPr>
          <w:p w14:paraId="767122C9">
            <w:pPr>
              <w:pStyle w:val="59"/>
              <w:snapToGrid w:val="0"/>
              <w:rPr>
                <w:color w:val="FF0000"/>
                <w:sz w:val="21"/>
                <w:szCs w:val="21"/>
              </w:rPr>
            </w:pPr>
          </w:p>
        </w:tc>
        <w:tc>
          <w:tcPr>
            <w:tcW w:w="1024" w:type="dxa"/>
            <w:tcBorders>
              <w:tl2br w:val="nil"/>
              <w:tr2bl w:val="nil"/>
            </w:tcBorders>
            <w:noWrap/>
            <w:vAlign w:val="center"/>
          </w:tcPr>
          <w:p w14:paraId="54D5A0B6">
            <w:pPr>
              <w:pStyle w:val="59"/>
              <w:snapToGrid w:val="0"/>
              <w:rPr>
                <w:rFonts w:hint="eastAsia" w:eastAsia="宋体"/>
                <w:color w:val="auto"/>
                <w:sz w:val="21"/>
                <w:szCs w:val="21"/>
                <w:lang w:val="en-US" w:eastAsia="zh-CN"/>
              </w:rPr>
            </w:pPr>
            <w:r>
              <w:rPr>
                <w:rFonts w:hint="eastAsia"/>
                <w:color w:val="auto"/>
                <w:sz w:val="21"/>
                <w:szCs w:val="21"/>
                <w:lang w:val="en-US" w:eastAsia="zh-CN"/>
              </w:rPr>
              <w:t>苯乙烯</w:t>
            </w:r>
          </w:p>
        </w:tc>
        <w:tc>
          <w:tcPr>
            <w:tcW w:w="1224" w:type="dxa"/>
            <w:tcBorders>
              <w:tl2br w:val="nil"/>
              <w:tr2bl w:val="nil"/>
            </w:tcBorders>
            <w:noWrap/>
            <w:vAlign w:val="center"/>
          </w:tcPr>
          <w:p w14:paraId="73880BBE">
            <w:pPr>
              <w:pStyle w:val="59"/>
              <w:snapToGrid w:val="0"/>
              <w:rPr>
                <w:color w:val="auto"/>
                <w:sz w:val="21"/>
                <w:szCs w:val="21"/>
              </w:rPr>
            </w:pPr>
            <w:r>
              <w:rPr>
                <w:rFonts w:hint="eastAsia"/>
                <w:color w:val="auto"/>
                <w:sz w:val="21"/>
                <w:szCs w:val="21"/>
              </w:rPr>
              <w:t>1h平均</w:t>
            </w:r>
          </w:p>
        </w:tc>
        <w:tc>
          <w:tcPr>
            <w:tcW w:w="1242" w:type="dxa"/>
            <w:tcBorders>
              <w:tl2br w:val="nil"/>
              <w:tr2bl w:val="nil"/>
            </w:tcBorders>
            <w:noWrap/>
            <w:vAlign w:val="center"/>
          </w:tcPr>
          <w:p w14:paraId="37EC3E66">
            <w:pPr>
              <w:pStyle w:val="59"/>
              <w:snapToGrid w:val="0"/>
              <w:rPr>
                <w:rFonts w:hint="default" w:eastAsia="宋体"/>
                <w:color w:val="auto"/>
                <w:sz w:val="21"/>
                <w:szCs w:val="21"/>
                <w:lang w:val="en-US" w:eastAsia="zh-CN"/>
              </w:rPr>
            </w:pPr>
            <w:r>
              <w:rPr>
                <w:rFonts w:hint="eastAsia"/>
                <w:color w:val="auto"/>
                <w:sz w:val="21"/>
                <w:szCs w:val="21"/>
                <w:lang w:val="en-US" w:eastAsia="zh-CN"/>
              </w:rPr>
              <w:t>10</w:t>
            </w:r>
          </w:p>
        </w:tc>
        <w:tc>
          <w:tcPr>
            <w:tcW w:w="1163" w:type="dxa"/>
            <w:tcBorders>
              <w:tl2br w:val="nil"/>
              <w:tr2bl w:val="nil"/>
            </w:tcBorders>
            <w:noWrap/>
            <w:vAlign w:val="center"/>
          </w:tcPr>
          <w:p w14:paraId="0694F28D">
            <w:pPr>
              <w:pStyle w:val="59"/>
              <w:snapToGrid w:val="0"/>
              <w:rPr>
                <w:color w:val="auto"/>
                <w:sz w:val="21"/>
                <w:szCs w:val="21"/>
              </w:rPr>
            </w:pPr>
            <w:r>
              <w:rPr>
                <w:rFonts w:hint="eastAsia"/>
                <w:color w:val="auto"/>
                <w:sz w:val="21"/>
                <w:szCs w:val="21"/>
              </w:rPr>
              <w:t>＜0.0</w:t>
            </w:r>
            <w:r>
              <w:rPr>
                <w:rFonts w:hint="eastAsia"/>
                <w:color w:val="auto"/>
                <w:sz w:val="21"/>
                <w:szCs w:val="21"/>
                <w:lang w:val="en-US" w:eastAsia="zh-CN"/>
              </w:rPr>
              <w:t>006</w:t>
            </w:r>
          </w:p>
        </w:tc>
        <w:tc>
          <w:tcPr>
            <w:tcW w:w="780" w:type="dxa"/>
            <w:tcBorders>
              <w:tl2br w:val="nil"/>
              <w:tr2bl w:val="nil"/>
            </w:tcBorders>
            <w:noWrap/>
            <w:vAlign w:val="center"/>
          </w:tcPr>
          <w:p w14:paraId="3AB0E317">
            <w:pPr>
              <w:pStyle w:val="59"/>
              <w:snapToGrid w:val="0"/>
              <w:rPr>
                <w:rFonts w:hint="default" w:eastAsia="宋体"/>
                <w:color w:val="auto"/>
                <w:sz w:val="21"/>
                <w:szCs w:val="21"/>
                <w:lang w:val="en-US" w:eastAsia="zh-CN"/>
              </w:rPr>
            </w:pPr>
            <w:r>
              <w:rPr>
                <w:rFonts w:hint="eastAsia"/>
                <w:color w:val="auto"/>
                <w:sz w:val="21"/>
                <w:szCs w:val="21"/>
                <w:lang w:val="en-US" w:eastAsia="zh-CN"/>
              </w:rPr>
              <w:t>0.003</w:t>
            </w:r>
          </w:p>
        </w:tc>
        <w:tc>
          <w:tcPr>
            <w:tcW w:w="605" w:type="dxa"/>
            <w:tcBorders>
              <w:tl2br w:val="nil"/>
              <w:tr2bl w:val="nil"/>
            </w:tcBorders>
            <w:noWrap/>
            <w:vAlign w:val="center"/>
          </w:tcPr>
          <w:p w14:paraId="5F360466">
            <w:pPr>
              <w:pStyle w:val="59"/>
              <w:snapToGrid w:val="0"/>
              <w:rPr>
                <w:color w:val="auto"/>
                <w:sz w:val="21"/>
                <w:szCs w:val="21"/>
              </w:rPr>
            </w:pPr>
            <w:r>
              <w:rPr>
                <w:rFonts w:hint="eastAsia"/>
                <w:color w:val="auto"/>
                <w:sz w:val="21"/>
                <w:szCs w:val="21"/>
              </w:rPr>
              <w:t>0</w:t>
            </w:r>
          </w:p>
        </w:tc>
        <w:tc>
          <w:tcPr>
            <w:tcW w:w="684" w:type="dxa"/>
            <w:tcBorders>
              <w:tl2br w:val="nil"/>
              <w:tr2bl w:val="nil"/>
            </w:tcBorders>
            <w:noWrap/>
            <w:vAlign w:val="center"/>
          </w:tcPr>
          <w:p w14:paraId="5A593F7E">
            <w:pPr>
              <w:pStyle w:val="59"/>
              <w:snapToGrid w:val="0"/>
              <w:rPr>
                <w:color w:val="auto"/>
                <w:sz w:val="21"/>
                <w:szCs w:val="21"/>
              </w:rPr>
            </w:pPr>
            <w:r>
              <w:rPr>
                <w:color w:val="auto"/>
                <w:sz w:val="21"/>
                <w:szCs w:val="21"/>
              </w:rPr>
              <w:t>达标</w:t>
            </w:r>
          </w:p>
        </w:tc>
      </w:tr>
      <w:tr w14:paraId="6A4802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88" w:type="dxa"/>
            <w:vMerge w:val="continue"/>
            <w:tcBorders>
              <w:tl2br w:val="nil"/>
              <w:tr2bl w:val="nil"/>
            </w:tcBorders>
            <w:noWrap/>
            <w:vAlign w:val="center"/>
          </w:tcPr>
          <w:p w14:paraId="78B81838">
            <w:pPr>
              <w:pStyle w:val="59"/>
              <w:snapToGrid w:val="0"/>
              <w:rPr>
                <w:color w:val="FF0000"/>
                <w:sz w:val="21"/>
                <w:szCs w:val="21"/>
              </w:rPr>
            </w:pPr>
          </w:p>
        </w:tc>
        <w:tc>
          <w:tcPr>
            <w:tcW w:w="650" w:type="dxa"/>
            <w:vMerge w:val="continue"/>
            <w:tcBorders>
              <w:tl2br w:val="nil"/>
              <w:tr2bl w:val="nil"/>
            </w:tcBorders>
            <w:noWrap/>
            <w:vAlign w:val="center"/>
          </w:tcPr>
          <w:p w14:paraId="01C3A84C">
            <w:pPr>
              <w:pStyle w:val="59"/>
              <w:snapToGrid w:val="0"/>
              <w:rPr>
                <w:color w:val="FF0000"/>
                <w:sz w:val="21"/>
                <w:szCs w:val="21"/>
              </w:rPr>
            </w:pPr>
          </w:p>
        </w:tc>
        <w:tc>
          <w:tcPr>
            <w:tcW w:w="612" w:type="dxa"/>
            <w:vMerge w:val="continue"/>
            <w:tcBorders>
              <w:tl2br w:val="nil"/>
              <w:tr2bl w:val="nil"/>
            </w:tcBorders>
            <w:noWrap/>
            <w:vAlign w:val="center"/>
          </w:tcPr>
          <w:p w14:paraId="75BB9B8B">
            <w:pPr>
              <w:pStyle w:val="59"/>
              <w:snapToGrid w:val="0"/>
              <w:rPr>
                <w:color w:val="FF0000"/>
                <w:sz w:val="21"/>
                <w:szCs w:val="21"/>
              </w:rPr>
            </w:pPr>
          </w:p>
        </w:tc>
        <w:tc>
          <w:tcPr>
            <w:tcW w:w="1024" w:type="dxa"/>
            <w:tcBorders>
              <w:tl2br w:val="nil"/>
              <w:tr2bl w:val="nil"/>
            </w:tcBorders>
            <w:noWrap/>
            <w:vAlign w:val="center"/>
          </w:tcPr>
          <w:p w14:paraId="33C62F21">
            <w:pPr>
              <w:pStyle w:val="59"/>
              <w:snapToGrid w:val="0"/>
              <w:rPr>
                <w:rFonts w:hint="eastAsia" w:eastAsia="宋体"/>
                <w:color w:val="auto"/>
                <w:sz w:val="21"/>
                <w:szCs w:val="21"/>
                <w:lang w:val="en-US" w:eastAsia="zh-CN"/>
              </w:rPr>
            </w:pPr>
            <w:r>
              <w:rPr>
                <w:rFonts w:hint="eastAsia"/>
                <w:color w:val="auto"/>
                <w:sz w:val="21"/>
                <w:szCs w:val="21"/>
                <w:lang w:val="en-US" w:eastAsia="zh-CN"/>
              </w:rPr>
              <w:t>甲苯</w:t>
            </w:r>
          </w:p>
        </w:tc>
        <w:tc>
          <w:tcPr>
            <w:tcW w:w="1224" w:type="dxa"/>
            <w:tcBorders>
              <w:tl2br w:val="nil"/>
              <w:tr2bl w:val="nil"/>
            </w:tcBorders>
            <w:noWrap/>
            <w:vAlign w:val="center"/>
          </w:tcPr>
          <w:p w14:paraId="005CF5CF">
            <w:pPr>
              <w:pStyle w:val="59"/>
              <w:snapToGrid w:val="0"/>
              <w:rPr>
                <w:color w:val="auto"/>
                <w:sz w:val="21"/>
                <w:szCs w:val="21"/>
              </w:rPr>
            </w:pPr>
            <w:r>
              <w:rPr>
                <w:rFonts w:hint="eastAsia"/>
                <w:color w:val="auto"/>
                <w:sz w:val="21"/>
                <w:szCs w:val="21"/>
              </w:rPr>
              <w:t>1h平均</w:t>
            </w:r>
          </w:p>
        </w:tc>
        <w:tc>
          <w:tcPr>
            <w:tcW w:w="1242" w:type="dxa"/>
            <w:tcBorders>
              <w:tl2br w:val="nil"/>
              <w:tr2bl w:val="nil"/>
            </w:tcBorders>
            <w:noWrap/>
            <w:vAlign w:val="center"/>
          </w:tcPr>
          <w:p w14:paraId="5CC784B2">
            <w:pPr>
              <w:pStyle w:val="59"/>
              <w:snapToGrid w:val="0"/>
              <w:rPr>
                <w:rFonts w:hint="default" w:eastAsia="宋体"/>
                <w:color w:val="auto"/>
                <w:sz w:val="21"/>
                <w:szCs w:val="21"/>
                <w:lang w:val="en-US" w:eastAsia="zh-CN"/>
              </w:rPr>
            </w:pPr>
            <w:r>
              <w:rPr>
                <w:rFonts w:hint="eastAsia"/>
                <w:color w:val="auto"/>
                <w:sz w:val="21"/>
                <w:szCs w:val="21"/>
                <w:lang w:val="en-US" w:eastAsia="zh-CN"/>
              </w:rPr>
              <w:t>200</w:t>
            </w:r>
          </w:p>
        </w:tc>
        <w:tc>
          <w:tcPr>
            <w:tcW w:w="1163" w:type="dxa"/>
            <w:tcBorders>
              <w:tl2br w:val="nil"/>
              <w:tr2bl w:val="nil"/>
            </w:tcBorders>
            <w:noWrap/>
            <w:vAlign w:val="center"/>
          </w:tcPr>
          <w:p w14:paraId="798FD10F">
            <w:pPr>
              <w:pStyle w:val="59"/>
              <w:snapToGrid w:val="0"/>
              <w:rPr>
                <w:rFonts w:hint="default" w:eastAsia="宋体"/>
                <w:color w:val="auto"/>
                <w:sz w:val="21"/>
                <w:szCs w:val="21"/>
                <w:lang w:val="en-US" w:eastAsia="zh-CN"/>
              </w:rPr>
            </w:pPr>
            <w:r>
              <w:rPr>
                <w:rFonts w:hint="eastAsia"/>
                <w:color w:val="auto"/>
                <w:sz w:val="21"/>
                <w:szCs w:val="21"/>
              </w:rPr>
              <w:t>＜</w:t>
            </w:r>
            <w:r>
              <w:rPr>
                <w:rFonts w:hint="eastAsia"/>
                <w:color w:val="auto"/>
                <w:sz w:val="21"/>
                <w:szCs w:val="21"/>
                <w:lang w:val="en-US" w:eastAsia="zh-CN"/>
              </w:rPr>
              <w:t>0.0004</w:t>
            </w:r>
          </w:p>
        </w:tc>
        <w:tc>
          <w:tcPr>
            <w:tcW w:w="780" w:type="dxa"/>
            <w:tcBorders>
              <w:tl2br w:val="nil"/>
              <w:tr2bl w:val="nil"/>
            </w:tcBorders>
            <w:noWrap/>
            <w:vAlign w:val="center"/>
          </w:tcPr>
          <w:p w14:paraId="78C0A29D">
            <w:pPr>
              <w:pStyle w:val="59"/>
              <w:snapToGrid w:val="0"/>
              <w:rPr>
                <w:rFonts w:hint="default" w:eastAsia="宋体"/>
                <w:color w:val="auto"/>
                <w:sz w:val="21"/>
                <w:szCs w:val="21"/>
                <w:lang w:val="en-US" w:eastAsia="zh-CN"/>
              </w:rPr>
            </w:pPr>
            <w:r>
              <w:rPr>
                <w:rFonts w:hint="eastAsia"/>
                <w:color w:val="auto"/>
                <w:sz w:val="21"/>
                <w:szCs w:val="21"/>
                <w:lang w:val="en-US" w:eastAsia="zh-CN"/>
              </w:rPr>
              <w:t>0.0001</w:t>
            </w:r>
          </w:p>
        </w:tc>
        <w:tc>
          <w:tcPr>
            <w:tcW w:w="605" w:type="dxa"/>
            <w:tcBorders>
              <w:tl2br w:val="nil"/>
              <w:tr2bl w:val="nil"/>
            </w:tcBorders>
            <w:noWrap/>
            <w:vAlign w:val="center"/>
          </w:tcPr>
          <w:p w14:paraId="2B5B4821">
            <w:pPr>
              <w:pStyle w:val="59"/>
              <w:snapToGrid w:val="0"/>
              <w:rPr>
                <w:color w:val="auto"/>
                <w:sz w:val="21"/>
                <w:szCs w:val="21"/>
              </w:rPr>
            </w:pPr>
            <w:r>
              <w:rPr>
                <w:color w:val="auto"/>
                <w:sz w:val="21"/>
                <w:szCs w:val="21"/>
              </w:rPr>
              <w:t>0</w:t>
            </w:r>
          </w:p>
        </w:tc>
        <w:tc>
          <w:tcPr>
            <w:tcW w:w="684" w:type="dxa"/>
            <w:tcBorders>
              <w:tl2br w:val="nil"/>
              <w:tr2bl w:val="nil"/>
            </w:tcBorders>
            <w:noWrap/>
            <w:vAlign w:val="center"/>
          </w:tcPr>
          <w:p w14:paraId="6B5758FE">
            <w:pPr>
              <w:pStyle w:val="59"/>
              <w:snapToGrid w:val="0"/>
              <w:rPr>
                <w:color w:val="auto"/>
                <w:sz w:val="21"/>
                <w:szCs w:val="21"/>
              </w:rPr>
            </w:pPr>
            <w:r>
              <w:rPr>
                <w:color w:val="auto"/>
                <w:sz w:val="21"/>
                <w:szCs w:val="21"/>
              </w:rPr>
              <w:t>达标</w:t>
            </w:r>
          </w:p>
        </w:tc>
      </w:tr>
      <w:tr w14:paraId="4C43C9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88" w:type="dxa"/>
            <w:vMerge w:val="continue"/>
            <w:tcBorders>
              <w:tl2br w:val="nil"/>
              <w:tr2bl w:val="nil"/>
            </w:tcBorders>
            <w:noWrap/>
            <w:vAlign w:val="center"/>
          </w:tcPr>
          <w:p w14:paraId="3A077C1F">
            <w:pPr>
              <w:pStyle w:val="59"/>
              <w:snapToGrid w:val="0"/>
              <w:rPr>
                <w:color w:val="FF0000"/>
                <w:sz w:val="21"/>
                <w:szCs w:val="21"/>
              </w:rPr>
            </w:pPr>
          </w:p>
        </w:tc>
        <w:tc>
          <w:tcPr>
            <w:tcW w:w="650" w:type="dxa"/>
            <w:vMerge w:val="continue"/>
            <w:tcBorders>
              <w:tl2br w:val="nil"/>
              <w:tr2bl w:val="nil"/>
            </w:tcBorders>
            <w:noWrap/>
            <w:vAlign w:val="center"/>
          </w:tcPr>
          <w:p w14:paraId="3DC502FD">
            <w:pPr>
              <w:pStyle w:val="59"/>
              <w:snapToGrid w:val="0"/>
              <w:rPr>
                <w:color w:val="FF0000"/>
                <w:sz w:val="21"/>
                <w:szCs w:val="21"/>
              </w:rPr>
            </w:pPr>
          </w:p>
        </w:tc>
        <w:tc>
          <w:tcPr>
            <w:tcW w:w="612" w:type="dxa"/>
            <w:vMerge w:val="continue"/>
            <w:tcBorders>
              <w:tl2br w:val="nil"/>
              <w:tr2bl w:val="nil"/>
            </w:tcBorders>
            <w:noWrap/>
            <w:vAlign w:val="center"/>
          </w:tcPr>
          <w:p w14:paraId="5112B6A2">
            <w:pPr>
              <w:pStyle w:val="59"/>
              <w:snapToGrid w:val="0"/>
              <w:rPr>
                <w:color w:val="FF0000"/>
                <w:sz w:val="21"/>
                <w:szCs w:val="21"/>
              </w:rPr>
            </w:pPr>
          </w:p>
        </w:tc>
        <w:tc>
          <w:tcPr>
            <w:tcW w:w="1024" w:type="dxa"/>
            <w:tcBorders>
              <w:tl2br w:val="nil"/>
              <w:tr2bl w:val="nil"/>
            </w:tcBorders>
            <w:noWrap/>
            <w:vAlign w:val="center"/>
          </w:tcPr>
          <w:p w14:paraId="4FCF5C69">
            <w:pPr>
              <w:pStyle w:val="59"/>
              <w:snapToGrid w:val="0"/>
              <w:rPr>
                <w:color w:val="auto"/>
                <w:sz w:val="21"/>
                <w:szCs w:val="21"/>
              </w:rPr>
            </w:pPr>
            <w:r>
              <w:rPr>
                <w:rFonts w:hint="default" w:ascii="Times New Roman" w:hAnsi="Times New Roman" w:eastAsia="宋体" w:cs="Times New Roman"/>
                <w:color w:val="auto"/>
                <w:sz w:val="21"/>
                <w:szCs w:val="21"/>
                <w:highlight w:val="none"/>
                <w:vertAlign w:val="baseline"/>
                <w:lang w:val="en-US" w:eastAsia="zh-CN"/>
              </w:rPr>
              <w:t>总悬浮颗粒物</w:t>
            </w:r>
          </w:p>
        </w:tc>
        <w:tc>
          <w:tcPr>
            <w:tcW w:w="1224" w:type="dxa"/>
            <w:tcBorders>
              <w:tl2br w:val="nil"/>
              <w:tr2bl w:val="nil"/>
            </w:tcBorders>
            <w:noWrap/>
            <w:vAlign w:val="center"/>
          </w:tcPr>
          <w:p w14:paraId="7F95B2FD">
            <w:pPr>
              <w:pStyle w:val="59"/>
              <w:snapToGrid w:val="0"/>
              <w:rPr>
                <w:color w:val="auto"/>
                <w:sz w:val="21"/>
                <w:szCs w:val="21"/>
              </w:rPr>
            </w:pPr>
            <w:r>
              <w:rPr>
                <w:rFonts w:hint="eastAsia"/>
                <w:color w:val="auto"/>
                <w:sz w:val="21"/>
                <w:szCs w:val="21"/>
                <w:lang w:val="en-US" w:eastAsia="zh-CN"/>
              </w:rPr>
              <w:t>24h</w:t>
            </w:r>
            <w:r>
              <w:rPr>
                <w:rFonts w:hint="eastAsia"/>
                <w:color w:val="auto"/>
                <w:sz w:val="21"/>
                <w:szCs w:val="21"/>
              </w:rPr>
              <w:t>平均</w:t>
            </w:r>
          </w:p>
        </w:tc>
        <w:tc>
          <w:tcPr>
            <w:tcW w:w="1242" w:type="dxa"/>
            <w:tcBorders>
              <w:tl2br w:val="nil"/>
              <w:tr2bl w:val="nil"/>
            </w:tcBorders>
            <w:noWrap/>
            <w:vAlign w:val="center"/>
          </w:tcPr>
          <w:p w14:paraId="355B37DD">
            <w:pPr>
              <w:pStyle w:val="59"/>
              <w:snapToGrid w:val="0"/>
              <w:rPr>
                <w:rFonts w:hint="default" w:eastAsia="宋体"/>
                <w:color w:val="auto"/>
                <w:sz w:val="21"/>
                <w:szCs w:val="21"/>
                <w:lang w:val="en-US" w:eastAsia="zh-CN"/>
              </w:rPr>
            </w:pPr>
            <w:r>
              <w:rPr>
                <w:rFonts w:hint="eastAsia"/>
                <w:color w:val="auto"/>
                <w:sz w:val="21"/>
                <w:szCs w:val="21"/>
                <w:lang w:val="en-US" w:eastAsia="zh-CN"/>
              </w:rPr>
              <w:t>300</w:t>
            </w:r>
          </w:p>
        </w:tc>
        <w:tc>
          <w:tcPr>
            <w:tcW w:w="1163" w:type="dxa"/>
            <w:tcBorders>
              <w:tl2br w:val="nil"/>
              <w:tr2bl w:val="nil"/>
            </w:tcBorders>
            <w:noWrap/>
            <w:vAlign w:val="center"/>
          </w:tcPr>
          <w:p w14:paraId="2ACFC4D5">
            <w:pPr>
              <w:pStyle w:val="59"/>
              <w:snapToGrid w:val="0"/>
              <w:rPr>
                <w:rFonts w:hint="default" w:eastAsia="宋体"/>
                <w:color w:val="auto"/>
                <w:sz w:val="21"/>
                <w:szCs w:val="21"/>
                <w:lang w:val="en-US" w:eastAsia="zh-CN"/>
              </w:rPr>
            </w:pPr>
            <w:r>
              <w:rPr>
                <w:rFonts w:hint="eastAsia"/>
                <w:color w:val="auto"/>
                <w:sz w:val="21"/>
                <w:szCs w:val="21"/>
                <w:lang w:val="en-US" w:eastAsia="zh-CN"/>
              </w:rPr>
              <w:t>97</w:t>
            </w:r>
            <w:r>
              <w:rPr>
                <w:rFonts w:hint="eastAsia"/>
                <w:color w:val="auto"/>
                <w:sz w:val="21"/>
                <w:szCs w:val="21"/>
              </w:rPr>
              <w:t>~</w:t>
            </w:r>
            <w:r>
              <w:rPr>
                <w:rFonts w:hint="eastAsia"/>
                <w:color w:val="auto"/>
                <w:sz w:val="21"/>
                <w:szCs w:val="21"/>
                <w:lang w:val="en-US" w:eastAsia="zh-CN"/>
              </w:rPr>
              <w:t>124</w:t>
            </w:r>
          </w:p>
        </w:tc>
        <w:tc>
          <w:tcPr>
            <w:tcW w:w="780" w:type="dxa"/>
            <w:tcBorders>
              <w:tl2br w:val="nil"/>
              <w:tr2bl w:val="nil"/>
            </w:tcBorders>
            <w:noWrap/>
            <w:vAlign w:val="center"/>
          </w:tcPr>
          <w:p w14:paraId="274036A3">
            <w:pPr>
              <w:pStyle w:val="59"/>
              <w:snapToGrid w:val="0"/>
              <w:rPr>
                <w:rFonts w:hint="default" w:eastAsia="宋体"/>
                <w:color w:val="auto"/>
                <w:sz w:val="21"/>
                <w:szCs w:val="21"/>
                <w:lang w:val="en-US" w:eastAsia="zh-CN"/>
              </w:rPr>
            </w:pPr>
            <w:r>
              <w:rPr>
                <w:rFonts w:hint="eastAsia"/>
                <w:color w:val="auto"/>
                <w:sz w:val="21"/>
                <w:szCs w:val="21"/>
                <w:lang w:val="en-US" w:eastAsia="zh-CN"/>
              </w:rPr>
              <w:t>41.3</w:t>
            </w:r>
          </w:p>
        </w:tc>
        <w:tc>
          <w:tcPr>
            <w:tcW w:w="605" w:type="dxa"/>
            <w:tcBorders>
              <w:tl2br w:val="nil"/>
              <w:tr2bl w:val="nil"/>
            </w:tcBorders>
            <w:noWrap/>
            <w:vAlign w:val="center"/>
          </w:tcPr>
          <w:p w14:paraId="49035A4C">
            <w:pPr>
              <w:pStyle w:val="59"/>
              <w:snapToGrid w:val="0"/>
              <w:rPr>
                <w:rFonts w:hint="eastAsia" w:eastAsia="宋体"/>
                <w:color w:val="auto"/>
                <w:sz w:val="21"/>
                <w:szCs w:val="21"/>
                <w:lang w:val="en-US" w:eastAsia="zh-CN"/>
              </w:rPr>
            </w:pPr>
            <w:r>
              <w:rPr>
                <w:rFonts w:hint="eastAsia"/>
                <w:color w:val="auto"/>
                <w:sz w:val="21"/>
                <w:szCs w:val="21"/>
                <w:lang w:val="en-US" w:eastAsia="zh-CN"/>
              </w:rPr>
              <w:t>0</w:t>
            </w:r>
          </w:p>
        </w:tc>
        <w:tc>
          <w:tcPr>
            <w:tcW w:w="684" w:type="dxa"/>
            <w:tcBorders>
              <w:tl2br w:val="nil"/>
              <w:tr2bl w:val="nil"/>
            </w:tcBorders>
            <w:noWrap/>
            <w:vAlign w:val="center"/>
          </w:tcPr>
          <w:p w14:paraId="61625D25">
            <w:pPr>
              <w:pStyle w:val="59"/>
              <w:snapToGrid w:val="0"/>
              <w:rPr>
                <w:color w:val="auto"/>
                <w:sz w:val="21"/>
                <w:szCs w:val="21"/>
              </w:rPr>
            </w:pPr>
            <w:r>
              <w:rPr>
                <w:color w:val="auto"/>
                <w:sz w:val="21"/>
                <w:szCs w:val="21"/>
              </w:rPr>
              <w:t>达标</w:t>
            </w:r>
          </w:p>
        </w:tc>
      </w:tr>
    </w:tbl>
    <w:p w14:paraId="5C3527C3">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szCs w:val="24"/>
          <w:highlight w:val="none"/>
        </w:rPr>
      </w:pPr>
      <w:r>
        <w:rPr>
          <w:rFonts w:hint="eastAsia" w:ascii="Times New Roman" w:hAnsi="Times New Roman" w:eastAsia="宋体" w:cs="Times New Roman"/>
          <w:snapToGrid w:val="0"/>
          <w:color w:val="auto"/>
          <w:sz w:val="24"/>
          <w:szCs w:val="24"/>
          <w:highlight w:val="none"/>
          <w:lang w:val="en-US" w:eastAsia="zh-CN"/>
        </w:rPr>
        <w:t>检测结果表明</w:t>
      </w:r>
      <w:r>
        <w:rPr>
          <w:rFonts w:hint="default" w:ascii="Times New Roman" w:hAnsi="Times New Roman" w:cs="Times New Roman"/>
          <w:snapToGrid w:val="0"/>
          <w:color w:val="auto"/>
          <w:sz w:val="24"/>
          <w:szCs w:val="24"/>
          <w:highlight w:val="none"/>
        </w:rPr>
        <w:t>，</w:t>
      </w:r>
      <w:r>
        <w:rPr>
          <w:rFonts w:hint="default" w:ascii="Times New Roman" w:hAnsi="Times New Roman" w:eastAsia="宋体" w:cs="Times New Roman"/>
          <w:snapToGrid w:val="0"/>
          <w:color w:val="auto"/>
          <w:sz w:val="24"/>
          <w:szCs w:val="24"/>
          <w:highlight w:val="none"/>
          <w:lang w:val="en-US" w:eastAsia="zh-CN"/>
        </w:rPr>
        <w:t>监测点</w:t>
      </w:r>
      <w:r>
        <w:rPr>
          <w:rFonts w:hint="eastAsia" w:ascii="Times New Roman" w:hAnsi="Times New Roman" w:eastAsia="宋体" w:cs="Times New Roman"/>
          <w:snapToGrid w:val="0"/>
          <w:color w:val="auto"/>
          <w:sz w:val="24"/>
          <w:szCs w:val="24"/>
          <w:highlight w:val="none"/>
          <w:lang w:val="en-US" w:eastAsia="zh-CN"/>
        </w:rPr>
        <w:t>氨、硫化氢、丙烯腈、苯乙烯、甲苯</w:t>
      </w:r>
      <w:r>
        <w:rPr>
          <w:rFonts w:hint="default" w:ascii="Times New Roman" w:hAnsi="Times New Roman" w:eastAsia="宋体" w:cs="Times New Roman"/>
          <w:snapToGrid w:val="0"/>
          <w:color w:val="auto"/>
          <w:sz w:val="24"/>
          <w:szCs w:val="24"/>
          <w:highlight w:val="none"/>
          <w:lang w:eastAsia="zh-CN"/>
        </w:rPr>
        <w:t>满足《环境影响评价大气导则</w:t>
      </w:r>
      <w:r>
        <w:rPr>
          <w:rFonts w:hint="default" w:ascii="Times New Roman" w:hAnsi="Times New Roman" w:eastAsia="宋体" w:cs="Times New Roman"/>
          <w:snapToGrid w:val="0"/>
          <w:color w:val="auto"/>
          <w:sz w:val="24"/>
          <w:szCs w:val="24"/>
          <w:highlight w:val="none"/>
          <w:lang w:val="en-US" w:eastAsia="zh-CN"/>
        </w:rPr>
        <w:t xml:space="preserve"> </w:t>
      </w:r>
      <w:r>
        <w:rPr>
          <w:rFonts w:hint="default" w:ascii="Times New Roman" w:hAnsi="Times New Roman" w:eastAsia="宋体" w:cs="Times New Roman"/>
          <w:snapToGrid w:val="0"/>
          <w:color w:val="auto"/>
          <w:sz w:val="24"/>
          <w:szCs w:val="24"/>
          <w:highlight w:val="none"/>
          <w:lang w:eastAsia="zh-CN"/>
        </w:rPr>
        <w:t>大气环境》（HJ2.2-2018）附录D相应标准限值要求</w:t>
      </w:r>
      <w:r>
        <w:rPr>
          <w:rFonts w:hint="default" w:ascii="Times New Roman" w:hAnsi="Times New Roman" w:cs="Times New Roman"/>
          <w:color w:val="auto"/>
          <w:sz w:val="24"/>
          <w:szCs w:val="24"/>
          <w:highlight w:val="none"/>
        </w:rPr>
        <w:t>；</w:t>
      </w:r>
      <w:r>
        <w:rPr>
          <w:rFonts w:hint="default" w:ascii="Times New Roman" w:hAnsi="Times New Roman" w:cs="Times New Roman"/>
          <w:snapToGrid w:val="0"/>
          <w:color w:val="auto"/>
          <w:sz w:val="24"/>
          <w:szCs w:val="24"/>
          <w:highlight w:val="none"/>
        </w:rPr>
        <w:t>TSP</w:t>
      </w:r>
      <w:r>
        <w:rPr>
          <w:rFonts w:hint="eastAsia" w:ascii="Times New Roman" w:hAnsi="Times New Roman" w:eastAsia="宋体" w:cs="Times New Roman"/>
          <w:snapToGrid w:val="0"/>
          <w:color w:val="auto"/>
          <w:sz w:val="24"/>
          <w:szCs w:val="24"/>
          <w:highlight w:val="none"/>
          <w:lang w:eastAsia="zh-CN"/>
        </w:rPr>
        <w:t>、</w:t>
      </w:r>
      <w:r>
        <w:rPr>
          <w:rFonts w:hint="eastAsia" w:ascii="Times New Roman" w:hAnsi="Times New Roman" w:eastAsia="宋体" w:cs="Times New Roman"/>
          <w:snapToGrid w:val="0"/>
          <w:color w:val="auto"/>
          <w:sz w:val="24"/>
          <w:szCs w:val="24"/>
          <w:highlight w:val="none"/>
          <w:lang w:val="en-US" w:eastAsia="zh-CN"/>
        </w:rPr>
        <w:t>氮氧化物</w:t>
      </w:r>
      <w:r>
        <w:rPr>
          <w:rFonts w:hint="default" w:ascii="Times New Roman" w:hAnsi="Times New Roman" w:cs="Times New Roman"/>
          <w:snapToGrid w:val="0"/>
          <w:color w:val="auto"/>
          <w:sz w:val="24"/>
          <w:szCs w:val="24"/>
          <w:highlight w:val="none"/>
        </w:rPr>
        <w:t>满足《环境空气质量标准》（GB3095-2012）</w:t>
      </w:r>
      <w:r>
        <w:rPr>
          <w:rFonts w:hint="default" w:ascii="Times New Roman" w:hAnsi="Times New Roman" w:cs="Times New Roman"/>
          <w:snapToGrid w:val="0"/>
          <w:color w:val="auto"/>
          <w:sz w:val="24"/>
          <w:szCs w:val="24"/>
          <w:highlight w:val="none"/>
          <w:lang w:val="en-US" w:eastAsia="zh-CN"/>
        </w:rPr>
        <w:t>及修改单</w:t>
      </w:r>
      <w:r>
        <w:rPr>
          <w:rFonts w:hint="default" w:ascii="Times New Roman" w:hAnsi="Times New Roman" w:cs="Times New Roman"/>
          <w:snapToGrid w:val="0"/>
          <w:color w:val="auto"/>
          <w:sz w:val="24"/>
          <w:szCs w:val="24"/>
          <w:highlight w:val="none"/>
        </w:rPr>
        <w:t>中二级标准</w:t>
      </w:r>
      <w:r>
        <w:rPr>
          <w:rFonts w:hint="default" w:ascii="Times New Roman" w:hAnsi="Times New Roman" w:eastAsia="宋体" w:cs="Times New Roman"/>
          <w:snapToGrid w:val="0"/>
          <w:color w:val="auto"/>
          <w:sz w:val="24"/>
          <w:szCs w:val="24"/>
          <w:highlight w:val="none"/>
          <w:lang w:eastAsia="zh-CN"/>
        </w:rPr>
        <w:t>要求</w:t>
      </w:r>
      <w:r>
        <w:rPr>
          <w:rFonts w:hint="eastAsia" w:ascii="Times New Roman" w:hAnsi="Times New Roman" w:eastAsia="宋体" w:cs="Times New Roman"/>
          <w:snapToGrid w:val="0"/>
          <w:color w:val="auto"/>
          <w:sz w:val="24"/>
          <w:szCs w:val="24"/>
          <w:highlight w:val="none"/>
          <w:lang w:eastAsia="zh-CN"/>
        </w:rPr>
        <w:t>；</w:t>
      </w:r>
      <w:r>
        <w:rPr>
          <w:rFonts w:hint="eastAsia" w:ascii="Times New Roman" w:hAnsi="Times New Roman" w:eastAsia="宋体" w:cs="Times New Roman"/>
          <w:snapToGrid w:val="0"/>
          <w:color w:val="auto"/>
          <w:sz w:val="24"/>
          <w:szCs w:val="24"/>
          <w:highlight w:val="none"/>
          <w:lang w:val="en-US" w:eastAsia="zh-CN"/>
        </w:rPr>
        <w:t>非甲烷总烃满足《大气污染物综合排放标准详解》中的标准。</w:t>
      </w:r>
    </w:p>
    <w:p w14:paraId="738F40CE">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4</w:t>
      </w:r>
      <w:r>
        <w:rPr>
          <w:rFonts w:hint="default" w:ascii="Times New Roman" w:hAnsi="Times New Roman" w:eastAsia="宋体" w:cs="Times New Roman"/>
          <w:b/>
          <w:bCs/>
          <w:snapToGrid w:val="0"/>
          <w:color w:val="auto"/>
          <w:spacing w:val="0"/>
          <w:kern w:val="0"/>
          <w:position w:val="0"/>
          <w:sz w:val="30"/>
          <w:szCs w:val="30"/>
          <w:lang w:val="en-US" w:eastAsia="zh-CN" w:bidi="ar-SA"/>
        </w:rPr>
        <w:t>.</w:t>
      </w:r>
      <w:r>
        <w:rPr>
          <w:rFonts w:hint="eastAsia" w:ascii="Times New Roman" w:hAnsi="Times New Roman" w:eastAsia="宋体" w:cs="Times New Roman"/>
          <w:b/>
          <w:bCs/>
          <w:snapToGrid w:val="0"/>
          <w:color w:val="auto"/>
          <w:spacing w:val="0"/>
          <w:kern w:val="0"/>
          <w:position w:val="0"/>
          <w:sz w:val="30"/>
          <w:szCs w:val="30"/>
          <w:lang w:val="en-US" w:eastAsia="zh-CN" w:bidi="ar-SA"/>
        </w:rPr>
        <w:t>2</w:t>
      </w:r>
      <w:r>
        <w:rPr>
          <w:rFonts w:hint="default" w:ascii="Times New Roman" w:hAnsi="Times New Roman" w:eastAsia="宋体" w:cs="Times New Roman"/>
          <w:b/>
          <w:bCs/>
          <w:snapToGrid w:val="0"/>
          <w:color w:val="auto"/>
          <w:spacing w:val="0"/>
          <w:kern w:val="0"/>
          <w:position w:val="0"/>
          <w:sz w:val="30"/>
          <w:szCs w:val="30"/>
          <w:lang w:val="en-US" w:eastAsia="zh-CN" w:bidi="ar-SA"/>
        </w:rPr>
        <w:t>.2地表水环境质量现状调查与评价</w:t>
      </w:r>
    </w:p>
    <w:p w14:paraId="485974E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pacing w:val="0"/>
          <w:kern w:val="2"/>
          <w:sz w:val="24"/>
          <w:szCs w:val="24"/>
          <w:highlight w:val="none"/>
          <w:lang w:val="en-US" w:eastAsia="zh-CN" w:bidi="ar-SA"/>
        </w:rPr>
      </w:pPr>
      <w:r>
        <w:rPr>
          <w:rFonts w:hint="eastAsia" w:ascii="Times New Roman" w:hAnsi="Times New Roman" w:cs="Times New Roman"/>
          <w:color w:val="auto"/>
          <w:sz w:val="24"/>
          <w:szCs w:val="24"/>
          <w:lang w:val="en-US" w:eastAsia="zh-CN"/>
        </w:rPr>
        <w:t>本项目纳污水体为拉林河，</w:t>
      </w:r>
      <w:r>
        <w:rPr>
          <w:rFonts w:hint="default" w:ascii="Times New Roman" w:hAnsi="Times New Roman" w:cs="Times New Roman"/>
          <w:color w:val="auto"/>
          <w:spacing w:val="0"/>
          <w:kern w:val="2"/>
          <w:sz w:val="24"/>
          <w:szCs w:val="24"/>
          <w:highlight w:val="none"/>
          <w:lang w:val="en-US" w:eastAsia="zh-CN" w:bidi="ar-SA"/>
        </w:rPr>
        <w:t>根据</w:t>
      </w:r>
      <w:r>
        <w:rPr>
          <w:rFonts w:hint="default" w:ascii="Times New Roman" w:hAnsi="Times New Roman" w:cs="Times New Roman"/>
          <w:color w:val="auto"/>
          <w:sz w:val="24"/>
          <w:szCs w:val="24"/>
          <w:highlight w:val="none"/>
          <w:lang w:val="en-US" w:eastAsia="zh-CN"/>
        </w:rPr>
        <w:t>《2024年哈尔滨生态环境质量状况年报</w:t>
      </w:r>
      <w:r>
        <w:rPr>
          <w:rFonts w:hint="eastAsia" w:ascii="Times New Roman" w:hAnsi="Times New Roman"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202</w:t>
      </w:r>
      <w:r>
        <w:rPr>
          <w:rFonts w:hint="eastAsia" w:ascii="Times New Roman" w:hAnsi="Times New Roman"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val="en-US" w:eastAsia="zh-CN"/>
        </w:rPr>
        <w:t>年松花江重点支流拉林河监测的6个断面</w:t>
      </w:r>
      <w:r>
        <w:rPr>
          <w:rFonts w:hint="eastAsia" w:ascii="Times New Roman" w:hAnsi="Times New Roman" w:cs="Times New Roman"/>
          <w:color w:val="auto"/>
          <w:sz w:val="24"/>
          <w:szCs w:val="24"/>
          <w:highlight w:val="none"/>
          <w:lang w:val="en-US" w:eastAsia="zh-CN"/>
        </w:rPr>
        <w:t>水质情况见下表。</w:t>
      </w:r>
    </w:p>
    <w:p w14:paraId="4C8AEC2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b/>
          <w:bCs/>
          <w:snapToGrid w:val="0"/>
          <w:color w:val="auto"/>
          <w:kern w:val="0"/>
          <w:sz w:val="24"/>
          <w:szCs w:val="24"/>
          <w:highlight w:val="none"/>
          <w:lang w:val="en-US" w:eastAsia="zh-CN"/>
        </w:rPr>
      </w:pPr>
      <w:bookmarkStart w:id="29" w:name="_Toc7349"/>
      <w:bookmarkStart w:id="30" w:name="_Toc12045"/>
      <w:bookmarkStart w:id="31" w:name="_Toc32558"/>
      <w:bookmarkStart w:id="32" w:name="_Toc10949"/>
      <w:bookmarkStart w:id="33" w:name="_Toc12003"/>
    </w:p>
    <w:p w14:paraId="0E0F313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b/>
          <w:bCs/>
          <w:snapToGrid w:val="0"/>
          <w:color w:val="auto"/>
          <w:kern w:val="0"/>
          <w:sz w:val="24"/>
          <w:szCs w:val="24"/>
          <w:highlight w:val="none"/>
          <w:lang w:val="en-US" w:eastAsia="zh-CN"/>
        </w:rPr>
      </w:pPr>
    </w:p>
    <w:p w14:paraId="1C39C49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b/>
          <w:bCs/>
          <w:snapToGrid w:val="0"/>
          <w:color w:val="auto"/>
          <w:kern w:val="0"/>
          <w:sz w:val="24"/>
          <w:szCs w:val="24"/>
          <w:highlight w:val="none"/>
          <w:lang w:val="en-US" w:eastAsia="zh-CN"/>
        </w:rPr>
      </w:pPr>
    </w:p>
    <w:p w14:paraId="4E5C8D08">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cs="Times New Roman"/>
          <w:b/>
          <w:bCs/>
          <w:snapToGrid w:val="0"/>
          <w:color w:val="auto"/>
          <w:kern w:val="0"/>
          <w:sz w:val="24"/>
          <w:szCs w:val="24"/>
          <w:highlight w:val="none"/>
          <w:lang w:val="en-US" w:eastAsia="zh-CN"/>
        </w:rPr>
      </w:pPr>
      <w:r>
        <w:rPr>
          <w:rFonts w:hint="eastAsia" w:ascii="Times New Roman" w:hAnsi="Times New Roman" w:cs="Times New Roman"/>
          <w:b/>
          <w:bCs/>
          <w:snapToGrid w:val="0"/>
          <w:color w:val="auto"/>
          <w:kern w:val="0"/>
          <w:sz w:val="24"/>
          <w:szCs w:val="24"/>
          <w:highlight w:val="none"/>
          <w:lang w:val="en-US" w:eastAsia="zh-CN"/>
        </w:rPr>
        <w:t>表4.2-7 断面主要污染物数值统计表</w:t>
      </w:r>
      <w:bookmarkEnd w:id="29"/>
      <w:bookmarkEnd w:id="30"/>
      <w:bookmarkEnd w:id="31"/>
      <w:bookmarkEnd w:id="32"/>
      <w:bookmarkEnd w:id="33"/>
      <w:r>
        <w:rPr>
          <w:rFonts w:hint="eastAsia" w:ascii="Times New Roman" w:hAnsi="Times New Roman" w:cs="Times New Roman"/>
          <w:b/>
          <w:bCs/>
          <w:snapToGrid w:val="0"/>
          <w:color w:val="auto"/>
          <w:kern w:val="0"/>
          <w:sz w:val="24"/>
          <w:szCs w:val="24"/>
          <w:highlight w:val="none"/>
          <w:lang w:val="en-US" w:eastAsia="zh-CN"/>
        </w:rPr>
        <w:t xml:space="preserve">       </w:t>
      </w:r>
      <w:r>
        <w:rPr>
          <w:rFonts w:hint="default" w:ascii="Times New Roman" w:hAnsi="Times New Roman" w:cs="Times New Roman"/>
          <w:b/>
          <w:bCs/>
          <w:snapToGrid w:val="0"/>
          <w:color w:val="auto"/>
          <w:kern w:val="0"/>
          <w:sz w:val="24"/>
          <w:szCs w:val="24"/>
          <w:highlight w:val="none"/>
          <w:lang w:val="en-US" w:eastAsia="zh-CN"/>
        </w:rPr>
        <w:t>单位</w:t>
      </w:r>
      <w:r>
        <w:rPr>
          <w:rFonts w:hint="eastAsia" w:ascii="Times New Roman" w:hAnsi="Times New Roman" w:cs="Times New Roman"/>
          <w:b/>
          <w:bCs/>
          <w:snapToGrid w:val="0"/>
          <w:color w:val="auto"/>
          <w:kern w:val="0"/>
          <w:sz w:val="24"/>
          <w:szCs w:val="24"/>
          <w:highlight w:val="none"/>
          <w:lang w:val="en-US" w:eastAsia="zh-CN"/>
        </w:rPr>
        <w:t>：</w:t>
      </w:r>
      <w:r>
        <w:rPr>
          <w:rFonts w:hint="default" w:ascii="Times New Roman" w:hAnsi="Times New Roman" w:cs="Times New Roman"/>
          <w:b/>
          <w:bCs/>
          <w:snapToGrid w:val="0"/>
          <w:color w:val="auto"/>
          <w:kern w:val="0"/>
          <w:sz w:val="24"/>
          <w:szCs w:val="24"/>
          <w:highlight w:val="none"/>
          <w:lang w:val="en-US" w:eastAsia="zh-CN"/>
        </w:rPr>
        <w:t>mg/L</w:t>
      </w:r>
    </w:p>
    <w:tbl>
      <w:tblPr>
        <w:tblStyle w:val="22"/>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266"/>
        <w:gridCol w:w="1081"/>
        <w:gridCol w:w="856"/>
        <w:gridCol w:w="1118"/>
        <w:gridCol w:w="834"/>
        <w:gridCol w:w="834"/>
        <w:gridCol w:w="834"/>
        <w:gridCol w:w="834"/>
        <w:gridCol w:w="834"/>
        <w:gridCol w:w="834"/>
      </w:tblGrid>
      <w:tr w14:paraId="40F7D1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454" w:hRule="atLeast"/>
          <w:tblHeader/>
        </w:trPr>
        <w:tc>
          <w:tcPr>
            <w:tcW w:w="160" w:type="pct"/>
            <w:tcBorders>
              <w:tl2br w:val="nil"/>
              <w:tr2bl w:val="nil"/>
            </w:tcBorders>
            <w:shd w:val="clear" w:color="auto" w:fill="auto"/>
            <w:tcMar>
              <w:top w:w="12" w:type="dxa"/>
              <w:left w:w="12" w:type="dxa"/>
              <w:right w:w="12" w:type="dxa"/>
            </w:tcMar>
            <w:vAlign w:val="center"/>
          </w:tcPr>
          <w:p w14:paraId="408B0AEF">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序号</w:t>
            </w:r>
          </w:p>
        </w:tc>
        <w:tc>
          <w:tcPr>
            <w:tcW w:w="649" w:type="pct"/>
            <w:tcBorders>
              <w:tl2br w:val="nil"/>
              <w:tr2bl w:val="nil"/>
            </w:tcBorders>
            <w:shd w:val="clear" w:color="auto" w:fill="auto"/>
            <w:tcMar>
              <w:top w:w="12" w:type="dxa"/>
              <w:left w:w="12" w:type="dxa"/>
              <w:right w:w="12" w:type="dxa"/>
            </w:tcMar>
            <w:vAlign w:val="center"/>
          </w:tcPr>
          <w:p w14:paraId="5DC2FBD6">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断面名称</w:t>
            </w:r>
          </w:p>
        </w:tc>
        <w:tc>
          <w:tcPr>
            <w:tcW w:w="514" w:type="pct"/>
            <w:tcBorders>
              <w:tl2br w:val="nil"/>
              <w:tr2bl w:val="nil"/>
            </w:tcBorders>
            <w:shd w:val="clear" w:color="auto" w:fill="auto"/>
            <w:tcMar>
              <w:top w:w="12" w:type="dxa"/>
              <w:left w:w="12" w:type="dxa"/>
              <w:right w:w="12" w:type="dxa"/>
            </w:tcMar>
            <w:vAlign w:val="center"/>
          </w:tcPr>
          <w:p w14:paraId="68AFEF2A">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断面属性</w:t>
            </w:r>
          </w:p>
        </w:tc>
        <w:tc>
          <w:tcPr>
            <w:tcW w:w="671" w:type="pct"/>
            <w:tcBorders>
              <w:tl2br w:val="nil"/>
              <w:tr2bl w:val="nil"/>
            </w:tcBorders>
            <w:shd w:val="clear" w:color="auto" w:fill="auto"/>
            <w:tcMar>
              <w:top w:w="12" w:type="dxa"/>
              <w:left w:w="12" w:type="dxa"/>
              <w:right w:w="12" w:type="dxa"/>
            </w:tcMar>
            <w:vAlign w:val="center"/>
          </w:tcPr>
          <w:p w14:paraId="32BFF32C">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时段</w:t>
            </w:r>
          </w:p>
        </w:tc>
        <w:tc>
          <w:tcPr>
            <w:tcW w:w="500" w:type="pct"/>
            <w:tcBorders>
              <w:tl2br w:val="nil"/>
              <w:tr2bl w:val="nil"/>
            </w:tcBorders>
            <w:shd w:val="clear" w:color="auto" w:fill="auto"/>
            <w:tcMar>
              <w:top w:w="12" w:type="dxa"/>
              <w:left w:w="12" w:type="dxa"/>
              <w:right w:w="12" w:type="dxa"/>
            </w:tcMar>
            <w:vAlign w:val="center"/>
          </w:tcPr>
          <w:p w14:paraId="7153B1FD">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pH（无量纲）</w:t>
            </w:r>
          </w:p>
        </w:tc>
        <w:tc>
          <w:tcPr>
            <w:tcW w:w="500" w:type="pct"/>
            <w:tcBorders>
              <w:tl2br w:val="nil"/>
              <w:tr2bl w:val="nil"/>
            </w:tcBorders>
            <w:shd w:val="clear" w:color="auto" w:fill="auto"/>
            <w:tcMar>
              <w:top w:w="12" w:type="dxa"/>
              <w:left w:w="12" w:type="dxa"/>
              <w:right w:w="12" w:type="dxa"/>
            </w:tcMar>
            <w:vAlign w:val="center"/>
          </w:tcPr>
          <w:p w14:paraId="708B5DED">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高锰酸盐指数</w:t>
            </w:r>
          </w:p>
        </w:tc>
        <w:tc>
          <w:tcPr>
            <w:tcW w:w="500" w:type="pct"/>
            <w:tcBorders>
              <w:tl2br w:val="nil"/>
              <w:tr2bl w:val="nil"/>
            </w:tcBorders>
            <w:shd w:val="clear" w:color="auto" w:fill="auto"/>
            <w:tcMar>
              <w:top w:w="12" w:type="dxa"/>
              <w:left w:w="12" w:type="dxa"/>
              <w:right w:w="12" w:type="dxa"/>
            </w:tcMar>
            <w:vAlign w:val="center"/>
          </w:tcPr>
          <w:p w14:paraId="016EAB13">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五日生化需氧量</w:t>
            </w:r>
          </w:p>
        </w:tc>
        <w:tc>
          <w:tcPr>
            <w:tcW w:w="500" w:type="pct"/>
            <w:tcBorders>
              <w:tl2br w:val="nil"/>
              <w:tr2bl w:val="nil"/>
            </w:tcBorders>
            <w:shd w:val="clear" w:color="auto" w:fill="auto"/>
            <w:tcMar>
              <w:top w:w="12" w:type="dxa"/>
              <w:left w:w="12" w:type="dxa"/>
              <w:right w:w="12" w:type="dxa"/>
            </w:tcMar>
            <w:vAlign w:val="center"/>
          </w:tcPr>
          <w:p w14:paraId="1EB126BA">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氨氮</w:t>
            </w:r>
          </w:p>
        </w:tc>
        <w:tc>
          <w:tcPr>
            <w:tcW w:w="500" w:type="pct"/>
            <w:tcBorders>
              <w:tl2br w:val="nil"/>
              <w:tr2bl w:val="nil"/>
            </w:tcBorders>
            <w:shd w:val="clear" w:color="auto" w:fill="auto"/>
            <w:tcMar>
              <w:top w:w="12" w:type="dxa"/>
              <w:left w:w="12" w:type="dxa"/>
              <w:right w:w="12" w:type="dxa"/>
            </w:tcMar>
            <w:vAlign w:val="center"/>
          </w:tcPr>
          <w:p w14:paraId="55360CF8">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化学需氧量</w:t>
            </w:r>
          </w:p>
        </w:tc>
        <w:tc>
          <w:tcPr>
            <w:tcW w:w="500" w:type="pct"/>
            <w:tcBorders>
              <w:tl2br w:val="nil"/>
              <w:tr2bl w:val="nil"/>
            </w:tcBorders>
            <w:shd w:val="clear" w:color="auto" w:fill="auto"/>
            <w:tcMar>
              <w:top w:w="12" w:type="dxa"/>
              <w:left w:w="12" w:type="dxa"/>
              <w:right w:w="12" w:type="dxa"/>
            </w:tcMar>
            <w:vAlign w:val="center"/>
          </w:tcPr>
          <w:p w14:paraId="2EEC88F1">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总磷</w:t>
            </w:r>
          </w:p>
        </w:tc>
      </w:tr>
      <w:tr w14:paraId="02A3DA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454" w:hRule="atLeast"/>
        </w:trPr>
        <w:tc>
          <w:tcPr>
            <w:tcW w:w="160" w:type="pct"/>
            <w:tcBorders>
              <w:tl2br w:val="nil"/>
              <w:tr2bl w:val="nil"/>
            </w:tcBorders>
            <w:shd w:val="clear" w:color="auto" w:fill="auto"/>
            <w:tcMar>
              <w:top w:w="12" w:type="dxa"/>
              <w:left w:w="12" w:type="dxa"/>
              <w:right w:w="12" w:type="dxa"/>
            </w:tcMar>
            <w:vAlign w:val="center"/>
          </w:tcPr>
          <w:p w14:paraId="14FAE317">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1</w:t>
            </w:r>
          </w:p>
        </w:tc>
        <w:tc>
          <w:tcPr>
            <w:tcW w:w="649" w:type="pct"/>
            <w:tcBorders>
              <w:tl2br w:val="nil"/>
              <w:tr2bl w:val="nil"/>
            </w:tcBorders>
            <w:shd w:val="clear" w:color="auto" w:fill="auto"/>
            <w:tcMar>
              <w:top w:w="12" w:type="dxa"/>
              <w:left w:w="12" w:type="dxa"/>
              <w:right w:w="12" w:type="dxa"/>
            </w:tcMar>
            <w:vAlign w:val="center"/>
          </w:tcPr>
          <w:p w14:paraId="1655DC97">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长胜橡胶坝</w:t>
            </w:r>
          </w:p>
        </w:tc>
        <w:tc>
          <w:tcPr>
            <w:tcW w:w="514" w:type="pct"/>
            <w:tcBorders>
              <w:tl2br w:val="nil"/>
              <w:tr2bl w:val="nil"/>
            </w:tcBorders>
            <w:shd w:val="clear" w:color="auto" w:fill="auto"/>
            <w:tcMar>
              <w:top w:w="12" w:type="dxa"/>
              <w:left w:w="12" w:type="dxa"/>
              <w:right w:w="12" w:type="dxa"/>
            </w:tcMar>
            <w:vAlign w:val="center"/>
          </w:tcPr>
          <w:p w14:paraId="05624763">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国考</w:t>
            </w:r>
          </w:p>
        </w:tc>
        <w:tc>
          <w:tcPr>
            <w:tcW w:w="671" w:type="pct"/>
            <w:tcBorders>
              <w:tl2br w:val="nil"/>
              <w:tr2bl w:val="nil"/>
            </w:tcBorders>
            <w:shd w:val="clear" w:color="auto" w:fill="auto"/>
            <w:tcMar>
              <w:top w:w="12" w:type="dxa"/>
              <w:left w:w="12" w:type="dxa"/>
              <w:right w:w="12" w:type="dxa"/>
            </w:tcMar>
            <w:vAlign w:val="center"/>
          </w:tcPr>
          <w:p w14:paraId="78723919">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2024年</w:t>
            </w:r>
          </w:p>
        </w:tc>
        <w:tc>
          <w:tcPr>
            <w:tcW w:w="500" w:type="pct"/>
            <w:tcBorders>
              <w:tl2br w:val="nil"/>
              <w:tr2bl w:val="nil"/>
            </w:tcBorders>
            <w:shd w:val="clear" w:color="auto" w:fill="auto"/>
            <w:tcMar>
              <w:top w:w="12" w:type="dxa"/>
              <w:left w:w="12" w:type="dxa"/>
              <w:right w:w="12" w:type="dxa"/>
            </w:tcMar>
            <w:vAlign w:val="center"/>
          </w:tcPr>
          <w:p w14:paraId="1BF22C98">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7</w:t>
            </w:r>
          </w:p>
        </w:tc>
        <w:tc>
          <w:tcPr>
            <w:tcW w:w="500" w:type="pct"/>
            <w:tcBorders>
              <w:tl2br w:val="nil"/>
              <w:tr2bl w:val="nil"/>
            </w:tcBorders>
            <w:shd w:val="clear" w:color="auto" w:fill="auto"/>
            <w:tcMar>
              <w:top w:w="12" w:type="dxa"/>
              <w:left w:w="12" w:type="dxa"/>
              <w:right w:w="12" w:type="dxa"/>
            </w:tcMar>
            <w:vAlign w:val="center"/>
          </w:tcPr>
          <w:p w14:paraId="2A23AF68">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4.4</w:t>
            </w:r>
          </w:p>
        </w:tc>
        <w:tc>
          <w:tcPr>
            <w:tcW w:w="500" w:type="pct"/>
            <w:tcBorders>
              <w:tl2br w:val="nil"/>
              <w:tr2bl w:val="nil"/>
            </w:tcBorders>
            <w:shd w:val="clear" w:color="auto" w:fill="auto"/>
            <w:tcMar>
              <w:top w:w="12" w:type="dxa"/>
              <w:left w:w="12" w:type="dxa"/>
              <w:right w:w="12" w:type="dxa"/>
            </w:tcMar>
            <w:vAlign w:val="center"/>
          </w:tcPr>
          <w:p w14:paraId="6BFC92EC">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2.7</w:t>
            </w:r>
          </w:p>
        </w:tc>
        <w:tc>
          <w:tcPr>
            <w:tcW w:w="500" w:type="pct"/>
            <w:tcBorders>
              <w:tl2br w:val="nil"/>
              <w:tr2bl w:val="nil"/>
            </w:tcBorders>
            <w:shd w:val="clear" w:color="auto" w:fill="auto"/>
            <w:tcMar>
              <w:top w:w="12" w:type="dxa"/>
              <w:left w:w="12" w:type="dxa"/>
              <w:right w:w="12" w:type="dxa"/>
            </w:tcMar>
            <w:vAlign w:val="center"/>
          </w:tcPr>
          <w:p w14:paraId="0188773C">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0.20</w:t>
            </w:r>
          </w:p>
        </w:tc>
        <w:tc>
          <w:tcPr>
            <w:tcW w:w="500" w:type="pct"/>
            <w:tcBorders>
              <w:tl2br w:val="nil"/>
              <w:tr2bl w:val="nil"/>
            </w:tcBorders>
            <w:shd w:val="clear" w:color="auto" w:fill="auto"/>
            <w:tcMar>
              <w:top w:w="12" w:type="dxa"/>
              <w:left w:w="12" w:type="dxa"/>
              <w:right w:w="12" w:type="dxa"/>
            </w:tcMar>
            <w:vAlign w:val="center"/>
          </w:tcPr>
          <w:p w14:paraId="23224330">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14.3</w:t>
            </w:r>
          </w:p>
        </w:tc>
        <w:tc>
          <w:tcPr>
            <w:tcW w:w="500" w:type="pct"/>
            <w:tcBorders>
              <w:tl2br w:val="nil"/>
              <w:tr2bl w:val="nil"/>
            </w:tcBorders>
            <w:shd w:val="clear" w:color="auto" w:fill="auto"/>
            <w:tcMar>
              <w:top w:w="12" w:type="dxa"/>
              <w:left w:w="12" w:type="dxa"/>
              <w:right w:w="12" w:type="dxa"/>
            </w:tcMar>
            <w:vAlign w:val="center"/>
          </w:tcPr>
          <w:p w14:paraId="5A595335">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0.090</w:t>
            </w:r>
          </w:p>
        </w:tc>
      </w:tr>
      <w:tr w14:paraId="51F2EE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454" w:hRule="atLeast"/>
        </w:trPr>
        <w:tc>
          <w:tcPr>
            <w:tcW w:w="160" w:type="pct"/>
            <w:tcBorders>
              <w:tl2br w:val="nil"/>
              <w:tr2bl w:val="nil"/>
            </w:tcBorders>
            <w:shd w:val="clear" w:color="auto" w:fill="auto"/>
            <w:tcMar>
              <w:top w:w="12" w:type="dxa"/>
              <w:left w:w="12" w:type="dxa"/>
              <w:right w:w="12" w:type="dxa"/>
            </w:tcMar>
            <w:vAlign w:val="center"/>
          </w:tcPr>
          <w:p w14:paraId="43C4737B">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2</w:t>
            </w:r>
          </w:p>
        </w:tc>
        <w:tc>
          <w:tcPr>
            <w:tcW w:w="649" w:type="pct"/>
            <w:tcBorders>
              <w:tl2br w:val="nil"/>
              <w:tr2bl w:val="nil"/>
            </w:tcBorders>
            <w:shd w:val="clear" w:color="auto" w:fill="auto"/>
            <w:tcMar>
              <w:top w:w="12" w:type="dxa"/>
              <w:left w:w="12" w:type="dxa"/>
              <w:right w:w="12" w:type="dxa"/>
            </w:tcMar>
            <w:vAlign w:val="center"/>
          </w:tcPr>
          <w:p w14:paraId="1329D8FB">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兴盛乡</w:t>
            </w:r>
          </w:p>
        </w:tc>
        <w:tc>
          <w:tcPr>
            <w:tcW w:w="514" w:type="pct"/>
            <w:tcBorders>
              <w:tl2br w:val="nil"/>
              <w:tr2bl w:val="nil"/>
            </w:tcBorders>
            <w:shd w:val="clear" w:color="auto" w:fill="auto"/>
            <w:tcMar>
              <w:top w:w="12" w:type="dxa"/>
              <w:left w:w="12" w:type="dxa"/>
              <w:right w:w="12" w:type="dxa"/>
            </w:tcMar>
            <w:vAlign w:val="center"/>
          </w:tcPr>
          <w:p w14:paraId="5BD7B710">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国考</w:t>
            </w:r>
          </w:p>
        </w:tc>
        <w:tc>
          <w:tcPr>
            <w:tcW w:w="671" w:type="pct"/>
            <w:tcBorders>
              <w:tl2br w:val="nil"/>
              <w:tr2bl w:val="nil"/>
            </w:tcBorders>
            <w:shd w:val="clear" w:color="auto" w:fill="auto"/>
            <w:tcMar>
              <w:top w:w="12" w:type="dxa"/>
              <w:left w:w="12" w:type="dxa"/>
              <w:right w:w="12" w:type="dxa"/>
            </w:tcMar>
            <w:vAlign w:val="center"/>
          </w:tcPr>
          <w:p w14:paraId="3A39252D">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2024年</w:t>
            </w:r>
          </w:p>
        </w:tc>
        <w:tc>
          <w:tcPr>
            <w:tcW w:w="500" w:type="pct"/>
            <w:tcBorders>
              <w:tl2br w:val="nil"/>
              <w:tr2bl w:val="nil"/>
            </w:tcBorders>
            <w:shd w:val="clear" w:color="auto" w:fill="auto"/>
            <w:tcMar>
              <w:top w:w="12" w:type="dxa"/>
              <w:left w:w="12" w:type="dxa"/>
              <w:right w:w="12" w:type="dxa"/>
            </w:tcMar>
            <w:vAlign w:val="center"/>
          </w:tcPr>
          <w:p w14:paraId="28973C8E">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7</w:t>
            </w:r>
          </w:p>
        </w:tc>
        <w:tc>
          <w:tcPr>
            <w:tcW w:w="500" w:type="pct"/>
            <w:tcBorders>
              <w:tl2br w:val="nil"/>
              <w:tr2bl w:val="nil"/>
            </w:tcBorders>
            <w:shd w:val="clear" w:color="auto" w:fill="auto"/>
            <w:tcMar>
              <w:top w:w="12" w:type="dxa"/>
              <w:left w:w="12" w:type="dxa"/>
              <w:right w:w="12" w:type="dxa"/>
            </w:tcMar>
            <w:vAlign w:val="center"/>
          </w:tcPr>
          <w:p w14:paraId="1DF270EC">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3.5</w:t>
            </w:r>
          </w:p>
        </w:tc>
        <w:tc>
          <w:tcPr>
            <w:tcW w:w="500" w:type="pct"/>
            <w:tcBorders>
              <w:tl2br w:val="nil"/>
              <w:tr2bl w:val="nil"/>
            </w:tcBorders>
            <w:shd w:val="clear" w:color="auto" w:fill="auto"/>
            <w:tcMar>
              <w:top w:w="12" w:type="dxa"/>
              <w:left w:w="12" w:type="dxa"/>
              <w:right w:w="12" w:type="dxa"/>
            </w:tcMar>
            <w:vAlign w:val="center"/>
          </w:tcPr>
          <w:p w14:paraId="16D3BBB9">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2.3</w:t>
            </w:r>
          </w:p>
        </w:tc>
        <w:tc>
          <w:tcPr>
            <w:tcW w:w="500" w:type="pct"/>
            <w:tcBorders>
              <w:tl2br w:val="nil"/>
              <w:tr2bl w:val="nil"/>
            </w:tcBorders>
            <w:shd w:val="clear" w:color="auto" w:fill="auto"/>
            <w:tcMar>
              <w:top w:w="12" w:type="dxa"/>
              <w:left w:w="12" w:type="dxa"/>
              <w:right w:w="12" w:type="dxa"/>
            </w:tcMar>
            <w:vAlign w:val="center"/>
          </w:tcPr>
          <w:p w14:paraId="00C46AC0">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0.30</w:t>
            </w:r>
          </w:p>
        </w:tc>
        <w:tc>
          <w:tcPr>
            <w:tcW w:w="500" w:type="pct"/>
            <w:tcBorders>
              <w:tl2br w:val="nil"/>
              <w:tr2bl w:val="nil"/>
            </w:tcBorders>
            <w:shd w:val="clear" w:color="auto" w:fill="auto"/>
            <w:tcMar>
              <w:top w:w="12" w:type="dxa"/>
              <w:left w:w="12" w:type="dxa"/>
              <w:right w:w="12" w:type="dxa"/>
            </w:tcMar>
            <w:vAlign w:val="center"/>
          </w:tcPr>
          <w:p w14:paraId="0F0EF3E5">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15.3</w:t>
            </w:r>
          </w:p>
        </w:tc>
        <w:tc>
          <w:tcPr>
            <w:tcW w:w="500" w:type="pct"/>
            <w:tcBorders>
              <w:tl2br w:val="nil"/>
              <w:tr2bl w:val="nil"/>
            </w:tcBorders>
            <w:shd w:val="clear" w:color="auto" w:fill="auto"/>
            <w:tcMar>
              <w:top w:w="12" w:type="dxa"/>
              <w:left w:w="12" w:type="dxa"/>
              <w:right w:w="12" w:type="dxa"/>
            </w:tcMar>
            <w:vAlign w:val="center"/>
          </w:tcPr>
          <w:p w14:paraId="7D02C291">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0.060</w:t>
            </w:r>
          </w:p>
        </w:tc>
      </w:tr>
      <w:tr w14:paraId="0B63E4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60" w:type="pct"/>
            <w:tcBorders>
              <w:tl2br w:val="nil"/>
              <w:tr2bl w:val="nil"/>
            </w:tcBorders>
            <w:shd w:val="clear" w:color="auto" w:fill="auto"/>
            <w:tcMar>
              <w:top w:w="12" w:type="dxa"/>
              <w:left w:w="12" w:type="dxa"/>
              <w:right w:w="12" w:type="dxa"/>
            </w:tcMar>
            <w:vAlign w:val="center"/>
          </w:tcPr>
          <w:p w14:paraId="76908AA6">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3</w:t>
            </w:r>
          </w:p>
        </w:tc>
        <w:tc>
          <w:tcPr>
            <w:tcW w:w="649" w:type="pct"/>
            <w:tcBorders>
              <w:tl2br w:val="nil"/>
              <w:tr2bl w:val="nil"/>
            </w:tcBorders>
            <w:shd w:val="clear" w:color="auto" w:fill="auto"/>
            <w:tcMar>
              <w:top w:w="12" w:type="dxa"/>
              <w:left w:w="12" w:type="dxa"/>
              <w:right w:w="12" w:type="dxa"/>
            </w:tcMar>
            <w:vAlign w:val="center"/>
          </w:tcPr>
          <w:p w14:paraId="02396C79">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蔡家沟</w:t>
            </w:r>
          </w:p>
        </w:tc>
        <w:tc>
          <w:tcPr>
            <w:tcW w:w="514" w:type="pct"/>
            <w:tcBorders>
              <w:tl2br w:val="nil"/>
              <w:tr2bl w:val="nil"/>
            </w:tcBorders>
            <w:shd w:val="clear" w:color="auto" w:fill="auto"/>
            <w:tcMar>
              <w:top w:w="12" w:type="dxa"/>
              <w:left w:w="12" w:type="dxa"/>
              <w:right w:w="12" w:type="dxa"/>
            </w:tcMar>
            <w:vAlign w:val="center"/>
          </w:tcPr>
          <w:p w14:paraId="426149AD">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国考</w:t>
            </w:r>
          </w:p>
        </w:tc>
        <w:tc>
          <w:tcPr>
            <w:tcW w:w="671" w:type="pct"/>
            <w:tcBorders>
              <w:tl2br w:val="nil"/>
              <w:tr2bl w:val="nil"/>
            </w:tcBorders>
            <w:shd w:val="clear" w:color="auto" w:fill="auto"/>
            <w:tcMar>
              <w:top w:w="12" w:type="dxa"/>
              <w:left w:w="12" w:type="dxa"/>
              <w:right w:w="12" w:type="dxa"/>
            </w:tcMar>
            <w:vAlign w:val="center"/>
          </w:tcPr>
          <w:p w14:paraId="6FB44D92">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2024年</w:t>
            </w:r>
          </w:p>
        </w:tc>
        <w:tc>
          <w:tcPr>
            <w:tcW w:w="500" w:type="pct"/>
            <w:tcBorders>
              <w:tl2br w:val="nil"/>
              <w:tr2bl w:val="nil"/>
            </w:tcBorders>
            <w:shd w:val="clear" w:color="auto" w:fill="auto"/>
            <w:tcMar>
              <w:top w:w="12" w:type="dxa"/>
              <w:left w:w="12" w:type="dxa"/>
              <w:right w:w="12" w:type="dxa"/>
            </w:tcMar>
            <w:vAlign w:val="center"/>
          </w:tcPr>
          <w:p w14:paraId="48E480C4">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7</w:t>
            </w:r>
          </w:p>
        </w:tc>
        <w:tc>
          <w:tcPr>
            <w:tcW w:w="500" w:type="pct"/>
            <w:tcBorders>
              <w:tl2br w:val="nil"/>
              <w:tr2bl w:val="nil"/>
            </w:tcBorders>
            <w:shd w:val="clear" w:color="auto" w:fill="auto"/>
            <w:tcMar>
              <w:top w:w="12" w:type="dxa"/>
              <w:left w:w="12" w:type="dxa"/>
              <w:right w:w="12" w:type="dxa"/>
            </w:tcMar>
            <w:vAlign w:val="center"/>
          </w:tcPr>
          <w:p w14:paraId="2144A505">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4.1</w:t>
            </w:r>
          </w:p>
        </w:tc>
        <w:tc>
          <w:tcPr>
            <w:tcW w:w="500" w:type="pct"/>
            <w:tcBorders>
              <w:tl2br w:val="nil"/>
              <w:tr2bl w:val="nil"/>
            </w:tcBorders>
            <w:shd w:val="clear" w:color="auto" w:fill="auto"/>
            <w:tcMar>
              <w:top w:w="12" w:type="dxa"/>
              <w:left w:w="12" w:type="dxa"/>
              <w:right w:w="12" w:type="dxa"/>
            </w:tcMar>
            <w:vAlign w:val="center"/>
          </w:tcPr>
          <w:p w14:paraId="5A2C661D">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2.7</w:t>
            </w:r>
          </w:p>
        </w:tc>
        <w:tc>
          <w:tcPr>
            <w:tcW w:w="500" w:type="pct"/>
            <w:tcBorders>
              <w:tl2br w:val="nil"/>
              <w:tr2bl w:val="nil"/>
            </w:tcBorders>
            <w:shd w:val="clear" w:color="auto" w:fill="auto"/>
            <w:tcMar>
              <w:top w:w="12" w:type="dxa"/>
              <w:left w:w="12" w:type="dxa"/>
              <w:right w:w="12" w:type="dxa"/>
            </w:tcMar>
            <w:vAlign w:val="center"/>
          </w:tcPr>
          <w:p w14:paraId="4B18F0D2">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0.78</w:t>
            </w:r>
          </w:p>
        </w:tc>
        <w:tc>
          <w:tcPr>
            <w:tcW w:w="500" w:type="pct"/>
            <w:tcBorders>
              <w:tl2br w:val="nil"/>
              <w:tr2bl w:val="nil"/>
            </w:tcBorders>
            <w:shd w:val="clear" w:color="auto" w:fill="auto"/>
            <w:tcMar>
              <w:top w:w="12" w:type="dxa"/>
              <w:left w:w="12" w:type="dxa"/>
              <w:right w:w="12" w:type="dxa"/>
            </w:tcMar>
            <w:vAlign w:val="center"/>
          </w:tcPr>
          <w:p w14:paraId="7608634F">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16.8</w:t>
            </w:r>
          </w:p>
        </w:tc>
        <w:tc>
          <w:tcPr>
            <w:tcW w:w="500" w:type="pct"/>
            <w:tcBorders>
              <w:tl2br w:val="nil"/>
              <w:tr2bl w:val="nil"/>
            </w:tcBorders>
            <w:shd w:val="clear" w:color="auto" w:fill="auto"/>
            <w:tcMar>
              <w:top w:w="12" w:type="dxa"/>
              <w:left w:w="12" w:type="dxa"/>
              <w:right w:w="12" w:type="dxa"/>
            </w:tcMar>
            <w:vAlign w:val="center"/>
          </w:tcPr>
          <w:p w14:paraId="0F8E1D2D">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0.128</w:t>
            </w:r>
          </w:p>
        </w:tc>
      </w:tr>
      <w:tr w14:paraId="5AA0EC5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454" w:hRule="atLeast"/>
        </w:trPr>
        <w:tc>
          <w:tcPr>
            <w:tcW w:w="160" w:type="pct"/>
            <w:tcBorders>
              <w:tl2br w:val="nil"/>
              <w:tr2bl w:val="nil"/>
            </w:tcBorders>
            <w:shd w:val="clear" w:color="auto" w:fill="auto"/>
            <w:tcMar>
              <w:top w:w="12" w:type="dxa"/>
              <w:left w:w="12" w:type="dxa"/>
              <w:right w:w="12" w:type="dxa"/>
            </w:tcMar>
            <w:vAlign w:val="center"/>
          </w:tcPr>
          <w:p w14:paraId="5AB31A21">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4</w:t>
            </w:r>
          </w:p>
        </w:tc>
        <w:tc>
          <w:tcPr>
            <w:tcW w:w="649" w:type="pct"/>
            <w:tcBorders>
              <w:tl2br w:val="nil"/>
              <w:tr2bl w:val="nil"/>
            </w:tcBorders>
            <w:shd w:val="clear" w:color="auto" w:fill="auto"/>
            <w:tcMar>
              <w:top w:w="12" w:type="dxa"/>
              <w:left w:w="12" w:type="dxa"/>
              <w:right w:w="12" w:type="dxa"/>
            </w:tcMar>
            <w:vAlign w:val="center"/>
          </w:tcPr>
          <w:p w14:paraId="3EE531A6">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苗家</w:t>
            </w:r>
          </w:p>
        </w:tc>
        <w:tc>
          <w:tcPr>
            <w:tcW w:w="514" w:type="pct"/>
            <w:tcBorders>
              <w:tl2br w:val="nil"/>
              <w:tr2bl w:val="nil"/>
            </w:tcBorders>
            <w:shd w:val="clear" w:color="auto" w:fill="auto"/>
            <w:tcMar>
              <w:top w:w="12" w:type="dxa"/>
              <w:left w:w="12" w:type="dxa"/>
              <w:right w:w="12" w:type="dxa"/>
            </w:tcMar>
            <w:vAlign w:val="center"/>
          </w:tcPr>
          <w:p w14:paraId="2C7469E7">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国考</w:t>
            </w:r>
          </w:p>
        </w:tc>
        <w:tc>
          <w:tcPr>
            <w:tcW w:w="671" w:type="pct"/>
            <w:tcBorders>
              <w:tl2br w:val="nil"/>
              <w:tr2bl w:val="nil"/>
            </w:tcBorders>
            <w:shd w:val="clear" w:color="auto" w:fill="auto"/>
            <w:tcMar>
              <w:top w:w="12" w:type="dxa"/>
              <w:left w:w="12" w:type="dxa"/>
              <w:right w:w="12" w:type="dxa"/>
            </w:tcMar>
            <w:vAlign w:val="center"/>
          </w:tcPr>
          <w:p w14:paraId="06493FCC">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2024年</w:t>
            </w:r>
          </w:p>
        </w:tc>
        <w:tc>
          <w:tcPr>
            <w:tcW w:w="500" w:type="pct"/>
            <w:tcBorders>
              <w:tl2br w:val="nil"/>
              <w:tr2bl w:val="nil"/>
            </w:tcBorders>
            <w:shd w:val="clear" w:color="auto" w:fill="auto"/>
            <w:tcMar>
              <w:top w:w="12" w:type="dxa"/>
              <w:left w:w="12" w:type="dxa"/>
              <w:right w:w="12" w:type="dxa"/>
            </w:tcMar>
            <w:vAlign w:val="center"/>
          </w:tcPr>
          <w:p w14:paraId="535166AF">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8</w:t>
            </w:r>
          </w:p>
        </w:tc>
        <w:tc>
          <w:tcPr>
            <w:tcW w:w="500" w:type="pct"/>
            <w:tcBorders>
              <w:tl2br w:val="nil"/>
              <w:tr2bl w:val="nil"/>
            </w:tcBorders>
            <w:shd w:val="clear" w:color="auto" w:fill="auto"/>
            <w:tcMar>
              <w:top w:w="12" w:type="dxa"/>
              <w:left w:w="12" w:type="dxa"/>
              <w:right w:w="12" w:type="dxa"/>
            </w:tcMar>
            <w:vAlign w:val="center"/>
          </w:tcPr>
          <w:p w14:paraId="4555E28E">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4.5</w:t>
            </w:r>
          </w:p>
        </w:tc>
        <w:tc>
          <w:tcPr>
            <w:tcW w:w="500" w:type="pct"/>
            <w:tcBorders>
              <w:tl2br w:val="nil"/>
              <w:tr2bl w:val="nil"/>
            </w:tcBorders>
            <w:shd w:val="clear" w:color="auto" w:fill="auto"/>
            <w:tcMar>
              <w:top w:w="12" w:type="dxa"/>
              <w:left w:w="12" w:type="dxa"/>
              <w:right w:w="12" w:type="dxa"/>
            </w:tcMar>
            <w:vAlign w:val="center"/>
          </w:tcPr>
          <w:p w14:paraId="48A85E73">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2.8</w:t>
            </w:r>
          </w:p>
        </w:tc>
        <w:tc>
          <w:tcPr>
            <w:tcW w:w="500" w:type="pct"/>
            <w:tcBorders>
              <w:tl2br w:val="nil"/>
              <w:tr2bl w:val="nil"/>
            </w:tcBorders>
            <w:shd w:val="clear" w:color="auto" w:fill="auto"/>
            <w:tcMar>
              <w:top w:w="12" w:type="dxa"/>
              <w:left w:w="12" w:type="dxa"/>
              <w:right w:w="12" w:type="dxa"/>
            </w:tcMar>
            <w:vAlign w:val="center"/>
          </w:tcPr>
          <w:p w14:paraId="017B47C1">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0.45</w:t>
            </w:r>
          </w:p>
        </w:tc>
        <w:tc>
          <w:tcPr>
            <w:tcW w:w="500" w:type="pct"/>
            <w:tcBorders>
              <w:tl2br w:val="nil"/>
              <w:tr2bl w:val="nil"/>
            </w:tcBorders>
            <w:shd w:val="clear" w:color="auto" w:fill="auto"/>
            <w:tcMar>
              <w:top w:w="12" w:type="dxa"/>
              <w:left w:w="12" w:type="dxa"/>
              <w:right w:w="12" w:type="dxa"/>
            </w:tcMar>
            <w:vAlign w:val="center"/>
          </w:tcPr>
          <w:p w14:paraId="4B7A8152">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16.5</w:t>
            </w:r>
          </w:p>
        </w:tc>
        <w:tc>
          <w:tcPr>
            <w:tcW w:w="500" w:type="pct"/>
            <w:tcBorders>
              <w:tl2br w:val="nil"/>
              <w:tr2bl w:val="nil"/>
            </w:tcBorders>
            <w:shd w:val="clear" w:color="auto" w:fill="auto"/>
            <w:tcMar>
              <w:top w:w="12" w:type="dxa"/>
              <w:left w:w="12" w:type="dxa"/>
              <w:right w:w="12" w:type="dxa"/>
            </w:tcMar>
            <w:vAlign w:val="center"/>
          </w:tcPr>
          <w:p w14:paraId="5B1185F5">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0.131</w:t>
            </w:r>
          </w:p>
        </w:tc>
      </w:tr>
      <w:tr w14:paraId="6C2530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454" w:hRule="atLeast"/>
        </w:trPr>
        <w:tc>
          <w:tcPr>
            <w:tcW w:w="160" w:type="pct"/>
            <w:tcBorders>
              <w:tl2br w:val="nil"/>
              <w:tr2bl w:val="nil"/>
            </w:tcBorders>
            <w:shd w:val="clear" w:color="auto" w:fill="auto"/>
            <w:tcMar>
              <w:top w:w="12" w:type="dxa"/>
              <w:left w:w="12" w:type="dxa"/>
              <w:right w:w="12" w:type="dxa"/>
            </w:tcMar>
            <w:vAlign w:val="center"/>
          </w:tcPr>
          <w:p w14:paraId="0B94A441">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5</w:t>
            </w:r>
          </w:p>
        </w:tc>
        <w:tc>
          <w:tcPr>
            <w:tcW w:w="649" w:type="pct"/>
            <w:tcBorders>
              <w:tl2br w:val="nil"/>
              <w:tr2bl w:val="nil"/>
            </w:tcBorders>
            <w:shd w:val="clear" w:color="auto" w:fill="auto"/>
            <w:tcMar>
              <w:top w:w="12" w:type="dxa"/>
              <w:left w:w="12" w:type="dxa"/>
              <w:right w:w="12" w:type="dxa"/>
            </w:tcMar>
            <w:vAlign w:val="center"/>
          </w:tcPr>
          <w:p w14:paraId="35191178">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磨盘山水库库尾(水利)</w:t>
            </w:r>
          </w:p>
        </w:tc>
        <w:tc>
          <w:tcPr>
            <w:tcW w:w="514" w:type="pct"/>
            <w:tcBorders>
              <w:tl2br w:val="nil"/>
              <w:tr2bl w:val="nil"/>
            </w:tcBorders>
            <w:shd w:val="clear" w:color="auto" w:fill="auto"/>
            <w:tcMar>
              <w:top w:w="12" w:type="dxa"/>
              <w:left w:w="12" w:type="dxa"/>
              <w:right w:w="12" w:type="dxa"/>
            </w:tcMar>
            <w:vAlign w:val="center"/>
          </w:tcPr>
          <w:p w14:paraId="0EA7D0F5">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水功能区</w:t>
            </w:r>
          </w:p>
        </w:tc>
        <w:tc>
          <w:tcPr>
            <w:tcW w:w="671" w:type="pct"/>
            <w:tcBorders>
              <w:tl2br w:val="nil"/>
              <w:tr2bl w:val="nil"/>
            </w:tcBorders>
            <w:shd w:val="clear" w:color="auto" w:fill="auto"/>
            <w:tcMar>
              <w:top w:w="12" w:type="dxa"/>
              <w:left w:w="12" w:type="dxa"/>
              <w:right w:w="12" w:type="dxa"/>
            </w:tcMar>
            <w:vAlign w:val="center"/>
          </w:tcPr>
          <w:p w14:paraId="02B79649">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2024年</w:t>
            </w:r>
          </w:p>
        </w:tc>
        <w:tc>
          <w:tcPr>
            <w:tcW w:w="500" w:type="pct"/>
            <w:tcBorders>
              <w:tl2br w:val="nil"/>
              <w:tr2bl w:val="nil"/>
            </w:tcBorders>
            <w:shd w:val="clear" w:color="auto" w:fill="auto"/>
            <w:tcMar>
              <w:top w:w="12" w:type="dxa"/>
              <w:left w:w="12" w:type="dxa"/>
              <w:right w:w="12" w:type="dxa"/>
            </w:tcMar>
            <w:vAlign w:val="center"/>
          </w:tcPr>
          <w:p w14:paraId="4031CAC8">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7</w:t>
            </w:r>
          </w:p>
        </w:tc>
        <w:tc>
          <w:tcPr>
            <w:tcW w:w="500" w:type="pct"/>
            <w:tcBorders>
              <w:tl2br w:val="nil"/>
              <w:tr2bl w:val="nil"/>
            </w:tcBorders>
            <w:shd w:val="clear" w:color="auto" w:fill="auto"/>
            <w:tcMar>
              <w:top w:w="12" w:type="dxa"/>
              <w:left w:w="12" w:type="dxa"/>
              <w:right w:w="12" w:type="dxa"/>
            </w:tcMar>
            <w:vAlign w:val="center"/>
          </w:tcPr>
          <w:p w14:paraId="5F3C041C">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3.7</w:t>
            </w:r>
          </w:p>
        </w:tc>
        <w:tc>
          <w:tcPr>
            <w:tcW w:w="500" w:type="pct"/>
            <w:tcBorders>
              <w:tl2br w:val="nil"/>
              <w:tr2bl w:val="nil"/>
            </w:tcBorders>
            <w:shd w:val="clear" w:color="auto" w:fill="auto"/>
            <w:tcMar>
              <w:top w:w="12" w:type="dxa"/>
              <w:left w:w="12" w:type="dxa"/>
              <w:right w:w="12" w:type="dxa"/>
            </w:tcMar>
            <w:vAlign w:val="center"/>
          </w:tcPr>
          <w:p w14:paraId="428228FD">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-1</w:t>
            </w:r>
          </w:p>
        </w:tc>
        <w:tc>
          <w:tcPr>
            <w:tcW w:w="500" w:type="pct"/>
            <w:tcBorders>
              <w:tl2br w:val="nil"/>
              <w:tr2bl w:val="nil"/>
            </w:tcBorders>
            <w:shd w:val="clear" w:color="auto" w:fill="auto"/>
            <w:tcMar>
              <w:top w:w="12" w:type="dxa"/>
              <w:left w:w="12" w:type="dxa"/>
              <w:right w:w="12" w:type="dxa"/>
            </w:tcMar>
            <w:vAlign w:val="center"/>
          </w:tcPr>
          <w:p w14:paraId="4F572742">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0.09</w:t>
            </w:r>
          </w:p>
        </w:tc>
        <w:tc>
          <w:tcPr>
            <w:tcW w:w="500" w:type="pct"/>
            <w:tcBorders>
              <w:tl2br w:val="nil"/>
              <w:tr2bl w:val="nil"/>
            </w:tcBorders>
            <w:shd w:val="clear" w:color="auto" w:fill="auto"/>
            <w:tcMar>
              <w:top w:w="12" w:type="dxa"/>
              <w:left w:w="12" w:type="dxa"/>
              <w:right w:w="12" w:type="dxa"/>
            </w:tcMar>
            <w:vAlign w:val="center"/>
          </w:tcPr>
          <w:p w14:paraId="3F84E2FC">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13.0</w:t>
            </w:r>
          </w:p>
        </w:tc>
        <w:tc>
          <w:tcPr>
            <w:tcW w:w="500" w:type="pct"/>
            <w:tcBorders>
              <w:tl2br w:val="nil"/>
              <w:tr2bl w:val="nil"/>
            </w:tcBorders>
            <w:shd w:val="clear" w:color="auto" w:fill="auto"/>
            <w:tcMar>
              <w:top w:w="12" w:type="dxa"/>
              <w:left w:w="12" w:type="dxa"/>
              <w:right w:w="12" w:type="dxa"/>
            </w:tcMar>
            <w:vAlign w:val="center"/>
          </w:tcPr>
          <w:p w14:paraId="6A8321C0">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0.036</w:t>
            </w:r>
          </w:p>
        </w:tc>
      </w:tr>
      <w:tr w14:paraId="2DC629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60" w:type="pct"/>
            <w:tcBorders>
              <w:tl2br w:val="nil"/>
              <w:tr2bl w:val="nil"/>
            </w:tcBorders>
            <w:shd w:val="clear" w:color="auto" w:fill="auto"/>
            <w:tcMar>
              <w:top w:w="12" w:type="dxa"/>
              <w:left w:w="12" w:type="dxa"/>
              <w:right w:w="12" w:type="dxa"/>
            </w:tcMar>
            <w:vAlign w:val="center"/>
          </w:tcPr>
          <w:p w14:paraId="3252D2F7">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6</w:t>
            </w:r>
          </w:p>
        </w:tc>
        <w:tc>
          <w:tcPr>
            <w:tcW w:w="649" w:type="pct"/>
            <w:tcBorders>
              <w:tl2br w:val="nil"/>
              <w:tr2bl w:val="nil"/>
            </w:tcBorders>
            <w:shd w:val="clear" w:color="auto" w:fill="auto"/>
            <w:tcMar>
              <w:top w:w="12" w:type="dxa"/>
              <w:left w:w="12" w:type="dxa"/>
              <w:right w:w="12" w:type="dxa"/>
            </w:tcMar>
            <w:vAlign w:val="center"/>
          </w:tcPr>
          <w:p w14:paraId="14AB8376">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拉林河磨盘山水库（水利）</w:t>
            </w:r>
          </w:p>
        </w:tc>
        <w:tc>
          <w:tcPr>
            <w:tcW w:w="514" w:type="pct"/>
            <w:tcBorders>
              <w:tl2br w:val="nil"/>
              <w:tr2bl w:val="nil"/>
            </w:tcBorders>
            <w:shd w:val="clear" w:color="auto" w:fill="auto"/>
            <w:tcMar>
              <w:top w:w="12" w:type="dxa"/>
              <w:left w:w="12" w:type="dxa"/>
              <w:right w:w="12" w:type="dxa"/>
            </w:tcMar>
            <w:vAlign w:val="center"/>
          </w:tcPr>
          <w:p w14:paraId="52ECECF8">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水功能区</w:t>
            </w:r>
          </w:p>
        </w:tc>
        <w:tc>
          <w:tcPr>
            <w:tcW w:w="671" w:type="pct"/>
            <w:tcBorders>
              <w:tl2br w:val="nil"/>
              <w:tr2bl w:val="nil"/>
            </w:tcBorders>
            <w:shd w:val="clear" w:color="auto" w:fill="auto"/>
            <w:tcMar>
              <w:top w:w="12" w:type="dxa"/>
              <w:left w:w="12" w:type="dxa"/>
              <w:right w:w="12" w:type="dxa"/>
            </w:tcMar>
            <w:vAlign w:val="center"/>
          </w:tcPr>
          <w:p w14:paraId="4AC501DE">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t>2024年</w:t>
            </w:r>
          </w:p>
        </w:tc>
        <w:tc>
          <w:tcPr>
            <w:tcW w:w="500" w:type="pct"/>
            <w:tcBorders>
              <w:tl2br w:val="nil"/>
              <w:tr2bl w:val="nil"/>
            </w:tcBorders>
            <w:shd w:val="clear" w:color="auto" w:fill="auto"/>
            <w:tcMar>
              <w:top w:w="12" w:type="dxa"/>
              <w:left w:w="12" w:type="dxa"/>
              <w:right w:w="12" w:type="dxa"/>
            </w:tcMar>
            <w:vAlign w:val="center"/>
          </w:tcPr>
          <w:p w14:paraId="7DACD818">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7</w:t>
            </w:r>
          </w:p>
        </w:tc>
        <w:tc>
          <w:tcPr>
            <w:tcW w:w="500" w:type="pct"/>
            <w:tcBorders>
              <w:tl2br w:val="nil"/>
              <w:tr2bl w:val="nil"/>
            </w:tcBorders>
            <w:shd w:val="clear" w:color="auto" w:fill="auto"/>
            <w:tcMar>
              <w:top w:w="12" w:type="dxa"/>
              <w:left w:w="12" w:type="dxa"/>
              <w:right w:w="12" w:type="dxa"/>
            </w:tcMar>
            <w:vAlign w:val="center"/>
          </w:tcPr>
          <w:p w14:paraId="08C0513A">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5.3</w:t>
            </w:r>
          </w:p>
        </w:tc>
        <w:tc>
          <w:tcPr>
            <w:tcW w:w="500" w:type="pct"/>
            <w:tcBorders>
              <w:tl2br w:val="nil"/>
              <w:tr2bl w:val="nil"/>
            </w:tcBorders>
            <w:shd w:val="clear" w:color="auto" w:fill="auto"/>
            <w:tcMar>
              <w:top w:w="12" w:type="dxa"/>
              <w:left w:w="12" w:type="dxa"/>
              <w:right w:w="12" w:type="dxa"/>
            </w:tcMar>
            <w:vAlign w:val="center"/>
          </w:tcPr>
          <w:p w14:paraId="30882FD2">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3.2</w:t>
            </w:r>
          </w:p>
        </w:tc>
        <w:tc>
          <w:tcPr>
            <w:tcW w:w="500" w:type="pct"/>
            <w:tcBorders>
              <w:tl2br w:val="nil"/>
              <w:tr2bl w:val="nil"/>
            </w:tcBorders>
            <w:shd w:val="clear" w:color="auto" w:fill="auto"/>
            <w:tcMar>
              <w:top w:w="12" w:type="dxa"/>
              <w:left w:w="12" w:type="dxa"/>
              <w:right w:w="12" w:type="dxa"/>
            </w:tcMar>
            <w:vAlign w:val="center"/>
          </w:tcPr>
          <w:p w14:paraId="28306E3B">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 xml:space="preserve">0.1 </w:t>
            </w:r>
          </w:p>
        </w:tc>
        <w:tc>
          <w:tcPr>
            <w:tcW w:w="500" w:type="pct"/>
            <w:tcBorders>
              <w:tl2br w:val="nil"/>
              <w:tr2bl w:val="nil"/>
            </w:tcBorders>
            <w:shd w:val="clear" w:color="auto" w:fill="auto"/>
            <w:tcMar>
              <w:top w:w="12" w:type="dxa"/>
              <w:left w:w="12" w:type="dxa"/>
              <w:right w:w="12" w:type="dxa"/>
            </w:tcMar>
            <w:vAlign w:val="center"/>
          </w:tcPr>
          <w:p w14:paraId="23BBC5AD">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14.0</w:t>
            </w:r>
          </w:p>
        </w:tc>
        <w:tc>
          <w:tcPr>
            <w:tcW w:w="500" w:type="pct"/>
            <w:tcBorders>
              <w:tl2br w:val="nil"/>
              <w:tr2bl w:val="nil"/>
            </w:tcBorders>
            <w:shd w:val="clear" w:color="auto" w:fill="auto"/>
            <w:tcMar>
              <w:top w:w="12" w:type="dxa"/>
              <w:left w:w="12" w:type="dxa"/>
              <w:right w:w="12" w:type="dxa"/>
            </w:tcMar>
            <w:vAlign w:val="center"/>
          </w:tcPr>
          <w:p w14:paraId="609C5341">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u w:val="none"/>
                <w:lang w:val="en-US" w:eastAsia="zh-CN" w:bidi="ar"/>
                <w14:textFill>
                  <w14:solidFill>
                    <w14:schemeClr w14:val="tx1"/>
                  </w14:solidFill>
                </w14:textFill>
              </w:rPr>
              <w:t>0.042</w:t>
            </w:r>
          </w:p>
        </w:tc>
      </w:tr>
    </w:tbl>
    <w:p w14:paraId="7F0D5CC8">
      <w:pPr>
        <w:spacing w:line="480" w:lineRule="exact"/>
        <w:rPr>
          <w:rFonts w:hint="default" w:ascii="Times New Roman" w:hAnsi="Times New Roman" w:cs="Times New Roman"/>
          <w:color w:val="000000" w:themeColor="text1"/>
          <w:spacing w:val="0"/>
          <w:kern w:val="2"/>
          <w:sz w:val="24"/>
          <w:szCs w:val="24"/>
          <w:highlight w:val="none"/>
          <w:lang w:val="en-US" w:eastAsia="zh-CN" w:bidi="ar-SA"/>
          <w14:textFill>
            <w14:solidFill>
              <w14:schemeClr w14:val="tx1"/>
            </w14:solidFill>
          </w14:textFill>
        </w:rPr>
      </w:pPr>
      <w:r>
        <w:rPr>
          <w:rFonts w:hint="eastAsia" w:ascii="仿宋_GB2312" w:hAnsi="仿宋_GB2312" w:eastAsia="仿宋_GB2312" w:cs="仿宋_GB2312"/>
          <w:i w:val="0"/>
          <w:color w:val="000000" w:themeColor="text1"/>
          <w:kern w:val="0"/>
          <w:sz w:val="21"/>
          <w:szCs w:val="21"/>
          <w:u w:val="none"/>
          <w:lang w:val="en-US" w:eastAsia="zh-CN" w:bidi="ar"/>
          <w14:textFill>
            <w14:solidFill>
              <w14:schemeClr w14:val="tx1"/>
            </w14:solidFill>
          </w14:textFill>
        </w:rPr>
        <w:t>注：“-1”表示未监测。</w:t>
      </w:r>
    </w:p>
    <w:p w14:paraId="072EAAD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pacing w:val="0"/>
          <w:kern w:val="2"/>
          <w:sz w:val="24"/>
          <w:szCs w:val="24"/>
          <w:highlight w:val="none"/>
          <w:lang w:val="en-US" w:eastAsia="zh-CN" w:bidi="ar-SA"/>
        </w:rPr>
      </w:pPr>
      <w:r>
        <w:rPr>
          <w:rFonts w:hint="default" w:ascii="Times New Roman" w:hAnsi="Times New Roman" w:cs="Times New Roman"/>
          <w:color w:val="auto"/>
          <w:spacing w:val="0"/>
          <w:kern w:val="2"/>
          <w:sz w:val="24"/>
          <w:szCs w:val="24"/>
          <w:highlight w:val="none"/>
          <w:lang w:val="en-US" w:eastAsia="zh-CN" w:bidi="ar-SA"/>
        </w:rPr>
        <w:t>根据《2024年哈尔滨生态环境质量状况年报》2024年松花江重点支流拉林河监测的6个断面中，磨盘山水库库尾(水利)断面水质类别符合《地表水环境质量标准》(GB3838-2002)Ⅱ类标准，长胜橡胶坝、兴盛乡、蔡家沟、苗家断面水质类别符合《地表水环境质量标准》(GB3838-2002)Ⅲ类标准。拉林河磨盘山水库（水利）断面未达考核目标（Ⅱ类标准）要求。</w:t>
      </w:r>
    </w:p>
    <w:p w14:paraId="4906794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4</w:t>
      </w:r>
      <w:r>
        <w:rPr>
          <w:rFonts w:hint="default" w:ascii="Times New Roman" w:hAnsi="Times New Roman" w:eastAsia="宋体" w:cs="Times New Roman"/>
          <w:b/>
          <w:bCs/>
          <w:snapToGrid w:val="0"/>
          <w:color w:val="auto"/>
          <w:spacing w:val="0"/>
          <w:kern w:val="0"/>
          <w:position w:val="0"/>
          <w:sz w:val="30"/>
          <w:szCs w:val="30"/>
          <w:lang w:val="en-US" w:eastAsia="zh-CN" w:bidi="ar-SA"/>
        </w:rPr>
        <w:t>.</w:t>
      </w:r>
      <w:r>
        <w:rPr>
          <w:rFonts w:hint="eastAsia" w:ascii="Times New Roman" w:hAnsi="Times New Roman" w:eastAsia="宋体" w:cs="Times New Roman"/>
          <w:b/>
          <w:bCs/>
          <w:snapToGrid w:val="0"/>
          <w:color w:val="auto"/>
          <w:spacing w:val="0"/>
          <w:kern w:val="0"/>
          <w:position w:val="0"/>
          <w:sz w:val="30"/>
          <w:szCs w:val="30"/>
          <w:lang w:val="en-US" w:eastAsia="zh-CN" w:bidi="ar-SA"/>
        </w:rPr>
        <w:t>2</w:t>
      </w:r>
      <w:r>
        <w:rPr>
          <w:rFonts w:hint="default" w:ascii="Times New Roman" w:hAnsi="Times New Roman" w:eastAsia="宋体" w:cs="Times New Roman"/>
          <w:b/>
          <w:bCs/>
          <w:snapToGrid w:val="0"/>
          <w:color w:val="auto"/>
          <w:spacing w:val="0"/>
          <w:kern w:val="0"/>
          <w:position w:val="0"/>
          <w:sz w:val="30"/>
          <w:szCs w:val="30"/>
          <w:lang w:val="en-US" w:eastAsia="zh-CN" w:bidi="ar-SA"/>
        </w:rPr>
        <w:t>.</w:t>
      </w:r>
      <w:r>
        <w:rPr>
          <w:rFonts w:hint="eastAsia" w:ascii="Times New Roman" w:hAnsi="Times New Roman" w:eastAsia="宋体" w:cs="Times New Roman"/>
          <w:b/>
          <w:bCs/>
          <w:snapToGrid w:val="0"/>
          <w:color w:val="auto"/>
          <w:spacing w:val="0"/>
          <w:kern w:val="0"/>
          <w:position w:val="0"/>
          <w:sz w:val="30"/>
          <w:szCs w:val="30"/>
          <w:lang w:val="en-US" w:eastAsia="zh-CN" w:bidi="ar-SA"/>
        </w:rPr>
        <w:t>3</w:t>
      </w:r>
      <w:r>
        <w:rPr>
          <w:rFonts w:hint="default" w:ascii="Times New Roman" w:hAnsi="Times New Roman" w:eastAsia="宋体" w:cs="Times New Roman"/>
          <w:b/>
          <w:bCs/>
          <w:snapToGrid w:val="0"/>
          <w:color w:val="auto"/>
          <w:spacing w:val="0"/>
          <w:kern w:val="0"/>
          <w:position w:val="0"/>
          <w:sz w:val="30"/>
          <w:szCs w:val="30"/>
          <w:lang w:val="en-US" w:eastAsia="zh-CN" w:bidi="ar-SA"/>
        </w:rPr>
        <w:t>地</w:t>
      </w:r>
      <w:r>
        <w:rPr>
          <w:rFonts w:hint="eastAsia" w:ascii="Times New Roman" w:hAnsi="Times New Roman" w:eastAsia="宋体" w:cs="Times New Roman"/>
          <w:b/>
          <w:bCs/>
          <w:snapToGrid w:val="0"/>
          <w:color w:val="auto"/>
          <w:spacing w:val="0"/>
          <w:kern w:val="0"/>
          <w:position w:val="0"/>
          <w:sz w:val="30"/>
          <w:szCs w:val="30"/>
          <w:lang w:val="en-US" w:eastAsia="zh-CN" w:bidi="ar-SA"/>
        </w:rPr>
        <w:t>下</w:t>
      </w:r>
      <w:r>
        <w:rPr>
          <w:rFonts w:hint="default" w:ascii="Times New Roman" w:hAnsi="Times New Roman" w:eastAsia="宋体" w:cs="Times New Roman"/>
          <w:b/>
          <w:bCs/>
          <w:snapToGrid w:val="0"/>
          <w:color w:val="auto"/>
          <w:spacing w:val="0"/>
          <w:kern w:val="0"/>
          <w:position w:val="0"/>
          <w:sz w:val="30"/>
          <w:szCs w:val="30"/>
          <w:lang w:val="en-US" w:eastAsia="zh-CN" w:bidi="ar-SA"/>
        </w:rPr>
        <w:t>水环境质量现状调查与评价</w:t>
      </w:r>
    </w:p>
    <w:p w14:paraId="5667BF5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本项目地下水环境质量现状委托</w:t>
      </w:r>
      <w:r>
        <w:rPr>
          <w:rFonts w:hint="eastAsia" w:ascii="Times New Roman" w:hAnsi="Times New Roman" w:cs="Times New Roman"/>
          <w:color w:val="auto"/>
          <w:sz w:val="24"/>
          <w:szCs w:val="24"/>
          <w:lang w:eastAsia="zh-CN"/>
        </w:rPr>
        <w:t>黑龙江省华裕检测技术有限公司</w:t>
      </w:r>
      <w:r>
        <w:rPr>
          <w:rFonts w:hint="default" w:ascii="Times New Roman" w:hAnsi="Times New Roman" w:cs="Times New Roman"/>
          <w:color w:val="auto"/>
          <w:sz w:val="24"/>
          <w:szCs w:val="24"/>
        </w:rPr>
        <w:t>进行监测。</w:t>
      </w:r>
    </w:p>
    <w:p w14:paraId="7DFDCBA6">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4.2.3.1</w:t>
      </w:r>
      <w:r>
        <w:rPr>
          <w:rFonts w:hint="default" w:ascii="Times New Roman" w:hAnsi="Times New Roman" w:eastAsia="宋体" w:cs="Times New Roman"/>
          <w:b/>
          <w:bCs/>
          <w:color w:val="auto"/>
          <w:sz w:val="28"/>
          <w:szCs w:val="28"/>
          <w:lang w:val="en-US" w:eastAsia="zh-CN"/>
        </w:rPr>
        <w:t>监测因子</w:t>
      </w:r>
    </w:p>
    <w:p w14:paraId="7819BC8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Cs/>
          <w:snapToGrid w:val="0"/>
          <w:color w:val="auto"/>
          <w:kern w:val="0"/>
          <w:sz w:val="24"/>
          <w:szCs w:val="24"/>
        </w:rPr>
      </w:pPr>
      <w:r>
        <w:rPr>
          <w:rFonts w:hint="default" w:ascii="Times New Roman" w:hAnsi="Times New Roman" w:cs="Times New Roman"/>
          <w:bCs/>
          <w:color w:val="auto"/>
          <w:sz w:val="24"/>
          <w:szCs w:val="24"/>
        </w:rPr>
        <w:t>根据项目特点和可能对地下水的影响，结合评价区地下水水化学特征，确定如下监测因子：</w:t>
      </w:r>
      <w:r>
        <w:rPr>
          <w:rFonts w:hint="default" w:ascii="Times New Roman" w:hAnsi="Times New Roman" w:cs="Times New Roman"/>
          <w:bCs/>
          <w:snapToGrid w:val="0"/>
          <w:color w:val="auto"/>
          <w:kern w:val="0"/>
          <w:sz w:val="24"/>
          <w:szCs w:val="24"/>
        </w:rPr>
        <w:t>K</w:t>
      </w:r>
      <w:r>
        <w:rPr>
          <w:rFonts w:hint="default" w:ascii="Times New Roman" w:hAnsi="Times New Roman" w:cs="Times New Roman"/>
          <w:bCs/>
          <w:snapToGrid w:val="0"/>
          <w:color w:val="auto"/>
          <w:kern w:val="0"/>
          <w:sz w:val="24"/>
          <w:szCs w:val="24"/>
          <w:vertAlign w:val="superscript"/>
        </w:rPr>
        <w:t>+</w:t>
      </w:r>
      <w:r>
        <w:rPr>
          <w:rFonts w:hint="default" w:ascii="Times New Roman" w:hAnsi="Times New Roman" w:cs="Times New Roman"/>
          <w:bCs/>
          <w:snapToGrid w:val="0"/>
          <w:color w:val="auto"/>
          <w:kern w:val="0"/>
          <w:sz w:val="24"/>
          <w:szCs w:val="24"/>
        </w:rPr>
        <w:t>、Na</w:t>
      </w:r>
      <w:r>
        <w:rPr>
          <w:rFonts w:hint="default" w:ascii="Times New Roman" w:hAnsi="Times New Roman" w:cs="Times New Roman"/>
          <w:bCs/>
          <w:snapToGrid w:val="0"/>
          <w:color w:val="auto"/>
          <w:kern w:val="0"/>
          <w:sz w:val="24"/>
          <w:szCs w:val="24"/>
          <w:vertAlign w:val="superscript"/>
        </w:rPr>
        <w:t>+</w:t>
      </w:r>
      <w:r>
        <w:rPr>
          <w:rFonts w:hint="default" w:ascii="Times New Roman" w:hAnsi="Times New Roman" w:cs="Times New Roman"/>
          <w:bCs/>
          <w:snapToGrid w:val="0"/>
          <w:color w:val="auto"/>
          <w:kern w:val="0"/>
          <w:sz w:val="24"/>
          <w:szCs w:val="24"/>
        </w:rPr>
        <w:t>、Ca</w:t>
      </w:r>
      <w:r>
        <w:rPr>
          <w:rFonts w:hint="default" w:ascii="Times New Roman" w:hAnsi="Times New Roman" w:cs="Times New Roman"/>
          <w:bCs/>
          <w:snapToGrid w:val="0"/>
          <w:color w:val="auto"/>
          <w:kern w:val="0"/>
          <w:sz w:val="24"/>
          <w:szCs w:val="24"/>
          <w:vertAlign w:val="superscript"/>
        </w:rPr>
        <w:t>2+</w:t>
      </w:r>
      <w:r>
        <w:rPr>
          <w:rFonts w:hint="default" w:ascii="Times New Roman" w:hAnsi="Times New Roman" w:cs="Times New Roman"/>
          <w:bCs/>
          <w:snapToGrid w:val="0"/>
          <w:color w:val="auto"/>
          <w:kern w:val="0"/>
          <w:sz w:val="24"/>
          <w:szCs w:val="24"/>
        </w:rPr>
        <w:t>、Mg</w:t>
      </w:r>
      <w:r>
        <w:rPr>
          <w:rFonts w:hint="default" w:ascii="Times New Roman" w:hAnsi="Times New Roman" w:cs="Times New Roman"/>
          <w:bCs/>
          <w:snapToGrid w:val="0"/>
          <w:color w:val="auto"/>
          <w:kern w:val="0"/>
          <w:sz w:val="24"/>
          <w:szCs w:val="24"/>
          <w:vertAlign w:val="superscript"/>
        </w:rPr>
        <w:t>2+</w:t>
      </w:r>
      <w:r>
        <w:rPr>
          <w:rFonts w:hint="default" w:ascii="Times New Roman" w:hAnsi="Times New Roman" w:cs="Times New Roman"/>
          <w:bCs/>
          <w:snapToGrid w:val="0"/>
          <w:color w:val="auto"/>
          <w:kern w:val="0"/>
          <w:sz w:val="24"/>
          <w:szCs w:val="24"/>
        </w:rPr>
        <w:t>、CO</w:t>
      </w:r>
      <w:r>
        <w:rPr>
          <w:rFonts w:hint="default" w:ascii="Times New Roman" w:hAnsi="Times New Roman" w:cs="Times New Roman"/>
          <w:bCs/>
          <w:snapToGrid w:val="0"/>
          <w:color w:val="auto"/>
          <w:kern w:val="0"/>
          <w:sz w:val="24"/>
          <w:szCs w:val="24"/>
          <w:vertAlign w:val="subscript"/>
        </w:rPr>
        <w:t>3</w:t>
      </w:r>
      <w:r>
        <w:rPr>
          <w:rFonts w:hint="default" w:ascii="Times New Roman" w:hAnsi="Times New Roman" w:cs="Times New Roman"/>
          <w:bCs/>
          <w:snapToGrid w:val="0"/>
          <w:color w:val="auto"/>
          <w:kern w:val="0"/>
          <w:sz w:val="24"/>
          <w:szCs w:val="24"/>
          <w:vertAlign w:val="superscript"/>
        </w:rPr>
        <w:t>2-</w:t>
      </w:r>
      <w:r>
        <w:rPr>
          <w:rFonts w:hint="default" w:ascii="Times New Roman" w:hAnsi="Times New Roman" w:cs="Times New Roman"/>
          <w:bCs/>
          <w:snapToGrid w:val="0"/>
          <w:color w:val="auto"/>
          <w:kern w:val="0"/>
          <w:sz w:val="24"/>
          <w:szCs w:val="24"/>
        </w:rPr>
        <w:t>、HCO</w:t>
      </w:r>
      <w:r>
        <w:rPr>
          <w:rFonts w:hint="default" w:ascii="Times New Roman" w:hAnsi="Times New Roman" w:cs="Times New Roman"/>
          <w:bCs/>
          <w:snapToGrid w:val="0"/>
          <w:color w:val="auto"/>
          <w:kern w:val="0"/>
          <w:sz w:val="24"/>
          <w:szCs w:val="24"/>
          <w:vertAlign w:val="subscript"/>
        </w:rPr>
        <w:t>3</w:t>
      </w:r>
      <w:r>
        <w:rPr>
          <w:rFonts w:hint="default" w:ascii="Times New Roman" w:hAnsi="Times New Roman" w:cs="Times New Roman"/>
          <w:bCs/>
          <w:snapToGrid w:val="0"/>
          <w:color w:val="auto"/>
          <w:kern w:val="0"/>
          <w:sz w:val="24"/>
          <w:szCs w:val="24"/>
          <w:vertAlign w:val="superscript"/>
        </w:rPr>
        <w:t>-</w:t>
      </w:r>
      <w:r>
        <w:rPr>
          <w:rFonts w:hint="default" w:ascii="Times New Roman" w:hAnsi="Times New Roman" w:cs="Times New Roman"/>
          <w:bCs/>
          <w:snapToGrid w:val="0"/>
          <w:color w:val="auto"/>
          <w:kern w:val="0"/>
          <w:sz w:val="24"/>
          <w:szCs w:val="24"/>
        </w:rPr>
        <w:t>、Cl</w:t>
      </w:r>
      <w:r>
        <w:rPr>
          <w:rFonts w:hint="default" w:ascii="Times New Roman" w:hAnsi="Times New Roman" w:cs="Times New Roman"/>
          <w:bCs/>
          <w:snapToGrid w:val="0"/>
          <w:color w:val="auto"/>
          <w:kern w:val="0"/>
          <w:sz w:val="24"/>
          <w:szCs w:val="24"/>
          <w:vertAlign w:val="superscript"/>
        </w:rPr>
        <w:t>-</w:t>
      </w:r>
      <w:r>
        <w:rPr>
          <w:rFonts w:hint="default" w:ascii="Times New Roman" w:hAnsi="Times New Roman" w:cs="Times New Roman"/>
          <w:bCs/>
          <w:snapToGrid w:val="0"/>
          <w:color w:val="auto"/>
          <w:kern w:val="0"/>
          <w:sz w:val="24"/>
          <w:szCs w:val="24"/>
        </w:rPr>
        <w:t>、SO</w:t>
      </w:r>
      <w:r>
        <w:rPr>
          <w:rFonts w:hint="default" w:ascii="Times New Roman" w:hAnsi="Times New Roman" w:cs="Times New Roman"/>
          <w:bCs/>
          <w:snapToGrid w:val="0"/>
          <w:color w:val="auto"/>
          <w:kern w:val="0"/>
          <w:sz w:val="24"/>
          <w:szCs w:val="24"/>
          <w:vertAlign w:val="subscript"/>
        </w:rPr>
        <w:t>4</w:t>
      </w:r>
      <w:r>
        <w:rPr>
          <w:rFonts w:hint="default" w:ascii="Times New Roman" w:hAnsi="Times New Roman" w:cs="Times New Roman"/>
          <w:bCs/>
          <w:snapToGrid w:val="0"/>
          <w:color w:val="auto"/>
          <w:kern w:val="0"/>
          <w:sz w:val="24"/>
          <w:szCs w:val="24"/>
          <w:vertAlign w:val="superscript"/>
        </w:rPr>
        <w:t>2-</w:t>
      </w:r>
      <w:r>
        <w:rPr>
          <w:rFonts w:hint="default" w:ascii="Times New Roman" w:hAnsi="Times New Roman" w:cs="Times New Roman"/>
          <w:bCs/>
          <w:snapToGrid w:val="0"/>
          <w:color w:val="auto"/>
          <w:kern w:val="0"/>
          <w:sz w:val="24"/>
          <w:szCs w:val="24"/>
        </w:rPr>
        <w:t>、pH、氨氮、硝酸盐、亚硝酸盐、挥发性酚类、氰化物、砷、汞、铬（六价）、总硬度、铅、氟</w:t>
      </w:r>
      <w:r>
        <w:rPr>
          <w:rFonts w:hint="default" w:ascii="Times New Roman" w:hAnsi="Times New Roman" w:cs="Times New Roman"/>
          <w:bCs/>
          <w:snapToGrid w:val="0"/>
          <w:color w:val="auto"/>
          <w:kern w:val="0"/>
          <w:sz w:val="24"/>
          <w:szCs w:val="24"/>
          <w:lang w:eastAsia="zh-CN"/>
        </w:rPr>
        <w:t>、</w:t>
      </w:r>
      <w:r>
        <w:rPr>
          <w:rFonts w:hint="default" w:ascii="Times New Roman" w:hAnsi="Times New Roman" w:cs="Times New Roman"/>
          <w:bCs/>
          <w:snapToGrid w:val="0"/>
          <w:color w:val="auto"/>
          <w:kern w:val="0"/>
          <w:sz w:val="24"/>
          <w:szCs w:val="24"/>
        </w:rPr>
        <w:t>镉、铁、锰、溶解性总固体、</w:t>
      </w:r>
      <w:r>
        <w:rPr>
          <w:rFonts w:hint="eastAsia" w:ascii="Times New Roman" w:hAnsi="Times New Roman" w:cs="Times New Roman"/>
          <w:bCs/>
          <w:snapToGrid w:val="0"/>
          <w:color w:val="auto"/>
          <w:kern w:val="0"/>
          <w:sz w:val="24"/>
          <w:szCs w:val="24"/>
          <w:lang w:val="en-US" w:eastAsia="zh-CN"/>
        </w:rPr>
        <w:t>耗氧量</w:t>
      </w:r>
      <w:r>
        <w:rPr>
          <w:rFonts w:hint="default" w:ascii="Times New Roman" w:hAnsi="Times New Roman" w:cs="Times New Roman"/>
          <w:bCs/>
          <w:snapToGrid w:val="0"/>
          <w:color w:val="auto"/>
          <w:kern w:val="0"/>
          <w:sz w:val="24"/>
          <w:szCs w:val="24"/>
        </w:rPr>
        <w:t>、硫酸盐、氯化物、总大肠菌群、</w:t>
      </w:r>
      <w:r>
        <w:rPr>
          <w:rFonts w:hint="eastAsia" w:ascii="Times New Roman" w:hAnsi="Times New Roman" w:eastAsia="宋体" w:cs="Times New Roman"/>
          <w:bCs/>
          <w:snapToGrid w:val="0"/>
          <w:color w:val="auto"/>
          <w:kern w:val="0"/>
          <w:sz w:val="24"/>
          <w:szCs w:val="24"/>
          <w:lang w:eastAsia="zh-CN"/>
        </w:rPr>
        <w:t>菌落总数</w:t>
      </w:r>
      <w:r>
        <w:rPr>
          <w:rFonts w:hint="default" w:ascii="Times New Roman" w:hAnsi="Times New Roman" w:cs="Times New Roman"/>
          <w:bCs/>
          <w:snapToGrid w:val="0"/>
          <w:color w:val="auto"/>
          <w:kern w:val="0"/>
          <w:sz w:val="24"/>
          <w:szCs w:val="24"/>
        </w:rPr>
        <w:t>、</w:t>
      </w:r>
      <w:r>
        <w:rPr>
          <w:rFonts w:hint="default" w:ascii="Times New Roman" w:hAnsi="Times New Roman" w:cs="Times New Roman"/>
          <w:bCs/>
          <w:snapToGrid w:val="0"/>
          <w:color w:val="auto"/>
          <w:kern w:val="0"/>
          <w:sz w:val="24"/>
          <w:szCs w:val="24"/>
          <w:lang w:val="en-US" w:eastAsia="zh-CN"/>
        </w:rPr>
        <w:t>石油类</w:t>
      </w:r>
      <w:r>
        <w:rPr>
          <w:rFonts w:hint="eastAsia" w:ascii="Times New Roman" w:hAnsi="Times New Roman" w:eastAsia="宋体" w:cs="Times New Roman"/>
          <w:bCs/>
          <w:color w:val="auto"/>
          <w:sz w:val="24"/>
          <w:szCs w:val="24"/>
          <w:lang w:val="en-US" w:eastAsia="zh-CN"/>
        </w:rPr>
        <w:t>共30</w:t>
      </w:r>
      <w:r>
        <w:rPr>
          <w:rFonts w:hint="default" w:ascii="Times New Roman" w:hAnsi="Times New Roman" w:cs="Times New Roman"/>
          <w:bCs/>
          <w:color w:val="auto"/>
          <w:sz w:val="24"/>
          <w:szCs w:val="24"/>
        </w:rPr>
        <w:t>项。</w:t>
      </w:r>
    </w:p>
    <w:p w14:paraId="6D9CCF2F">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4.2.3.2</w:t>
      </w:r>
      <w:r>
        <w:rPr>
          <w:rFonts w:hint="default" w:ascii="Times New Roman" w:hAnsi="Times New Roman" w:eastAsia="宋体" w:cs="Times New Roman"/>
          <w:b/>
          <w:bCs/>
          <w:color w:val="auto"/>
          <w:sz w:val="28"/>
          <w:szCs w:val="28"/>
          <w:lang w:val="en-US" w:eastAsia="zh-CN"/>
        </w:rPr>
        <w:t>监测点位</w:t>
      </w:r>
    </w:p>
    <w:p w14:paraId="2C0567C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Cs/>
          <w:snapToGrid w:val="0"/>
          <w:color w:val="auto"/>
          <w:kern w:val="0"/>
          <w:sz w:val="24"/>
          <w:szCs w:val="24"/>
        </w:rPr>
      </w:pPr>
      <w:r>
        <w:rPr>
          <w:rFonts w:hint="default" w:ascii="Times New Roman" w:hAnsi="Times New Roman" w:cs="Times New Roman"/>
          <w:bCs/>
          <w:snapToGrid w:val="0"/>
          <w:color w:val="auto"/>
          <w:kern w:val="0"/>
          <w:sz w:val="24"/>
          <w:szCs w:val="24"/>
        </w:rPr>
        <w:t>本次地下水环境现状监测在评价范围内共布设6个地下水水位监测点和3个地下水水质监测点，分别分布于建设项目场地上游及其下游。</w:t>
      </w:r>
    </w:p>
    <w:p w14:paraId="4B18410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Cs/>
          <w:snapToGrid w:val="0"/>
          <w:color w:val="auto"/>
          <w:kern w:val="0"/>
          <w:sz w:val="24"/>
          <w:szCs w:val="24"/>
        </w:rPr>
      </w:pPr>
      <w:r>
        <w:rPr>
          <w:rFonts w:hint="default" w:ascii="Times New Roman" w:hAnsi="Times New Roman" w:cs="Times New Roman"/>
          <w:bCs/>
          <w:snapToGrid w:val="0"/>
          <w:color w:val="auto"/>
          <w:kern w:val="0"/>
          <w:sz w:val="24"/>
          <w:szCs w:val="24"/>
        </w:rPr>
        <w:t>地下水环境质量现状监测点位见表4</w:t>
      </w:r>
      <w:r>
        <w:rPr>
          <w:rFonts w:hint="eastAsia" w:ascii="Times New Roman" w:hAnsi="Times New Roman" w:eastAsia="宋体" w:cs="Times New Roman"/>
          <w:bCs/>
          <w:snapToGrid w:val="0"/>
          <w:color w:val="auto"/>
          <w:kern w:val="0"/>
          <w:sz w:val="24"/>
          <w:szCs w:val="24"/>
          <w:lang w:val="en-US" w:eastAsia="zh-CN"/>
        </w:rPr>
        <w:t>.</w:t>
      </w:r>
      <w:r>
        <w:rPr>
          <w:rFonts w:hint="default" w:ascii="Times New Roman" w:hAnsi="Times New Roman" w:cs="Times New Roman"/>
          <w:bCs/>
          <w:snapToGrid w:val="0"/>
          <w:color w:val="auto"/>
          <w:kern w:val="0"/>
          <w:sz w:val="24"/>
          <w:szCs w:val="24"/>
        </w:rPr>
        <w:t>2-</w:t>
      </w:r>
      <w:r>
        <w:rPr>
          <w:rFonts w:hint="eastAsia" w:ascii="Times New Roman" w:hAnsi="Times New Roman" w:eastAsia="宋体" w:cs="Times New Roman"/>
          <w:bCs/>
          <w:snapToGrid w:val="0"/>
          <w:color w:val="auto"/>
          <w:kern w:val="0"/>
          <w:sz w:val="24"/>
          <w:szCs w:val="24"/>
          <w:lang w:val="en-US" w:eastAsia="zh-CN"/>
        </w:rPr>
        <w:t>8</w:t>
      </w:r>
      <w:r>
        <w:rPr>
          <w:rFonts w:hint="default" w:ascii="Times New Roman" w:hAnsi="Times New Roman" w:cs="Times New Roman"/>
          <w:bCs/>
          <w:snapToGrid w:val="0"/>
          <w:color w:val="auto"/>
          <w:kern w:val="0"/>
          <w:sz w:val="24"/>
          <w:szCs w:val="24"/>
        </w:rPr>
        <w:t>和图4</w:t>
      </w:r>
      <w:r>
        <w:rPr>
          <w:rFonts w:hint="eastAsia" w:ascii="Times New Roman" w:hAnsi="Times New Roman" w:eastAsia="宋体" w:cs="Times New Roman"/>
          <w:bCs/>
          <w:snapToGrid w:val="0"/>
          <w:color w:val="auto"/>
          <w:kern w:val="0"/>
          <w:sz w:val="24"/>
          <w:szCs w:val="24"/>
          <w:lang w:val="en-US" w:eastAsia="zh-CN"/>
        </w:rPr>
        <w:t>.</w:t>
      </w:r>
      <w:r>
        <w:rPr>
          <w:rFonts w:hint="default" w:ascii="Times New Roman" w:hAnsi="Times New Roman" w:cs="Times New Roman"/>
          <w:bCs/>
          <w:snapToGrid w:val="0"/>
          <w:color w:val="auto"/>
          <w:kern w:val="0"/>
          <w:sz w:val="24"/>
          <w:szCs w:val="24"/>
        </w:rPr>
        <w:t>2-2。</w:t>
      </w:r>
    </w:p>
    <w:p w14:paraId="4D65A2ED">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b/>
          <w:bCs/>
          <w:snapToGrid w:val="0"/>
          <w:color w:val="auto"/>
          <w:kern w:val="0"/>
          <w:sz w:val="24"/>
          <w:szCs w:val="24"/>
          <w:highlight w:val="none"/>
          <w:lang w:val="en-US" w:eastAsia="zh-CN"/>
        </w:rPr>
      </w:pPr>
    </w:p>
    <w:p w14:paraId="481F8C42">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b/>
          <w:bCs/>
          <w:snapToGrid w:val="0"/>
          <w:color w:val="auto"/>
          <w:kern w:val="0"/>
          <w:sz w:val="24"/>
          <w:szCs w:val="24"/>
          <w:highlight w:val="none"/>
          <w:lang w:val="en-US" w:eastAsia="zh-CN"/>
        </w:rPr>
      </w:pPr>
    </w:p>
    <w:p w14:paraId="20F30D0C">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b/>
          <w:bCs/>
          <w:snapToGrid w:val="0"/>
          <w:color w:val="auto"/>
          <w:kern w:val="0"/>
          <w:sz w:val="24"/>
          <w:szCs w:val="24"/>
          <w:highlight w:val="none"/>
          <w:lang w:val="en-US" w:eastAsia="zh-CN"/>
        </w:rPr>
      </w:pPr>
      <w:r>
        <w:rPr>
          <w:rFonts w:hint="eastAsia" w:ascii="Times New Roman" w:hAnsi="Times New Roman" w:cs="Times New Roman"/>
          <w:b/>
          <w:bCs/>
          <w:snapToGrid w:val="0"/>
          <w:color w:val="auto"/>
          <w:kern w:val="0"/>
          <w:sz w:val="24"/>
          <w:szCs w:val="24"/>
          <w:highlight w:val="none"/>
          <w:lang w:val="en-US" w:eastAsia="zh-CN"/>
        </w:rPr>
        <w:t>表4.2-8  地下水环境质量现状监测点位</w:t>
      </w:r>
    </w:p>
    <w:tbl>
      <w:tblPr>
        <w:tblStyle w:val="22"/>
        <w:tblW w:w="503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0"/>
        <w:gridCol w:w="1111"/>
        <w:gridCol w:w="1176"/>
        <w:gridCol w:w="1129"/>
        <w:gridCol w:w="1124"/>
        <w:gridCol w:w="1409"/>
        <w:gridCol w:w="1914"/>
      </w:tblGrid>
      <w:tr w14:paraId="34F3D3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14" w:type="pct"/>
            <w:vAlign w:val="center"/>
          </w:tcPr>
          <w:p w14:paraId="5B2C6E8B">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监测井</w:t>
            </w:r>
          </w:p>
        </w:tc>
        <w:tc>
          <w:tcPr>
            <w:tcW w:w="647" w:type="pct"/>
            <w:vAlign w:val="center"/>
          </w:tcPr>
          <w:p w14:paraId="174D0F6B">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监测点</w:t>
            </w:r>
          </w:p>
        </w:tc>
        <w:tc>
          <w:tcPr>
            <w:tcW w:w="685" w:type="pct"/>
            <w:vAlign w:val="center"/>
          </w:tcPr>
          <w:p w14:paraId="42F9884A">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cs="Times New Roman"/>
                <w:color w:val="auto"/>
                <w:sz w:val="21"/>
                <w:szCs w:val="21"/>
                <w:lang w:val="zh-CN"/>
              </w:rPr>
              <w:t>监测井功能</w:t>
            </w:r>
          </w:p>
        </w:tc>
        <w:tc>
          <w:tcPr>
            <w:tcW w:w="658" w:type="pct"/>
            <w:vAlign w:val="center"/>
          </w:tcPr>
          <w:p w14:paraId="086CEA07">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zh-CN" w:eastAsia="zh-CN"/>
              </w:rPr>
            </w:pPr>
            <w:bookmarkStart w:id="34" w:name="_Toc28516"/>
            <w:r>
              <w:rPr>
                <w:rFonts w:hint="default" w:ascii="Times New Roman" w:hAnsi="Times New Roman" w:cs="Times New Roman"/>
                <w:color w:val="auto"/>
                <w:sz w:val="21"/>
                <w:szCs w:val="21"/>
                <w:lang w:val="zh-CN" w:eastAsia="zh-CN"/>
              </w:rPr>
              <w:t>井深（m）</w:t>
            </w:r>
            <w:bookmarkEnd w:id="34"/>
          </w:p>
        </w:tc>
        <w:tc>
          <w:tcPr>
            <w:tcW w:w="655" w:type="pct"/>
            <w:vAlign w:val="center"/>
          </w:tcPr>
          <w:p w14:paraId="3C95A9D3">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zh-CN" w:eastAsia="zh-CN"/>
              </w:rPr>
            </w:pPr>
            <w:bookmarkStart w:id="35" w:name="_Toc6521"/>
            <w:r>
              <w:rPr>
                <w:rFonts w:hint="default" w:ascii="Times New Roman" w:hAnsi="Times New Roman" w:cs="Times New Roman"/>
                <w:color w:val="auto"/>
                <w:sz w:val="21"/>
                <w:szCs w:val="21"/>
                <w:lang w:val="zh-CN" w:eastAsia="zh-CN"/>
              </w:rPr>
              <w:t>水位（m）</w:t>
            </w:r>
            <w:bookmarkEnd w:id="35"/>
          </w:p>
        </w:tc>
        <w:tc>
          <w:tcPr>
            <w:tcW w:w="821" w:type="pct"/>
            <w:vAlign w:val="center"/>
          </w:tcPr>
          <w:p w14:paraId="4A8151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监测含水层</w:t>
            </w:r>
          </w:p>
        </w:tc>
        <w:tc>
          <w:tcPr>
            <w:tcW w:w="1116" w:type="pct"/>
            <w:vAlign w:val="center"/>
          </w:tcPr>
          <w:p w14:paraId="2A3989ED">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检测类型</w:t>
            </w:r>
          </w:p>
        </w:tc>
      </w:tr>
      <w:tr w14:paraId="1F21FD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14" w:type="pct"/>
            <w:vAlign w:val="center"/>
          </w:tcPr>
          <w:p w14:paraId="2022BFC5">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647" w:type="pct"/>
            <w:vAlign w:val="center"/>
          </w:tcPr>
          <w:p w14:paraId="3F737801">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项目西南侧1200米</w:t>
            </w:r>
          </w:p>
        </w:tc>
        <w:tc>
          <w:tcPr>
            <w:tcW w:w="685" w:type="pct"/>
            <w:vAlign w:val="center"/>
          </w:tcPr>
          <w:p w14:paraId="7CEC7424">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cs="Times New Roman"/>
                <w:color w:val="auto"/>
                <w:sz w:val="21"/>
                <w:szCs w:val="21"/>
                <w:lang w:val="en-US" w:eastAsia="zh-CN"/>
              </w:rPr>
              <w:t>灌溉井</w:t>
            </w:r>
          </w:p>
        </w:tc>
        <w:tc>
          <w:tcPr>
            <w:tcW w:w="658" w:type="pct"/>
            <w:vAlign w:val="center"/>
          </w:tcPr>
          <w:p w14:paraId="3D8FF8FF">
            <w:pPr>
              <w:pStyle w:val="32"/>
              <w:keepNext w:val="0"/>
              <w:keepLines w:val="0"/>
              <w:pageBreakBefore w:val="0"/>
              <w:kinsoku/>
              <w:wordWrap/>
              <w:overflowPunct/>
              <w:topLinePunct w:val="0"/>
              <w:bidi w:val="0"/>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31.2</w:t>
            </w:r>
          </w:p>
        </w:tc>
        <w:tc>
          <w:tcPr>
            <w:tcW w:w="655" w:type="pct"/>
            <w:vAlign w:val="center"/>
          </w:tcPr>
          <w:p w14:paraId="4D410FF0">
            <w:pPr>
              <w:pStyle w:val="32"/>
              <w:keepNext w:val="0"/>
              <w:keepLines w:val="0"/>
              <w:pageBreakBefore w:val="0"/>
              <w:kinsoku/>
              <w:wordWrap/>
              <w:overflowPunct/>
              <w:topLinePunct w:val="0"/>
              <w:bidi w:val="0"/>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10.6</w:t>
            </w:r>
          </w:p>
        </w:tc>
        <w:tc>
          <w:tcPr>
            <w:tcW w:w="821" w:type="pct"/>
            <w:vAlign w:val="center"/>
          </w:tcPr>
          <w:p w14:paraId="0B8035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highlight w:val="none"/>
                <w:lang w:val="en-US" w:eastAsia="zh-CN"/>
              </w:rPr>
              <w:t>潜水层</w:t>
            </w:r>
          </w:p>
        </w:tc>
        <w:tc>
          <w:tcPr>
            <w:tcW w:w="1116" w:type="pct"/>
            <w:vAlign w:val="center"/>
          </w:tcPr>
          <w:p w14:paraId="0A5166A1">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水质、水位监测井</w:t>
            </w:r>
          </w:p>
        </w:tc>
      </w:tr>
      <w:tr w14:paraId="70386D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14" w:type="pct"/>
            <w:vAlign w:val="center"/>
          </w:tcPr>
          <w:p w14:paraId="632936FD">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647" w:type="pct"/>
            <w:vAlign w:val="center"/>
          </w:tcPr>
          <w:p w14:paraId="736F775F">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项目西南侧1400米</w:t>
            </w:r>
          </w:p>
        </w:tc>
        <w:tc>
          <w:tcPr>
            <w:tcW w:w="685" w:type="pct"/>
            <w:vAlign w:val="center"/>
          </w:tcPr>
          <w:p w14:paraId="060EEBAD">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灌溉井</w:t>
            </w:r>
          </w:p>
        </w:tc>
        <w:tc>
          <w:tcPr>
            <w:tcW w:w="658" w:type="pct"/>
            <w:vAlign w:val="center"/>
          </w:tcPr>
          <w:p w14:paraId="0F767654">
            <w:pPr>
              <w:pStyle w:val="32"/>
              <w:keepNext w:val="0"/>
              <w:keepLines w:val="0"/>
              <w:pageBreakBefore w:val="0"/>
              <w:kinsoku/>
              <w:wordWrap/>
              <w:overflowPunct/>
              <w:topLinePunct w:val="0"/>
              <w:bidi w:val="0"/>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32.5</w:t>
            </w:r>
          </w:p>
        </w:tc>
        <w:tc>
          <w:tcPr>
            <w:tcW w:w="655" w:type="pct"/>
            <w:vAlign w:val="center"/>
          </w:tcPr>
          <w:p w14:paraId="085AA193">
            <w:pPr>
              <w:pStyle w:val="32"/>
              <w:keepNext w:val="0"/>
              <w:keepLines w:val="0"/>
              <w:pageBreakBefore w:val="0"/>
              <w:kinsoku/>
              <w:wordWrap/>
              <w:overflowPunct/>
              <w:topLinePunct w:val="0"/>
              <w:bidi w:val="0"/>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9.3</w:t>
            </w:r>
          </w:p>
        </w:tc>
        <w:tc>
          <w:tcPr>
            <w:tcW w:w="821" w:type="pct"/>
            <w:vAlign w:val="center"/>
          </w:tcPr>
          <w:p w14:paraId="518E97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highlight w:val="none"/>
                <w:lang w:val="en-US" w:eastAsia="zh-CN"/>
              </w:rPr>
              <w:t>潜水层</w:t>
            </w:r>
          </w:p>
        </w:tc>
        <w:tc>
          <w:tcPr>
            <w:tcW w:w="1116" w:type="pct"/>
            <w:vAlign w:val="center"/>
          </w:tcPr>
          <w:p w14:paraId="327ED092">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水质、水位监测井</w:t>
            </w:r>
          </w:p>
        </w:tc>
      </w:tr>
      <w:tr w14:paraId="757AE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414" w:type="pct"/>
            <w:vAlign w:val="center"/>
          </w:tcPr>
          <w:p w14:paraId="5FFE2D96">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647" w:type="pct"/>
            <w:vAlign w:val="center"/>
          </w:tcPr>
          <w:p w14:paraId="3AC9E951">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项目所在地</w:t>
            </w:r>
          </w:p>
        </w:tc>
        <w:tc>
          <w:tcPr>
            <w:tcW w:w="685" w:type="pct"/>
            <w:vAlign w:val="center"/>
          </w:tcPr>
          <w:p w14:paraId="07F43942">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sz w:val="21"/>
                <w:szCs w:val="21"/>
                <w:lang w:val="en-US" w:eastAsia="zh-CN"/>
              </w:rPr>
              <w:t>监测井</w:t>
            </w:r>
          </w:p>
        </w:tc>
        <w:tc>
          <w:tcPr>
            <w:tcW w:w="658" w:type="pct"/>
            <w:vAlign w:val="center"/>
          </w:tcPr>
          <w:p w14:paraId="3B48B7BF">
            <w:pPr>
              <w:pStyle w:val="32"/>
              <w:keepNext w:val="0"/>
              <w:keepLines w:val="0"/>
              <w:pageBreakBefore w:val="0"/>
              <w:kinsoku/>
              <w:wordWrap/>
              <w:overflowPunct/>
              <w:topLinePunct w:val="0"/>
              <w:bidi w:val="0"/>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33.4</w:t>
            </w:r>
          </w:p>
        </w:tc>
        <w:tc>
          <w:tcPr>
            <w:tcW w:w="655" w:type="pct"/>
            <w:vAlign w:val="center"/>
          </w:tcPr>
          <w:p w14:paraId="21CD6DD5">
            <w:pPr>
              <w:pStyle w:val="32"/>
              <w:keepNext w:val="0"/>
              <w:keepLines w:val="0"/>
              <w:pageBreakBefore w:val="0"/>
              <w:kinsoku/>
              <w:wordWrap/>
              <w:overflowPunct/>
              <w:topLinePunct w:val="0"/>
              <w:bidi w:val="0"/>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11.2</w:t>
            </w:r>
          </w:p>
        </w:tc>
        <w:tc>
          <w:tcPr>
            <w:tcW w:w="821" w:type="pct"/>
            <w:vAlign w:val="center"/>
          </w:tcPr>
          <w:p w14:paraId="716A11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highlight w:val="none"/>
                <w:lang w:val="en-US" w:eastAsia="zh-CN"/>
              </w:rPr>
              <w:t>潜水层</w:t>
            </w:r>
          </w:p>
        </w:tc>
        <w:tc>
          <w:tcPr>
            <w:tcW w:w="1116" w:type="pct"/>
            <w:vAlign w:val="center"/>
          </w:tcPr>
          <w:p w14:paraId="63C8A524">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水质、水位监测井</w:t>
            </w:r>
          </w:p>
        </w:tc>
      </w:tr>
      <w:tr w14:paraId="2D52AB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14" w:type="pct"/>
            <w:vAlign w:val="center"/>
          </w:tcPr>
          <w:p w14:paraId="4897F481">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647" w:type="pct"/>
            <w:vAlign w:val="center"/>
          </w:tcPr>
          <w:p w14:paraId="65AE67AA">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lang w:val="en-US" w:eastAsia="zh-CN"/>
              </w:rPr>
              <w:t>项目东南侧</w:t>
            </w:r>
            <w:r>
              <w:rPr>
                <w:rFonts w:hint="default" w:ascii="Times New Roman" w:hAnsi="Times New Roman" w:cs="Times New Roman"/>
                <w:color w:val="auto"/>
                <w:sz w:val="21"/>
                <w:szCs w:val="21"/>
                <w:lang w:val="en-US" w:eastAsia="zh-CN"/>
              </w:rPr>
              <w:t>400</w:t>
            </w:r>
            <w:r>
              <w:rPr>
                <w:rFonts w:hint="default" w:ascii="Times New Roman" w:hAnsi="Times New Roman" w:eastAsia="宋体" w:cs="Times New Roman"/>
                <w:color w:val="auto"/>
                <w:sz w:val="21"/>
                <w:szCs w:val="21"/>
                <w:lang w:val="en-US" w:eastAsia="zh-CN"/>
              </w:rPr>
              <w:t>米</w:t>
            </w:r>
          </w:p>
        </w:tc>
        <w:tc>
          <w:tcPr>
            <w:tcW w:w="685" w:type="pct"/>
            <w:vAlign w:val="center"/>
          </w:tcPr>
          <w:p w14:paraId="24D89FB7">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cs="Times New Roman"/>
                <w:color w:val="auto"/>
                <w:sz w:val="21"/>
                <w:szCs w:val="21"/>
                <w:lang w:val="en-US" w:eastAsia="zh-CN"/>
              </w:rPr>
              <w:t>灌溉井</w:t>
            </w:r>
          </w:p>
        </w:tc>
        <w:tc>
          <w:tcPr>
            <w:tcW w:w="658" w:type="pct"/>
            <w:vAlign w:val="center"/>
          </w:tcPr>
          <w:p w14:paraId="13D511A9">
            <w:pPr>
              <w:pStyle w:val="32"/>
              <w:keepNext w:val="0"/>
              <w:keepLines w:val="0"/>
              <w:pageBreakBefore w:val="0"/>
              <w:kinsoku/>
              <w:wordWrap/>
              <w:overflowPunct/>
              <w:topLinePunct w:val="0"/>
              <w:bidi w:val="0"/>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30.8</w:t>
            </w:r>
          </w:p>
        </w:tc>
        <w:tc>
          <w:tcPr>
            <w:tcW w:w="655" w:type="pct"/>
            <w:vAlign w:val="center"/>
          </w:tcPr>
          <w:p w14:paraId="6B2ABFE3">
            <w:pPr>
              <w:pStyle w:val="32"/>
              <w:keepNext w:val="0"/>
              <w:keepLines w:val="0"/>
              <w:pageBreakBefore w:val="0"/>
              <w:kinsoku/>
              <w:wordWrap/>
              <w:overflowPunct/>
              <w:topLinePunct w:val="0"/>
              <w:bidi w:val="0"/>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10.4</w:t>
            </w:r>
          </w:p>
        </w:tc>
        <w:tc>
          <w:tcPr>
            <w:tcW w:w="821" w:type="pct"/>
            <w:vAlign w:val="center"/>
          </w:tcPr>
          <w:p w14:paraId="61A2D06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highlight w:val="none"/>
                <w:lang w:val="en-US" w:eastAsia="zh-CN"/>
              </w:rPr>
              <w:t>潜水层</w:t>
            </w:r>
          </w:p>
        </w:tc>
        <w:tc>
          <w:tcPr>
            <w:tcW w:w="1116" w:type="pct"/>
            <w:vAlign w:val="center"/>
          </w:tcPr>
          <w:p w14:paraId="651F8F8E">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水位监测井</w:t>
            </w:r>
          </w:p>
        </w:tc>
      </w:tr>
      <w:tr w14:paraId="063891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414" w:type="pct"/>
            <w:vAlign w:val="center"/>
          </w:tcPr>
          <w:p w14:paraId="4FA40023">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647" w:type="pct"/>
            <w:vAlign w:val="center"/>
          </w:tcPr>
          <w:p w14:paraId="43EB2B3E">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lang w:val="en-US" w:eastAsia="zh-CN"/>
              </w:rPr>
              <w:t>项目</w:t>
            </w:r>
            <w:r>
              <w:rPr>
                <w:rFonts w:hint="default" w:ascii="Times New Roman" w:hAnsi="Times New Roman" w:cs="Times New Roman"/>
                <w:color w:val="auto"/>
                <w:sz w:val="21"/>
                <w:szCs w:val="21"/>
                <w:lang w:val="en-US" w:eastAsia="zh-CN"/>
              </w:rPr>
              <w:t>东北</w:t>
            </w:r>
            <w:r>
              <w:rPr>
                <w:rFonts w:hint="default" w:ascii="Times New Roman" w:hAnsi="Times New Roman" w:eastAsia="宋体" w:cs="Times New Roman"/>
                <w:color w:val="auto"/>
                <w:sz w:val="21"/>
                <w:szCs w:val="21"/>
                <w:lang w:val="en-US" w:eastAsia="zh-CN"/>
              </w:rPr>
              <w:t>侧</w:t>
            </w:r>
            <w:r>
              <w:rPr>
                <w:rFonts w:hint="default" w:ascii="Times New Roman" w:hAnsi="Times New Roman" w:cs="Times New Roman"/>
                <w:color w:val="auto"/>
                <w:sz w:val="21"/>
                <w:szCs w:val="21"/>
                <w:lang w:val="en-US" w:eastAsia="zh-CN"/>
              </w:rPr>
              <w:t>1000</w:t>
            </w:r>
            <w:r>
              <w:rPr>
                <w:rFonts w:hint="default" w:ascii="Times New Roman" w:hAnsi="Times New Roman" w:eastAsia="宋体" w:cs="Times New Roman"/>
                <w:color w:val="auto"/>
                <w:sz w:val="21"/>
                <w:szCs w:val="21"/>
                <w:lang w:val="en-US" w:eastAsia="zh-CN"/>
              </w:rPr>
              <w:t>米</w:t>
            </w:r>
          </w:p>
        </w:tc>
        <w:tc>
          <w:tcPr>
            <w:tcW w:w="685" w:type="pct"/>
            <w:vAlign w:val="center"/>
          </w:tcPr>
          <w:p w14:paraId="248DDD7C">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sz w:val="21"/>
                <w:szCs w:val="21"/>
                <w:lang w:val="en-US" w:eastAsia="zh-CN"/>
              </w:rPr>
              <w:t>监测井</w:t>
            </w:r>
          </w:p>
        </w:tc>
        <w:tc>
          <w:tcPr>
            <w:tcW w:w="658" w:type="pct"/>
            <w:vAlign w:val="center"/>
          </w:tcPr>
          <w:p w14:paraId="07B2DB55">
            <w:pPr>
              <w:pStyle w:val="32"/>
              <w:keepNext w:val="0"/>
              <w:keepLines w:val="0"/>
              <w:pageBreakBefore w:val="0"/>
              <w:kinsoku/>
              <w:wordWrap/>
              <w:overflowPunct/>
              <w:topLinePunct w:val="0"/>
              <w:bidi w:val="0"/>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31.6</w:t>
            </w:r>
          </w:p>
        </w:tc>
        <w:tc>
          <w:tcPr>
            <w:tcW w:w="655" w:type="pct"/>
            <w:vAlign w:val="center"/>
          </w:tcPr>
          <w:p w14:paraId="59718DCD">
            <w:pPr>
              <w:pStyle w:val="32"/>
              <w:keepNext w:val="0"/>
              <w:keepLines w:val="0"/>
              <w:pageBreakBefore w:val="0"/>
              <w:kinsoku/>
              <w:wordWrap/>
              <w:overflowPunct/>
              <w:topLinePunct w:val="0"/>
              <w:bidi w:val="0"/>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9.9</w:t>
            </w:r>
          </w:p>
        </w:tc>
        <w:tc>
          <w:tcPr>
            <w:tcW w:w="821" w:type="pct"/>
            <w:vAlign w:val="center"/>
          </w:tcPr>
          <w:p w14:paraId="427F57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highlight w:val="none"/>
                <w:lang w:val="en-US" w:eastAsia="zh-CN"/>
              </w:rPr>
              <w:t>承压层</w:t>
            </w:r>
          </w:p>
        </w:tc>
        <w:tc>
          <w:tcPr>
            <w:tcW w:w="1116" w:type="pct"/>
            <w:vAlign w:val="center"/>
          </w:tcPr>
          <w:p w14:paraId="0EF8567C">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水位监测井</w:t>
            </w:r>
          </w:p>
        </w:tc>
      </w:tr>
      <w:tr w14:paraId="601863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414" w:type="pct"/>
            <w:vAlign w:val="center"/>
          </w:tcPr>
          <w:p w14:paraId="08FAB65B">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647" w:type="pct"/>
            <w:vAlign w:val="center"/>
          </w:tcPr>
          <w:p w14:paraId="4F7F643E">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lang w:val="en-US" w:eastAsia="zh-CN"/>
              </w:rPr>
              <w:t>项目</w:t>
            </w:r>
            <w:r>
              <w:rPr>
                <w:rFonts w:hint="default" w:ascii="Times New Roman" w:hAnsi="Times New Roman" w:cs="Times New Roman"/>
                <w:color w:val="auto"/>
                <w:sz w:val="21"/>
                <w:szCs w:val="21"/>
                <w:lang w:val="en-US" w:eastAsia="zh-CN"/>
              </w:rPr>
              <w:t>北</w:t>
            </w:r>
            <w:r>
              <w:rPr>
                <w:rFonts w:hint="default" w:ascii="Times New Roman" w:hAnsi="Times New Roman" w:eastAsia="宋体" w:cs="Times New Roman"/>
                <w:color w:val="auto"/>
                <w:sz w:val="21"/>
                <w:szCs w:val="21"/>
                <w:lang w:val="en-US" w:eastAsia="zh-CN"/>
              </w:rPr>
              <w:t>侧</w:t>
            </w:r>
            <w:r>
              <w:rPr>
                <w:rFonts w:hint="default" w:ascii="Times New Roman" w:hAnsi="Times New Roman" w:cs="Times New Roman"/>
                <w:color w:val="auto"/>
                <w:sz w:val="21"/>
                <w:szCs w:val="21"/>
                <w:lang w:val="en-US" w:eastAsia="zh-CN"/>
              </w:rPr>
              <w:t>1200</w:t>
            </w:r>
            <w:r>
              <w:rPr>
                <w:rFonts w:hint="default" w:ascii="Times New Roman" w:hAnsi="Times New Roman" w:eastAsia="宋体" w:cs="Times New Roman"/>
                <w:color w:val="auto"/>
                <w:sz w:val="21"/>
                <w:szCs w:val="21"/>
                <w:lang w:val="en-US" w:eastAsia="zh-CN"/>
              </w:rPr>
              <w:t>米</w:t>
            </w:r>
          </w:p>
        </w:tc>
        <w:tc>
          <w:tcPr>
            <w:tcW w:w="685" w:type="pct"/>
            <w:vAlign w:val="center"/>
          </w:tcPr>
          <w:p w14:paraId="30D8442E">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sz w:val="21"/>
                <w:szCs w:val="21"/>
                <w:lang w:val="en-US" w:eastAsia="zh-CN"/>
              </w:rPr>
              <w:t>监测井</w:t>
            </w:r>
          </w:p>
        </w:tc>
        <w:tc>
          <w:tcPr>
            <w:tcW w:w="658" w:type="pct"/>
            <w:vAlign w:val="center"/>
          </w:tcPr>
          <w:p w14:paraId="2F2A63A4">
            <w:pPr>
              <w:pStyle w:val="32"/>
              <w:keepNext w:val="0"/>
              <w:keepLines w:val="0"/>
              <w:pageBreakBefore w:val="0"/>
              <w:kinsoku/>
              <w:wordWrap/>
              <w:overflowPunct/>
              <w:topLinePunct w:val="0"/>
              <w:bidi w:val="0"/>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32.7</w:t>
            </w:r>
          </w:p>
        </w:tc>
        <w:tc>
          <w:tcPr>
            <w:tcW w:w="655" w:type="pct"/>
            <w:vAlign w:val="center"/>
          </w:tcPr>
          <w:p w14:paraId="251EE25A">
            <w:pPr>
              <w:pStyle w:val="32"/>
              <w:keepNext w:val="0"/>
              <w:keepLines w:val="0"/>
              <w:pageBreakBefore w:val="0"/>
              <w:kinsoku/>
              <w:wordWrap/>
              <w:overflowPunct/>
              <w:topLinePunct w:val="0"/>
              <w:bidi w:val="0"/>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10.7</w:t>
            </w:r>
          </w:p>
        </w:tc>
        <w:tc>
          <w:tcPr>
            <w:tcW w:w="821" w:type="pct"/>
            <w:vAlign w:val="center"/>
          </w:tcPr>
          <w:p w14:paraId="0197A4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highlight w:val="none"/>
                <w:lang w:val="en-US" w:eastAsia="zh-CN"/>
              </w:rPr>
              <w:t>承压层</w:t>
            </w:r>
          </w:p>
        </w:tc>
        <w:tc>
          <w:tcPr>
            <w:tcW w:w="1116" w:type="pct"/>
            <w:vAlign w:val="center"/>
          </w:tcPr>
          <w:p w14:paraId="47008DF5">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水位监测井</w:t>
            </w:r>
          </w:p>
        </w:tc>
      </w:tr>
    </w:tbl>
    <w:p w14:paraId="7080DB34">
      <w:pPr>
        <w:adjustRightInd/>
        <w:snapToGrid/>
        <w:ind w:firstLine="0" w:firstLineChars="0"/>
        <w:jc w:val="center"/>
        <w:rPr>
          <w:bCs/>
          <w:color w:val="FF0000"/>
        </w:rPr>
      </w:pPr>
      <w:r>
        <w:drawing>
          <wp:inline distT="0" distB="0" distL="114300" distR="114300">
            <wp:extent cx="3631565" cy="3325495"/>
            <wp:effectExtent l="0" t="0" r="6985" b="8255"/>
            <wp:docPr id="5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9"/>
                    <pic:cNvPicPr>
                      <a:picLocks noChangeAspect="1"/>
                    </pic:cNvPicPr>
                  </pic:nvPicPr>
                  <pic:blipFill>
                    <a:blip r:embed="rId83"/>
                    <a:stretch>
                      <a:fillRect/>
                    </a:stretch>
                  </pic:blipFill>
                  <pic:spPr>
                    <a:xfrm>
                      <a:off x="0" y="0"/>
                      <a:ext cx="3631565" cy="3325495"/>
                    </a:xfrm>
                    <a:prstGeom prst="rect">
                      <a:avLst/>
                    </a:prstGeom>
                    <a:noFill/>
                    <a:ln>
                      <a:noFill/>
                    </a:ln>
                  </pic:spPr>
                </pic:pic>
              </a:graphicData>
            </a:graphic>
          </wp:inline>
        </w:drawing>
      </w:r>
    </w:p>
    <w:p w14:paraId="2E057EB7">
      <w:pPr>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图4</w:t>
      </w:r>
      <w:r>
        <w:rPr>
          <w:rFonts w:hint="default" w:ascii="Times New Roman" w:hAnsi="Times New Roman" w:eastAsia="宋体" w:cs="Times New Roman"/>
          <w:b/>
          <w:color w:val="auto"/>
          <w:sz w:val="21"/>
          <w:szCs w:val="21"/>
          <w:lang w:val="en-US" w:eastAsia="zh-CN"/>
        </w:rPr>
        <w:t>.</w:t>
      </w:r>
      <w:r>
        <w:rPr>
          <w:rFonts w:hint="default" w:ascii="Times New Roman" w:hAnsi="Times New Roman" w:cs="Times New Roman"/>
          <w:b/>
          <w:color w:val="auto"/>
          <w:sz w:val="21"/>
          <w:szCs w:val="21"/>
        </w:rPr>
        <w:t>2-2  地下水监测点位示意图</w:t>
      </w:r>
    </w:p>
    <w:p w14:paraId="2C7C5D22">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4.2.3.3</w:t>
      </w:r>
      <w:r>
        <w:rPr>
          <w:rFonts w:hint="default" w:ascii="Times New Roman" w:hAnsi="Times New Roman" w:eastAsia="宋体" w:cs="Times New Roman"/>
          <w:b/>
          <w:bCs/>
          <w:color w:val="auto"/>
          <w:sz w:val="28"/>
          <w:szCs w:val="28"/>
          <w:lang w:val="en-US" w:eastAsia="zh-CN"/>
        </w:rPr>
        <w:t>监测时间与频次</w:t>
      </w:r>
    </w:p>
    <w:p w14:paraId="0FFAE87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eastAsia" w:ascii="Times New Roman" w:hAnsi="Times New Roman" w:cs="Times New Roman"/>
          <w:bCs/>
          <w:color w:val="auto"/>
          <w:sz w:val="24"/>
          <w:szCs w:val="24"/>
        </w:rPr>
        <w:t>监测频率为1天（2</w:t>
      </w:r>
      <w:r>
        <w:rPr>
          <w:rFonts w:hint="default" w:ascii="Times New Roman" w:hAnsi="Times New Roman" w:cs="Times New Roman"/>
          <w:bCs/>
          <w:color w:val="auto"/>
          <w:sz w:val="24"/>
          <w:szCs w:val="24"/>
        </w:rPr>
        <w:t>02</w:t>
      </w:r>
      <w:r>
        <w:rPr>
          <w:rFonts w:hint="eastAsia" w:ascii="Times New Roman" w:hAnsi="Times New Roman" w:eastAsia="宋体" w:cs="Times New Roman"/>
          <w:bCs/>
          <w:color w:val="auto"/>
          <w:sz w:val="24"/>
          <w:szCs w:val="24"/>
          <w:lang w:val="en-US" w:eastAsia="zh-CN"/>
        </w:rPr>
        <w:t>5</w:t>
      </w:r>
      <w:r>
        <w:rPr>
          <w:rFonts w:hint="default" w:ascii="Times New Roman" w:hAnsi="Times New Roman" w:cs="Times New Roman"/>
          <w:bCs/>
          <w:color w:val="auto"/>
          <w:sz w:val="24"/>
          <w:szCs w:val="24"/>
        </w:rPr>
        <w:t>年</w:t>
      </w:r>
      <w:r>
        <w:rPr>
          <w:rFonts w:hint="eastAsia" w:ascii="Times New Roman" w:hAnsi="Times New Roman" w:cs="Times New Roman"/>
          <w:bCs/>
          <w:color w:val="auto"/>
          <w:sz w:val="24"/>
          <w:szCs w:val="24"/>
          <w:lang w:val="en-US" w:eastAsia="zh-CN"/>
        </w:rPr>
        <w:t>11</w:t>
      </w:r>
      <w:r>
        <w:rPr>
          <w:rFonts w:hint="eastAsia" w:ascii="Times New Roman" w:hAnsi="Times New Roman" w:cs="Times New Roman"/>
          <w:bCs/>
          <w:color w:val="auto"/>
          <w:sz w:val="24"/>
          <w:szCs w:val="24"/>
        </w:rPr>
        <w:t>月</w:t>
      </w:r>
      <w:r>
        <w:rPr>
          <w:rFonts w:hint="eastAsia" w:ascii="Times New Roman" w:hAnsi="Times New Roman" w:cs="Times New Roman"/>
          <w:bCs/>
          <w:color w:val="auto"/>
          <w:sz w:val="24"/>
          <w:szCs w:val="24"/>
          <w:lang w:val="en-US" w:eastAsia="zh-CN"/>
        </w:rPr>
        <w:t>4</w:t>
      </w:r>
      <w:r>
        <w:rPr>
          <w:rFonts w:hint="default" w:ascii="Times New Roman" w:hAnsi="Times New Roman" w:cs="Times New Roman"/>
          <w:bCs/>
          <w:color w:val="auto"/>
          <w:sz w:val="24"/>
          <w:szCs w:val="24"/>
        </w:rPr>
        <w:t>日</w:t>
      </w:r>
      <w:r>
        <w:rPr>
          <w:rFonts w:hint="eastAsia" w:ascii="Times New Roman" w:hAnsi="Times New Roman" w:cs="Times New Roman"/>
          <w:bCs/>
          <w:color w:val="auto"/>
          <w:sz w:val="24"/>
          <w:szCs w:val="24"/>
        </w:rPr>
        <w:t>），详见监测报告。</w:t>
      </w:r>
    </w:p>
    <w:p w14:paraId="14E04148">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4.2.3.4</w:t>
      </w:r>
      <w:r>
        <w:rPr>
          <w:rFonts w:hint="default" w:ascii="Times New Roman" w:hAnsi="Times New Roman" w:eastAsia="宋体" w:cs="Times New Roman"/>
          <w:b/>
          <w:bCs/>
          <w:color w:val="auto"/>
          <w:sz w:val="28"/>
          <w:szCs w:val="28"/>
          <w:lang w:val="en-US" w:eastAsia="zh-CN"/>
        </w:rPr>
        <w:t>监测分析方法</w:t>
      </w:r>
    </w:p>
    <w:p w14:paraId="5A47309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地下水的监测分析方法详见表4</w:t>
      </w:r>
      <w:r>
        <w:rPr>
          <w:rFonts w:hint="eastAsia" w:ascii="Times New Roman" w:hAnsi="Times New Roman" w:eastAsia="宋体" w:cs="Times New Roman"/>
          <w:bCs/>
          <w:color w:val="auto"/>
          <w:sz w:val="24"/>
          <w:szCs w:val="24"/>
          <w:lang w:val="en-US" w:eastAsia="zh-CN"/>
        </w:rPr>
        <w:t>.</w:t>
      </w:r>
      <w:r>
        <w:rPr>
          <w:rFonts w:hint="default" w:ascii="Times New Roman" w:hAnsi="Times New Roman" w:cs="Times New Roman"/>
          <w:bCs/>
          <w:color w:val="auto"/>
          <w:sz w:val="24"/>
          <w:szCs w:val="24"/>
        </w:rPr>
        <w:t>2-</w:t>
      </w:r>
      <w:r>
        <w:rPr>
          <w:rFonts w:hint="eastAsia" w:ascii="Times New Roman" w:hAnsi="Times New Roman" w:eastAsia="宋体" w:cs="Times New Roman"/>
          <w:bCs/>
          <w:color w:val="auto"/>
          <w:sz w:val="24"/>
          <w:szCs w:val="24"/>
          <w:lang w:val="en-US" w:eastAsia="zh-CN"/>
        </w:rPr>
        <w:t>9</w:t>
      </w:r>
      <w:r>
        <w:rPr>
          <w:rFonts w:hint="eastAsia" w:ascii="Times New Roman" w:hAnsi="Times New Roman" w:cs="Times New Roman"/>
          <w:bCs/>
          <w:color w:val="auto"/>
          <w:sz w:val="24"/>
          <w:szCs w:val="24"/>
        </w:rPr>
        <w:t>。</w:t>
      </w:r>
    </w:p>
    <w:p w14:paraId="158D8EE7">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Times New Roman" w:hAnsi="Times New Roman" w:cs="Times New Roman"/>
          <w:b/>
          <w:bCs/>
          <w:snapToGrid w:val="0"/>
          <w:color w:val="auto"/>
          <w:kern w:val="0"/>
          <w:sz w:val="24"/>
          <w:szCs w:val="24"/>
          <w:highlight w:val="none"/>
          <w:lang w:val="en-US" w:eastAsia="zh-CN"/>
        </w:rPr>
      </w:pPr>
      <w:r>
        <w:rPr>
          <w:rFonts w:hint="eastAsia" w:ascii="Times New Roman" w:hAnsi="Times New Roman" w:cs="Times New Roman"/>
          <w:b/>
          <w:bCs/>
          <w:snapToGrid w:val="0"/>
          <w:color w:val="auto"/>
          <w:kern w:val="0"/>
          <w:sz w:val="24"/>
          <w:szCs w:val="24"/>
          <w:highlight w:val="none"/>
          <w:lang w:val="en-US" w:eastAsia="zh-CN"/>
        </w:rPr>
        <w:t>表4.2-9  地下水监测项目分析方法表</w:t>
      </w:r>
    </w:p>
    <w:tbl>
      <w:tblPr>
        <w:tblStyle w:val="2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75"/>
        <w:gridCol w:w="799"/>
        <w:gridCol w:w="1099"/>
        <w:gridCol w:w="2696"/>
        <w:gridCol w:w="1811"/>
        <w:gridCol w:w="1535"/>
      </w:tblGrid>
      <w:tr w14:paraId="739DF3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1" w:hRule="atLeast"/>
          <w:jc w:val="center"/>
        </w:trPr>
        <w:tc>
          <w:tcPr>
            <w:tcW w:w="616" w:type="dxa"/>
            <w:tcBorders>
              <w:tl2br w:val="nil"/>
              <w:tr2bl w:val="nil"/>
            </w:tcBorders>
            <w:noWrap w:val="0"/>
            <w:vAlign w:val="center"/>
          </w:tcPr>
          <w:p w14:paraId="4E5ECCDE">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b/>
                <w:bCs/>
                <w:color w:val="auto"/>
                <w:sz w:val="21"/>
                <w:szCs w:val="21"/>
              </w:rPr>
              <w:t>序号</w:t>
            </w:r>
          </w:p>
        </w:tc>
        <w:tc>
          <w:tcPr>
            <w:tcW w:w="901" w:type="dxa"/>
            <w:tcBorders>
              <w:tl2br w:val="nil"/>
              <w:tr2bl w:val="nil"/>
            </w:tcBorders>
            <w:noWrap w:val="0"/>
            <w:vAlign w:val="center"/>
          </w:tcPr>
          <w:p w14:paraId="76F56A3A">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r>
              <w:rPr>
                <w:rFonts w:hint="default" w:ascii="Times New Roman" w:hAnsi="Times New Roman" w:eastAsia="宋体" w:cs="Times New Roman"/>
                <w:b/>
                <w:bCs/>
                <w:color w:val="auto"/>
                <w:sz w:val="21"/>
                <w:szCs w:val="21"/>
                <w:lang w:eastAsia="zh-CN"/>
              </w:rPr>
              <w:t>检测</w:t>
            </w:r>
            <w:r>
              <w:rPr>
                <w:rFonts w:hint="default" w:ascii="Times New Roman" w:hAnsi="Times New Roman" w:eastAsia="宋体" w:cs="Times New Roman"/>
                <w:b/>
                <w:bCs/>
                <w:color w:val="auto"/>
                <w:sz w:val="21"/>
                <w:szCs w:val="21"/>
                <w:lang w:val="en-US" w:eastAsia="zh-CN"/>
              </w:rPr>
              <w:t>类别</w:t>
            </w:r>
          </w:p>
        </w:tc>
        <w:tc>
          <w:tcPr>
            <w:tcW w:w="1189" w:type="dxa"/>
            <w:tcBorders>
              <w:tl2br w:val="nil"/>
              <w:tr2bl w:val="nil"/>
            </w:tcBorders>
            <w:noWrap w:val="0"/>
            <w:vAlign w:val="center"/>
          </w:tcPr>
          <w:p w14:paraId="492B154A">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000000"/>
                <w:kern w:val="0"/>
                <w:sz w:val="21"/>
                <w:szCs w:val="21"/>
                <w:highlight w:val="none"/>
                <w:u w:val="none"/>
                <w:lang w:val="en-US" w:eastAsia="zh-CN" w:bidi="ar-SA"/>
              </w:rPr>
            </w:pPr>
            <w:r>
              <w:rPr>
                <w:rFonts w:hint="default" w:ascii="Times New Roman" w:hAnsi="Times New Roman" w:eastAsia="宋体" w:cs="Times New Roman"/>
                <w:b/>
                <w:bCs/>
                <w:color w:val="auto"/>
                <w:sz w:val="21"/>
                <w:szCs w:val="21"/>
                <w:lang w:eastAsia="zh-CN"/>
              </w:rPr>
              <w:t>检测</w:t>
            </w:r>
            <w:r>
              <w:rPr>
                <w:rFonts w:hint="default" w:ascii="Times New Roman" w:hAnsi="Times New Roman" w:eastAsia="宋体" w:cs="Times New Roman"/>
                <w:b/>
                <w:bCs/>
                <w:color w:val="auto"/>
                <w:sz w:val="21"/>
                <w:szCs w:val="21"/>
              </w:rPr>
              <w:t>项目</w:t>
            </w:r>
          </w:p>
        </w:tc>
        <w:tc>
          <w:tcPr>
            <w:tcW w:w="3083" w:type="dxa"/>
            <w:tcBorders>
              <w:tl2br w:val="nil"/>
              <w:tr2bl w:val="nil"/>
            </w:tcBorders>
            <w:noWrap w:val="0"/>
            <w:vAlign w:val="center"/>
          </w:tcPr>
          <w:p w14:paraId="3FDA6EA4">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napToGrid w:val="0"/>
                <w:kern w:val="0"/>
                <w:sz w:val="21"/>
                <w:szCs w:val="21"/>
                <w:lang w:val="en-US" w:eastAsia="zh-CN" w:bidi="ar-SA"/>
              </w:rPr>
            </w:pPr>
            <w:r>
              <w:rPr>
                <w:rFonts w:hint="default" w:ascii="Times New Roman" w:hAnsi="Times New Roman" w:eastAsia="宋体" w:cs="Times New Roman"/>
                <w:b/>
                <w:bCs/>
                <w:color w:val="auto"/>
                <w:sz w:val="21"/>
                <w:szCs w:val="21"/>
                <w:lang w:eastAsia="zh-CN"/>
              </w:rPr>
              <w:t>检测</w:t>
            </w:r>
            <w:r>
              <w:rPr>
                <w:rFonts w:hint="default" w:ascii="Times New Roman" w:hAnsi="Times New Roman" w:eastAsia="宋体" w:cs="Times New Roman"/>
                <w:b/>
                <w:bCs/>
                <w:color w:val="auto"/>
                <w:sz w:val="21"/>
                <w:szCs w:val="21"/>
              </w:rPr>
              <w:t>依据</w:t>
            </w:r>
          </w:p>
        </w:tc>
        <w:tc>
          <w:tcPr>
            <w:tcW w:w="1945" w:type="dxa"/>
            <w:tcBorders>
              <w:tl2br w:val="nil"/>
              <w:tr2bl w:val="nil"/>
            </w:tcBorders>
            <w:noWrap w:val="0"/>
            <w:vAlign w:val="center"/>
          </w:tcPr>
          <w:p w14:paraId="7E6DAEBE">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
                <w:bCs/>
                <w:sz w:val="21"/>
                <w:szCs w:val="21"/>
                <w:highlight w:val="none"/>
                <w:lang w:eastAsia="zh-CN"/>
              </w:rPr>
              <w:t>分析仪器名称及型号</w:t>
            </w:r>
          </w:p>
        </w:tc>
        <w:tc>
          <w:tcPr>
            <w:tcW w:w="1547" w:type="dxa"/>
            <w:tcBorders>
              <w:tl2br w:val="nil"/>
              <w:tr2bl w:val="nil"/>
            </w:tcBorders>
            <w:noWrap w:val="0"/>
            <w:vAlign w:val="center"/>
          </w:tcPr>
          <w:p w14:paraId="2FDF10C9">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kern w:val="0"/>
                <w:sz w:val="21"/>
                <w:szCs w:val="21"/>
                <w:lang w:val="en-US" w:eastAsia="zh-CN" w:bidi="ar-SA"/>
              </w:rPr>
            </w:pPr>
            <w:r>
              <w:rPr>
                <w:rFonts w:hint="default" w:ascii="Times New Roman" w:hAnsi="Times New Roman" w:eastAsia="宋体" w:cs="Times New Roman"/>
                <w:b/>
                <w:bCs/>
                <w:sz w:val="21"/>
                <w:szCs w:val="21"/>
                <w:highlight w:val="none"/>
                <w:lang w:eastAsia="zh-CN"/>
              </w:rPr>
              <w:t>仪器编号</w:t>
            </w:r>
          </w:p>
        </w:tc>
      </w:tr>
      <w:tr w14:paraId="36BC07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1" w:hRule="atLeast"/>
          <w:jc w:val="center"/>
        </w:trPr>
        <w:tc>
          <w:tcPr>
            <w:tcW w:w="616" w:type="dxa"/>
            <w:tcBorders>
              <w:tl2br w:val="nil"/>
              <w:tr2bl w:val="nil"/>
            </w:tcBorders>
            <w:noWrap w:val="0"/>
            <w:vAlign w:val="center"/>
          </w:tcPr>
          <w:p w14:paraId="3642DC97">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restart"/>
            <w:tcBorders>
              <w:tl2br w:val="nil"/>
              <w:tr2bl w:val="nil"/>
            </w:tcBorders>
            <w:noWrap w:val="0"/>
            <w:vAlign w:val="center"/>
          </w:tcPr>
          <w:p w14:paraId="25CD3FC0">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地下水</w:t>
            </w:r>
          </w:p>
        </w:tc>
        <w:tc>
          <w:tcPr>
            <w:tcW w:w="1189" w:type="dxa"/>
            <w:tcBorders>
              <w:tl2br w:val="nil"/>
              <w:tr2bl w:val="nil"/>
            </w:tcBorders>
            <w:noWrap w:val="0"/>
            <w:vAlign w:val="center"/>
          </w:tcPr>
          <w:p w14:paraId="49F5764E">
            <w:pPr>
              <w:keepNext w:val="0"/>
              <w:keepLines w:val="0"/>
              <w:pageBreakBefore w:val="0"/>
              <w:widowControl/>
              <w:wordWrap/>
              <w:overflowPunct/>
              <w:topLinePunct w:val="0"/>
              <w:bidi w:val="0"/>
              <w:spacing w:line="240" w:lineRule="auto"/>
              <w:ind w:left="0" w:firstLine="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u w:val="none"/>
                <w:lang w:val="en-US" w:eastAsia="zh-CN" w:bidi="ar-SA"/>
              </w:rPr>
              <w:t>pH值</w:t>
            </w:r>
          </w:p>
        </w:tc>
        <w:tc>
          <w:tcPr>
            <w:tcW w:w="3083" w:type="dxa"/>
            <w:tcBorders>
              <w:tl2br w:val="nil"/>
              <w:tr2bl w:val="nil"/>
            </w:tcBorders>
            <w:noWrap w:val="0"/>
            <w:vAlign w:val="center"/>
          </w:tcPr>
          <w:p w14:paraId="4219B3A2">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napToGrid w:val="0"/>
                <w:kern w:val="0"/>
                <w:sz w:val="21"/>
                <w:szCs w:val="21"/>
                <w:lang w:bidi="ar-SA"/>
              </w:rPr>
            </w:pPr>
            <w:r>
              <w:rPr>
                <w:rFonts w:hint="default" w:ascii="Times New Roman" w:hAnsi="Times New Roman" w:eastAsia="宋体" w:cs="Times New Roman"/>
                <w:snapToGrid w:val="0"/>
                <w:kern w:val="0"/>
                <w:sz w:val="21"/>
                <w:szCs w:val="21"/>
                <w:lang w:bidi="ar-SA"/>
              </w:rPr>
              <w:t>水质 pH值的测定 电极法</w:t>
            </w:r>
          </w:p>
          <w:p w14:paraId="60511919">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snapToGrid w:val="0"/>
                <w:kern w:val="0"/>
                <w:sz w:val="21"/>
                <w:szCs w:val="21"/>
                <w:lang w:val="en-US" w:eastAsia="zh-CN" w:bidi="ar-SA"/>
              </w:rPr>
              <w:t>HJ</w:t>
            </w:r>
            <w:r>
              <w:rPr>
                <w:rFonts w:hint="default" w:ascii="Times New Roman" w:hAnsi="Times New Roman" w:eastAsia="宋体" w:cs="Times New Roman"/>
                <w:snapToGrid w:val="0"/>
                <w:kern w:val="0"/>
                <w:sz w:val="21"/>
                <w:szCs w:val="21"/>
                <w:lang w:bidi="ar-SA"/>
              </w:rPr>
              <w:t xml:space="preserve"> </w:t>
            </w:r>
            <w:r>
              <w:rPr>
                <w:rFonts w:hint="default" w:ascii="Times New Roman" w:hAnsi="Times New Roman" w:cs="Times New Roman"/>
                <w:snapToGrid w:val="0"/>
                <w:kern w:val="0"/>
                <w:sz w:val="21"/>
                <w:szCs w:val="21"/>
                <w:lang w:val="en-US" w:eastAsia="zh-CN" w:bidi="ar-SA"/>
              </w:rPr>
              <w:t>1147</w:t>
            </w:r>
            <w:r>
              <w:rPr>
                <w:rFonts w:hint="default" w:ascii="Times New Roman" w:hAnsi="Times New Roman" w:eastAsia="宋体" w:cs="Times New Roman"/>
                <w:snapToGrid w:val="0"/>
                <w:kern w:val="0"/>
                <w:sz w:val="21"/>
                <w:szCs w:val="21"/>
                <w:lang w:bidi="ar-SA"/>
              </w:rPr>
              <w:t>-</w:t>
            </w:r>
            <w:r>
              <w:rPr>
                <w:rFonts w:hint="default" w:ascii="Times New Roman" w:hAnsi="Times New Roman" w:cs="Times New Roman"/>
                <w:snapToGrid w:val="0"/>
                <w:kern w:val="0"/>
                <w:sz w:val="21"/>
                <w:szCs w:val="21"/>
                <w:lang w:val="en-US" w:eastAsia="zh-CN" w:bidi="ar-SA"/>
              </w:rPr>
              <w:t>2020</w:t>
            </w:r>
          </w:p>
        </w:tc>
        <w:tc>
          <w:tcPr>
            <w:tcW w:w="1945" w:type="dxa"/>
            <w:tcBorders>
              <w:tl2br w:val="nil"/>
              <w:tr2bl w:val="nil"/>
            </w:tcBorders>
            <w:noWrap w:val="0"/>
            <w:vAlign w:val="center"/>
          </w:tcPr>
          <w:p w14:paraId="124DD698">
            <w:pPr>
              <w:keepNext w:val="0"/>
              <w:keepLines w:val="0"/>
              <w:pageBreakBefore w:val="0"/>
              <w:widowControl/>
              <w:suppressLineNumbers w:val="0"/>
              <w:wordWrap/>
              <w:overflowPunct/>
              <w:topLinePunct w:val="0"/>
              <w:bidi w:val="0"/>
              <w:spacing w:line="240" w:lineRule="auto"/>
              <w:ind w:left="0" w:firstLine="0"/>
              <w:jc w:val="center"/>
              <w:textAlignment w:val="center"/>
              <w:rPr>
                <w:rFonts w:hint="default" w:ascii="Times New Roman" w:hAnsi="Times New Roman" w:cs="Times New Roman"/>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便携式pH计PHBJ-260F型</w:t>
            </w:r>
          </w:p>
        </w:tc>
        <w:tc>
          <w:tcPr>
            <w:tcW w:w="1547" w:type="dxa"/>
            <w:tcBorders>
              <w:tl2br w:val="nil"/>
              <w:tr2bl w:val="nil"/>
            </w:tcBorders>
            <w:noWrap w:val="0"/>
            <w:vAlign w:val="center"/>
          </w:tcPr>
          <w:p w14:paraId="20E86E02">
            <w:pPr>
              <w:keepNext w:val="0"/>
              <w:keepLines w:val="0"/>
              <w:pageBreakBefore w:val="0"/>
              <w:widowControl/>
              <w:suppressLineNumbers w:val="0"/>
              <w:wordWrap/>
              <w:overflowPunct/>
              <w:topLinePunct w:val="0"/>
              <w:bidi w:val="0"/>
              <w:spacing w:line="240" w:lineRule="auto"/>
              <w:ind w:left="0" w:firstLine="0"/>
              <w:jc w:val="center"/>
              <w:textAlignment w:val="center"/>
              <w:rPr>
                <w:rFonts w:hint="default" w:ascii="Times New Roman" w:hAnsi="Times New Roman" w:cs="Times New Roman"/>
                <w:kern w:val="0"/>
                <w:sz w:val="21"/>
                <w:szCs w:val="21"/>
                <w:lang w:val="en-US" w:eastAsia="zh-CN" w:bidi="ar-SA"/>
              </w:rPr>
            </w:pPr>
            <w:r>
              <w:rPr>
                <w:rFonts w:hint="default" w:ascii="Times New Roman" w:hAnsi="Times New Roman" w:cs="Times New Roman"/>
                <w:kern w:val="0"/>
                <w:sz w:val="21"/>
                <w:szCs w:val="21"/>
                <w:lang w:val="en-US" w:eastAsia="zh-CN" w:bidi="ar-SA"/>
              </w:rPr>
              <w:t>HYJC-XC-041</w:t>
            </w:r>
          </w:p>
        </w:tc>
      </w:tr>
      <w:tr w14:paraId="0D113E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616" w:type="dxa"/>
            <w:tcBorders>
              <w:tl2br w:val="nil"/>
              <w:tr2bl w:val="nil"/>
            </w:tcBorders>
            <w:noWrap w:val="0"/>
            <w:vAlign w:val="center"/>
          </w:tcPr>
          <w:p w14:paraId="4E2DEFE4">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4E6B5AFB">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p>
        </w:tc>
        <w:tc>
          <w:tcPr>
            <w:tcW w:w="1189" w:type="dxa"/>
            <w:tcBorders>
              <w:tl2br w:val="nil"/>
              <w:tr2bl w:val="nil"/>
            </w:tcBorders>
            <w:noWrap w:val="0"/>
            <w:vAlign w:val="center"/>
          </w:tcPr>
          <w:p w14:paraId="3A02628D">
            <w:pPr>
              <w:keepNext w:val="0"/>
              <w:keepLines w:val="0"/>
              <w:pageBreakBefore w:val="0"/>
              <w:widowControl/>
              <w:wordWrap/>
              <w:overflowPunct/>
              <w:topLinePunct w:val="0"/>
              <w:bidi w:val="0"/>
              <w:spacing w:line="240" w:lineRule="auto"/>
              <w:ind w:left="0" w:firstLine="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eastAsia="zh-CN" w:bidi="ar-SA"/>
              </w:rPr>
              <w:t>氨氮</w:t>
            </w:r>
          </w:p>
        </w:tc>
        <w:tc>
          <w:tcPr>
            <w:tcW w:w="3083" w:type="dxa"/>
            <w:tcBorders>
              <w:tl2br w:val="nil"/>
              <w:tr2bl w:val="nil"/>
            </w:tcBorders>
            <w:noWrap w:val="0"/>
            <w:vAlign w:val="center"/>
          </w:tcPr>
          <w:p w14:paraId="0F18E996">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bidi="ar-SA"/>
              </w:rPr>
              <w:t>水质 氨氮的测定 纳氏试剂分光光度法HJ 535-2009</w:t>
            </w:r>
          </w:p>
        </w:tc>
        <w:tc>
          <w:tcPr>
            <w:tcW w:w="1945" w:type="dxa"/>
            <w:tcBorders>
              <w:tl2br w:val="nil"/>
              <w:tr2bl w:val="nil"/>
            </w:tcBorders>
            <w:noWrap w:val="0"/>
            <w:vAlign w:val="center"/>
          </w:tcPr>
          <w:p w14:paraId="7F908048">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紫外可见分光光度计</w:t>
            </w:r>
          </w:p>
          <w:p w14:paraId="75994DE4">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highlight w:val="none"/>
              </w:rPr>
              <w:t>T6新世纪</w:t>
            </w:r>
          </w:p>
        </w:tc>
        <w:tc>
          <w:tcPr>
            <w:tcW w:w="1547" w:type="dxa"/>
            <w:tcBorders>
              <w:tl2br w:val="nil"/>
              <w:tr2bl w:val="nil"/>
            </w:tcBorders>
            <w:noWrap w:val="0"/>
            <w:vAlign w:val="center"/>
          </w:tcPr>
          <w:p w14:paraId="595915A2">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sz w:val="21"/>
                <w:szCs w:val="21"/>
                <w:highlight w:val="none"/>
              </w:rPr>
              <w:t>HYJC-LH-009</w:t>
            </w:r>
          </w:p>
        </w:tc>
      </w:tr>
      <w:tr w14:paraId="11049A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616" w:type="dxa"/>
            <w:tcBorders>
              <w:tl2br w:val="nil"/>
              <w:tr2bl w:val="nil"/>
            </w:tcBorders>
            <w:noWrap w:val="0"/>
            <w:vAlign w:val="center"/>
          </w:tcPr>
          <w:p w14:paraId="1F4F86B6">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1885A8F5">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p>
        </w:tc>
        <w:tc>
          <w:tcPr>
            <w:tcW w:w="1189" w:type="dxa"/>
            <w:tcBorders>
              <w:tl2br w:val="nil"/>
              <w:tr2bl w:val="nil"/>
            </w:tcBorders>
            <w:noWrap w:val="0"/>
            <w:vAlign w:val="center"/>
          </w:tcPr>
          <w:p w14:paraId="54530C88">
            <w:pPr>
              <w:keepNext w:val="0"/>
              <w:keepLines w:val="0"/>
              <w:pageBreakBefore w:val="0"/>
              <w:widowControl/>
              <w:wordWrap/>
              <w:overflowPunct/>
              <w:topLinePunct w:val="0"/>
              <w:bidi w:val="0"/>
              <w:spacing w:line="240" w:lineRule="auto"/>
              <w:ind w:left="0" w:firstLine="0"/>
              <w:jc w:val="center"/>
              <w:textAlignment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硝酸盐</w:t>
            </w:r>
          </w:p>
          <w:p w14:paraId="4A3E7E7C">
            <w:pPr>
              <w:keepNext w:val="0"/>
              <w:keepLines w:val="0"/>
              <w:pageBreakBefore w:val="0"/>
              <w:widowControl/>
              <w:wordWrap/>
              <w:overflowPunct/>
              <w:topLinePunct w:val="0"/>
              <w:bidi w:val="0"/>
              <w:spacing w:line="240" w:lineRule="auto"/>
              <w:ind w:left="0" w:firstLine="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（以N计）</w:t>
            </w:r>
          </w:p>
        </w:tc>
        <w:tc>
          <w:tcPr>
            <w:tcW w:w="3083" w:type="dxa"/>
            <w:tcBorders>
              <w:tl2br w:val="nil"/>
              <w:tr2bl w:val="nil"/>
            </w:tcBorders>
            <w:noWrap w:val="0"/>
            <w:vAlign w:val="center"/>
          </w:tcPr>
          <w:p w14:paraId="7FD1F2E8">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auto"/>
                <w:kern w:val="0"/>
                <w:sz w:val="21"/>
                <w:szCs w:val="21"/>
                <w:lang w:bidi="ar-SA"/>
              </w:rPr>
              <w:t>水质 无机阴离子（F</w:t>
            </w:r>
            <w:r>
              <w:rPr>
                <w:rFonts w:hint="default" w:ascii="Times New Roman" w:hAnsi="Times New Roman" w:eastAsia="宋体" w:cs="Times New Roman"/>
                <w:color w:val="auto"/>
                <w:kern w:val="0"/>
                <w:sz w:val="21"/>
                <w:szCs w:val="21"/>
                <w:vertAlign w:val="superscript"/>
                <w:lang w:bidi="ar-SA"/>
              </w:rPr>
              <w:t>-</w:t>
            </w:r>
            <w:r>
              <w:rPr>
                <w:rFonts w:hint="default" w:ascii="Times New Roman" w:hAnsi="Times New Roman" w:eastAsia="宋体" w:cs="Times New Roman"/>
                <w:color w:val="auto"/>
                <w:kern w:val="0"/>
                <w:sz w:val="21"/>
                <w:szCs w:val="21"/>
                <w:lang w:bidi="ar-SA"/>
              </w:rPr>
              <w:t>、Cl</w:t>
            </w:r>
            <w:r>
              <w:rPr>
                <w:rFonts w:hint="default" w:ascii="Times New Roman" w:hAnsi="Times New Roman" w:eastAsia="宋体" w:cs="Times New Roman"/>
                <w:color w:val="auto"/>
                <w:kern w:val="0"/>
                <w:sz w:val="21"/>
                <w:szCs w:val="21"/>
                <w:vertAlign w:val="superscript"/>
                <w:lang w:bidi="ar-SA"/>
              </w:rPr>
              <w:t>-</w:t>
            </w:r>
            <w:r>
              <w:rPr>
                <w:rFonts w:hint="default" w:ascii="Times New Roman" w:hAnsi="Times New Roman" w:eastAsia="宋体" w:cs="Times New Roman"/>
                <w:color w:val="auto"/>
                <w:kern w:val="0"/>
                <w:sz w:val="21"/>
                <w:szCs w:val="21"/>
                <w:lang w:bidi="ar-SA"/>
              </w:rPr>
              <w:t>、NO</w:t>
            </w:r>
            <w:r>
              <w:rPr>
                <w:rFonts w:hint="default" w:ascii="Times New Roman" w:hAnsi="Times New Roman" w:eastAsia="宋体" w:cs="Times New Roman"/>
                <w:color w:val="auto"/>
                <w:kern w:val="0"/>
                <w:sz w:val="21"/>
                <w:szCs w:val="21"/>
                <w:vertAlign w:val="subscript"/>
                <w:lang w:bidi="ar-SA"/>
              </w:rPr>
              <w:t>2</w:t>
            </w:r>
            <w:r>
              <w:rPr>
                <w:rFonts w:hint="default" w:ascii="Times New Roman" w:hAnsi="Times New Roman" w:eastAsia="宋体" w:cs="Times New Roman"/>
                <w:color w:val="auto"/>
                <w:kern w:val="0"/>
                <w:sz w:val="21"/>
                <w:szCs w:val="21"/>
                <w:vertAlign w:val="superscript"/>
                <w:lang w:bidi="ar-SA"/>
              </w:rPr>
              <w:t>-</w:t>
            </w:r>
            <w:r>
              <w:rPr>
                <w:rFonts w:hint="default" w:ascii="Times New Roman" w:hAnsi="Times New Roman" w:eastAsia="宋体" w:cs="Times New Roman"/>
                <w:color w:val="auto"/>
                <w:kern w:val="0"/>
                <w:sz w:val="21"/>
                <w:szCs w:val="21"/>
                <w:lang w:bidi="ar-SA"/>
              </w:rPr>
              <w:t>、Br</w:t>
            </w:r>
            <w:r>
              <w:rPr>
                <w:rFonts w:hint="default" w:ascii="Times New Roman" w:hAnsi="Times New Roman" w:eastAsia="宋体" w:cs="Times New Roman"/>
                <w:color w:val="auto"/>
                <w:kern w:val="0"/>
                <w:sz w:val="21"/>
                <w:szCs w:val="21"/>
                <w:vertAlign w:val="superscript"/>
                <w:lang w:bidi="ar-SA"/>
              </w:rPr>
              <w:t>-</w:t>
            </w:r>
            <w:r>
              <w:rPr>
                <w:rFonts w:hint="default" w:ascii="Times New Roman" w:hAnsi="Times New Roman" w:eastAsia="宋体" w:cs="Times New Roman"/>
                <w:color w:val="auto"/>
                <w:kern w:val="0"/>
                <w:sz w:val="21"/>
                <w:szCs w:val="21"/>
                <w:lang w:bidi="ar-SA"/>
              </w:rPr>
              <w:t>、NO</w:t>
            </w:r>
            <w:r>
              <w:rPr>
                <w:rFonts w:hint="default" w:ascii="Times New Roman" w:hAnsi="Times New Roman" w:eastAsia="宋体" w:cs="Times New Roman"/>
                <w:color w:val="auto"/>
                <w:kern w:val="0"/>
                <w:sz w:val="21"/>
                <w:szCs w:val="21"/>
                <w:vertAlign w:val="subscript"/>
                <w:lang w:bidi="ar-SA"/>
              </w:rPr>
              <w:t>3</w:t>
            </w:r>
            <w:r>
              <w:rPr>
                <w:rFonts w:hint="default" w:ascii="Times New Roman" w:hAnsi="Times New Roman" w:eastAsia="宋体" w:cs="Times New Roman"/>
                <w:color w:val="auto"/>
                <w:kern w:val="0"/>
                <w:sz w:val="21"/>
                <w:szCs w:val="21"/>
                <w:vertAlign w:val="superscript"/>
                <w:lang w:bidi="ar-SA"/>
              </w:rPr>
              <w:t>-</w:t>
            </w:r>
            <w:r>
              <w:rPr>
                <w:rFonts w:hint="default" w:ascii="Times New Roman" w:hAnsi="Times New Roman" w:eastAsia="宋体" w:cs="Times New Roman"/>
                <w:color w:val="auto"/>
                <w:kern w:val="0"/>
                <w:sz w:val="21"/>
                <w:szCs w:val="21"/>
                <w:lang w:bidi="ar-SA"/>
              </w:rPr>
              <w:t>、PO</w:t>
            </w:r>
            <w:r>
              <w:rPr>
                <w:rFonts w:hint="default" w:ascii="Times New Roman" w:hAnsi="Times New Roman" w:eastAsia="宋体" w:cs="Times New Roman"/>
                <w:color w:val="auto"/>
                <w:kern w:val="0"/>
                <w:sz w:val="21"/>
                <w:szCs w:val="21"/>
                <w:vertAlign w:val="subscript"/>
                <w:lang w:bidi="ar-SA"/>
              </w:rPr>
              <w:t>4</w:t>
            </w:r>
            <w:r>
              <w:rPr>
                <w:rFonts w:hint="default" w:ascii="Times New Roman" w:hAnsi="Times New Roman" w:eastAsia="宋体" w:cs="Times New Roman"/>
                <w:color w:val="auto"/>
                <w:kern w:val="0"/>
                <w:sz w:val="21"/>
                <w:szCs w:val="21"/>
                <w:vertAlign w:val="superscript"/>
                <w:lang w:bidi="ar-SA"/>
              </w:rPr>
              <w:t>3-</w:t>
            </w:r>
            <w:r>
              <w:rPr>
                <w:rFonts w:hint="default" w:ascii="Times New Roman" w:hAnsi="Times New Roman" w:eastAsia="宋体" w:cs="Times New Roman"/>
                <w:color w:val="auto"/>
                <w:kern w:val="0"/>
                <w:sz w:val="21"/>
                <w:szCs w:val="21"/>
                <w:lang w:bidi="ar-SA"/>
              </w:rPr>
              <w:t>、SO</w:t>
            </w:r>
            <w:r>
              <w:rPr>
                <w:rFonts w:hint="default" w:ascii="Times New Roman" w:hAnsi="Times New Roman" w:eastAsia="宋体" w:cs="Times New Roman"/>
                <w:color w:val="auto"/>
                <w:kern w:val="0"/>
                <w:sz w:val="21"/>
                <w:szCs w:val="21"/>
                <w:vertAlign w:val="subscript"/>
                <w:lang w:bidi="ar-SA"/>
              </w:rPr>
              <w:t>3</w:t>
            </w:r>
            <w:r>
              <w:rPr>
                <w:rFonts w:hint="default" w:ascii="Times New Roman" w:hAnsi="Times New Roman" w:eastAsia="宋体" w:cs="Times New Roman"/>
                <w:color w:val="auto"/>
                <w:kern w:val="0"/>
                <w:sz w:val="21"/>
                <w:szCs w:val="21"/>
                <w:vertAlign w:val="superscript"/>
                <w:lang w:bidi="ar-SA"/>
              </w:rPr>
              <w:t>2-</w:t>
            </w:r>
            <w:r>
              <w:rPr>
                <w:rFonts w:hint="default" w:ascii="Times New Roman" w:hAnsi="Times New Roman" w:eastAsia="宋体" w:cs="Times New Roman"/>
                <w:color w:val="auto"/>
                <w:kern w:val="0"/>
                <w:sz w:val="21"/>
                <w:szCs w:val="21"/>
                <w:lang w:bidi="ar-SA"/>
              </w:rPr>
              <w:t>、SO</w:t>
            </w:r>
            <w:r>
              <w:rPr>
                <w:rFonts w:hint="default" w:ascii="Times New Roman" w:hAnsi="Times New Roman" w:eastAsia="宋体" w:cs="Times New Roman"/>
                <w:color w:val="auto"/>
                <w:kern w:val="0"/>
                <w:sz w:val="21"/>
                <w:szCs w:val="21"/>
                <w:vertAlign w:val="subscript"/>
                <w:lang w:bidi="ar-SA"/>
              </w:rPr>
              <w:t>4</w:t>
            </w:r>
            <w:r>
              <w:rPr>
                <w:rFonts w:hint="default" w:ascii="Times New Roman" w:hAnsi="Times New Roman" w:eastAsia="宋体" w:cs="Times New Roman"/>
                <w:color w:val="auto"/>
                <w:kern w:val="0"/>
                <w:sz w:val="21"/>
                <w:szCs w:val="21"/>
                <w:vertAlign w:val="superscript"/>
                <w:lang w:bidi="ar-SA"/>
              </w:rPr>
              <w:t>2-</w:t>
            </w:r>
            <w:r>
              <w:rPr>
                <w:rFonts w:hint="default" w:ascii="Times New Roman" w:hAnsi="Times New Roman" w:eastAsia="宋体" w:cs="Times New Roman"/>
                <w:color w:val="auto"/>
                <w:kern w:val="0"/>
                <w:sz w:val="21"/>
                <w:szCs w:val="21"/>
                <w:lang w:bidi="ar-SA"/>
              </w:rPr>
              <w:t>）的测定 离子色谱法</w:t>
            </w:r>
            <w:r>
              <w:rPr>
                <w:rFonts w:hint="default" w:ascii="Times New Roman" w:hAnsi="Times New Roman" w:cs="Times New Roman"/>
                <w:color w:val="auto"/>
                <w:kern w:val="0"/>
                <w:sz w:val="21"/>
                <w:szCs w:val="21"/>
                <w:lang w:val="en-US" w:eastAsia="zh-CN" w:bidi="ar-SA"/>
              </w:rPr>
              <w:t xml:space="preserve"> </w:t>
            </w:r>
            <w:r>
              <w:rPr>
                <w:rFonts w:hint="default" w:ascii="Times New Roman" w:hAnsi="Times New Roman" w:eastAsia="宋体" w:cs="Times New Roman"/>
                <w:color w:val="auto"/>
                <w:kern w:val="0"/>
                <w:sz w:val="21"/>
                <w:szCs w:val="21"/>
                <w:lang w:bidi="ar-SA"/>
              </w:rPr>
              <w:t>HJ 84-2016</w:t>
            </w:r>
          </w:p>
        </w:tc>
        <w:tc>
          <w:tcPr>
            <w:tcW w:w="1945" w:type="dxa"/>
            <w:tcBorders>
              <w:tl2br w:val="nil"/>
              <w:tr2bl w:val="nil"/>
            </w:tcBorders>
            <w:noWrap w:val="0"/>
            <w:vAlign w:val="center"/>
          </w:tcPr>
          <w:p w14:paraId="598596AD">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离子色谱仪</w:t>
            </w:r>
          </w:p>
          <w:p w14:paraId="551A484E">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kern w:val="0"/>
                <w:sz w:val="21"/>
                <w:szCs w:val="21"/>
                <w:highlight w:val="none"/>
              </w:rPr>
              <w:t>IC6000</w:t>
            </w:r>
          </w:p>
        </w:tc>
        <w:tc>
          <w:tcPr>
            <w:tcW w:w="1547" w:type="dxa"/>
            <w:tcBorders>
              <w:tl2br w:val="nil"/>
              <w:tr2bl w:val="nil"/>
            </w:tcBorders>
            <w:noWrap w:val="0"/>
            <w:vAlign w:val="center"/>
          </w:tcPr>
          <w:p w14:paraId="1416D408">
            <w:pPr>
              <w:keepNext w:val="0"/>
              <w:keepLines w:val="0"/>
              <w:pageBreakBefore w:val="0"/>
              <w:widowControl/>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000000"/>
                <w:sz w:val="21"/>
                <w:szCs w:val="21"/>
                <w:highlight w:val="none"/>
              </w:rPr>
              <w:t>HYJC-LH-003</w:t>
            </w:r>
          </w:p>
        </w:tc>
      </w:tr>
      <w:tr w14:paraId="134C22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3" w:hRule="atLeast"/>
          <w:jc w:val="center"/>
        </w:trPr>
        <w:tc>
          <w:tcPr>
            <w:tcW w:w="616" w:type="dxa"/>
            <w:tcBorders>
              <w:tl2br w:val="nil"/>
              <w:tr2bl w:val="nil"/>
            </w:tcBorders>
            <w:noWrap w:val="0"/>
            <w:vAlign w:val="center"/>
          </w:tcPr>
          <w:p w14:paraId="43AA0D9B">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13AE8B03">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p>
        </w:tc>
        <w:tc>
          <w:tcPr>
            <w:tcW w:w="1189" w:type="dxa"/>
            <w:tcBorders>
              <w:tl2br w:val="nil"/>
              <w:tr2bl w:val="nil"/>
            </w:tcBorders>
            <w:noWrap w:val="0"/>
            <w:vAlign w:val="center"/>
          </w:tcPr>
          <w:p w14:paraId="1E223F70">
            <w:pPr>
              <w:keepNext w:val="0"/>
              <w:keepLines w:val="0"/>
              <w:pageBreakBefore w:val="0"/>
              <w:widowControl/>
              <w:wordWrap/>
              <w:overflowPunct/>
              <w:topLinePunct w:val="0"/>
              <w:bidi w:val="0"/>
              <w:spacing w:line="240" w:lineRule="auto"/>
              <w:ind w:left="0" w:firstLine="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亚硝酸盐氮</w:t>
            </w:r>
          </w:p>
        </w:tc>
        <w:tc>
          <w:tcPr>
            <w:tcW w:w="3083" w:type="dxa"/>
            <w:tcBorders>
              <w:tl2br w:val="nil"/>
              <w:tr2bl w:val="nil"/>
            </w:tcBorders>
            <w:noWrap w:val="0"/>
            <w:vAlign w:val="center"/>
          </w:tcPr>
          <w:p w14:paraId="79CF63C9">
            <w:pPr>
              <w:keepNext w:val="0"/>
              <w:keepLines w:val="0"/>
              <w:pageBreakBefore w:val="0"/>
              <w:widowControl/>
              <w:wordWrap/>
              <w:overflowPunct/>
              <w:topLinePunct w:val="0"/>
              <w:bidi w:val="0"/>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水质 亚硝酸盐氮的测定 分光光度法GB 7493-87</w:t>
            </w:r>
          </w:p>
        </w:tc>
        <w:tc>
          <w:tcPr>
            <w:tcW w:w="1945" w:type="dxa"/>
            <w:tcBorders>
              <w:tl2br w:val="nil"/>
              <w:tr2bl w:val="nil"/>
            </w:tcBorders>
            <w:noWrap w:val="0"/>
            <w:vAlign w:val="center"/>
          </w:tcPr>
          <w:p w14:paraId="13B3363C">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可见分光光度计</w:t>
            </w:r>
          </w:p>
          <w:p w14:paraId="12FDC98A">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z w:val="21"/>
                <w:szCs w:val="21"/>
              </w:rPr>
              <w:t>722型</w:t>
            </w:r>
          </w:p>
        </w:tc>
        <w:tc>
          <w:tcPr>
            <w:tcW w:w="1547" w:type="dxa"/>
            <w:tcBorders>
              <w:tl2br w:val="nil"/>
              <w:tr2bl w:val="nil"/>
            </w:tcBorders>
            <w:noWrap w:val="0"/>
            <w:vAlign w:val="center"/>
          </w:tcPr>
          <w:p w14:paraId="382A1F74">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sz w:val="21"/>
                <w:szCs w:val="21"/>
                <w:highlight w:val="none"/>
              </w:rPr>
              <w:t>HYJC-LH-008</w:t>
            </w:r>
          </w:p>
        </w:tc>
      </w:tr>
      <w:tr w14:paraId="68DEF1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616" w:type="dxa"/>
            <w:tcBorders>
              <w:tl2br w:val="nil"/>
              <w:tr2bl w:val="nil"/>
            </w:tcBorders>
            <w:noWrap w:val="0"/>
            <w:vAlign w:val="center"/>
          </w:tcPr>
          <w:p w14:paraId="27F3EB2A">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36B4EDBD">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p>
        </w:tc>
        <w:tc>
          <w:tcPr>
            <w:tcW w:w="1189" w:type="dxa"/>
            <w:tcBorders>
              <w:tl2br w:val="nil"/>
              <w:tr2bl w:val="nil"/>
            </w:tcBorders>
            <w:noWrap w:val="0"/>
            <w:vAlign w:val="center"/>
          </w:tcPr>
          <w:p w14:paraId="3F88FA9B">
            <w:pPr>
              <w:keepNext w:val="0"/>
              <w:keepLines w:val="0"/>
              <w:pageBreakBefore w:val="0"/>
              <w:widowControl/>
              <w:wordWrap/>
              <w:overflowPunct/>
              <w:topLinePunct w:val="0"/>
              <w:bidi w:val="0"/>
              <w:spacing w:line="240" w:lineRule="auto"/>
              <w:ind w:left="0" w:firstLine="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bidi="ar-SA"/>
              </w:rPr>
              <w:t>挥发酚</w:t>
            </w:r>
          </w:p>
        </w:tc>
        <w:tc>
          <w:tcPr>
            <w:tcW w:w="3083" w:type="dxa"/>
            <w:tcBorders>
              <w:tl2br w:val="nil"/>
              <w:tr2bl w:val="nil"/>
            </w:tcBorders>
            <w:noWrap w:val="0"/>
            <w:vAlign w:val="center"/>
          </w:tcPr>
          <w:p w14:paraId="29D34D46">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vertAlign w:val="baseline"/>
                <w:lang w:val="en-US" w:eastAsia="zh-CN" w:bidi="ar-SA"/>
              </w:rPr>
              <w:t>水质 挥发酚的测定 4-氨基安替比林分光光度法HJ 503-2009</w:t>
            </w:r>
          </w:p>
        </w:tc>
        <w:tc>
          <w:tcPr>
            <w:tcW w:w="1945" w:type="dxa"/>
            <w:tcBorders>
              <w:tl2br w:val="nil"/>
              <w:tr2bl w:val="nil"/>
            </w:tcBorders>
            <w:noWrap w:val="0"/>
            <w:vAlign w:val="center"/>
          </w:tcPr>
          <w:p w14:paraId="533F3903">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紫外可见分光光度计</w:t>
            </w:r>
          </w:p>
          <w:p w14:paraId="3A2673CA">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kern w:val="0"/>
                <w:sz w:val="21"/>
                <w:szCs w:val="21"/>
                <w:highlight w:val="none"/>
              </w:rPr>
              <w:t>T6新世纪</w:t>
            </w:r>
          </w:p>
        </w:tc>
        <w:tc>
          <w:tcPr>
            <w:tcW w:w="1547" w:type="dxa"/>
            <w:tcBorders>
              <w:tl2br w:val="nil"/>
              <w:tr2bl w:val="nil"/>
            </w:tcBorders>
            <w:noWrap w:val="0"/>
            <w:vAlign w:val="center"/>
          </w:tcPr>
          <w:p w14:paraId="489AED67">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highlight w:val="none"/>
              </w:rPr>
              <w:t>HYJC-LH-009</w:t>
            </w:r>
          </w:p>
        </w:tc>
      </w:tr>
      <w:tr w14:paraId="0546E4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5" w:hRule="atLeast"/>
          <w:jc w:val="center"/>
        </w:trPr>
        <w:tc>
          <w:tcPr>
            <w:tcW w:w="616" w:type="dxa"/>
            <w:tcBorders>
              <w:tl2br w:val="nil"/>
              <w:tr2bl w:val="nil"/>
            </w:tcBorders>
            <w:noWrap w:val="0"/>
            <w:vAlign w:val="center"/>
          </w:tcPr>
          <w:p w14:paraId="0F31B0CB">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04FB4B42">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p>
        </w:tc>
        <w:tc>
          <w:tcPr>
            <w:tcW w:w="1189" w:type="dxa"/>
            <w:tcBorders>
              <w:tl2br w:val="nil"/>
              <w:tr2bl w:val="nil"/>
            </w:tcBorders>
            <w:noWrap w:val="0"/>
            <w:vAlign w:val="center"/>
          </w:tcPr>
          <w:p w14:paraId="7F660A04">
            <w:pPr>
              <w:keepNext w:val="0"/>
              <w:keepLines w:val="0"/>
              <w:pageBreakBefore w:val="0"/>
              <w:widowControl/>
              <w:kinsoku/>
              <w:wordWrap/>
              <w:overflowPunct/>
              <w:topLinePunct w:val="0"/>
              <w:autoSpaceDE/>
              <w:autoSpaceDN/>
              <w:bidi w:val="0"/>
              <w:adjustRightInd/>
              <w:snapToGrid/>
              <w:spacing w:line="240" w:lineRule="auto"/>
              <w:ind w:left="0" w:firstLine="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氰化物</w:t>
            </w:r>
          </w:p>
        </w:tc>
        <w:tc>
          <w:tcPr>
            <w:tcW w:w="3083" w:type="dxa"/>
            <w:tcBorders>
              <w:tl2br w:val="nil"/>
              <w:tr2bl w:val="nil"/>
            </w:tcBorders>
            <w:noWrap w:val="0"/>
            <w:vAlign w:val="center"/>
          </w:tcPr>
          <w:p w14:paraId="4D93DC73">
            <w:pPr>
              <w:keepNext w:val="0"/>
              <w:keepLines w:val="0"/>
              <w:pageBreakBefore w:val="0"/>
              <w:widowControl/>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生活饮用水标准检验方法 第5部分：无机非金属指标（7.1氰化物 异烟酸-吡唑啉酮分光光度法）</w:t>
            </w:r>
          </w:p>
          <w:p w14:paraId="73259017">
            <w:pPr>
              <w:keepNext w:val="0"/>
              <w:keepLines w:val="0"/>
              <w:pageBreakBefore w:val="0"/>
              <w:widowControl/>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GB/T 5750.5-2023</w:t>
            </w:r>
          </w:p>
        </w:tc>
        <w:tc>
          <w:tcPr>
            <w:tcW w:w="1945" w:type="dxa"/>
            <w:tcBorders>
              <w:tl2br w:val="nil"/>
              <w:tr2bl w:val="nil"/>
            </w:tcBorders>
            <w:noWrap w:val="0"/>
            <w:vAlign w:val="center"/>
          </w:tcPr>
          <w:p w14:paraId="6B31D0D7">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紫外可见分光光度计</w:t>
            </w:r>
          </w:p>
          <w:p w14:paraId="79FA16C4">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kern w:val="0"/>
                <w:sz w:val="21"/>
                <w:szCs w:val="21"/>
                <w:highlight w:val="none"/>
              </w:rPr>
              <w:t>T6新世纪</w:t>
            </w:r>
          </w:p>
        </w:tc>
        <w:tc>
          <w:tcPr>
            <w:tcW w:w="1547" w:type="dxa"/>
            <w:tcBorders>
              <w:tl2br w:val="nil"/>
              <w:tr2bl w:val="nil"/>
            </w:tcBorders>
            <w:noWrap w:val="0"/>
            <w:vAlign w:val="center"/>
          </w:tcPr>
          <w:p w14:paraId="37EF006B">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sz w:val="21"/>
                <w:szCs w:val="21"/>
                <w:highlight w:val="none"/>
              </w:rPr>
              <w:t>HYJC-LH-009</w:t>
            </w:r>
          </w:p>
        </w:tc>
      </w:tr>
      <w:tr w14:paraId="751713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616" w:type="dxa"/>
            <w:tcBorders>
              <w:tl2br w:val="nil"/>
              <w:tr2bl w:val="nil"/>
            </w:tcBorders>
            <w:noWrap w:val="0"/>
            <w:vAlign w:val="center"/>
          </w:tcPr>
          <w:p w14:paraId="18D67BC0">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74973AB2">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p>
        </w:tc>
        <w:tc>
          <w:tcPr>
            <w:tcW w:w="1189" w:type="dxa"/>
            <w:tcBorders>
              <w:tl2br w:val="nil"/>
              <w:tr2bl w:val="nil"/>
            </w:tcBorders>
            <w:noWrap w:val="0"/>
            <w:vAlign w:val="center"/>
          </w:tcPr>
          <w:p w14:paraId="6A1AC24D">
            <w:pPr>
              <w:keepNext w:val="0"/>
              <w:keepLines w:val="0"/>
              <w:pageBreakBefore w:val="0"/>
              <w:widowControl/>
              <w:kinsoku/>
              <w:wordWrap/>
              <w:overflowPunct/>
              <w:topLinePunct w:val="0"/>
              <w:autoSpaceDE/>
              <w:autoSpaceDN/>
              <w:bidi w:val="0"/>
              <w:adjustRightInd/>
              <w:snapToGrid/>
              <w:spacing w:line="240" w:lineRule="auto"/>
              <w:ind w:left="0" w:firstLine="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bidi="ar-SA"/>
              </w:rPr>
              <w:t>砷</w:t>
            </w:r>
          </w:p>
        </w:tc>
        <w:tc>
          <w:tcPr>
            <w:tcW w:w="3083" w:type="dxa"/>
            <w:tcBorders>
              <w:tl2br w:val="nil"/>
              <w:tr2bl w:val="nil"/>
            </w:tcBorders>
            <w:noWrap w:val="0"/>
            <w:vAlign w:val="center"/>
          </w:tcPr>
          <w:p w14:paraId="0BC2D5C4">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lang w:bidi="ar-SA"/>
              </w:rPr>
              <w:t>水质 汞、砷、硒、铋</w:t>
            </w:r>
            <w:r>
              <w:rPr>
                <w:rFonts w:hint="default" w:ascii="Times New Roman" w:hAnsi="Times New Roman" w:cs="Times New Roman"/>
                <w:color w:val="auto"/>
                <w:kern w:val="0"/>
                <w:sz w:val="21"/>
                <w:szCs w:val="21"/>
                <w:lang w:val="en-US" w:eastAsia="zh-CN" w:bidi="ar-SA"/>
              </w:rPr>
              <w:t>和</w:t>
            </w:r>
            <w:r>
              <w:rPr>
                <w:rFonts w:hint="default" w:ascii="Times New Roman" w:hAnsi="Times New Roman" w:cs="Times New Roman"/>
                <w:color w:val="auto"/>
                <w:kern w:val="0"/>
                <w:sz w:val="21"/>
                <w:szCs w:val="21"/>
                <w:lang w:bidi="ar-SA"/>
              </w:rPr>
              <w:t>锑的测定 原子荧光法HJ 694-2014</w:t>
            </w:r>
          </w:p>
        </w:tc>
        <w:tc>
          <w:tcPr>
            <w:tcW w:w="1945" w:type="dxa"/>
            <w:tcBorders>
              <w:tl2br w:val="nil"/>
              <w:tr2bl w:val="nil"/>
            </w:tcBorders>
            <w:noWrap w:val="0"/>
            <w:vAlign w:val="center"/>
          </w:tcPr>
          <w:p w14:paraId="3541D28E">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kern w:val="0"/>
                <w:sz w:val="21"/>
                <w:szCs w:val="21"/>
                <w:highlight w:val="none"/>
              </w:rPr>
              <w:t>双道原子荧光光度计AFS-230E</w:t>
            </w:r>
          </w:p>
        </w:tc>
        <w:tc>
          <w:tcPr>
            <w:tcW w:w="1547" w:type="dxa"/>
            <w:tcBorders>
              <w:tl2br w:val="nil"/>
              <w:tr2bl w:val="nil"/>
            </w:tcBorders>
            <w:noWrap w:val="0"/>
            <w:vAlign w:val="center"/>
          </w:tcPr>
          <w:p w14:paraId="0EF148A1">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sz w:val="21"/>
                <w:szCs w:val="21"/>
                <w:highlight w:val="none"/>
              </w:rPr>
              <w:t>HYJC-LH-002</w:t>
            </w:r>
          </w:p>
        </w:tc>
      </w:tr>
      <w:tr w14:paraId="02E15D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9" w:hRule="atLeast"/>
          <w:jc w:val="center"/>
        </w:trPr>
        <w:tc>
          <w:tcPr>
            <w:tcW w:w="616" w:type="dxa"/>
            <w:tcBorders>
              <w:tl2br w:val="nil"/>
              <w:tr2bl w:val="nil"/>
            </w:tcBorders>
            <w:noWrap w:val="0"/>
            <w:vAlign w:val="center"/>
          </w:tcPr>
          <w:p w14:paraId="505F03E5">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31BA28A5">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p>
        </w:tc>
        <w:tc>
          <w:tcPr>
            <w:tcW w:w="1189" w:type="dxa"/>
            <w:tcBorders>
              <w:tl2br w:val="nil"/>
              <w:tr2bl w:val="nil"/>
            </w:tcBorders>
            <w:noWrap w:val="0"/>
            <w:vAlign w:val="center"/>
          </w:tcPr>
          <w:p w14:paraId="773CA0D9">
            <w:pPr>
              <w:keepNext w:val="0"/>
              <w:keepLines w:val="0"/>
              <w:pageBreakBefore w:val="0"/>
              <w:widowControl/>
              <w:kinsoku/>
              <w:wordWrap/>
              <w:overflowPunct/>
              <w:topLinePunct w:val="0"/>
              <w:autoSpaceDE/>
              <w:autoSpaceDN/>
              <w:bidi w:val="0"/>
              <w:adjustRightInd/>
              <w:snapToGrid/>
              <w:spacing w:line="240" w:lineRule="auto"/>
              <w:ind w:left="0" w:firstLine="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bidi="ar-SA"/>
              </w:rPr>
              <w:t>汞</w:t>
            </w:r>
          </w:p>
        </w:tc>
        <w:tc>
          <w:tcPr>
            <w:tcW w:w="3083" w:type="dxa"/>
            <w:tcBorders>
              <w:tl2br w:val="nil"/>
              <w:tr2bl w:val="nil"/>
            </w:tcBorders>
            <w:noWrap w:val="0"/>
            <w:vAlign w:val="center"/>
          </w:tcPr>
          <w:p w14:paraId="1506474B">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color w:val="auto"/>
                <w:kern w:val="0"/>
                <w:sz w:val="21"/>
                <w:szCs w:val="21"/>
                <w:lang w:bidi="ar-SA"/>
              </w:rPr>
              <w:t>水质 总汞的测定 冷原子吸收分光光度法HJ 597-2011</w:t>
            </w:r>
          </w:p>
        </w:tc>
        <w:tc>
          <w:tcPr>
            <w:tcW w:w="1945" w:type="dxa"/>
            <w:tcBorders>
              <w:tl2br w:val="nil"/>
              <w:tr2bl w:val="nil"/>
            </w:tcBorders>
            <w:noWrap w:val="0"/>
            <w:vAlign w:val="center"/>
          </w:tcPr>
          <w:p w14:paraId="46B1CC39">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全自动测汞仪</w:t>
            </w:r>
          </w:p>
          <w:p w14:paraId="13CAF51F">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kern w:val="0"/>
                <w:sz w:val="21"/>
                <w:szCs w:val="21"/>
                <w:highlight w:val="none"/>
              </w:rPr>
              <w:t>Hydra ⅡAA</w:t>
            </w:r>
          </w:p>
        </w:tc>
        <w:tc>
          <w:tcPr>
            <w:tcW w:w="1547" w:type="dxa"/>
            <w:tcBorders>
              <w:tl2br w:val="nil"/>
              <w:tr2bl w:val="nil"/>
            </w:tcBorders>
            <w:noWrap w:val="0"/>
            <w:vAlign w:val="center"/>
          </w:tcPr>
          <w:p w14:paraId="1EE608A5">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sz w:val="21"/>
                <w:szCs w:val="21"/>
                <w:highlight w:val="none"/>
              </w:rPr>
              <w:t>HYJC-LH-033</w:t>
            </w:r>
          </w:p>
        </w:tc>
      </w:tr>
      <w:tr w14:paraId="688AAE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tcBorders>
              <w:tl2br w:val="nil"/>
              <w:tr2bl w:val="nil"/>
            </w:tcBorders>
            <w:noWrap w:val="0"/>
            <w:vAlign w:val="center"/>
          </w:tcPr>
          <w:p w14:paraId="28C073CC">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3090972D">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p>
        </w:tc>
        <w:tc>
          <w:tcPr>
            <w:tcW w:w="1189" w:type="dxa"/>
            <w:tcBorders>
              <w:tl2br w:val="nil"/>
              <w:tr2bl w:val="nil"/>
            </w:tcBorders>
            <w:noWrap w:val="0"/>
            <w:vAlign w:val="center"/>
          </w:tcPr>
          <w:p w14:paraId="1EB00521">
            <w:pPr>
              <w:keepNext w:val="0"/>
              <w:keepLines w:val="0"/>
              <w:pageBreakBefore w:val="0"/>
              <w:widowControl/>
              <w:kinsoku/>
              <w:wordWrap/>
              <w:overflowPunct/>
              <w:topLinePunct w:val="0"/>
              <w:autoSpaceDE/>
              <w:autoSpaceDN/>
              <w:bidi w:val="0"/>
              <w:adjustRightInd/>
              <w:snapToGrid/>
              <w:spacing w:line="240" w:lineRule="auto"/>
              <w:ind w:left="0" w:firstLine="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bidi="ar-SA"/>
              </w:rPr>
              <w:t>六价铬</w:t>
            </w:r>
          </w:p>
        </w:tc>
        <w:tc>
          <w:tcPr>
            <w:tcW w:w="3083" w:type="dxa"/>
            <w:tcBorders>
              <w:tl2br w:val="nil"/>
              <w:tr2bl w:val="nil"/>
            </w:tcBorders>
            <w:noWrap w:val="0"/>
            <w:vAlign w:val="center"/>
          </w:tcPr>
          <w:p w14:paraId="02C16E76">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cs="Times New Roman"/>
                <w:color w:val="auto"/>
                <w:kern w:val="0"/>
                <w:sz w:val="21"/>
                <w:szCs w:val="21"/>
                <w:lang w:bidi="ar-SA"/>
              </w:rPr>
            </w:pPr>
            <w:r>
              <w:rPr>
                <w:rFonts w:hint="default" w:ascii="Times New Roman" w:hAnsi="Times New Roman" w:cs="Times New Roman"/>
                <w:color w:val="auto"/>
                <w:kern w:val="0"/>
                <w:sz w:val="21"/>
                <w:szCs w:val="21"/>
                <w:lang w:bidi="ar-SA"/>
              </w:rPr>
              <w:t xml:space="preserve">生活饮用水标准检验方法 </w:t>
            </w:r>
            <w:r>
              <w:rPr>
                <w:rFonts w:hint="default" w:ascii="Times New Roman" w:hAnsi="Times New Roman" w:cs="Times New Roman"/>
                <w:color w:val="auto"/>
                <w:kern w:val="0"/>
                <w:sz w:val="21"/>
                <w:szCs w:val="21"/>
                <w:lang w:val="en-US" w:eastAsia="zh-CN" w:bidi="ar-SA"/>
              </w:rPr>
              <w:t>第6部分：金属和类金属指标</w:t>
            </w:r>
            <w:r>
              <w:rPr>
                <w:rFonts w:hint="default" w:ascii="Times New Roman" w:hAnsi="Times New Roman" w:cs="Times New Roman"/>
                <w:color w:val="auto"/>
                <w:kern w:val="0"/>
                <w:sz w:val="21"/>
                <w:szCs w:val="21"/>
                <w:lang w:bidi="ar-SA"/>
              </w:rPr>
              <w:t>（</w:t>
            </w:r>
            <w:r>
              <w:rPr>
                <w:rFonts w:hint="default" w:ascii="Times New Roman" w:hAnsi="Times New Roman" w:cs="Times New Roman"/>
                <w:color w:val="auto"/>
                <w:kern w:val="0"/>
                <w:sz w:val="21"/>
                <w:szCs w:val="21"/>
                <w:lang w:val="en-US" w:eastAsia="zh-CN" w:bidi="ar-SA"/>
              </w:rPr>
              <w:t>13.1</w:t>
            </w:r>
            <w:r>
              <w:rPr>
                <w:rFonts w:hint="default" w:ascii="Times New Roman" w:hAnsi="Times New Roman" w:cs="Times New Roman"/>
                <w:color w:val="auto"/>
                <w:kern w:val="0"/>
                <w:sz w:val="21"/>
                <w:szCs w:val="21"/>
                <w:lang w:eastAsia="zh-CN" w:bidi="ar-SA"/>
              </w:rPr>
              <w:t>铬（六价）</w:t>
            </w:r>
            <w:r>
              <w:rPr>
                <w:rFonts w:hint="default" w:ascii="Times New Roman" w:hAnsi="Times New Roman" w:cs="Times New Roman"/>
                <w:color w:val="auto"/>
                <w:kern w:val="0"/>
                <w:sz w:val="21"/>
                <w:szCs w:val="21"/>
                <w:lang w:bidi="ar-SA"/>
              </w:rPr>
              <w:t xml:space="preserve"> 二苯碳酰二肼分光光度法）</w:t>
            </w:r>
          </w:p>
          <w:p w14:paraId="240ADB31">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color w:val="auto"/>
                <w:kern w:val="0"/>
                <w:sz w:val="21"/>
                <w:szCs w:val="21"/>
                <w:lang w:bidi="ar-SA"/>
              </w:rPr>
              <w:t>GB/T 5750.6-20</w:t>
            </w:r>
            <w:r>
              <w:rPr>
                <w:rFonts w:hint="default" w:ascii="Times New Roman" w:hAnsi="Times New Roman" w:cs="Times New Roman"/>
                <w:color w:val="auto"/>
                <w:kern w:val="0"/>
                <w:sz w:val="21"/>
                <w:szCs w:val="21"/>
                <w:lang w:val="en-US" w:eastAsia="zh-CN" w:bidi="ar-SA"/>
              </w:rPr>
              <w:t>23</w:t>
            </w:r>
          </w:p>
        </w:tc>
        <w:tc>
          <w:tcPr>
            <w:tcW w:w="1945" w:type="dxa"/>
            <w:tcBorders>
              <w:tl2br w:val="nil"/>
              <w:tr2bl w:val="nil"/>
            </w:tcBorders>
            <w:noWrap w:val="0"/>
            <w:vAlign w:val="center"/>
          </w:tcPr>
          <w:p w14:paraId="690A9020">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可见分光光度计</w:t>
            </w:r>
          </w:p>
          <w:p w14:paraId="7B64C818">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z w:val="21"/>
                <w:szCs w:val="21"/>
              </w:rPr>
              <w:t>722型</w:t>
            </w:r>
          </w:p>
        </w:tc>
        <w:tc>
          <w:tcPr>
            <w:tcW w:w="1547" w:type="dxa"/>
            <w:tcBorders>
              <w:tl2br w:val="nil"/>
              <w:tr2bl w:val="nil"/>
            </w:tcBorders>
            <w:noWrap w:val="0"/>
            <w:vAlign w:val="center"/>
          </w:tcPr>
          <w:p w14:paraId="54E9C170">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sz w:val="21"/>
                <w:szCs w:val="21"/>
                <w:highlight w:val="none"/>
              </w:rPr>
              <w:t>HYJC-LH-008</w:t>
            </w:r>
          </w:p>
        </w:tc>
      </w:tr>
      <w:tr w14:paraId="0E02D8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tcBorders>
              <w:tl2br w:val="nil"/>
              <w:tr2bl w:val="nil"/>
            </w:tcBorders>
            <w:noWrap w:val="0"/>
            <w:vAlign w:val="center"/>
          </w:tcPr>
          <w:p w14:paraId="3B22D2B5">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restart"/>
            <w:tcBorders>
              <w:tl2br w:val="nil"/>
              <w:tr2bl w:val="nil"/>
            </w:tcBorders>
            <w:noWrap w:val="0"/>
            <w:vAlign w:val="center"/>
          </w:tcPr>
          <w:p w14:paraId="4A061965">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地下水</w:t>
            </w:r>
          </w:p>
        </w:tc>
        <w:tc>
          <w:tcPr>
            <w:tcW w:w="1189" w:type="dxa"/>
            <w:tcBorders>
              <w:tl2br w:val="nil"/>
              <w:tr2bl w:val="nil"/>
            </w:tcBorders>
            <w:noWrap w:val="0"/>
            <w:vAlign w:val="center"/>
          </w:tcPr>
          <w:p w14:paraId="20649EE5">
            <w:pPr>
              <w:keepNext w:val="0"/>
              <w:keepLines w:val="0"/>
              <w:pageBreakBefore w:val="0"/>
              <w:widowControl/>
              <w:suppressLineNumbers w:val="0"/>
              <w:wordWrap/>
              <w:overflowPunct/>
              <w:topLinePunct w:val="0"/>
              <w:bidi w:val="0"/>
              <w:spacing w:line="240" w:lineRule="auto"/>
              <w:ind w:left="0" w:firstLine="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bidi="ar-SA"/>
              </w:rPr>
              <w:t>总硬度</w:t>
            </w:r>
          </w:p>
        </w:tc>
        <w:tc>
          <w:tcPr>
            <w:tcW w:w="3083" w:type="dxa"/>
            <w:tcBorders>
              <w:tl2br w:val="nil"/>
              <w:tr2bl w:val="nil"/>
            </w:tcBorders>
            <w:noWrap w:val="0"/>
            <w:vAlign w:val="center"/>
          </w:tcPr>
          <w:p w14:paraId="7D8AE31B">
            <w:pPr>
              <w:keepNext w:val="0"/>
              <w:keepLines w:val="0"/>
              <w:pageBreakBefore w:val="0"/>
              <w:wordWrap/>
              <w:overflowPunct/>
              <w:topLinePunct w:val="0"/>
              <w:bidi w:val="0"/>
              <w:adjustRightInd w:val="0"/>
              <w:spacing w:line="240" w:lineRule="auto"/>
              <w:ind w:left="0" w:firstLine="0"/>
              <w:jc w:val="center"/>
              <w:rPr>
                <w:rFonts w:hint="default" w:ascii="Times New Roman" w:hAnsi="Times New Roman" w:cs="Times New Roman"/>
                <w:color w:val="auto"/>
                <w:spacing w:val="0"/>
                <w:kern w:val="0"/>
                <w:sz w:val="21"/>
                <w:szCs w:val="21"/>
                <w:highlight w:val="none"/>
                <w:lang w:val="en-US" w:eastAsia="zh-CN"/>
              </w:rPr>
            </w:pPr>
            <w:r>
              <w:rPr>
                <w:rFonts w:hint="default" w:ascii="Times New Roman" w:hAnsi="Times New Roman" w:cs="Times New Roman"/>
                <w:color w:val="auto"/>
                <w:spacing w:val="0"/>
                <w:kern w:val="0"/>
                <w:sz w:val="21"/>
                <w:szCs w:val="21"/>
                <w:highlight w:val="none"/>
                <w:lang w:val="en-US" w:eastAsia="zh-CN"/>
              </w:rPr>
              <w:t xml:space="preserve">生活饮用水标准检验方法 第4部分：感官性状和物理指标（10.1总硬度 </w:t>
            </w:r>
            <w:r>
              <w:rPr>
                <w:rFonts w:hint="default" w:ascii="Times New Roman" w:hAnsi="Times New Roman" w:eastAsia="宋体" w:cs="Times New Roman"/>
                <w:spacing w:val="0"/>
                <w:kern w:val="0"/>
                <w:sz w:val="21"/>
                <w:szCs w:val="21"/>
                <w:highlight w:val="none"/>
              </w:rPr>
              <w:t>乙二胺四乙酸二钠滴定法</w:t>
            </w:r>
            <w:r>
              <w:rPr>
                <w:rFonts w:hint="default" w:ascii="Times New Roman" w:hAnsi="Times New Roman" w:cs="Times New Roman"/>
                <w:color w:val="auto"/>
                <w:spacing w:val="0"/>
                <w:kern w:val="0"/>
                <w:sz w:val="21"/>
                <w:szCs w:val="21"/>
                <w:highlight w:val="none"/>
                <w:lang w:val="en-US" w:eastAsia="zh-CN"/>
              </w:rPr>
              <w:t>）</w:t>
            </w:r>
          </w:p>
          <w:p w14:paraId="6F5DF22C">
            <w:pPr>
              <w:keepNext w:val="0"/>
              <w:keepLines w:val="0"/>
              <w:pageBreakBefore w:val="0"/>
              <w:wordWrap/>
              <w:overflowPunct/>
              <w:topLinePunct w:val="0"/>
              <w:bidi w:val="0"/>
              <w:adjustRightInd w:val="0"/>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pacing w:val="0"/>
                <w:kern w:val="0"/>
                <w:sz w:val="21"/>
                <w:szCs w:val="21"/>
                <w:highlight w:val="none"/>
                <w:lang w:val="en-US" w:eastAsia="zh-CN"/>
              </w:rPr>
              <w:t>GB/T 5750.4-2023</w:t>
            </w:r>
          </w:p>
        </w:tc>
        <w:tc>
          <w:tcPr>
            <w:tcW w:w="1945" w:type="dxa"/>
            <w:tcBorders>
              <w:tl2br w:val="nil"/>
              <w:tr2bl w:val="nil"/>
            </w:tcBorders>
            <w:noWrap w:val="0"/>
            <w:vAlign w:val="center"/>
          </w:tcPr>
          <w:p w14:paraId="30F8ABB8">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滴定管</w:t>
            </w:r>
          </w:p>
          <w:p w14:paraId="54C7462F">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000000"/>
                <w:sz w:val="21"/>
                <w:szCs w:val="21"/>
                <w:highlight w:val="none"/>
              </w:rPr>
              <w:t>50ml</w:t>
            </w:r>
          </w:p>
        </w:tc>
        <w:tc>
          <w:tcPr>
            <w:tcW w:w="1547" w:type="dxa"/>
            <w:tcBorders>
              <w:tl2br w:val="nil"/>
              <w:tr2bl w:val="nil"/>
            </w:tcBorders>
            <w:noWrap w:val="0"/>
            <w:vAlign w:val="center"/>
          </w:tcPr>
          <w:p w14:paraId="60A5A39F">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highlight w:val="none"/>
                <w:lang w:val="en-US" w:eastAsia="zh-CN"/>
              </w:rPr>
              <w:t>/</w:t>
            </w:r>
          </w:p>
        </w:tc>
      </w:tr>
      <w:tr w14:paraId="52C05D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tcBorders>
              <w:tl2br w:val="nil"/>
              <w:tr2bl w:val="nil"/>
            </w:tcBorders>
            <w:noWrap w:val="0"/>
            <w:vAlign w:val="center"/>
          </w:tcPr>
          <w:p w14:paraId="04295B5A">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06466DA8">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p>
        </w:tc>
        <w:tc>
          <w:tcPr>
            <w:tcW w:w="1189" w:type="dxa"/>
            <w:tcBorders>
              <w:tl2br w:val="nil"/>
              <w:tr2bl w:val="nil"/>
            </w:tcBorders>
            <w:noWrap w:val="0"/>
            <w:vAlign w:val="center"/>
          </w:tcPr>
          <w:p w14:paraId="3DF5353A">
            <w:pPr>
              <w:pStyle w:val="9"/>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spacing w:val="0"/>
                <w:kern w:val="0"/>
                <w:sz w:val="21"/>
                <w:szCs w:val="21"/>
                <w:highlight w:val="none"/>
                <w:lang w:val="en-US" w:eastAsia="zh-CN" w:bidi="ar-SA"/>
              </w:rPr>
            </w:pPr>
            <w:r>
              <w:rPr>
                <w:rFonts w:hint="default" w:ascii="Times New Roman" w:hAnsi="Times New Roman" w:eastAsia="宋体" w:cs="Times New Roman"/>
                <w:color w:val="auto"/>
                <w:spacing w:val="0"/>
                <w:kern w:val="0"/>
                <w:sz w:val="21"/>
                <w:szCs w:val="21"/>
                <w:highlight w:val="none"/>
                <w:lang w:val="en-US" w:eastAsia="zh-CN" w:bidi="ar-SA"/>
              </w:rPr>
              <w:t>铅</w:t>
            </w:r>
          </w:p>
        </w:tc>
        <w:tc>
          <w:tcPr>
            <w:tcW w:w="3083" w:type="dxa"/>
            <w:tcBorders>
              <w:tl2br w:val="nil"/>
              <w:tr2bl w:val="nil"/>
            </w:tcBorders>
            <w:noWrap w:val="0"/>
            <w:vAlign w:val="center"/>
          </w:tcPr>
          <w:p w14:paraId="02436486">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铜、铅、镉 石墨炉原子吸收法</w:t>
            </w:r>
          </w:p>
          <w:p w14:paraId="13C63CA4">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《水和废水监测分析方法》(第四版)国家环境保护总局（2002年）</w:t>
            </w:r>
          </w:p>
        </w:tc>
        <w:tc>
          <w:tcPr>
            <w:tcW w:w="1945" w:type="dxa"/>
            <w:tcBorders>
              <w:tl2br w:val="nil"/>
              <w:tr2bl w:val="nil"/>
            </w:tcBorders>
            <w:noWrap w:val="0"/>
            <w:vAlign w:val="center"/>
          </w:tcPr>
          <w:p w14:paraId="727FB59B">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原子吸收光谱仪</w:t>
            </w:r>
          </w:p>
          <w:p w14:paraId="7AF6C51A">
            <w:pPr>
              <w:pStyle w:val="31"/>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b w:val="0"/>
                <w:bCs w:val="0"/>
                <w:color w:val="000000"/>
                <w:sz w:val="21"/>
                <w:szCs w:val="21"/>
                <w:highlight w:val="none"/>
                <w:lang w:val="en-US" w:eastAsia="zh-CN"/>
              </w:rPr>
              <w:t>PinAAcle 900H</w:t>
            </w:r>
          </w:p>
        </w:tc>
        <w:tc>
          <w:tcPr>
            <w:tcW w:w="1547" w:type="dxa"/>
            <w:tcBorders>
              <w:tl2br w:val="nil"/>
              <w:tr2bl w:val="nil"/>
            </w:tcBorders>
            <w:noWrap w:val="0"/>
            <w:vAlign w:val="center"/>
          </w:tcPr>
          <w:p w14:paraId="137FF7F4">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b w:val="0"/>
                <w:bCs w:val="0"/>
                <w:color w:val="000000"/>
                <w:sz w:val="21"/>
                <w:szCs w:val="21"/>
                <w:highlight w:val="none"/>
                <w:lang w:val="en-US" w:eastAsia="zh-CN"/>
              </w:rPr>
              <w:t>HYJC-LH-045</w:t>
            </w:r>
          </w:p>
        </w:tc>
      </w:tr>
      <w:tr w14:paraId="17A2D9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tcBorders>
              <w:tl2br w:val="nil"/>
              <w:tr2bl w:val="nil"/>
            </w:tcBorders>
            <w:noWrap w:val="0"/>
            <w:vAlign w:val="center"/>
          </w:tcPr>
          <w:p w14:paraId="16B9CC88">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57B31D7C">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p>
        </w:tc>
        <w:tc>
          <w:tcPr>
            <w:tcW w:w="1189" w:type="dxa"/>
            <w:tcBorders>
              <w:tl2br w:val="nil"/>
              <w:tr2bl w:val="nil"/>
            </w:tcBorders>
            <w:noWrap w:val="0"/>
            <w:vAlign w:val="center"/>
          </w:tcPr>
          <w:p w14:paraId="589A6299">
            <w:pPr>
              <w:keepNext w:val="0"/>
              <w:keepLines w:val="0"/>
              <w:pageBreakBefore w:val="0"/>
              <w:widowControl/>
              <w:kinsoku/>
              <w:wordWrap/>
              <w:overflowPunct/>
              <w:topLinePunct w:val="0"/>
              <w:autoSpaceDE/>
              <w:autoSpaceDN/>
              <w:bidi w:val="0"/>
              <w:adjustRightInd/>
              <w:snapToGrid/>
              <w:spacing w:line="240" w:lineRule="auto"/>
              <w:ind w:left="0" w:firstLine="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eastAsia="zh-CN" w:bidi="ar-SA"/>
              </w:rPr>
              <w:t>氟化物</w:t>
            </w:r>
          </w:p>
        </w:tc>
        <w:tc>
          <w:tcPr>
            <w:tcW w:w="3083" w:type="dxa"/>
            <w:tcBorders>
              <w:tl2br w:val="nil"/>
              <w:tr2bl w:val="nil"/>
            </w:tcBorders>
            <w:noWrap w:val="0"/>
            <w:vAlign w:val="center"/>
          </w:tcPr>
          <w:p w14:paraId="0AA29FE4">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auto"/>
                <w:kern w:val="0"/>
                <w:sz w:val="21"/>
                <w:szCs w:val="21"/>
                <w:lang w:bidi="ar-SA"/>
              </w:rPr>
              <w:t>水质 无机阴离子（F</w:t>
            </w:r>
            <w:r>
              <w:rPr>
                <w:rFonts w:hint="default" w:ascii="Times New Roman" w:hAnsi="Times New Roman" w:eastAsia="宋体" w:cs="Times New Roman"/>
                <w:color w:val="auto"/>
                <w:kern w:val="0"/>
                <w:sz w:val="21"/>
                <w:szCs w:val="21"/>
                <w:vertAlign w:val="superscript"/>
                <w:lang w:bidi="ar-SA"/>
              </w:rPr>
              <w:t>-</w:t>
            </w:r>
            <w:r>
              <w:rPr>
                <w:rFonts w:hint="default" w:ascii="Times New Roman" w:hAnsi="Times New Roman" w:eastAsia="宋体" w:cs="Times New Roman"/>
                <w:color w:val="auto"/>
                <w:kern w:val="0"/>
                <w:sz w:val="21"/>
                <w:szCs w:val="21"/>
                <w:lang w:bidi="ar-SA"/>
              </w:rPr>
              <w:t>、Cl</w:t>
            </w:r>
            <w:r>
              <w:rPr>
                <w:rFonts w:hint="default" w:ascii="Times New Roman" w:hAnsi="Times New Roman" w:eastAsia="宋体" w:cs="Times New Roman"/>
                <w:color w:val="auto"/>
                <w:kern w:val="0"/>
                <w:sz w:val="21"/>
                <w:szCs w:val="21"/>
                <w:vertAlign w:val="superscript"/>
                <w:lang w:bidi="ar-SA"/>
              </w:rPr>
              <w:t>-</w:t>
            </w:r>
            <w:r>
              <w:rPr>
                <w:rFonts w:hint="default" w:ascii="Times New Roman" w:hAnsi="Times New Roman" w:eastAsia="宋体" w:cs="Times New Roman"/>
                <w:color w:val="auto"/>
                <w:kern w:val="0"/>
                <w:sz w:val="21"/>
                <w:szCs w:val="21"/>
                <w:lang w:bidi="ar-SA"/>
              </w:rPr>
              <w:t>、NO</w:t>
            </w:r>
            <w:r>
              <w:rPr>
                <w:rFonts w:hint="default" w:ascii="Times New Roman" w:hAnsi="Times New Roman" w:eastAsia="宋体" w:cs="Times New Roman"/>
                <w:color w:val="auto"/>
                <w:kern w:val="0"/>
                <w:sz w:val="21"/>
                <w:szCs w:val="21"/>
                <w:vertAlign w:val="subscript"/>
                <w:lang w:bidi="ar-SA"/>
              </w:rPr>
              <w:t>2</w:t>
            </w:r>
            <w:r>
              <w:rPr>
                <w:rFonts w:hint="default" w:ascii="Times New Roman" w:hAnsi="Times New Roman" w:eastAsia="宋体" w:cs="Times New Roman"/>
                <w:color w:val="auto"/>
                <w:kern w:val="0"/>
                <w:sz w:val="21"/>
                <w:szCs w:val="21"/>
                <w:vertAlign w:val="superscript"/>
                <w:lang w:bidi="ar-SA"/>
              </w:rPr>
              <w:t>-</w:t>
            </w:r>
            <w:r>
              <w:rPr>
                <w:rFonts w:hint="default" w:ascii="Times New Roman" w:hAnsi="Times New Roman" w:eastAsia="宋体" w:cs="Times New Roman"/>
                <w:color w:val="auto"/>
                <w:kern w:val="0"/>
                <w:sz w:val="21"/>
                <w:szCs w:val="21"/>
                <w:lang w:bidi="ar-SA"/>
              </w:rPr>
              <w:t>、Br</w:t>
            </w:r>
            <w:r>
              <w:rPr>
                <w:rFonts w:hint="default" w:ascii="Times New Roman" w:hAnsi="Times New Roman" w:eastAsia="宋体" w:cs="Times New Roman"/>
                <w:color w:val="auto"/>
                <w:kern w:val="0"/>
                <w:sz w:val="21"/>
                <w:szCs w:val="21"/>
                <w:vertAlign w:val="superscript"/>
                <w:lang w:bidi="ar-SA"/>
              </w:rPr>
              <w:t>-</w:t>
            </w:r>
            <w:r>
              <w:rPr>
                <w:rFonts w:hint="default" w:ascii="Times New Roman" w:hAnsi="Times New Roman" w:eastAsia="宋体" w:cs="Times New Roman"/>
                <w:color w:val="auto"/>
                <w:kern w:val="0"/>
                <w:sz w:val="21"/>
                <w:szCs w:val="21"/>
                <w:lang w:bidi="ar-SA"/>
              </w:rPr>
              <w:t>、NO</w:t>
            </w:r>
            <w:r>
              <w:rPr>
                <w:rFonts w:hint="default" w:ascii="Times New Roman" w:hAnsi="Times New Roman" w:eastAsia="宋体" w:cs="Times New Roman"/>
                <w:color w:val="auto"/>
                <w:kern w:val="0"/>
                <w:sz w:val="21"/>
                <w:szCs w:val="21"/>
                <w:vertAlign w:val="subscript"/>
                <w:lang w:bidi="ar-SA"/>
              </w:rPr>
              <w:t>3</w:t>
            </w:r>
            <w:r>
              <w:rPr>
                <w:rFonts w:hint="default" w:ascii="Times New Roman" w:hAnsi="Times New Roman" w:eastAsia="宋体" w:cs="Times New Roman"/>
                <w:color w:val="auto"/>
                <w:kern w:val="0"/>
                <w:sz w:val="21"/>
                <w:szCs w:val="21"/>
                <w:vertAlign w:val="superscript"/>
                <w:lang w:bidi="ar-SA"/>
              </w:rPr>
              <w:t>-</w:t>
            </w:r>
            <w:r>
              <w:rPr>
                <w:rFonts w:hint="default" w:ascii="Times New Roman" w:hAnsi="Times New Roman" w:eastAsia="宋体" w:cs="Times New Roman"/>
                <w:color w:val="auto"/>
                <w:kern w:val="0"/>
                <w:sz w:val="21"/>
                <w:szCs w:val="21"/>
                <w:lang w:bidi="ar-SA"/>
              </w:rPr>
              <w:t>、PO</w:t>
            </w:r>
            <w:r>
              <w:rPr>
                <w:rFonts w:hint="default" w:ascii="Times New Roman" w:hAnsi="Times New Roman" w:eastAsia="宋体" w:cs="Times New Roman"/>
                <w:color w:val="auto"/>
                <w:kern w:val="0"/>
                <w:sz w:val="21"/>
                <w:szCs w:val="21"/>
                <w:vertAlign w:val="subscript"/>
                <w:lang w:bidi="ar-SA"/>
              </w:rPr>
              <w:t>4</w:t>
            </w:r>
            <w:r>
              <w:rPr>
                <w:rFonts w:hint="default" w:ascii="Times New Roman" w:hAnsi="Times New Roman" w:eastAsia="宋体" w:cs="Times New Roman"/>
                <w:color w:val="auto"/>
                <w:kern w:val="0"/>
                <w:sz w:val="21"/>
                <w:szCs w:val="21"/>
                <w:vertAlign w:val="superscript"/>
                <w:lang w:bidi="ar-SA"/>
              </w:rPr>
              <w:t>3-</w:t>
            </w:r>
            <w:r>
              <w:rPr>
                <w:rFonts w:hint="default" w:ascii="Times New Roman" w:hAnsi="Times New Roman" w:eastAsia="宋体" w:cs="Times New Roman"/>
                <w:color w:val="auto"/>
                <w:kern w:val="0"/>
                <w:sz w:val="21"/>
                <w:szCs w:val="21"/>
                <w:lang w:bidi="ar-SA"/>
              </w:rPr>
              <w:t>、SO</w:t>
            </w:r>
            <w:r>
              <w:rPr>
                <w:rFonts w:hint="default" w:ascii="Times New Roman" w:hAnsi="Times New Roman" w:eastAsia="宋体" w:cs="Times New Roman"/>
                <w:color w:val="auto"/>
                <w:kern w:val="0"/>
                <w:sz w:val="21"/>
                <w:szCs w:val="21"/>
                <w:vertAlign w:val="subscript"/>
                <w:lang w:bidi="ar-SA"/>
              </w:rPr>
              <w:t>3</w:t>
            </w:r>
            <w:r>
              <w:rPr>
                <w:rFonts w:hint="default" w:ascii="Times New Roman" w:hAnsi="Times New Roman" w:eastAsia="宋体" w:cs="Times New Roman"/>
                <w:color w:val="auto"/>
                <w:kern w:val="0"/>
                <w:sz w:val="21"/>
                <w:szCs w:val="21"/>
                <w:vertAlign w:val="superscript"/>
                <w:lang w:bidi="ar-SA"/>
              </w:rPr>
              <w:t>2-</w:t>
            </w:r>
            <w:r>
              <w:rPr>
                <w:rFonts w:hint="default" w:ascii="Times New Roman" w:hAnsi="Times New Roman" w:eastAsia="宋体" w:cs="Times New Roman"/>
                <w:color w:val="auto"/>
                <w:kern w:val="0"/>
                <w:sz w:val="21"/>
                <w:szCs w:val="21"/>
                <w:lang w:bidi="ar-SA"/>
              </w:rPr>
              <w:t>、SO</w:t>
            </w:r>
            <w:r>
              <w:rPr>
                <w:rFonts w:hint="default" w:ascii="Times New Roman" w:hAnsi="Times New Roman" w:eastAsia="宋体" w:cs="Times New Roman"/>
                <w:color w:val="auto"/>
                <w:kern w:val="0"/>
                <w:sz w:val="21"/>
                <w:szCs w:val="21"/>
                <w:vertAlign w:val="subscript"/>
                <w:lang w:bidi="ar-SA"/>
              </w:rPr>
              <w:t>4</w:t>
            </w:r>
            <w:r>
              <w:rPr>
                <w:rFonts w:hint="default" w:ascii="Times New Roman" w:hAnsi="Times New Roman" w:eastAsia="宋体" w:cs="Times New Roman"/>
                <w:color w:val="auto"/>
                <w:kern w:val="0"/>
                <w:sz w:val="21"/>
                <w:szCs w:val="21"/>
                <w:vertAlign w:val="superscript"/>
                <w:lang w:bidi="ar-SA"/>
              </w:rPr>
              <w:t>2-</w:t>
            </w:r>
            <w:r>
              <w:rPr>
                <w:rFonts w:hint="default" w:ascii="Times New Roman" w:hAnsi="Times New Roman" w:eastAsia="宋体" w:cs="Times New Roman"/>
                <w:color w:val="auto"/>
                <w:kern w:val="0"/>
                <w:sz w:val="21"/>
                <w:szCs w:val="21"/>
                <w:lang w:bidi="ar-SA"/>
              </w:rPr>
              <w:t>）的测定 离子色谱法</w:t>
            </w:r>
            <w:r>
              <w:rPr>
                <w:rFonts w:hint="default" w:ascii="Times New Roman" w:hAnsi="Times New Roman" w:cs="Times New Roman"/>
                <w:color w:val="auto"/>
                <w:kern w:val="0"/>
                <w:sz w:val="21"/>
                <w:szCs w:val="21"/>
                <w:lang w:val="en-US" w:eastAsia="zh-CN" w:bidi="ar-SA"/>
              </w:rPr>
              <w:t xml:space="preserve"> </w:t>
            </w:r>
            <w:r>
              <w:rPr>
                <w:rFonts w:hint="default" w:ascii="Times New Roman" w:hAnsi="Times New Roman" w:eastAsia="宋体" w:cs="Times New Roman"/>
                <w:color w:val="auto"/>
                <w:kern w:val="0"/>
                <w:sz w:val="21"/>
                <w:szCs w:val="21"/>
                <w:lang w:bidi="ar-SA"/>
              </w:rPr>
              <w:t>HJ 84-2016</w:t>
            </w:r>
          </w:p>
        </w:tc>
        <w:tc>
          <w:tcPr>
            <w:tcW w:w="1945" w:type="dxa"/>
            <w:tcBorders>
              <w:tl2br w:val="nil"/>
              <w:tr2bl w:val="nil"/>
            </w:tcBorders>
            <w:noWrap w:val="0"/>
            <w:vAlign w:val="center"/>
          </w:tcPr>
          <w:p w14:paraId="5582551D">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离子色谱仪</w:t>
            </w:r>
          </w:p>
          <w:p w14:paraId="68E91B18">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kern w:val="0"/>
                <w:sz w:val="21"/>
                <w:szCs w:val="21"/>
                <w:highlight w:val="none"/>
              </w:rPr>
              <w:t>IC6000</w:t>
            </w:r>
          </w:p>
        </w:tc>
        <w:tc>
          <w:tcPr>
            <w:tcW w:w="1547" w:type="dxa"/>
            <w:tcBorders>
              <w:tl2br w:val="nil"/>
              <w:tr2bl w:val="nil"/>
            </w:tcBorders>
            <w:noWrap w:val="0"/>
            <w:vAlign w:val="center"/>
          </w:tcPr>
          <w:p w14:paraId="44514DA5">
            <w:pPr>
              <w:keepNext w:val="0"/>
              <w:keepLines w:val="0"/>
              <w:pageBreakBefore w:val="0"/>
              <w:widowControl/>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000000"/>
                <w:sz w:val="21"/>
                <w:szCs w:val="21"/>
                <w:highlight w:val="none"/>
              </w:rPr>
              <w:t>HYJC-LH-003</w:t>
            </w:r>
          </w:p>
        </w:tc>
      </w:tr>
      <w:tr w14:paraId="1A4566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tcBorders>
              <w:tl2br w:val="nil"/>
              <w:tr2bl w:val="nil"/>
            </w:tcBorders>
            <w:noWrap w:val="0"/>
            <w:vAlign w:val="center"/>
          </w:tcPr>
          <w:p w14:paraId="372F3936">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215EC97B">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p>
        </w:tc>
        <w:tc>
          <w:tcPr>
            <w:tcW w:w="1189" w:type="dxa"/>
            <w:tcBorders>
              <w:tl2br w:val="nil"/>
              <w:tr2bl w:val="nil"/>
            </w:tcBorders>
            <w:noWrap w:val="0"/>
            <w:vAlign w:val="center"/>
          </w:tcPr>
          <w:p w14:paraId="03F8853E">
            <w:pPr>
              <w:keepNext w:val="0"/>
              <w:keepLines w:val="0"/>
              <w:pageBreakBefore w:val="0"/>
              <w:widowControl/>
              <w:kinsoku/>
              <w:wordWrap/>
              <w:overflowPunct/>
              <w:topLinePunct w:val="0"/>
              <w:autoSpaceDE/>
              <w:autoSpaceDN/>
              <w:bidi w:val="0"/>
              <w:adjustRightInd/>
              <w:snapToGrid/>
              <w:spacing w:line="240" w:lineRule="auto"/>
              <w:ind w:left="0" w:firstLine="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bidi="ar-SA"/>
              </w:rPr>
              <w:t>镉</w:t>
            </w:r>
          </w:p>
        </w:tc>
        <w:tc>
          <w:tcPr>
            <w:tcW w:w="3083" w:type="dxa"/>
            <w:tcBorders>
              <w:tl2br w:val="nil"/>
              <w:tr2bl w:val="nil"/>
            </w:tcBorders>
            <w:noWrap w:val="0"/>
            <w:vAlign w:val="center"/>
          </w:tcPr>
          <w:p w14:paraId="6C60C84E">
            <w:pPr>
              <w:keepNext w:val="0"/>
              <w:keepLines w:val="0"/>
              <w:pageBreakBefore w:val="0"/>
              <w:widowControl/>
              <w:suppressLineNumbers w:val="0"/>
              <w:wordWrap/>
              <w:overflowPunct/>
              <w:topLinePunct w:val="0"/>
              <w:bidi w:val="0"/>
              <w:spacing w:line="240" w:lineRule="auto"/>
              <w:ind w:left="0" w:firstLine="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color w:val="auto"/>
                <w:kern w:val="0"/>
                <w:sz w:val="21"/>
                <w:szCs w:val="21"/>
                <w:highlight w:val="none"/>
                <w:lang w:val="en-US" w:eastAsia="zh-CN"/>
              </w:rPr>
              <w:t>铜、铅、镉 石墨炉原子吸收法</w:t>
            </w:r>
          </w:p>
          <w:p w14:paraId="3CF0E129">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auto"/>
                <w:kern w:val="0"/>
                <w:sz w:val="21"/>
                <w:szCs w:val="21"/>
                <w:highlight w:val="none"/>
              </w:rPr>
              <w:t>《水和废水监测分析方法》(第四版)国家环境保护总局</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2002年）</w:t>
            </w:r>
          </w:p>
        </w:tc>
        <w:tc>
          <w:tcPr>
            <w:tcW w:w="1945" w:type="dxa"/>
            <w:tcBorders>
              <w:tl2br w:val="nil"/>
              <w:tr2bl w:val="nil"/>
            </w:tcBorders>
            <w:noWrap w:val="0"/>
            <w:vAlign w:val="center"/>
          </w:tcPr>
          <w:p w14:paraId="508DA56F">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原子吸收光谱仪</w:t>
            </w:r>
          </w:p>
          <w:p w14:paraId="2EED2013">
            <w:pPr>
              <w:pStyle w:val="31"/>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b w:val="0"/>
                <w:bCs w:val="0"/>
                <w:color w:val="000000"/>
                <w:sz w:val="21"/>
                <w:szCs w:val="21"/>
                <w:highlight w:val="none"/>
                <w:lang w:val="en-US" w:eastAsia="zh-CN"/>
              </w:rPr>
              <w:t>PinAAcle 900H</w:t>
            </w:r>
          </w:p>
        </w:tc>
        <w:tc>
          <w:tcPr>
            <w:tcW w:w="1547" w:type="dxa"/>
            <w:tcBorders>
              <w:tl2br w:val="nil"/>
              <w:tr2bl w:val="nil"/>
            </w:tcBorders>
            <w:noWrap w:val="0"/>
            <w:vAlign w:val="center"/>
          </w:tcPr>
          <w:p w14:paraId="49FFAFEF">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b w:val="0"/>
                <w:bCs w:val="0"/>
                <w:color w:val="000000"/>
                <w:sz w:val="21"/>
                <w:szCs w:val="21"/>
                <w:highlight w:val="none"/>
                <w:lang w:val="en-US" w:eastAsia="zh-CN"/>
              </w:rPr>
              <w:t>HYJC-LH-045</w:t>
            </w:r>
          </w:p>
        </w:tc>
      </w:tr>
      <w:tr w14:paraId="1FEFED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tcBorders>
              <w:tl2br w:val="nil"/>
              <w:tr2bl w:val="nil"/>
            </w:tcBorders>
            <w:noWrap w:val="0"/>
            <w:vAlign w:val="center"/>
          </w:tcPr>
          <w:p w14:paraId="721236AC">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2A9F6D2F">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p>
        </w:tc>
        <w:tc>
          <w:tcPr>
            <w:tcW w:w="1189" w:type="dxa"/>
            <w:tcBorders>
              <w:tl2br w:val="nil"/>
              <w:tr2bl w:val="nil"/>
            </w:tcBorders>
            <w:noWrap w:val="0"/>
            <w:vAlign w:val="center"/>
          </w:tcPr>
          <w:p w14:paraId="63AED0D0">
            <w:pPr>
              <w:keepNext w:val="0"/>
              <w:keepLines w:val="0"/>
              <w:pageBreakBefore w:val="0"/>
              <w:widowControl/>
              <w:kinsoku/>
              <w:wordWrap/>
              <w:overflowPunct/>
              <w:topLinePunct w:val="0"/>
              <w:autoSpaceDE/>
              <w:autoSpaceDN/>
              <w:bidi w:val="0"/>
              <w:adjustRightInd/>
              <w:snapToGrid/>
              <w:spacing w:line="240" w:lineRule="auto"/>
              <w:ind w:left="0" w:firstLine="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bidi="ar-SA"/>
              </w:rPr>
              <w:t>铁</w:t>
            </w:r>
          </w:p>
        </w:tc>
        <w:tc>
          <w:tcPr>
            <w:tcW w:w="3083" w:type="dxa"/>
            <w:tcBorders>
              <w:tl2br w:val="nil"/>
              <w:tr2bl w:val="nil"/>
            </w:tcBorders>
            <w:noWrap w:val="0"/>
            <w:vAlign w:val="center"/>
          </w:tcPr>
          <w:p w14:paraId="3A003F1D">
            <w:pPr>
              <w:keepNext w:val="0"/>
              <w:keepLines w:val="0"/>
              <w:pageBreakBefore w:val="0"/>
              <w:widowControl/>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auto"/>
                <w:kern w:val="0"/>
                <w:sz w:val="21"/>
                <w:szCs w:val="21"/>
                <w:lang w:bidi="ar-SA"/>
              </w:rPr>
              <w:t>水质 铁、锰的测定 火焰原子吸收分光光度法 GB 11911-89</w:t>
            </w:r>
          </w:p>
        </w:tc>
        <w:tc>
          <w:tcPr>
            <w:tcW w:w="1945" w:type="dxa"/>
            <w:tcBorders>
              <w:tl2br w:val="nil"/>
              <w:tr2bl w:val="nil"/>
            </w:tcBorders>
            <w:noWrap w:val="0"/>
            <w:vAlign w:val="center"/>
          </w:tcPr>
          <w:p w14:paraId="0914C213">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原子吸收光谱仪</w:t>
            </w:r>
          </w:p>
          <w:p w14:paraId="36305130">
            <w:pPr>
              <w:pStyle w:val="31"/>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b w:val="0"/>
                <w:bCs w:val="0"/>
                <w:color w:val="000000"/>
                <w:sz w:val="21"/>
                <w:szCs w:val="21"/>
                <w:highlight w:val="none"/>
                <w:lang w:val="en-US" w:eastAsia="zh-CN"/>
              </w:rPr>
              <w:t>PinAAcle 900H</w:t>
            </w:r>
          </w:p>
        </w:tc>
        <w:tc>
          <w:tcPr>
            <w:tcW w:w="1547" w:type="dxa"/>
            <w:tcBorders>
              <w:tl2br w:val="nil"/>
              <w:tr2bl w:val="nil"/>
            </w:tcBorders>
            <w:noWrap w:val="0"/>
            <w:vAlign w:val="center"/>
          </w:tcPr>
          <w:p w14:paraId="0023BE4F">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b w:val="0"/>
                <w:bCs w:val="0"/>
                <w:color w:val="000000"/>
                <w:sz w:val="21"/>
                <w:szCs w:val="21"/>
                <w:highlight w:val="none"/>
                <w:lang w:val="en-US" w:eastAsia="zh-CN"/>
              </w:rPr>
              <w:t>HYJC-LH-045</w:t>
            </w:r>
          </w:p>
        </w:tc>
      </w:tr>
      <w:tr w14:paraId="7ADCA7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tcBorders>
              <w:tl2br w:val="nil"/>
              <w:tr2bl w:val="nil"/>
            </w:tcBorders>
            <w:noWrap w:val="0"/>
            <w:vAlign w:val="center"/>
          </w:tcPr>
          <w:p w14:paraId="135AF7A5">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7BA80831">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p>
        </w:tc>
        <w:tc>
          <w:tcPr>
            <w:tcW w:w="1189" w:type="dxa"/>
            <w:tcBorders>
              <w:tl2br w:val="nil"/>
              <w:tr2bl w:val="nil"/>
            </w:tcBorders>
            <w:noWrap w:val="0"/>
            <w:vAlign w:val="center"/>
          </w:tcPr>
          <w:p w14:paraId="26C64152">
            <w:pPr>
              <w:keepNext w:val="0"/>
              <w:keepLines w:val="0"/>
              <w:pageBreakBefore w:val="0"/>
              <w:widowControl/>
              <w:kinsoku/>
              <w:wordWrap/>
              <w:overflowPunct/>
              <w:topLinePunct w:val="0"/>
              <w:autoSpaceDE/>
              <w:autoSpaceDN/>
              <w:bidi w:val="0"/>
              <w:adjustRightInd/>
              <w:snapToGrid/>
              <w:spacing w:line="240" w:lineRule="auto"/>
              <w:ind w:left="0" w:firstLine="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bidi="ar-SA"/>
              </w:rPr>
              <w:t>锰</w:t>
            </w:r>
          </w:p>
        </w:tc>
        <w:tc>
          <w:tcPr>
            <w:tcW w:w="3083" w:type="dxa"/>
            <w:tcBorders>
              <w:tl2br w:val="nil"/>
              <w:tr2bl w:val="nil"/>
            </w:tcBorders>
            <w:noWrap w:val="0"/>
            <w:vAlign w:val="center"/>
          </w:tcPr>
          <w:p w14:paraId="69314CAD">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000000"/>
                <w:kern w:val="0"/>
                <w:sz w:val="21"/>
                <w:szCs w:val="21"/>
                <w:u w:val="none"/>
                <w:lang w:val="en-US" w:eastAsia="zh-CN" w:bidi="ar"/>
              </w:rPr>
              <w:t>水质 铁、锰的测定 火焰原子吸收分光光度法 GB 11911-89</w:t>
            </w:r>
          </w:p>
        </w:tc>
        <w:tc>
          <w:tcPr>
            <w:tcW w:w="1945" w:type="dxa"/>
            <w:tcBorders>
              <w:tl2br w:val="nil"/>
              <w:tr2bl w:val="nil"/>
            </w:tcBorders>
            <w:noWrap w:val="0"/>
            <w:vAlign w:val="center"/>
          </w:tcPr>
          <w:p w14:paraId="780F7D64">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原子吸收光谱仪</w:t>
            </w:r>
          </w:p>
          <w:p w14:paraId="4904DD5E">
            <w:pPr>
              <w:pStyle w:val="31"/>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cs="Times New Roman"/>
                <w:b w:val="0"/>
                <w:bCs w:val="0"/>
                <w:color w:val="000000"/>
                <w:sz w:val="21"/>
                <w:szCs w:val="21"/>
                <w:highlight w:val="none"/>
                <w:lang w:val="en-US" w:eastAsia="zh-CN"/>
              </w:rPr>
              <w:t>PinAAcle 900H</w:t>
            </w:r>
          </w:p>
        </w:tc>
        <w:tc>
          <w:tcPr>
            <w:tcW w:w="1547" w:type="dxa"/>
            <w:tcBorders>
              <w:tl2br w:val="nil"/>
              <w:tr2bl w:val="nil"/>
            </w:tcBorders>
            <w:noWrap w:val="0"/>
            <w:vAlign w:val="center"/>
          </w:tcPr>
          <w:p w14:paraId="050E5887">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000000"/>
                <w:kern w:val="0"/>
                <w:sz w:val="21"/>
                <w:szCs w:val="21"/>
                <w:u w:val="none"/>
                <w:lang w:val="en-US" w:eastAsia="zh-CN" w:bidi="ar"/>
              </w:rPr>
            </w:pPr>
            <w:r>
              <w:rPr>
                <w:rFonts w:hint="default" w:ascii="Times New Roman" w:hAnsi="Times New Roman" w:cs="Times New Roman"/>
                <w:b w:val="0"/>
                <w:bCs w:val="0"/>
                <w:color w:val="000000"/>
                <w:sz w:val="21"/>
                <w:szCs w:val="21"/>
                <w:highlight w:val="none"/>
                <w:lang w:val="en-US" w:eastAsia="zh-CN"/>
              </w:rPr>
              <w:t>HYJC-LH-045</w:t>
            </w:r>
          </w:p>
        </w:tc>
      </w:tr>
      <w:tr w14:paraId="66607A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vMerge w:val="restart"/>
            <w:tcBorders>
              <w:tl2br w:val="nil"/>
              <w:tr2bl w:val="nil"/>
            </w:tcBorders>
            <w:noWrap w:val="0"/>
            <w:vAlign w:val="center"/>
          </w:tcPr>
          <w:p w14:paraId="112188E9">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238E84A8">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p>
        </w:tc>
        <w:tc>
          <w:tcPr>
            <w:tcW w:w="1189" w:type="dxa"/>
            <w:vMerge w:val="restart"/>
            <w:tcBorders>
              <w:tl2br w:val="nil"/>
              <w:tr2bl w:val="nil"/>
            </w:tcBorders>
            <w:noWrap w:val="0"/>
            <w:vAlign w:val="center"/>
          </w:tcPr>
          <w:p w14:paraId="79387F53">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spacing w:val="0"/>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溶解性总固体</w:t>
            </w:r>
          </w:p>
        </w:tc>
        <w:tc>
          <w:tcPr>
            <w:tcW w:w="3083" w:type="dxa"/>
            <w:vMerge w:val="restart"/>
            <w:tcBorders>
              <w:tl2br w:val="nil"/>
              <w:tr2bl w:val="nil"/>
            </w:tcBorders>
            <w:noWrap w:val="0"/>
            <w:vAlign w:val="center"/>
          </w:tcPr>
          <w:p w14:paraId="79B8367E">
            <w:pPr>
              <w:keepNext w:val="0"/>
              <w:keepLines w:val="0"/>
              <w:pageBreakBefore w:val="0"/>
              <w:wordWrap/>
              <w:overflowPunct/>
              <w:topLinePunct w:val="0"/>
              <w:bidi w:val="0"/>
              <w:adjustRightInd w:val="0"/>
              <w:spacing w:line="240" w:lineRule="auto"/>
              <w:ind w:left="0" w:firstLine="0"/>
              <w:jc w:val="center"/>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color w:val="auto"/>
                <w:kern w:val="0"/>
                <w:sz w:val="21"/>
                <w:szCs w:val="21"/>
                <w:highlight w:val="none"/>
                <w:lang w:val="en-US" w:eastAsia="zh-CN"/>
              </w:rPr>
              <w:t>生活饮用水标准检验方法 第4部分：感官性状和物理指标（</w:t>
            </w:r>
            <w:r>
              <w:rPr>
                <w:rFonts w:hint="default" w:ascii="Times New Roman" w:hAnsi="Times New Roman" w:eastAsia="宋体" w:cs="Times New Roman"/>
                <w:kern w:val="0"/>
                <w:sz w:val="21"/>
                <w:szCs w:val="21"/>
                <w:highlight w:val="none"/>
                <w:lang w:val="en-US" w:eastAsia="zh-CN"/>
              </w:rPr>
              <w:t>11</w:t>
            </w:r>
            <w:r>
              <w:rPr>
                <w:rFonts w:hint="default" w:ascii="Times New Roman" w:hAnsi="Times New Roman" w:eastAsia="宋体" w:cs="Times New Roman"/>
                <w:kern w:val="0"/>
                <w:sz w:val="21"/>
                <w:szCs w:val="21"/>
                <w:highlight w:val="none"/>
              </w:rPr>
              <w:t>.1溶解性总固体 称量法</w:t>
            </w:r>
            <w:r>
              <w:rPr>
                <w:rFonts w:hint="default" w:ascii="Times New Roman" w:hAnsi="Times New Roman" w:cs="Times New Roman"/>
                <w:color w:val="auto"/>
                <w:kern w:val="0"/>
                <w:sz w:val="21"/>
                <w:szCs w:val="21"/>
                <w:highlight w:val="none"/>
                <w:lang w:val="en-US" w:eastAsia="zh-CN"/>
              </w:rPr>
              <w:t>）GB/T 5750.4-2023</w:t>
            </w:r>
          </w:p>
        </w:tc>
        <w:tc>
          <w:tcPr>
            <w:tcW w:w="1945" w:type="dxa"/>
            <w:tcBorders>
              <w:tl2br w:val="nil"/>
              <w:tr2bl w:val="nil"/>
            </w:tcBorders>
            <w:noWrap w:val="0"/>
            <w:vAlign w:val="center"/>
          </w:tcPr>
          <w:p w14:paraId="17671CDC">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电子天平</w:t>
            </w:r>
          </w:p>
          <w:p w14:paraId="3CDA8C8A">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kern w:val="0"/>
                <w:sz w:val="21"/>
                <w:szCs w:val="21"/>
                <w:highlight w:val="none"/>
              </w:rPr>
              <w:t>BSA-224S</w:t>
            </w:r>
          </w:p>
        </w:tc>
        <w:tc>
          <w:tcPr>
            <w:tcW w:w="1547" w:type="dxa"/>
            <w:tcBorders>
              <w:tl2br w:val="nil"/>
              <w:tr2bl w:val="nil"/>
            </w:tcBorders>
            <w:noWrap w:val="0"/>
            <w:vAlign w:val="center"/>
          </w:tcPr>
          <w:p w14:paraId="3DBF71F5">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000000"/>
                <w:sz w:val="21"/>
                <w:szCs w:val="21"/>
                <w:highlight w:val="none"/>
              </w:rPr>
              <w:t>HYJC-LH-010</w:t>
            </w:r>
          </w:p>
        </w:tc>
      </w:tr>
      <w:tr w14:paraId="1EDA41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vMerge w:val="continue"/>
            <w:tcBorders>
              <w:tl2br w:val="nil"/>
              <w:tr2bl w:val="nil"/>
            </w:tcBorders>
            <w:noWrap w:val="0"/>
            <w:vAlign w:val="center"/>
          </w:tcPr>
          <w:p w14:paraId="6744930A">
            <w:pPr>
              <w:keepNext w:val="0"/>
              <w:keepLines w:val="0"/>
              <w:pageBreakBefore w:val="0"/>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2DC99069">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p>
        </w:tc>
        <w:tc>
          <w:tcPr>
            <w:tcW w:w="1189" w:type="dxa"/>
            <w:vMerge w:val="continue"/>
            <w:tcBorders>
              <w:tl2br w:val="nil"/>
              <w:tr2bl w:val="nil"/>
            </w:tcBorders>
            <w:noWrap w:val="0"/>
            <w:vAlign w:val="center"/>
          </w:tcPr>
          <w:p w14:paraId="1A0FD06E">
            <w:pPr>
              <w:pStyle w:val="9"/>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spacing w:val="0"/>
                <w:kern w:val="0"/>
                <w:sz w:val="21"/>
                <w:szCs w:val="21"/>
                <w:highlight w:val="none"/>
                <w:lang w:val="en-US" w:eastAsia="zh-CN" w:bidi="ar-SA"/>
              </w:rPr>
            </w:pPr>
          </w:p>
        </w:tc>
        <w:tc>
          <w:tcPr>
            <w:tcW w:w="3083" w:type="dxa"/>
            <w:vMerge w:val="continue"/>
            <w:tcBorders>
              <w:tl2br w:val="nil"/>
              <w:tr2bl w:val="nil"/>
            </w:tcBorders>
            <w:noWrap w:val="0"/>
            <w:vAlign w:val="center"/>
          </w:tcPr>
          <w:p w14:paraId="47783F15">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rPr>
            </w:pPr>
          </w:p>
        </w:tc>
        <w:tc>
          <w:tcPr>
            <w:tcW w:w="1945" w:type="dxa"/>
            <w:tcBorders>
              <w:tl2br w:val="nil"/>
              <w:tr2bl w:val="nil"/>
            </w:tcBorders>
            <w:noWrap w:val="0"/>
            <w:vAlign w:val="center"/>
          </w:tcPr>
          <w:p w14:paraId="60BDC506">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sz w:val="21"/>
                <w:szCs w:val="21"/>
                <w:lang w:eastAsia="zh-CN"/>
              </w:rPr>
              <w:t>电热鼓风干燥箱DHG-9140A</w:t>
            </w:r>
          </w:p>
        </w:tc>
        <w:tc>
          <w:tcPr>
            <w:tcW w:w="1547" w:type="dxa"/>
            <w:tcBorders>
              <w:tl2br w:val="nil"/>
              <w:tr2bl w:val="nil"/>
            </w:tcBorders>
            <w:noWrap w:val="0"/>
            <w:vAlign w:val="center"/>
          </w:tcPr>
          <w:p w14:paraId="6E13A44A">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HYJC-LH-017</w:t>
            </w:r>
          </w:p>
        </w:tc>
      </w:tr>
      <w:tr w14:paraId="155021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tcBorders>
              <w:tl2br w:val="nil"/>
              <w:tr2bl w:val="nil"/>
            </w:tcBorders>
            <w:noWrap w:val="0"/>
            <w:vAlign w:val="center"/>
          </w:tcPr>
          <w:p w14:paraId="56D3834B">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3DB592FB">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p>
        </w:tc>
        <w:tc>
          <w:tcPr>
            <w:tcW w:w="1189" w:type="dxa"/>
            <w:tcBorders>
              <w:tl2br w:val="nil"/>
              <w:tr2bl w:val="nil"/>
            </w:tcBorders>
            <w:noWrap w:val="0"/>
            <w:vAlign w:val="center"/>
          </w:tcPr>
          <w:p w14:paraId="1B413A87">
            <w:pPr>
              <w:pStyle w:val="9"/>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0"/>
                <w:kern w:val="0"/>
                <w:sz w:val="21"/>
                <w:szCs w:val="21"/>
                <w:highlight w:val="none"/>
                <w:lang w:val="en-US" w:eastAsia="zh-CN" w:bidi="ar-SA"/>
              </w:rPr>
              <w:t>耗氧量（</w:t>
            </w:r>
            <w:r>
              <w:rPr>
                <w:rFonts w:hint="default" w:ascii="Times New Roman" w:hAnsi="Times New Roman" w:eastAsia="宋体" w:cs="Times New Roman"/>
                <w:color w:val="auto"/>
                <w:spacing w:val="0"/>
                <w:kern w:val="0"/>
                <w:sz w:val="21"/>
                <w:szCs w:val="21"/>
                <w:highlight w:val="none"/>
                <w:lang w:bidi="ar-SA"/>
              </w:rPr>
              <w:t>高锰酸盐指数</w:t>
            </w:r>
            <w:r>
              <w:rPr>
                <w:rFonts w:hint="default" w:ascii="Times New Roman" w:hAnsi="Times New Roman" w:eastAsia="宋体" w:cs="Times New Roman"/>
                <w:color w:val="auto"/>
                <w:spacing w:val="0"/>
                <w:kern w:val="0"/>
                <w:sz w:val="21"/>
                <w:szCs w:val="21"/>
                <w:highlight w:val="none"/>
                <w:lang w:val="en-US" w:eastAsia="zh-CN" w:bidi="ar-SA"/>
              </w:rPr>
              <w:t>）</w:t>
            </w:r>
          </w:p>
        </w:tc>
        <w:tc>
          <w:tcPr>
            <w:tcW w:w="3083" w:type="dxa"/>
            <w:tcBorders>
              <w:tl2br w:val="nil"/>
              <w:tr2bl w:val="nil"/>
            </w:tcBorders>
            <w:noWrap w:val="0"/>
            <w:vAlign w:val="center"/>
          </w:tcPr>
          <w:p w14:paraId="476AF337">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lang w:bidi="ar-SA"/>
              </w:rPr>
            </w:pPr>
            <w:r>
              <w:rPr>
                <w:rFonts w:hint="default" w:ascii="Times New Roman" w:hAnsi="Times New Roman" w:eastAsia="宋体" w:cs="Times New Roman"/>
                <w:color w:val="auto"/>
                <w:kern w:val="0"/>
                <w:sz w:val="21"/>
                <w:szCs w:val="21"/>
                <w:lang w:bidi="ar-SA"/>
              </w:rPr>
              <w:t>水质 高锰酸盐指数的测定</w:t>
            </w:r>
          </w:p>
          <w:p w14:paraId="1FC75F50">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auto"/>
                <w:kern w:val="0"/>
                <w:sz w:val="21"/>
                <w:szCs w:val="21"/>
                <w:highlight w:val="none"/>
              </w:rPr>
              <w:t>GB 11892-89</w:t>
            </w:r>
          </w:p>
        </w:tc>
        <w:tc>
          <w:tcPr>
            <w:tcW w:w="1945" w:type="dxa"/>
            <w:tcBorders>
              <w:tl2br w:val="nil"/>
              <w:tr2bl w:val="nil"/>
            </w:tcBorders>
            <w:noWrap w:val="0"/>
            <w:vAlign w:val="center"/>
          </w:tcPr>
          <w:p w14:paraId="5C548A59">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滴定管</w:t>
            </w:r>
          </w:p>
          <w:p w14:paraId="00355235">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lang w:bidi="ar-SA"/>
              </w:rPr>
            </w:pPr>
            <w:r>
              <w:rPr>
                <w:rFonts w:hint="default" w:ascii="Times New Roman" w:hAnsi="Times New Roman" w:cs="Times New Roman"/>
                <w:color w:val="000000"/>
                <w:sz w:val="21"/>
                <w:szCs w:val="21"/>
                <w:highlight w:val="none"/>
              </w:rPr>
              <w:t>50ml</w:t>
            </w:r>
          </w:p>
        </w:tc>
        <w:tc>
          <w:tcPr>
            <w:tcW w:w="1547" w:type="dxa"/>
            <w:tcBorders>
              <w:tl2br w:val="nil"/>
              <w:tr2bl w:val="nil"/>
            </w:tcBorders>
            <w:noWrap w:val="0"/>
            <w:vAlign w:val="center"/>
          </w:tcPr>
          <w:p w14:paraId="4BCCF090">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lang w:bidi="ar-SA"/>
              </w:rPr>
            </w:pPr>
            <w:r>
              <w:rPr>
                <w:rFonts w:hint="default" w:ascii="Times New Roman" w:hAnsi="Times New Roman" w:cs="Times New Roman"/>
                <w:color w:val="auto"/>
                <w:kern w:val="0"/>
                <w:sz w:val="21"/>
                <w:szCs w:val="21"/>
                <w:highlight w:val="none"/>
                <w:lang w:val="en-US" w:eastAsia="zh-CN"/>
              </w:rPr>
              <w:t>/</w:t>
            </w:r>
          </w:p>
        </w:tc>
      </w:tr>
      <w:tr w14:paraId="683781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tcBorders>
              <w:tl2br w:val="nil"/>
              <w:tr2bl w:val="nil"/>
            </w:tcBorders>
            <w:noWrap w:val="0"/>
            <w:vAlign w:val="center"/>
          </w:tcPr>
          <w:p w14:paraId="21E51100">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51904664">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p>
        </w:tc>
        <w:tc>
          <w:tcPr>
            <w:tcW w:w="1189" w:type="dxa"/>
            <w:tcBorders>
              <w:tl2br w:val="nil"/>
              <w:tr2bl w:val="nil"/>
            </w:tcBorders>
            <w:noWrap w:val="0"/>
            <w:vAlign w:val="center"/>
          </w:tcPr>
          <w:p w14:paraId="663E66B4">
            <w:pPr>
              <w:keepNext w:val="0"/>
              <w:keepLines w:val="0"/>
              <w:pageBreakBefore w:val="0"/>
              <w:widowControl/>
              <w:kinsoku/>
              <w:wordWrap/>
              <w:overflowPunct/>
              <w:topLinePunct w:val="0"/>
              <w:autoSpaceDE/>
              <w:autoSpaceDN/>
              <w:bidi w:val="0"/>
              <w:adjustRightInd/>
              <w:snapToGrid/>
              <w:spacing w:line="240" w:lineRule="auto"/>
              <w:ind w:left="0" w:firstLine="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硫酸盐</w:t>
            </w:r>
          </w:p>
        </w:tc>
        <w:tc>
          <w:tcPr>
            <w:tcW w:w="3083" w:type="dxa"/>
            <w:tcBorders>
              <w:tl2br w:val="nil"/>
              <w:tr2bl w:val="nil"/>
            </w:tcBorders>
            <w:noWrap w:val="0"/>
            <w:vAlign w:val="center"/>
          </w:tcPr>
          <w:p w14:paraId="2922E230">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auto"/>
                <w:kern w:val="0"/>
                <w:sz w:val="21"/>
                <w:szCs w:val="21"/>
                <w:lang w:bidi="ar-SA"/>
              </w:rPr>
              <w:t>水质 无机阴离子（F</w:t>
            </w:r>
            <w:r>
              <w:rPr>
                <w:rFonts w:hint="default" w:ascii="Times New Roman" w:hAnsi="Times New Roman" w:eastAsia="宋体" w:cs="Times New Roman"/>
                <w:color w:val="auto"/>
                <w:kern w:val="0"/>
                <w:sz w:val="21"/>
                <w:szCs w:val="21"/>
                <w:vertAlign w:val="superscript"/>
                <w:lang w:bidi="ar-SA"/>
              </w:rPr>
              <w:t>-</w:t>
            </w:r>
            <w:r>
              <w:rPr>
                <w:rFonts w:hint="default" w:ascii="Times New Roman" w:hAnsi="Times New Roman" w:eastAsia="宋体" w:cs="Times New Roman"/>
                <w:color w:val="auto"/>
                <w:kern w:val="0"/>
                <w:sz w:val="21"/>
                <w:szCs w:val="21"/>
                <w:lang w:bidi="ar-SA"/>
              </w:rPr>
              <w:t>、Cl</w:t>
            </w:r>
            <w:r>
              <w:rPr>
                <w:rFonts w:hint="default" w:ascii="Times New Roman" w:hAnsi="Times New Roman" w:eastAsia="宋体" w:cs="Times New Roman"/>
                <w:color w:val="auto"/>
                <w:kern w:val="0"/>
                <w:sz w:val="21"/>
                <w:szCs w:val="21"/>
                <w:vertAlign w:val="superscript"/>
                <w:lang w:bidi="ar-SA"/>
              </w:rPr>
              <w:t>-</w:t>
            </w:r>
            <w:r>
              <w:rPr>
                <w:rFonts w:hint="default" w:ascii="Times New Roman" w:hAnsi="Times New Roman" w:eastAsia="宋体" w:cs="Times New Roman"/>
                <w:color w:val="auto"/>
                <w:kern w:val="0"/>
                <w:sz w:val="21"/>
                <w:szCs w:val="21"/>
                <w:lang w:bidi="ar-SA"/>
              </w:rPr>
              <w:t>、NO</w:t>
            </w:r>
            <w:r>
              <w:rPr>
                <w:rFonts w:hint="default" w:ascii="Times New Roman" w:hAnsi="Times New Roman" w:eastAsia="宋体" w:cs="Times New Roman"/>
                <w:color w:val="auto"/>
                <w:kern w:val="0"/>
                <w:sz w:val="21"/>
                <w:szCs w:val="21"/>
                <w:vertAlign w:val="subscript"/>
                <w:lang w:bidi="ar-SA"/>
              </w:rPr>
              <w:t>2</w:t>
            </w:r>
            <w:r>
              <w:rPr>
                <w:rFonts w:hint="default" w:ascii="Times New Roman" w:hAnsi="Times New Roman" w:eastAsia="宋体" w:cs="Times New Roman"/>
                <w:color w:val="auto"/>
                <w:kern w:val="0"/>
                <w:sz w:val="21"/>
                <w:szCs w:val="21"/>
                <w:vertAlign w:val="superscript"/>
                <w:lang w:bidi="ar-SA"/>
              </w:rPr>
              <w:t>-</w:t>
            </w:r>
            <w:r>
              <w:rPr>
                <w:rFonts w:hint="default" w:ascii="Times New Roman" w:hAnsi="Times New Roman" w:eastAsia="宋体" w:cs="Times New Roman"/>
                <w:color w:val="auto"/>
                <w:kern w:val="0"/>
                <w:sz w:val="21"/>
                <w:szCs w:val="21"/>
                <w:lang w:bidi="ar-SA"/>
              </w:rPr>
              <w:t>、Br</w:t>
            </w:r>
            <w:r>
              <w:rPr>
                <w:rFonts w:hint="default" w:ascii="Times New Roman" w:hAnsi="Times New Roman" w:eastAsia="宋体" w:cs="Times New Roman"/>
                <w:color w:val="auto"/>
                <w:kern w:val="0"/>
                <w:sz w:val="21"/>
                <w:szCs w:val="21"/>
                <w:vertAlign w:val="superscript"/>
                <w:lang w:bidi="ar-SA"/>
              </w:rPr>
              <w:t>-</w:t>
            </w:r>
            <w:r>
              <w:rPr>
                <w:rFonts w:hint="default" w:ascii="Times New Roman" w:hAnsi="Times New Roman" w:eastAsia="宋体" w:cs="Times New Roman"/>
                <w:color w:val="auto"/>
                <w:kern w:val="0"/>
                <w:sz w:val="21"/>
                <w:szCs w:val="21"/>
                <w:lang w:bidi="ar-SA"/>
              </w:rPr>
              <w:t>、NO</w:t>
            </w:r>
            <w:r>
              <w:rPr>
                <w:rFonts w:hint="default" w:ascii="Times New Roman" w:hAnsi="Times New Roman" w:eastAsia="宋体" w:cs="Times New Roman"/>
                <w:color w:val="auto"/>
                <w:kern w:val="0"/>
                <w:sz w:val="21"/>
                <w:szCs w:val="21"/>
                <w:vertAlign w:val="subscript"/>
                <w:lang w:bidi="ar-SA"/>
              </w:rPr>
              <w:t>3</w:t>
            </w:r>
            <w:r>
              <w:rPr>
                <w:rFonts w:hint="default" w:ascii="Times New Roman" w:hAnsi="Times New Roman" w:eastAsia="宋体" w:cs="Times New Roman"/>
                <w:color w:val="auto"/>
                <w:kern w:val="0"/>
                <w:sz w:val="21"/>
                <w:szCs w:val="21"/>
                <w:vertAlign w:val="superscript"/>
                <w:lang w:bidi="ar-SA"/>
              </w:rPr>
              <w:t>-</w:t>
            </w:r>
            <w:r>
              <w:rPr>
                <w:rFonts w:hint="default" w:ascii="Times New Roman" w:hAnsi="Times New Roman" w:eastAsia="宋体" w:cs="Times New Roman"/>
                <w:color w:val="auto"/>
                <w:kern w:val="0"/>
                <w:sz w:val="21"/>
                <w:szCs w:val="21"/>
                <w:lang w:bidi="ar-SA"/>
              </w:rPr>
              <w:t>、PO</w:t>
            </w:r>
            <w:r>
              <w:rPr>
                <w:rFonts w:hint="default" w:ascii="Times New Roman" w:hAnsi="Times New Roman" w:eastAsia="宋体" w:cs="Times New Roman"/>
                <w:color w:val="auto"/>
                <w:kern w:val="0"/>
                <w:sz w:val="21"/>
                <w:szCs w:val="21"/>
                <w:vertAlign w:val="subscript"/>
                <w:lang w:bidi="ar-SA"/>
              </w:rPr>
              <w:t>4</w:t>
            </w:r>
            <w:r>
              <w:rPr>
                <w:rFonts w:hint="default" w:ascii="Times New Roman" w:hAnsi="Times New Roman" w:eastAsia="宋体" w:cs="Times New Roman"/>
                <w:color w:val="auto"/>
                <w:kern w:val="0"/>
                <w:sz w:val="21"/>
                <w:szCs w:val="21"/>
                <w:vertAlign w:val="superscript"/>
                <w:lang w:bidi="ar-SA"/>
              </w:rPr>
              <w:t>3-</w:t>
            </w:r>
            <w:r>
              <w:rPr>
                <w:rFonts w:hint="default" w:ascii="Times New Roman" w:hAnsi="Times New Roman" w:eastAsia="宋体" w:cs="Times New Roman"/>
                <w:color w:val="auto"/>
                <w:kern w:val="0"/>
                <w:sz w:val="21"/>
                <w:szCs w:val="21"/>
                <w:lang w:bidi="ar-SA"/>
              </w:rPr>
              <w:t>、SO</w:t>
            </w:r>
            <w:r>
              <w:rPr>
                <w:rFonts w:hint="default" w:ascii="Times New Roman" w:hAnsi="Times New Roman" w:eastAsia="宋体" w:cs="Times New Roman"/>
                <w:color w:val="auto"/>
                <w:kern w:val="0"/>
                <w:sz w:val="21"/>
                <w:szCs w:val="21"/>
                <w:vertAlign w:val="subscript"/>
                <w:lang w:bidi="ar-SA"/>
              </w:rPr>
              <w:t>3</w:t>
            </w:r>
            <w:r>
              <w:rPr>
                <w:rFonts w:hint="default" w:ascii="Times New Roman" w:hAnsi="Times New Roman" w:eastAsia="宋体" w:cs="Times New Roman"/>
                <w:color w:val="auto"/>
                <w:kern w:val="0"/>
                <w:sz w:val="21"/>
                <w:szCs w:val="21"/>
                <w:vertAlign w:val="superscript"/>
                <w:lang w:bidi="ar-SA"/>
              </w:rPr>
              <w:t>2-</w:t>
            </w:r>
            <w:r>
              <w:rPr>
                <w:rFonts w:hint="default" w:ascii="Times New Roman" w:hAnsi="Times New Roman" w:eastAsia="宋体" w:cs="Times New Roman"/>
                <w:color w:val="auto"/>
                <w:kern w:val="0"/>
                <w:sz w:val="21"/>
                <w:szCs w:val="21"/>
                <w:lang w:bidi="ar-SA"/>
              </w:rPr>
              <w:t>、SO</w:t>
            </w:r>
            <w:r>
              <w:rPr>
                <w:rFonts w:hint="default" w:ascii="Times New Roman" w:hAnsi="Times New Roman" w:eastAsia="宋体" w:cs="Times New Roman"/>
                <w:color w:val="auto"/>
                <w:kern w:val="0"/>
                <w:sz w:val="21"/>
                <w:szCs w:val="21"/>
                <w:vertAlign w:val="subscript"/>
                <w:lang w:bidi="ar-SA"/>
              </w:rPr>
              <w:t>4</w:t>
            </w:r>
            <w:r>
              <w:rPr>
                <w:rFonts w:hint="default" w:ascii="Times New Roman" w:hAnsi="Times New Roman" w:eastAsia="宋体" w:cs="Times New Roman"/>
                <w:color w:val="auto"/>
                <w:kern w:val="0"/>
                <w:sz w:val="21"/>
                <w:szCs w:val="21"/>
                <w:vertAlign w:val="superscript"/>
                <w:lang w:bidi="ar-SA"/>
              </w:rPr>
              <w:t>2-</w:t>
            </w:r>
            <w:r>
              <w:rPr>
                <w:rFonts w:hint="default" w:ascii="Times New Roman" w:hAnsi="Times New Roman" w:eastAsia="宋体" w:cs="Times New Roman"/>
                <w:color w:val="auto"/>
                <w:kern w:val="0"/>
                <w:sz w:val="21"/>
                <w:szCs w:val="21"/>
                <w:lang w:bidi="ar-SA"/>
              </w:rPr>
              <w:t>）的测定 离子色谱法</w:t>
            </w:r>
            <w:r>
              <w:rPr>
                <w:rFonts w:hint="default" w:ascii="Times New Roman" w:hAnsi="Times New Roman" w:cs="Times New Roman"/>
                <w:color w:val="auto"/>
                <w:kern w:val="0"/>
                <w:sz w:val="21"/>
                <w:szCs w:val="21"/>
                <w:lang w:val="en-US" w:eastAsia="zh-CN" w:bidi="ar-SA"/>
              </w:rPr>
              <w:t xml:space="preserve"> </w:t>
            </w:r>
            <w:r>
              <w:rPr>
                <w:rFonts w:hint="default" w:ascii="Times New Roman" w:hAnsi="Times New Roman" w:eastAsia="宋体" w:cs="Times New Roman"/>
                <w:color w:val="auto"/>
                <w:kern w:val="0"/>
                <w:sz w:val="21"/>
                <w:szCs w:val="21"/>
                <w:lang w:bidi="ar-SA"/>
              </w:rPr>
              <w:t>HJ 84-2016</w:t>
            </w:r>
          </w:p>
        </w:tc>
        <w:tc>
          <w:tcPr>
            <w:tcW w:w="1945" w:type="dxa"/>
            <w:tcBorders>
              <w:tl2br w:val="nil"/>
              <w:tr2bl w:val="nil"/>
            </w:tcBorders>
            <w:noWrap w:val="0"/>
            <w:vAlign w:val="center"/>
          </w:tcPr>
          <w:p w14:paraId="15D0E403">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离子色谱仪</w:t>
            </w:r>
          </w:p>
          <w:p w14:paraId="36D78428">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kern w:val="0"/>
                <w:sz w:val="21"/>
                <w:szCs w:val="21"/>
                <w:highlight w:val="none"/>
              </w:rPr>
              <w:t>IC6000</w:t>
            </w:r>
          </w:p>
        </w:tc>
        <w:tc>
          <w:tcPr>
            <w:tcW w:w="1547" w:type="dxa"/>
            <w:tcBorders>
              <w:tl2br w:val="nil"/>
              <w:tr2bl w:val="nil"/>
            </w:tcBorders>
            <w:noWrap w:val="0"/>
            <w:vAlign w:val="center"/>
          </w:tcPr>
          <w:p w14:paraId="6521ADF5">
            <w:pPr>
              <w:keepNext w:val="0"/>
              <w:keepLines w:val="0"/>
              <w:pageBreakBefore w:val="0"/>
              <w:widowControl/>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000000"/>
                <w:sz w:val="21"/>
                <w:szCs w:val="21"/>
                <w:highlight w:val="none"/>
              </w:rPr>
              <w:t>HYJC-LH-003</w:t>
            </w:r>
          </w:p>
        </w:tc>
      </w:tr>
      <w:tr w14:paraId="1B6521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tcBorders>
              <w:tl2br w:val="nil"/>
              <w:tr2bl w:val="nil"/>
            </w:tcBorders>
            <w:noWrap w:val="0"/>
            <w:vAlign w:val="center"/>
          </w:tcPr>
          <w:p w14:paraId="414022DE">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7C313104">
            <w:pPr>
              <w:keepNext w:val="0"/>
              <w:keepLines w:val="0"/>
              <w:pageBreakBefore w:val="0"/>
              <w:wordWrap/>
              <w:overflowPunct/>
              <w:topLinePunct w:val="0"/>
              <w:bidi w:val="0"/>
              <w:spacing w:line="240" w:lineRule="auto"/>
              <w:ind w:left="0" w:firstLine="0"/>
              <w:jc w:val="center"/>
              <w:rPr>
                <w:rFonts w:hint="default" w:ascii="Times New Roman" w:hAnsi="Times New Roman" w:cs="Times New Roman"/>
                <w:sz w:val="21"/>
                <w:szCs w:val="21"/>
                <w:lang w:eastAsia="zh-CN"/>
              </w:rPr>
            </w:pPr>
          </w:p>
        </w:tc>
        <w:tc>
          <w:tcPr>
            <w:tcW w:w="1189" w:type="dxa"/>
            <w:tcBorders>
              <w:tl2br w:val="nil"/>
              <w:tr2bl w:val="nil"/>
            </w:tcBorders>
            <w:noWrap w:val="0"/>
            <w:vAlign w:val="center"/>
          </w:tcPr>
          <w:p w14:paraId="0FC6C72F">
            <w:pPr>
              <w:keepNext w:val="0"/>
              <w:keepLines w:val="0"/>
              <w:pageBreakBefore w:val="0"/>
              <w:widowControl/>
              <w:kinsoku/>
              <w:wordWrap/>
              <w:overflowPunct/>
              <w:topLinePunct w:val="0"/>
              <w:autoSpaceDE/>
              <w:autoSpaceDN/>
              <w:bidi w:val="0"/>
              <w:adjustRightInd/>
              <w:snapToGrid/>
              <w:spacing w:line="240" w:lineRule="auto"/>
              <w:ind w:left="0" w:firstLine="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氯化物</w:t>
            </w:r>
          </w:p>
        </w:tc>
        <w:tc>
          <w:tcPr>
            <w:tcW w:w="3083" w:type="dxa"/>
            <w:tcBorders>
              <w:tl2br w:val="nil"/>
              <w:tr2bl w:val="nil"/>
            </w:tcBorders>
            <w:noWrap w:val="0"/>
            <w:vAlign w:val="center"/>
          </w:tcPr>
          <w:p w14:paraId="30C8510F">
            <w:pPr>
              <w:keepNext w:val="0"/>
              <w:keepLines w:val="0"/>
              <w:pageBreakBefore w:val="0"/>
              <w:widowControl/>
              <w:wordWrap/>
              <w:overflowPunct/>
              <w:topLinePunct w:val="0"/>
              <w:bidi w:val="0"/>
              <w:spacing w:line="240" w:lineRule="auto"/>
              <w:ind w:left="0" w:firstLine="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color w:val="auto"/>
                <w:kern w:val="0"/>
                <w:sz w:val="21"/>
                <w:szCs w:val="21"/>
              </w:rPr>
              <w:t>水质 无机阴离子（F</w:t>
            </w:r>
            <w:r>
              <w:rPr>
                <w:rFonts w:hint="default" w:ascii="Times New Roman" w:hAnsi="Times New Roman" w:cs="Times New Roman"/>
                <w:color w:val="auto"/>
                <w:kern w:val="0"/>
                <w:sz w:val="21"/>
                <w:szCs w:val="21"/>
                <w:vertAlign w:val="superscript"/>
              </w:rPr>
              <w:t>-</w:t>
            </w:r>
            <w:r>
              <w:rPr>
                <w:rFonts w:hint="default" w:ascii="Times New Roman" w:hAnsi="Times New Roman" w:cs="Times New Roman"/>
                <w:color w:val="auto"/>
                <w:kern w:val="0"/>
                <w:sz w:val="21"/>
                <w:szCs w:val="21"/>
              </w:rPr>
              <w:t>、Cl</w:t>
            </w:r>
            <w:r>
              <w:rPr>
                <w:rFonts w:hint="default" w:ascii="Times New Roman" w:hAnsi="Times New Roman" w:cs="Times New Roman"/>
                <w:color w:val="auto"/>
                <w:kern w:val="0"/>
                <w:sz w:val="21"/>
                <w:szCs w:val="21"/>
                <w:vertAlign w:val="superscript"/>
              </w:rPr>
              <w:t>-</w:t>
            </w:r>
            <w:r>
              <w:rPr>
                <w:rFonts w:hint="default" w:ascii="Times New Roman" w:hAnsi="Times New Roman" w:cs="Times New Roman"/>
                <w:color w:val="auto"/>
                <w:kern w:val="0"/>
                <w:sz w:val="21"/>
                <w:szCs w:val="21"/>
              </w:rPr>
              <w:t>、NO</w:t>
            </w:r>
            <w:r>
              <w:rPr>
                <w:rFonts w:hint="default" w:ascii="Times New Roman" w:hAnsi="Times New Roman" w:cs="Times New Roman"/>
                <w:color w:val="auto"/>
                <w:kern w:val="0"/>
                <w:sz w:val="21"/>
                <w:szCs w:val="21"/>
                <w:vertAlign w:val="subscript"/>
              </w:rPr>
              <w:t>2</w:t>
            </w:r>
            <w:r>
              <w:rPr>
                <w:rFonts w:hint="default" w:ascii="Times New Roman" w:hAnsi="Times New Roman" w:cs="Times New Roman"/>
                <w:color w:val="auto"/>
                <w:kern w:val="0"/>
                <w:sz w:val="21"/>
                <w:szCs w:val="21"/>
                <w:vertAlign w:val="superscript"/>
              </w:rPr>
              <w:t>-</w:t>
            </w:r>
            <w:r>
              <w:rPr>
                <w:rFonts w:hint="default" w:ascii="Times New Roman" w:hAnsi="Times New Roman" w:cs="Times New Roman"/>
                <w:color w:val="auto"/>
                <w:kern w:val="0"/>
                <w:sz w:val="21"/>
                <w:szCs w:val="21"/>
              </w:rPr>
              <w:t>、Br</w:t>
            </w:r>
            <w:r>
              <w:rPr>
                <w:rFonts w:hint="default" w:ascii="Times New Roman" w:hAnsi="Times New Roman" w:cs="Times New Roman"/>
                <w:color w:val="auto"/>
                <w:kern w:val="0"/>
                <w:sz w:val="21"/>
                <w:szCs w:val="21"/>
                <w:vertAlign w:val="superscript"/>
              </w:rPr>
              <w:t>-</w:t>
            </w:r>
            <w:r>
              <w:rPr>
                <w:rFonts w:hint="default" w:ascii="Times New Roman" w:hAnsi="Times New Roman" w:cs="Times New Roman"/>
                <w:color w:val="auto"/>
                <w:kern w:val="0"/>
                <w:sz w:val="21"/>
                <w:szCs w:val="21"/>
              </w:rPr>
              <w:t>、NO</w:t>
            </w:r>
            <w:r>
              <w:rPr>
                <w:rFonts w:hint="default" w:ascii="Times New Roman" w:hAnsi="Times New Roman" w:cs="Times New Roman"/>
                <w:color w:val="auto"/>
                <w:kern w:val="0"/>
                <w:sz w:val="21"/>
                <w:szCs w:val="21"/>
                <w:vertAlign w:val="subscript"/>
              </w:rPr>
              <w:t>3</w:t>
            </w:r>
            <w:r>
              <w:rPr>
                <w:rFonts w:hint="default" w:ascii="Times New Roman" w:hAnsi="Times New Roman" w:cs="Times New Roman"/>
                <w:color w:val="auto"/>
                <w:kern w:val="0"/>
                <w:sz w:val="21"/>
                <w:szCs w:val="21"/>
                <w:vertAlign w:val="superscript"/>
              </w:rPr>
              <w:t>-</w:t>
            </w:r>
            <w:r>
              <w:rPr>
                <w:rFonts w:hint="default" w:ascii="Times New Roman" w:hAnsi="Times New Roman" w:cs="Times New Roman"/>
                <w:color w:val="auto"/>
                <w:kern w:val="0"/>
                <w:sz w:val="21"/>
                <w:szCs w:val="21"/>
              </w:rPr>
              <w:t>、PO</w:t>
            </w:r>
            <w:r>
              <w:rPr>
                <w:rFonts w:hint="default" w:ascii="Times New Roman" w:hAnsi="Times New Roman" w:cs="Times New Roman"/>
                <w:color w:val="auto"/>
                <w:kern w:val="0"/>
                <w:sz w:val="21"/>
                <w:szCs w:val="21"/>
                <w:vertAlign w:val="subscript"/>
              </w:rPr>
              <w:t>4</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、SO</w:t>
            </w:r>
            <w:r>
              <w:rPr>
                <w:rFonts w:hint="default" w:ascii="Times New Roman" w:hAnsi="Times New Roman" w:cs="Times New Roman"/>
                <w:color w:val="auto"/>
                <w:kern w:val="0"/>
                <w:sz w:val="21"/>
                <w:szCs w:val="21"/>
                <w:vertAlign w:val="subscript"/>
              </w:rPr>
              <w:t>3</w:t>
            </w:r>
            <w:r>
              <w:rPr>
                <w:rFonts w:hint="default" w:ascii="Times New Roman" w:hAnsi="Times New Roman" w:cs="Times New Roman"/>
                <w:color w:val="auto"/>
                <w:kern w:val="0"/>
                <w:sz w:val="21"/>
                <w:szCs w:val="21"/>
                <w:vertAlign w:val="superscript"/>
              </w:rPr>
              <w:t>2-</w:t>
            </w:r>
            <w:r>
              <w:rPr>
                <w:rFonts w:hint="default" w:ascii="Times New Roman" w:hAnsi="Times New Roman" w:cs="Times New Roman"/>
                <w:color w:val="auto"/>
                <w:kern w:val="0"/>
                <w:sz w:val="21"/>
                <w:szCs w:val="21"/>
              </w:rPr>
              <w:t>、SO</w:t>
            </w:r>
            <w:r>
              <w:rPr>
                <w:rFonts w:hint="default" w:ascii="Times New Roman" w:hAnsi="Times New Roman" w:cs="Times New Roman"/>
                <w:color w:val="auto"/>
                <w:kern w:val="0"/>
                <w:sz w:val="21"/>
                <w:szCs w:val="21"/>
                <w:vertAlign w:val="subscript"/>
              </w:rPr>
              <w:t>4</w:t>
            </w:r>
            <w:r>
              <w:rPr>
                <w:rFonts w:hint="default" w:ascii="Times New Roman" w:hAnsi="Times New Roman" w:cs="Times New Roman"/>
                <w:color w:val="auto"/>
                <w:kern w:val="0"/>
                <w:sz w:val="21"/>
                <w:szCs w:val="21"/>
                <w:vertAlign w:val="superscript"/>
              </w:rPr>
              <w:t>2-</w:t>
            </w:r>
            <w:r>
              <w:rPr>
                <w:rFonts w:hint="default" w:ascii="Times New Roman" w:hAnsi="Times New Roman" w:cs="Times New Roman"/>
                <w:color w:val="auto"/>
                <w:kern w:val="0"/>
                <w:sz w:val="21"/>
                <w:szCs w:val="21"/>
              </w:rPr>
              <w:t>）的测定 离子色谱法</w:t>
            </w:r>
            <w:r>
              <w:rPr>
                <w:rFonts w:hint="default" w:ascii="Times New Roman" w:hAnsi="Times New Roman" w:cs="Times New Roman"/>
                <w:color w:val="auto"/>
                <w:kern w:val="0"/>
                <w:sz w:val="21"/>
                <w:szCs w:val="21"/>
                <w:lang w:val="en-US" w:eastAsia="zh-CN"/>
              </w:rPr>
              <w:t xml:space="preserve"> </w:t>
            </w:r>
            <w:r>
              <w:rPr>
                <w:rFonts w:hint="default" w:ascii="Times New Roman" w:hAnsi="Times New Roman" w:cs="Times New Roman"/>
                <w:color w:val="auto"/>
                <w:kern w:val="0"/>
                <w:sz w:val="21"/>
                <w:szCs w:val="21"/>
              </w:rPr>
              <w:t>HJ 84-2016</w:t>
            </w:r>
          </w:p>
        </w:tc>
        <w:tc>
          <w:tcPr>
            <w:tcW w:w="1945" w:type="dxa"/>
            <w:tcBorders>
              <w:tl2br w:val="nil"/>
              <w:tr2bl w:val="nil"/>
            </w:tcBorders>
            <w:noWrap w:val="0"/>
            <w:vAlign w:val="center"/>
          </w:tcPr>
          <w:p w14:paraId="3830FFCD">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离子色谱仪</w:t>
            </w:r>
          </w:p>
          <w:p w14:paraId="6829C70C">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lang w:bidi="ar-SA"/>
              </w:rPr>
            </w:pPr>
            <w:r>
              <w:rPr>
                <w:rFonts w:hint="default" w:ascii="Times New Roman" w:hAnsi="Times New Roman" w:eastAsia="宋体" w:cs="Times New Roman"/>
                <w:b w:val="0"/>
                <w:bCs w:val="0"/>
                <w:color w:val="auto"/>
                <w:sz w:val="21"/>
                <w:szCs w:val="21"/>
                <w:highlight w:val="none"/>
              </w:rPr>
              <w:t>IC6000</w:t>
            </w:r>
          </w:p>
        </w:tc>
        <w:tc>
          <w:tcPr>
            <w:tcW w:w="1547" w:type="dxa"/>
            <w:tcBorders>
              <w:tl2br w:val="nil"/>
              <w:tr2bl w:val="nil"/>
            </w:tcBorders>
            <w:noWrap w:val="0"/>
            <w:vAlign w:val="center"/>
          </w:tcPr>
          <w:p w14:paraId="7877BEA7">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lang w:bidi="ar-SA"/>
              </w:rPr>
            </w:pPr>
            <w:r>
              <w:rPr>
                <w:rFonts w:hint="default" w:ascii="Times New Roman" w:hAnsi="Times New Roman" w:eastAsia="宋体" w:cs="Times New Roman"/>
                <w:b w:val="0"/>
                <w:bCs w:val="0"/>
                <w:color w:val="auto"/>
                <w:sz w:val="21"/>
                <w:szCs w:val="21"/>
                <w:highlight w:val="none"/>
              </w:rPr>
              <w:t>HYJC-LH-003</w:t>
            </w:r>
          </w:p>
        </w:tc>
      </w:tr>
      <w:tr w14:paraId="689B69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vMerge w:val="restart"/>
            <w:tcBorders>
              <w:tl2br w:val="nil"/>
              <w:tr2bl w:val="nil"/>
            </w:tcBorders>
            <w:noWrap w:val="0"/>
            <w:vAlign w:val="center"/>
          </w:tcPr>
          <w:p w14:paraId="01A01DEE">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15D75DEE">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lang w:eastAsia="zh-CN"/>
              </w:rPr>
            </w:pPr>
          </w:p>
        </w:tc>
        <w:tc>
          <w:tcPr>
            <w:tcW w:w="1189" w:type="dxa"/>
            <w:vMerge w:val="restart"/>
            <w:tcBorders>
              <w:tl2br w:val="nil"/>
              <w:tr2bl w:val="nil"/>
            </w:tcBorders>
            <w:noWrap w:val="0"/>
            <w:vAlign w:val="center"/>
          </w:tcPr>
          <w:p w14:paraId="2321246F">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eastAsia="zh-CN"/>
              </w:rPr>
              <w:t>总大肠菌群</w:t>
            </w:r>
          </w:p>
        </w:tc>
        <w:tc>
          <w:tcPr>
            <w:tcW w:w="3083" w:type="dxa"/>
            <w:vMerge w:val="restart"/>
            <w:tcBorders>
              <w:tl2br w:val="nil"/>
              <w:tr2bl w:val="nil"/>
            </w:tcBorders>
            <w:noWrap w:val="0"/>
            <w:vAlign w:val="center"/>
          </w:tcPr>
          <w:p w14:paraId="5E3622D6">
            <w:pPr>
              <w:pStyle w:val="9"/>
              <w:keepNext w:val="0"/>
              <w:keepLines w:val="0"/>
              <w:pageBreakBefore w:val="0"/>
              <w:widowControl/>
              <w:kinsoku/>
              <w:wordWrap/>
              <w:overflowPunct/>
              <w:topLinePunct w:val="0"/>
              <w:autoSpaceDE/>
              <w:autoSpaceDN/>
              <w:bidi w:val="0"/>
              <w:adjustRightInd w:val="0"/>
              <w:snapToGrid w:val="0"/>
              <w:spacing w:after="0" w:line="240" w:lineRule="auto"/>
              <w:ind w:left="0" w:firstLine="0"/>
              <w:jc w:val="center"/>
              <w:textAlignment w:val="auto"/>
              <w:rPr>
                <w:rFonts w:hint="default" w:ascii="Times New Roman" w:hAnsi="Times New Roman" w:eastAsia="宋体" w:cs="Times New Roman"/>
                <w:b w:val="0"/>
                <w:bCs w:val="0"/>
                <w:kern w:val="2"/>
                <w:sz w:val="21"/>
                <w:szCs w:val="21"/>
                <w:highlight w:val="none"/>
                <w:vertAlign w:val="baseline"/>
                <w:lang w:val="en-US" w:eastAsia="zh-CN" w:bidi="ar-SA"/>
              </w:rPr>
            </w:pPr>
            <w:r>
              <w:rPr>
                <w:rFonts w:hint="default" w:ascii="Times New Roman" w:hAnsi="Times New Roman" w:eastAsia="宋体" w:cs="Times New Roman"/>
                <w:b w:val="0"/>
                <w:bCs w:val="0"/>
                <w:kern w:val="2"/>
                <w:sz w:val="21"/>
                <w:szCs w:val="21"/>
                <w:highlight w:val="none"/>
                <w:vertAlign w:val="baseline"/>
                <w:lang w:val="en-US" w:eastAsia="zh-CN" w:bidi="ar-SA"/>
              </w:rPr>
              <w:t>总大肠菌群 多管发酵法《水和废水监测分析方法》（第四版）国家环境保护总局(2002年)</w:t>
            </w:r>
          </w:p>
        </w:tc>
        <w:tc>
          <w:tcPr>
            <w:tcW w:w="1945" w:type="dxa"/>
            <w:tcBorders>
              <w:tl2br w:val="nil"/>
              <w:tr2bl w:val="nil"/>
            </w:tcBorders>
            <w:noWrap w:val="0"/>
            <w:vAlign w:val="center"/>
          </w:tcPr>
          <w:p w14:paraId="30BF2F67">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电热恒温培养箱</w:t>
            </w:r>
          </w:p>
          <w:p w14:paraId="4045DCD3">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b w:val="0"/>
                <w:bCs w:val="0"/>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SK</w:t>
            </w:r>
            <w:r>
              <w:rPr>
                <w:rFonts w:hint="default" w:ascii="Times New Roman" w:hAnsi="Times New Roman"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303</w:t>
            </w:r>
            <w:r>
              <w:rPr>
                <w:rFonts w:hint="default" w:ascii="Times New Roman" w:hAnsi="Times New Roman" w:eastAsia="宋体" w:cs="Times New Roman"/>
                <w:color w:val="auto"/>
                <w:sz w:val="21"/>
                <w:szCs w:val="21"/>
                <w:highlight w:val="none"/>
                <w:lang w:val="en-US" w:eastAsia="zh-CN"/>
              </w:rPr>
              <w:t>-2</w:t>
            </w:r>
          </w:p>
        </w:tc>
        <w:tc>
          <w:tcPr>
            <w:tcW w:w="1547" w:type="dxa"/>
            <w:tcBorders>
              <w:tl2br w:val="nil"/>
              <w:tr2bl w:val="nil"/>
            </w:tcBorders>
            <w:noWrap w:val="0"/>
            <w:vAlign w:val="center"/>
          </w:tcPr>
          <w:p w14:paraId="71AEAE04">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b w:val="0"/>
                <w:bCs w:val="0"/>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HYJC-LH-0</w:t>
            </w:r>
            <w:r>
              <w:rPr>
                <w:rFonts w:hint="default" w:ascii="Times New Roman" w:hAnsi="Times New Roman" w:eastAsia="宋体" w:cs="Times New Roman"/>
                <w:color w:val="auto"/>
                <w:sz w:val="21"/>
                <w:szCs w:val="21"/>
                <w:highlight w:val="none"/>
                <w:lang w:val="en-US" w:eastAsia="zh-CN"/>
              </w:rPr>
              <w:t>31</w:t>
            </w:r>
          </w:p>
        </w:tc>
      </w:tr>
      <w:tr w14:paraId="6C6DD1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vMerge w:val="continue"/>
            <w:tcBorders>
              <w:tl2br w:val="nil"/>
              <w:tr2bl w:val="nil"/>
            </w:tcBorders>
            <w:noWrap w:val="0"/>
            <w:vAlign w:val="center"/>
          </w:tcPr>
          <w:p w14:paraId="205A4B43">
            <w:pPr>
              <w:keepNext w:val="0"/>
              <w:keepLines w:val="0"/>
              <w:pageBreakBefore w:val="0"/>
              <w:tabs>
                <w:tab w:val="left" w:pos="0"/>
              </w:tabs>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7627AC95">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lang w:eastAsia="zh-CN"/>
              </w:rPr>
            </w:pPr>
          </w:p>
        </w:tc>
        <w:tc>
          <w:tcPr>
            <w:tcW w:w="1189" w:type="dxa"/>
            <w:vMerge w:val="continue"/>
            <w:tcBorders>
              <w:tl2br w:val="nil"/>
              <w:tr2bl w:val="nil"/>
            </w:tcBorders>
            <w:noWrap w:val="0"/>
            <w:vAlign w:val="center"/>
          </w:tcPr>
          <w:p w14:paraId="57D9F851">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2"/>
                <w:sz w:val="21"/>
                <w:szCs w:val="21"/>
                <w:lang w:val="en-US" w:eastAsia="zh-CN" w:bidi="ar-SA"/>
              </w:rPr>
            </w:pPr>
          </w:p>
        </w:tc>
        <w:tc>
          <w:tcPr>
            <w:tcW w:w="3083" w:type="dxa"/>
            <w:vMerge w:val="continue"/>
            <w:tcBorders>
              <w:tl2br w:val="nil"/>
              <w:tr2bl w:val="nil"/>
            </w:tcBorders>
            <w:noWrap w:val="0"/>
            <w:vAlign w:val="center"/>
          </w:tcPr>
          <w:p w14:paraId="4E35F102">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rPr>
            </w:pPr>
          </w:p>
        </w:tc>
        <w:tc>
          <w:tcPr>
            <w:tcW w:w="1945" w:type="dxa"/>
            <w:tcBorders>
              <w:tl2br w:val="nil"/>
              <w:tr2bl w:val="nil"/>
            </w:tcBorders>
            <w:noWrap w:val="0"/>
            <w:vAlign w:val="center"/>
          </w:tcPr>
          <w:p w14:paraId="7CCD309F">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压力蒸汽灭菌器</w:t>
            </w:r>
            <w:r>
              <w:rPr>
                <w:rFonts w:hint="default" w:ascii="Times New Roman" w:hAnsi="Times New Roman" w:eastAsia="宋体" w:cs="Times New Roman"/>
                <w:b w:val="0"/>
                <w:bCs w:val="0"/>
                <w:color w:val="auto"/>
                <w:sz w:val="21"/>
                <w:szCs w:val="21"/>
                <w:highlight w:val="none"/>
                <w:lang w:val="en-US" w:eastAsia="zh-CN"/>
              </w:rPr>
              <w:t>YX280D18L</w:t>
            </w:r>
          </w:p>
        </w:tc>
        <w:tc>
          <w:tcPr>
            <w:tcW w:w="1547" w:type="dxa"/>
            <w:tcBorders>
              <w:tl2br w:val="nil"/>
              <w:tr2bl w:val="nil"/>
            </w:tcBorders>
            <w:noWrap w:val="0"/>
            <w:vAlign w:val="center"/>
          </w:tcPr>
          <w:p w14:paraId="39DB1A6D">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HYJC-LH-020</w:t>
            </w:r>
          </w:p>
        </w:tc>
      </w:tr>
      <w:tr w14:paraId="086146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vMerge w:val="restart"/>
            <w:tcBorders>
              <w:tl2br w:val="nil"/>
              <w:tr2bl w:val="nil"/>
            </w:tcBorders>
            <w:noWrap w:val="0"/>
            <w:vAlign w:val="center"/>
          </w:tcPr>
          <w:p w14:paraId="3F14EE6F">
            <w:pPr>
              <w:keepNext w:val="0"/>
              <w:keepLines w:val="0"/>
              <w:pageBreakBefore w:val="0"/>
              <w:numPr>
                <w:ilvl w:val="0"/>
                <w:numId w:val="26"/>
              </w:numPr>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4095DDE2">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rPr>
            </w:pPr>
          </w:p>
        </w:tc>
        <w:tc>
          <w:tcPr>
            <w:tcW w:w="1189" w:type="dxa"/>
            <w:vMerge w:val="restart"/>
            <w:tcBorders>
              <w:tl2br w:val="nil"/>
              <w:tr2bl w:val="nil"/>
            </w:tcBorders>
            <w:noWrap w:val="0"/>
            <w:vAlign w:val="center"/>
          </w:tcPr>
          <w:p w14:paraId="4397DBB2">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eastAsia="zh-CN"/>
              </w:rPr>
              <w:t>菌落总数</w:t>
            </w:r>
          </w:p>
        </w:tc>
        <w:tc>
          <w:tcPr>
            <w:tcW w:w="3083" w:type="dxa"/>
            <w:vMerge w:val="restart"/>
            <w:tcBorders>
              <w:tl2br w:val="nil"/>
              <w:tr2bl w:val="nil"/>
            </w:tcBorders>
            <w:noWrap w:val="0"/>
            <w:vAlign w:val="center"/>
          </w:tcPr>
          <w:p w14:paraId="18FD6E57">
            <w:pPr>
              <w:keepNext w:val="0"/>
              <w:keepLines w:val="0"/>
              <w:pageBreakBefore w:val="0"/>
              <w:widowControl/>
              <w:kinsoku/>
              <w:wordWrap/>
              <w:overflowPunct/>
              <w:topLinePunct w:val="0"/>
              <w:autoSpaceDE/>
              <w:autoSpaceDN/>
              <w:bidi w:val="0"/>
              <w:adjustRightInd w:val="0"/>
              <w:snapToGrid w:val="0"/>
              <w:spacing w:after="0" w:line="240" w:lineRule="auto"/>
              <w:ind w:left="0" w:firstLine="0"/>
              <w:jc w:val="center"/>
              <w:textAlignment w:val="auto"/>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lang w:val="en-US" w:eastAsia="zh-CN"/>
              </w:rPr>
              <w:t xml:space="preserve">水质 </w:t>
            </w:r>
            <w:r>
              <w:rPr>
                <w:rFonts w:hint="eastAsia" w:ascii="Times New Roman" w:hAnsi="Times New Roman" w:eastAsia="宋体" w:cs="Times New Roman"/>
                <w:kern w:val="0"/>
                <w:sz w:val="21"/>
                <w:szCs w:val="21"/>
                <w:highlight w:val="none"/>
                <w:lang w:val="en-US" w:eastAsia="zh-CN"/>
              </w:rPr>
              <w:t>菌落总数</w:t>
            </w:r>
            <w:r>
              <w:rPr>
                <w:rFonts w:hint="default" w:ascii="Times New Roman" w:hAnsi="Times New Roman" w:eastAsia="宋体" w:cs="Times New Roman"/>
                <w:kern w:val="0"/>
                <w:sz w:val="21"/>
                <w:szCs w:val="21"/>
                <w:highlight w:val="none"/>
                <w:lang w:val="en-US" w:eastAsia="zh-CN"/>
              </w:rPr>
              <w:t>的测定 平皿计数法</w:t>
            </w:r>
          </w:p>
          <w:p w14:paraId="02D06D05">
            <w:pPr>
              <w:keepNext w:val="0"/>
              <w:keepLines w:val="0"/>
              <w:pageBreakBefore w:val="0"/>
              <w:widowControl/>
              <w:kinsoku/>
              <w:wordWrap/>
              <w:overflowPunct/>
              <w:topLinePunct w:val="0"/>
              <w:autoSpaceDE/>
              <w:autoSpaceDN/>
              <w:bidi w:val="0"/>
              <w:adjustRightInd w:val="0"/>
              <w:snapToGrid w:val="0"/>
              <w:spacing w:after="0" w:line="240" w:lineRule="auto"/>
              <w:ind w:left="0" w:firstLine="0"/>
              <w:jc w:val="center"/>
              <w:textAlignment w:val="auto"/>
              <w:rPr>
                <w:rFonts w:hint="default" w:ascii="Times New Roman" w:hAnsi="Times New Roman" w:eastAsia="宋体" w:cs="Times New Roman"/>
                <w:b w:val="0"/>
                <w:bCs w:val="0"/>
                <w:kern w:val="2"/>
                <w:sz w:val="21"/>
                <w:szCs w:val="21"/>
                <w:highlight w:val="none"/>
                <w:vertAlign w:val="baseline"/>
                <w:lang w:val="en-US" w:eastAsia="zh-CN" w:bidi="ar-SA"/>
              </w:rPr>
            </w:pPr>
            <w:r>
              <w:rPr>
                <w:rFonts w:hint="default" w:ascii="Times New Roman" w:hAnsi="Times New Roman" w:eastAsia="宋体" w:cs="Times New Roman"/>
                <w:kern w:val="0"/>
                <w:sz w:val="21"/>
                <w:szCs w:val="21"/>
                <w:highlight w:val="none"/>
                <w:lang w:val="en-US" w:eastAsia="zh-CN"/>
              </w:rPr>
              <w:t>HJ 1000-2018</w:t>
            </w:r>
          </w:p>
        </w:tc>
        <w:tc>
          <w:tcPr>
            <w:tcW w:w="1945" w:type="dxa"/>
            <w:tcBorders>
              <w:tl2br w:val="nil"/>
              <w:tr2bl w:val="nil"/>
            </w:tcBorders>
            <w:noWrap w:val="0"/>
            <w:vAlign w:val="center"/>
          </w:tcPr>
          <w:p w14:paraId="399B54FC">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电热恒温培养箱</w:t>
            </w:r>
          </w:p>
          <w:p w14:paraId="6B3C5D4E">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b w:val="0"/>
                <w:bCs w:val="0"/>
                <w:snapToGrid/>
                <w:color w:val="auto"/>
                <w:spacing w:val="0"/>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SK</w:t>
            </w:r>
            <w:r>
              <w:rPr>
                <w:rFonts w:hint="default" w:ascii="Times New Roman" w:hAnsi="Times New Roman"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303</w:t>
            </w:r>
            <w:r>
              <w:rPr>
                <w:rFonts w:hint="default" w:ascii="Times New Roman" w:hAnsi="Times New Roman" w:eastAsia="宋体" w:cs="Times New Roman"/>
                <w:color w:val="auto"/>
                <w:sz w:val="21"/>
                <w:szCs w:val="21"/>
                <w:highlight w:val="none"/>
                <w:lang w:val="en-US" w:eastAsia="zh-CN"/>
              </w:rPr>
              <w:t>-2</w:t>
            </w:r>
          </w:p>
        </w:tc>
        <w:tc>
          <w:tcPr>
            <w:tcW w:w="1547" w:type="dxa"/>
            <w:tcBorders>
              <w:tl2br w:val="nil"/>
              <w:tr2bl w:val="nil"/>
            </w:tcBorders>
            <w:noWrap w:val="0"/>
            <w:vAlign w:val="center"/>
          </w:tcPr>
          <w:p w14:paraId="5BD4CA9D">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b w:val="0"/>
                <w:bCs w:val="0"/>
                <w:snapToGrid/>
                <w:color w:val="auto"/>
                <w:spacing w:val="0"/>
                <w:kern w:val="2"/>
                <w:sz w:val="21"/>
                <w:szCs w:val="21"/>
                <w:lang w:val="en-US" w:eastAsia="zh-CN" w:bidi="ar-SA"/>
              </w:rPr>
            </w:pPr>
            <w:r>
              <w:rPr>
                <w:rFonts w:hint="default" w:ascii="Times New Roman" w:hAnsi="Times New Roman" w:eastAsia="宋体" w:cs="Times New Roman"/>
                <w:color w:val="auto"/>
                <w:sz w:val="21"/>
                <w:szCs w:val="21"/>
                <w:highlight w:val="none"/>
              </w:rPr>
              <w:t>HYJC-LH-0</w:t>
            </w:r>
            <w:r>
              <w:rPr>
                <w:rFonts w:hint="default" w:ascii="Times New Roman" w:hAnsi="Times New Roman" w:eastAsia="宋体" w:cs="Times New Roman"/>
                <w:color w:val="auto"/>
                <w:sz w:val="21"/>
                <w:szCs w:val="21"/>
                <w:highlight w:val="none"/>
                <w:lang w:val="en-US" w:eastAsia="zh-CN"/>
              </w:rPr>
              <w:t>31</w:t>
            </w:r>
          </w:p>
        </w:tc>
      </w:tr>
      <w:tr w14:paraId="36B0AF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vMerge w:val="continue"/>
            <w:tcBorders>
              <w:tl2br w:val="nil"/>
              <w:tr2bl w:val="nil"/>
            </w:tcBorders>
            <w:noWrap w:val="0"/>
            <w:vAlign w:val="center"/>
          </w:tcPr>
          <w:p w14:paraId="21A3D1E7">
            <w:pPr>
              <w:keepNext w:val="0"/>
              <w:keepLines w:val="0"/>
              <w:pageBreakBefore w:val="0"/>
              <w:tabs>
                <w:tab w:val="left" w:pos="0"/>
              </w:tabs>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00176C91">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lang w:eastAsia="zh-CN"/>
              </w:rPr>
            </w:pPr>
          </w:p>
        </w:tc>
        <w:tc>
          <w:tcPr>
            <w:tcW w:w="1189" w:type="dxa"/>
            <w:vMerge w:val="continue"/>
            <w:tcBorders>
              <w:tl2br w:val="nil"/>
              <w:tr2bl w:val="nil"/>
            </w:tcBorders>
            <w:noWrap w:val="0"/>
            <w:vAlign w:val="center"/>
          </w:tcPr>
          <w:p w14:paraId="500558EB">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lang w:eastAsia="zh-CN"/>
              </w:rPr>
            </w:pPr>
          </w:p>
        </w:tc>
        <w:tc>
          <w:tcPr>
            <w:tcW w:w="3083" w:type="dxa"/>
            <w:vMerge w:val="continue"/>
            <w:tcBorders>
              <w:tl2br w:val="nil"/>
              <w:tr2bl w:val="nil"/>
            </w:tcBorders>
            <w:noWrap w:val="0"/>
            <w:vAlign w:val="center"/>
          </w:tcPr>
          <w:p w14:paraId="03E1A83C">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rPr>
            </w:pPr>
          </w:p>
        </w:tc>
        <w:tc>
          <w:tcPr>
            <w:tcW w:w="1945" w:type="dxa"/>
            <w:tcBorders>
              <w:tl2br w:val="nil"/>
              <w:tr2bl w:val="nil"/>
            </w:tcBorders>
            <w:noWrap w:val="0"/>
            <w:vAlign w:val="center"/>
          </w:tcPr>
          <w:p w14:paraId="413338BD">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压力蒸汽灭菌器</w:t>
            </w:r>
            <w:r>
              <w:rPr>
                <w:rFonts w:hint="default" w:ascii="Times New Roman" w:hAnsi="Times New Roman" w:eastAsia="宋体" w:cs="Times New Roman"/>
                <w:b w:val="0"/>
                <w:bCs w:val="0"/>
                <w:color w:val="auto"/>
                <w:sz w:val="21"/>
                <w:szCs w:val="21"/>
                <w:highlight w:val="none"/>
                <w:lang w:val="en-US" w:eastAsia="zh-CN"/>
              </w:rPr>
              <w:t>YX280D18L</w:t>
            </w:r>
          </w:p>
        </w:tc>
        <w:tc>
          <w:tcPr>
            <w:tcW w:w="1547" w:type="dxa"/>
            <w:tcBorders>
              <w:tl2br w:val="nil"/>
              <w:tr2bl w:val="nil"/>
            </w:tcBorders>
            <w:noWrap w:val="0"/>
            <w:vAlign w:val="center"/>
          </w:tcPr>
          <w:p w14:paraId="70E3C1AF">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HYJC-LH-020</w:t>
            </w:r>
          </w:p>
        </w:tc>
      </w:tr>
      <w:tr w14:paraId="04B6CA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7" w:hRule="atLeast"/>
          <w:jc w:val="center"/>
        </w:trPr>
        <w:tc>
          <w:tcPr>
            <w:tcW w:w="616" w:type="dxa"/>
            <w:tcBorders>
              <w:tl2br w:val="nil"/>
              <w:tr2bl w:val="nil"/>
            </w:tcBorders>
            <w:noWrap w:val="0"/>
            <w:vAlign w:val="center"/>
          </w:tcPr>
          <w:p w14:paraId="3ADB96F5">
            <w:pPr>
              <w:keepNext w:val="0"/>
              <w:keepLines w:val="0"/>
              <w:pageBreakBefore w:val="0"/>
              <w:numPr>
                <w:ilvl w:val="0"/>
                <w:numId w:val="26"/>
              </w:numPr>
              <w:tabs>
                <w:tab w:val="left" w:pos="0"/>
              </w:tabs>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79A0995F">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lang w:val="en-US" w:eastAsia="zh-CN"/>
              </w:rPr>
            </w:pPr>
          </w:p>
        </w:tc>
        <w:tc>
          <w:tcPr>
            <w:tcW w:w="1189" w:type="dxa"/>
            <w:tcBorders>
              <w:tl2br w:val="nil"/>
              <w:tr2bl w:val="nil"/>
            </w:tcBorders>
            <w:noWrap w:val="0"/>
            <w:vAlign w:val="center"/>
          </w:tcPr>
          <w:p w14:paraId="213387D2">
            <w:pPr>
              <w:keepNext w:val="0"/>
              <w:keepLines w:val="0"/>
              <w:pageBreakBefore w:val="0"/>
              <w:widowControl/>
              <w:suppressLineNumbers w:val="0"/>
              <w:wordWrap/>
              <w:overflowPunct/>
              <w:topLinePunct w:val="0"/>
              <w:bidi w:val="0"/>
              <w:spacing w:line="240" w:lineRule="auto"/>
              <w:ind w:left="0" w:firstLine="0"/>
              <w:jc w:val="center"/>
              <w:textAlignment w:val="center"/>
              <w:rPr>
                <w:rFonts w:hint="default" w:ascii="Times New Roman" w:hAnsi="Times New Roman"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K</w:t>
            </w:r>
            <w:r>
              <w:rPr>
                <w:rFonts w:hint="default" w:ascii="Times New Roman" w:hAnsi="Times New Roman" w:cs="Times New Roman"/>
                <w:sz w:val="21"/>
                <w:szCs w:val="21"/>
                <w:highlight w:val="none"/>
                <w:vertAlign w:val="superscript"/>
                <w:lang w:val="en-US" w:eastAsia="zh-CN"/>
              </w:rPr>
              <w:t>+</w:t>
            </w:r>
          </w:p>
        </w:tc>
        <w:tc>
          <w:tcPr>
            <w:tcW w:w="3083" w:type="dxa"/>
            <w:tcBorders>
              <w:tl2br w:val="nil"/>
              <w:tr2bl w:val="nil"/>
            </w:tcBorders>
            <w:noWrap w:val="0"/>
            <w:vAlign w:val="center"/>
          </w:tcPr>
          <w:p w14:paraId="65C2D6EB">
            <w:pPr>
              <w:keepNext w:val="0"/>
              <w:keepLines w:val="0"/>
              <w:pageBreakBefore w:val="0"/>
              <w:widowControl/>
              <w:suppressLineNumbers w:val="0"/>
              <w:wordWrap/>
              <w:overflowPunct/>
              <w:topLinePunct w:val="0"/>
              <w:bidi w:val="0"/>
              <w:spacing w:line="240" w:lineRule="auto"/>
              <w:ind w:left="0" w:firstLine="0"/>
              <w:jc w:val="center"/>
              <w:textAlignment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color w:val="auto"/>
                <w:kern w:val="0"/>
                <w:sz w:val="21"/>
                <w:szCs w:val="21"/>
              </w:rPr>
              <w:t>水质 钾和钠的测定 火焰原子吸收分光光度法GB/T 11904-1989</w:t>
            </w:r>
          </w:p>
        </w:tc>
        <w:tc>
          <w:tcPr>
            <w:tcW w:w="1945" w:type="dxa"/>
            <w:tcBorders>
              <w:tl2br w:val="nil"/>
              <w:tr2bl w:val="nil"/>
            </w:tcBorders>
            <w:noWrap w:val="0"/>
            <w:vAlign w:val="center"/>
          </w:tcPr>
          <w:p w14:paraId="7801407A">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原子吸收</w:t>
            </w:r>
            <w:r>
              <w:rPr>
                <w:rFonts w:hint="default" w:ascii="Times New Roman" w:hAnsi="Times New Roman" w:eastAsia="宋体" w:cs="Times New Roman"/>
                <w:sz w:val="21"/>
                <w:szCs w:val="21"/>
                <w:lang w:eastAsia="zh-CN"/>
              </w:rPr>
              <w:t>光谱仪</w:t>
            </w:r>
          </w:p>
          <w:p w14:paraId="27996128">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z w:val="21"/>
                <w:szCs w:val="21"/>
              </w:rPr>
              <w:t>PinAAcle 900H</w:t>
            </w:r>
          </w:p>
        </w:tc>
        <w:tc>
          <w:tcPr>
            <w:tcW w:w="1547" w:type="dxa"/>
            <w:tcBorders>
              <w:tl2br w:val="nil"/>
              <w:tr2bl w:val="nil"/>
            </w:tcBorders>
            <w:noWrap w:val="0"/>
            <w:vAlign w:val="center"/>
          </w:tcPr>
          <w:p w14:paraId="6D8AA460">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z w:val="21"/>
                <w:szCs w:val="21"/>
              </w:rPr>
              <w:t>HYJC-LH-0</w:t>
            </w:r>
            <w:r>
              <w:rPr>
                <w:rFonts w:hint="default" w:ascii="Times New Roman" w:hAnsi="Times New Roman" w:cs="Times New Roman"/>
                <w:sz w:val="21"/>
                <w:szCs w:val="21"/>
                <w:lang w:val="en-US" w:eastAsia="zh-CN"/>
              </w:rPr>
              <w:t>45</w:t>
            </w:r>
          </w:p>
        </w:tc>
      </w:tr>
      <w:tr w14:paraId="728E4F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7" w:hRule="atLeast"/>
          <w:jc w:val="center"/>
        </w:trPr>
        <w:tc>
          <w:tcPr>
            <w:tcW w:w="616" w:type="dxa"/>
            <w:tcBorders>
              <w:tl2br w:val="nil"/>
              <w:tr2bl w:val="nil"/>
            </w:tcBorders>
            <w:noWrap w:val="0"/>
            <w:vAlign w:val="center"/>
          </w:tcPr>
          <w:p w14:paraId="468A4CBE">
            <w:pPr>
              <w:keepNext w:val="0"/>
              <w:keepLines w:val="0"/>
              <w:pageBreakBefore w:val="0"/>
              <w:numPr>
                <w:ilvl w:val="0"/>
                <w:numId w:val="26"/>
              </w:numPr>
              <w:tabs>
                <w:tab w:val="left" w:pos="0"/>
              </w:tabs>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58D4F4C3">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lang w:eastAsia="zh-CN"/>
              </w:rPr>
            </w:pPr>
          </w:p>
        </w:tc>
        <w:tc>
          <w:tcPr>
            <w:tcW w:w="1189" w:type="dxa"/>
            <w:tcBorders>
              <w:tl2br w:val="nil"/>
              <w:tr2bl w:val="nil"/>
            </w:tcBorders>
            <w:noWrap w:val="0"/>
            <w:vAlign w:val="center"/>
          </w:tcPr>
          <w:p w14:paraId="200316A3">
            <w:pPr>
              <w:keepNext w:val="0"/>
              <w:keepLines w:val="0"/>
              <w:pageBreakBefore w:val="0"/>
              <w:widowControl/>
              <w:suppressLineNumbers w:val="0"/>
              <w:wordWrap/>
              <w:overflowPunct/>
              <w:topLinePunct w:val="0"/>
              <w:bidi w:val="0"/>
              <w:spacing w:line="240" w:lineRule="auto"/>
              <w:ind w:left="0" w:firstLine="0"/>
              <w:jc w:val="center"/>
              <w:textAlignment w:val="center"/>
              <w:rPr>
                <w:rFonts w:hint="default" w:ascii="Times New Roman" w:hAnsi="Times New Roman"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Na</w:t>
            </w:r>
            <w:r>
              <w:rPr>
                <w:rFonts w:hint="default" w:ascii="Times New Roman" w:hAnsi="Times New Roman" w:cs="Times New Roman"/>
                <w:sz w:val="21"/>
                <w:szCs w:val="21"/>
                <w:highlight w:val="none"/>
                <w:vertAlign w:val="superscript"/>
                <w:lang w:val="en-US" w:eastAsia="zh-CN"/>
              </w:rPr>
              <w:t>+</w:t>
            </w:r>
          </w:p>
        </w:tc>
        <w:tc>
          <w:tcPr>
            <w:tcW w:w="3083" w:type="dxa"/>
            <w:tcBorders>
              <w:tl2br w:val="nil"/>
              <w:tr2bl w:val="nil"/>
            </w:tcBorders>
            <w:noWrap w:val="0"/>
            <w:vAlign w:val="center"/>
          </w:tcPr>
          <w:p w14:paraId="229675E8">
            <w:pPr>
              <w:keepNext w:val="0"/>
              <w:keepLines w:val="0"/>
              <w:pageBreakBefore w:val="0"/>
              <w:widowControl/>
              <w:suppressLineNumbers w:val="0"/>
              <w:wordWrap/>
              <w:overflowPunct/>
              <w:topLinePunct w:val="0"/>
              <w:bidi w:val="0"/>
              <w:spacing w:line="240" w:lineRule="auto"/>
              <w:ind w:left="0" w:firstLine="0"/>
              <w:jc w:val="center"/>
              <w:textAlignment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color w:val="auto"/>
                <w:kern w:val="0"/>
                <w:sz w:val="21"/>
                <w:szCs w:val="21"/>
              </w:rPr>
              <w:t>水质 钾和钠的测定 火焰原子吸收分光光度法GB/T 11904-1989</w:t>
            </w:r>
          </w:p>
        </w:tc>
        <w:tc>
          <w:tcPr>
            <w:tcW w:w="1945" w:type="dxa"/>
            <w:tcBorders>
              <w:tl2br w:val="nil"/>
              <w:tr2bl w:val="nil"/>
            </w:tcBorders>
            <w:noWrap w:val="0"/>
            <w:vAlign w:val="center"/>
          </w:tcPr>
          <w:p w14:paraId="7F12B399">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原子吸收</w:t>
            </w:r>
            <w:r>
              <w:rPr>
                <w:rFonts w:hint="default" w:ascii="Times New Roman" w:hAnsi="Times New Roman" w:eastAsia="宋体" w:cs="Times New Roman"/>
                <w:sz w:val="21"/>
                <w:szCs w:val="21"/>
                <w:lang w:eastAsia="zh-CN"/>
              </w:rPr>
              <w:t>光谱仪</w:t>
            </w:r>
          </w:p>
          <w:p w14:paraId="440365FF">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z w:val="21"/>
                <w:szCs w:val="21"/>
              </w:rPr>
              <w:t>PinAAcle 900H</w:t>
            </w:r>
          </w:p>
        </w:tc>
        <w:tc>
          <w:tcPr>
            <w:tcW w:w="1547" w:type="dxa"/>
            <w:tcBorders>
              <w:tl2br w:val="nil"/>
              <w:tr2bl w:val="nil"/>
            </w:tcBorders>
            <w:noWrap w:val="0"/>
            <w:vAlign w:val="center"/>
          </w:tcPr>
          <w:p w14:paraId="769052CA">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z w:val="21"/>
                <w:szCs w:val="21"/>
              </w:rPr>
              <w:t>HYJC-LH-0</w:t>
            </w:r>
            <w:r>
              <w:rPr>
                <w:rFonts w:hint="default" w:ascii="Times New Roman" w:hAnsi="Times New Roman" w:cs="Times New Roman"/>
                <w:sz w:val="21"/>
                <w:szCs w:val="21"/>
                <w:lang w:val="en-US" w:eastAsia="zh-CN"/>
              </w:rPr>
              <w:t>45</w:t>
            </w:r>
          </w:p>
        </w:tc>
      </w:tr>
      <w:tr w14:paraId="459CA3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tcBorders>
              <w:tl2br w:val="nil"/>
              <w:tr2bl w:val="nil"/>
            </w:tcBorders>
            <w:noWrap w:val="0"/>
            <w:vAlign w:val="center"/>
          </w:tcPr>
          <w:p w14:paraId="1FCEBAB2">
            <w:pPr>
              <w:keepNext w:val="0"/>
              <w:keepLines w:val="0"/>
              <w:pageBreakBefore w:val="0"/>
              <w:numPr>
                <w:ilvl w:val="0"/>
                <w:numId w:val="26"/>
              </w:numPr>
              <w:tabs>
                <w:tab w:val="left" w:pos="0"/>
              </w:tabs>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679FA11F">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lang w:eastAsia="zh-CN"/>
              </w:rPr>
            </w:pPr>
          </w:p>
        </w:tc>
        <w:tc>
          <w:tcPr>
            <w:tcW w:w="1189" w:type="dxa"/>
            <w:tcBorders>
              <w:tl2br w:val="nil"/>
              <w:tr2bl w:val="nil"/>
            </w:tcBorders>
            <w:noWrap w:val="0"/>
            <w:vAlign w:val="center"/>
          </w:tcPr>
          <w:p w14:paraId="3E503A20">
            <w:pPr>
              <w:keepNext w:val="0"/>
              <w:keepLines w:val="0"/>
              <w:pageBreakBefore w:val="0"/>
              <w:widowControl/>
              <w:suppressLineNumbers w:val="0"/>
              <w:wordWrap/>
              <w:overflowPunct/>
              <w:topLinePunct w:val="0"/>
              <w:bidi w:val="0"/>
              <w:spacing w:line="240" w:lineRule="auto"/>
              <w:ind w:left="0" w:firstLine="0"/>
              <w:jc w:val="center"/>
              <w:textAlignment w:val="center"/>
              <w:rPr>
                <w:rFonts w:hint="default" w:ascii="Times New Roman" w:hAnsi="Times New Roman"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Cl</w:t>
            </w:r>
            <w:r>
              <w:rPr>
                <w:rFonts w:hint="default" w:ascii="Times New Roman" w:hAnsi="Times New Roman" w:cs="Times New Roman"/>
                <w:sz w:val="21"/>
                <w:szCs w:val="21"/>
                <w:highlight w:val="none"/>
                <w:vertAlign w:val="superscript"/>
                <w:lang w:val="en-US" w:eastAsia="zh-CN"/>
              </w:rPr>
              <w:t>-</w:t>
            </w:r>
          </w:p>
        </w:tc>
        <w:tc>
          <w:tcPr>
            <w:tcW w:w="3083" w:type="dxa"/>
            <w:tcBorders>
              <w:tl2br w:val="nil"/>
              <w:tr2bl w:val="nil"/>
            </w:tcBorders>
            <w:noWrap w:val="0"/>
            <w:vAlign w:val="center"/>
          </w:tcPr>
          <w:p w14:paraId="4CEB36B9">
            <w:pPr>
              <w:keepNext w:val="0"/>
              <w:keepLines w:val="0"/>
              <w:pageBreakBefore w:val="0"/>
              <w:widowControl/>
              <w:wordWrap/>
              <w:overflowPunct/>
              <w:topLinePunct w:val="0"/>
              <w:bidi w:val="0"/>
              <w:spacing w:line="240" w:lineRule="auto"/>
              <w:ind w:left="0" w:firstLine="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color w:val="auto"/>
                <w:kern w:val="0"/>
                <w:sz w:val="21"/>
                <w:szCs w:val="21"/>
              </w:rPr>
              <w:t>水质 无机阴离子（F</w:t>
            </w:r>
            <w:r>
              <w:rPr>
                <w:rFonts w:hint="default" w:ascii="Times New Roman" w:hAnsi="Times New Roman" w:cs="Times New Roman"/>
                <w:color w:val="auto"/>
                <w:kern w:val="0"/>
                <w:sz w:val="21"/>
                <w:szCs w:val="21"/>
                <w:vertAlign w:val="superscript"/>
              </w:rPr>
              <w:t>-</w:t>
            </w:r>
            <w:r>
              <w:rPr>
                <w:rFonts w:hint="default" w:ascii="Times New Roman" w:hAnsi="Times New Roman" w:cs="Times New Roman"/>
                <w:color w:val="auto"/>
                <w:kern w:val="0"/>
                <w:sz w:val="21"/>
                <w:szCs w:val="21"/>
              </w:rPr>
              <w:t>、Cl</w:t>
            </w:r>
            <w:r>
              <w:rPr>
                <w:rFonts w:hint="default" w:ascii="Times New Roman" w:hAnsi="Times New Roman" w:cs="Times New Roman"/>
                <w:color w:val="auto"/>
                <w:kern w:val="0"/>
                <w:sz w:val="21"/>
                <w:szCs w:val="21"/>
                <w:vertAlign w:val="superscript"/>
              </w:rPr>
              <w:t>-</w:t>
            </w:r>
            <w:r>
              <w:rPr>
                <w:rFonts w:hint="default" w:ascii="Times New Roman" w:hAnsi="Times New Roman" w:cs="Times New Roman"/>
                <w:color w:val="auto"/>
                <w:kern w:val="0"/>
                <w:sz w:val="21"/>
                <w:szCs w:val="21"/>
              </w:rPr>
              <w:t>、NO</w:t>
            </w:r>
            <w:r>
              <w:rPr>
                <w:rFonts w:hint="default" w:ascii="Times New Roman" w:hAnsi="Times New Roman" w:cs="Times New Roman"/>
                <w:color w:val="auto"/>
                <w:kern w:val="0"/>
                <w:sz w:val="21"/>
                <w:szCs w:val="21"/>
                <w:vertAlign w:val="subscript"/>
              </w:rPr>
              <w:t>2</w:t>
            </w:r>
            <w:r>
              <w:rPr>
                <w:rFonts w:hint="default" w:ascii="Times New Roman" w:hAnsi="Times New Roman" w:cs="Times New Roman"/>
                <w:color w:val="auto"/>
                <w:kern w:val="0"/>
                <w:sz w:val="21"/>
                <w:szCs w:val="21"/>
                <w:vertAlign w:val="superscript"/>
              </w:rPr>
              <w:t>-</w:t>
            </w:r>
            <w:r>
              <w:rPr>
                <w:rFonts w:hint="default" w:ascii="Times New Roman" w:hAnsi="Times New Roman" w:cs="Times New Roman"/>
                <w:color w:val="auto"/>
                <w:kern w:val="0"/>
                <w:sz w:val="21"/>
                <w:szCs w:val="21"/>
              </w:rPr>
              <w:t>、Br</w:t>
            </w:r>
            <w:r>
              <w:rPr>
                <w:rFonts w:hint="default" w:ascii="Times New Roman" w:hAnsi="Times New Roman" w:cs="Times New Roman"/>
                <w:color w:val="auto"/>
                <w:kern w:val="0"/>
                <w:sz w:val="21"/>
                <w:szCs w:val="21"/>
                <w:vertAlign w:val="superscript"/>
              </w:rPr>
              <w:t>-</w:t>
            </w:r>
            <w:r>
              <w:rPr>
                <w:rFonts w:hint="default" w:ascii="Times New Roman" w:hAnsi="Times New Roman" w:cs="Times New Roman"/>
                <w:color w:val="auto"/>
                <w:kern w:val="0"/>
                <w:sz w:val="21"/>
                <w:szCs w:val="21"/>
              </w:rPr>
              <w:t>、NO</w:t>
            </w:r>
            <w:r>
              <w:rPr>
                <w:rFonts w:hint="default" w:ascii="Times New Roman" w:hAnsi="Times New Roman" w:cs="Times New Roman"/>
                <w:color w:val="auto"/>
                <w:kern w:val="0"/>
                <w:sz w:val="21"/>
                <w:szCs w:val="21"/>
                <w:vertAlign w:val="subscript"/>
              </w:rPr>
              <w:t>3</w:t>
            </w:r>
            <w:r>
              <w:rPr>
                <w:rFonts w:hint="default" w:ascii="Times New Roman" w:hAnsi="Times New Roman" w:cs="Times New Roman"/>
                <w:color w:val="auto"/>
                <w:kern w:val="0"/>
                <w:sz w:val="21"/>
                <w:szCs w:val="21"/>
                <w:vertAlign w:val="superscript"/>
              </w:rPr>
              <w:t>-</w:t>
            </w:r>
            <w:r>
              <w:rPr>
                <w:rFonts w:hint="default" w:ascii="Times New Roman" w:hAnsi="Times New Roman" w:cs="Times New Roman"/>
                <w:color w:val="auto"/>
                <w:kern w:val="0"/>
                <w:sz w:val="21"/>
                <w:szCs w:val="21"/>
              </w:rPr>
              <w:t>、PO</w:t>
            </w:r>
            <w:r>
              <w:rPr>
                <w:rFonts w:hint="default" w:ascii="Times New Roman" w:hAnsi="Times New Roman" w:cs="Times New Roman"/>
                <w:color w:val="auto"/>
                <w:kern w:val="0"/>
                <w:sz w:val="21"/>
                <w:szCs w:val="21"/>
                <w:vertAlign w:val="subscript"/>
              </w:rPr>
              <w:t>4</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、SO</w:t>
            </w:r>
            <w:r>
              <w:rPr>
                <w:rFonts w:hint="default" w:ascii="Times New Roman" w:hAnsi="Times New Roman" w:cs="Times New Roman"/>
                <w:color w:val="auto"/>
                <w:kern w:val="0"/>
                <w:sz w:val="21"/>
                <w:szCs w:val="21"/>
                <w:vertAlign w:val="subscript"/>
              </w:rPr>
              <w:t>3</w:t>
            </w:r>
            <w:r>
              <w:rPr>
                <w:rFonts w:hint="default" w:ascii="Times New Roman" w:hAnsi="Times New Roman" w:cs="Times New Roman"/>
                <w:color w:val="auto"/>
                <w:kern w:val="0"/>
                <w:sz w:val="21"/>
                <w:szCs w:val="21"/>
                <w:vertAlign w:val="superscript"/>
              </w:rPr>
              <w:t>2-</w:t>
            </w:r>
            <w:r>
              <w:rPr>
                <w:rFonts w:hint="default" w:ascii="Times New Roman" w:hAnsi="Times New Roman" w:cs="Times New Roman"/>
                <w:color w:val="auto"/>
                <w:kern w:val="0"/>
                <w:sz w:val="21"/>
                <w:szCs w:val="21"/>
              </w:rPr>
              <w:t>、SO</w:t>
            </w:r>
            <w:r>
              <w:rPr>
                <w:rFonts w:hint="default" w:ascii="Times New Roman" w:hAnsi="Times New Roman" w:cs="Times New Roman"/>
                <w:color w:val="auto"/>
                <w:kern w:val="0"/>
                <w:sz w:val="21"/>
                <w:szCs w:val="21"/>
                <w:vertAlign w:val="subscript"/>
              </w:rPr>
              <w:t>4</w:t>
            </w:r>
            <w:r>
              <w:rPr>
                <w:rFonts w:hint="default" w:ascii="Times New Roman" w:hAnsi="Times New Roman" w:cs="Times New Roman"/>
                <w:color w:val="auto"/>
                <w:kern w:val="0"/>
                <w:sz w:val="21"/>
                <w:szCs w:val="21"/>
                <w:vertAlign w:val="superscript"/>
              </w:rPr>
              <w:t>2-</w:t>
            </w:r>
            <w:r>
              <w:rPr>
                <w:rFonts w:hint="default" w:ascii="Times New Roman" w:hAnsi="Times New Roman" w:cs="Times New Roman"/>
                <w:color w:val="auto"/>
                <w:kern w:val="0"/>
                <w:sz w:val="21"/>
                <w:szCs w:val="21"/>
              </w:rPr>
              <w:t>）的测定 离子色谱法</w:t>
            </w:r>
            <w:r>
              <w:rPr>
                <w:rFonts w:hint="default" w:ascii="Times New Roman" w:hAnsi="Times New Roman" w:cs="Times New Roman"/>
                <w:color w:val="auto"/>
                <w:kern w:val="0"/>
                <w:sz w:val="21"/>
                <w:szCs w:val="21"/>
                <w:lang w:val="en-US" w:eastAsia="zh-CN"/>
              </w:rPr>
              <w:t xml:space="preserve"> </w:t>
            </w:r>
            <w:r>
              <w:rPr>
                <w:rFonts w:hint="default" w:ascii="Times New Roman" w:hAnsi="Times New Roman" w:cs="Times New Roman"/>
                <w:color w:val="auto"/>
                <w:kern w:val="0"/>
                <w:sz w:val="21"/>
                <w:szCs w:val="21"/>
              </w:rPr>
              <w:t>HJ 84-2016</w:t>
            </w:r>
          </w:p>
        </w:tc>
        <w:tc>
          <w:tcPr>
            <w:tcW w:w="1945" w:type="dxa"/>
            <w:tcBorders>
              <w:tl2br w:val="nil"/>
              <w:tr2bl w:val="nil"/>
            </w:tcBorders>
            <w:noWrap w:val="0"/>
            <w:vAlign w:val="center"/>
          </w:tcPr>
          <w:p w14:paraId="3776EACD">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离子色谱仪</w:t>
            </w:r>
          </w:p>
          <w:p w14:paraId="6C94964C">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b w:val="0"/>
                <w:bCs w:val="0"/>
                <w:color w:val="auto"/>
                <w:sz w:val="21"/>
                <w:szCs w:val="21"/>
                <w:highlight w:val="none"/>
              </w:rPr>
              <w:t>IC6000</w:t>
            </w:r>
          </w:p>
        </w:tc>
        <w:tc>
          <w:tcPr>
            <w:tcW w:w="1547" w:type="dxa"/>
            <w:tcBorders>
              <w:tl2br w:val="nil"/>
              <w:tr2bl w:val="nil"/>
            </w:tcBorders>
            <w:noWrap w:val="0"/>
            <w:vAlign w:val="center"/>
          </w:tcPr>
          <w:p w14:paraId="0EB80590">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b w:val="0"/>
                <w:bCs w:val="0"/>
                <w:color w:val="auto"/>
                <w:sz w:val="21"/>
                <w:szCs w:val="21"/>
                <w:highlight w:val="none"/>
              </w:rPr>
              <w:t>HYJC-LH-003</w:t>
            </w:r>
          </w:p>
        </w:tc>
      </w:tr>
      <w:tr w14:paraId="33AC16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tcBorders>
              <w:tl2br w:val="nil"/>
              <w:tr2bl w:val="nil"/>
            </w:tcBorders>
            <w:noWrap w:val="0"/>
            <w:vAlign w:val="center"/>
          </w:tcPr>
          <w:p w14:paraId="2A8EF58E">
            <w:pPr>
              <w:keepNext w:val="0"/>
              <w:keepLines w:val="0"/>
              <w:pageBreakBefore w:val="0"/>
              <w:numPr>
                <w:ilvl w:val="0"/>
                <w:numId w:val="26"/>
              </w:numPr>
              <w:tabs>
                <w:tab w:val="left" w:pos="0"/>
              </w:tabs>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0B2049F8">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lang w:eastAsia="zh-CN"/>
              </w:rPr>
            </w:pPr>
          </w:p>
        </w:tc>
        <w:tc>
          <w:tcPr>
            <w:tcW w:w="1189" w:type="dxa"/>
            <w:tcBorders>
              <w:tl2br w:val="nil"/>
              <w:tr2bl w:val="nil"/>
            </w:tcBorders>
            <w:noWrap w:val="0"/>
            <w:vAlign w:val="center"/>
          </w:tcPr>
          <w:p w14:paraId="15606441">
            <w:pPr>
              <w:keepNext w:val="0"/>
              <w:keepLines w:val="0"/>
              <w:pageBreakBefore w:val="0"/>
              <w:widowControl/>
              <w:suppressLineNumbers w:val="0"/>
              <w:wordWrap/>
              <w:overflowPunct/>
              <w:topLinePunct w:val="0"/>
              <w:bidi w:val="0"/>
              <w:spacing w:line="240" w:lineRule="auto"/>
              <w:ind w:left="0" w:firstLine="0"/>
              <w:jc w:val="center"/>
              <w:textAlignment w:val="center"/>
              <w:rPr>
                <w:rFonts w:hint="default" w:ascii="Times New Roman" w:hAnsi="Times New Roman"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Ca</w:t>
            </w:r>
            <w:r>
              <w:rPr>
                <w:rFonts w:hint="default" w:ascii="Times New Roman" w:hAnsi="Times New Roman" w:cs="Times New Roman"/>
                <w:sz w:val="21"/>
                <w:szCs w:val="21"/>
                <w:highlight w:val="none"/>
                <w:vertAlign w:val="superscript"/>
                <w:lang w:val="en-US" w:eastAsia="zh-CN"/>
              </w:rPr>
              <w:t>2+</w:t>
            </w:r>
          </w:p>
        </w:tc>
        <w:tc>
          <w:tcPr>
            <w:tcW w:w="3083" w:type="dxa"/>
            <w:tcBorders>
              <w:tl2br w:val="nil"/>
              <w:tr2bl w:val="nil"/>
            </w:tcBorders>
            <w:noWrap w:val="0"/>
            <w:vAlign w:val="center"/>
          </w:tcPr>
          <w:p w14:paraId="4C0BFF3E">
            <w:pPr>
              <w:keepNext w:val="0"/>
              <w:keepLines w:val="0"/>
              <w:pageBreakBefore w:val="0"/>
              <w:widowControl/>
              <w:suppressLineNumbers w:val="0"/>
              <w:wordWrap/>
              <w:overflowPunct/>
              <w:topLinePunct w:val="0"/>
              <w:bidi w:val="0"/>
              <w:spacing w:line="240" w:lineRule="auto"/>
              <w:ind w:left="0" w:firstLine="0"/>
              <w:jc w:val="center"/>
              <w:textAlignment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color w:val="auto"/>
                <w:kern w:val="0"/>
                <w:sz w:val="21"/>
                <w:szCs w:val="21"/>
              </w:rPr>
              <w:t>水质 钙和镁的测定 原子吸收分光光度法GB/T 11905-1989</w:t>
            </w:r>
          </w:p>
        </w:tc>
        <w:tc>
          <w:tcPr>
            <w:tcW w:w="1945" w:type="dxa"/>
            <w:tcBorders>
              <w:tl2br w:val="nil"/>
              <w:tr2bl w:val="nil"/>
            </w:tcBorders>
            <w:noWrap w:val="0"/>
            <w:vAlign w:val="center"/>
          </w:tcPr>
          <w:p w14:paraId="7544E307">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原子吸收</w:t>
            </w:r>
            <w:r>
              <w:rPr>
                <w:rFonts w:hint="default" w:ascii="Times New Roman" w:hAnsi="Times New Roman" w:eastAsia="宋体" w:cs="Times New Roman"/>
                <w:sz w:val="21"/>
                <w:szCs w:val="21"/>
                <w:lang w:eastAsia="zh-CN"/>
              </w:rPr>
              <w:t>光谱仪</w:t>
            </w:r>
          </w:p>
          <w:p w14:paraId="09056663">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z w:val="21"/>
                <w:szCs w:val="21"/>
              </w:rPr>
              <w:t>PinAAcle 900H</w:t>
            </w:r>
          </w:p>
        </w:tc>
        <w:tc>
          <w:tcPr>
            <w:tcW w:w="1547" w:type="dxa"/>
            <w:tcBorders>
              <w:tl2br w:val="nil"/>
              <w:tr2bl w:val="nil"/>
            </w:tcBorders>
            <w:noWrap w:val="0"/>
            <w:vAlign w:val="center"/>
          </w:tcPr>
          <w:p w14:paraId="4773679F">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z w:val="21"/>
                <w:szCs w:val="21"/>
              </w:rPr>
              <w:t>HYJC-LH-0</w:t>
            </w:r>
            <w:r>
              <w:rPr>
                <w:rFonts w:hint="default" w:ascii="Times New Roman" w:hAnsi="Times New Roman" w:cs="Times New Roman"/>
                <w:sz w:val="21"/>
                <w:szCs w:val="21"/>
                <w:lang w:val="en-US" w:eastAsia="zh-CN"/>
              </w:rPr>
              <w:t>45</w:t>
            </w:r>
          </w:p>
        </w:tc>
      </w:tr>
      <w:tr w14:paraId="6DFE2C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tcBorders>
              <w:tl2br w:val="nil"/>
              <w:tr2bl w:val="nil"/>
            </w:tcBorders>
            <w:noWrap w:val="0"/>
            <w:vAlign w:val="center"/>
          </w:tcPr>
          <w:p w14:paraId="6E2BDB74">
            <w:pPr>
              <w:keepNext w:val="0"/>
              <w:keepLines w:val="0"/>
              <w:pageBreakBefore w:val="0"/>
              <w:numPr>
                <w:ilvl w:val="0"/>
                <w:numId w:val="26"/>
              </w:numPr>
              <w:tabs>
                <w:tab w:val="left" w:pos="0"/>
              </w:tabs>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4E17CEDD">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lang w:eastAsia="zh-CN"/>
              </w:rPr>
            </w:pPr>
          </w:p>
        </w:tc>
        <w:tc>
          <w:tcPr>
            <w:tcW w:w="1189" w:type="dxa"/>
            <w:tcBorders>
              <w:tl2br w:val="nil"/>
              <w:tr2bl w:val="nil"/>
            </w:tcBorders>
            <w:noWrap w:val="0"/>
            <w:vAlign w:val="center"/>
          </w:tcPr>
          <w:p w14:paraId="65DF0AED">
            <w:pPr>
              <w:keepNext w:val="0"/>
              <w:keepLines w:val="0"/>
              <w:pageBreakBefore w:val="0"/>
              <w:widowControl/>
              <w:suppressLineNumbers w:val="0"/>
              <w:wordWrap/>
              <w:overflowPunct/>
              <w:topLinePunct w:val="0"/>
              <w:bidi w:val="0"/>
              <w:spacing w:line="240" w:lineRule="auto"/>
              <w:ind w:left="0" w:firstLine="0"/>
              <w:jc w:val="center"/>
              <w:textAlignment w:val="center"/>
              <w:rPr>
                <w:rFonts w:hint="default" w:ascii="Times New Roman" w:hAnsi="Times New Roman"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Mg</w:t>
            </w:r>
            <w:r>
              <w:rPr>
                <w:rFonts w:hint="default" w:ascii="Times New Roman" w:hAnsi="Times New Roman" w:cs="Times New Roman"/>
                <w:sz w:val="21"/>
                <w:szCs w:val="21"/>
                <w:highlight w:val="none"/>
                <w:vertAlign w:val="superscript"/>
                <w:lang w:val="en-US" w:eastAsia="zh-CN"/>
              </w:rPr>
              <w:t>2+</w:t>
            </w:r>
          </w:p>
        </w:tc>
        <w:tc>
          <w:tcPr>
            <w:tcW w:w="3083" w:type="dxa"/>
            <w:tcBorders>
              <w:tl2br w:val="nil"/>
              <w:tr2bl w:val="nil"/>
            </w:tcBorders>
            <w:noWrap w:val="0"/>
            <w:vAlign w:val="center"/>
          </w:tcPr>
          <w:p w14:paraId="5BA53850">
            <w:pPr>
              <w:keepNext w:val="0"/>
              <w:keepLines w:val="0"/>
              <w:pageBreakBefore w:val="0"/>
              <w:widowControl/>
              <w:suppressLineNumbers w:val="0"/>
              <w:wordWrap/>
              <w:overflowPunct/>
              <w:topLinePunct w:val="0"/>
              <w:bidi w:val="0"/>
              <w:spacing w:line="240" w:lineRule="auto"/>
              <w:ind w:left="0" w:firstLine="0"/>
              <w:jc w:val="center"/>
              <w:textAlignment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color w:val="auto"/>
                <w:kern w:val="0"/>
                <w:sz w:val="21"/>
                <w:szCs w:val="21"/>
              </w:rPr>
              <w:t>水质 钙和镁的测定 原子吸收分光光度法GB/T 11905-1989</w:t>
            </w:r>
          </w:p>
        </w:tc>
        <w:tc>
          <w:tcPr>
            <w:tcW w:w="1945" w:type="dxa"/>
            <w:tcBorders>
              <w:tl2br w:val="nil"/>
              <w:tr2bl w:val="nil"/>
            </w:tcBorders>
            <w:noWrap w:val="0"/>
            <w:vAlign w:val="center"/>
          </w:tcPr>
          <w:p w14:paraId="2F8C5ECC">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原子吸收</w:t>
            </w:r>
            <w:r>
              <w:rPr>
                <w:rFonts w:hint="default" w:ascii="Times New Roman" w:hAnsi="Times New Roman" w:eastAsia="宋体" w:cs="Times New Roman"/>
                <w:sz w:val="21"/>
                <w:szCs w:val="21"/>
                <w:lang w:eastAsia="zh-CN"/>
              </w:rPr>
              <w:t>光谱仪</w:t>
            </w:r>
          </w:p>
          <w:p w14:paraId="3E9D4657">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z w:val="21"/>
                <w:szCs w:val="21"/>
              </w:rPr>
              <w:t>PinAAcle 900H</w:t>
            </w:r>
          </w:p>
        </w:tc>
        <w:tc>
          <w:tcPr>
            <w:tcW w:w="1547" w:type="dxa"/>
            <w:tcBorders>
              <w:tl2br w:val="nil"/>
              <w:tr2bl w:val="nil"/>
            </w:tcBorders>
            <w:noWrap w:val="0"/>
            <w:vAlign w:val="center"/>
          </w:tcPr>
          <w:p w14:paraId="182577CC">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z w:val="21"/>
                <w:szCs w:val="21"/>
              </w:rPr>
              <w:t>HYJC-LH-0</w:t>
            </w:r>
            <w:r>
              <w:rPr>
                <w:rFonts w:hint="default" w:ascii="Times New Roman" w:hAnsi="Times New Roman" w:cs="Times New Roman"/>
                <w:sz w:val="21"/>
                <w:szCs w:val="21"/>
                <w:lang w:val="en-US" w:eastAsia="zh-CN"/>
              </w:rPr>
              <w:t>45</w:t>
            </w:r>
          </w:p>
        </w:tc>
      </w:tr>
      <w:tr w14:paraId="13BA47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tcBorders>
              <w:tl2br w:val="nil"/>
              <w:tr2bl w:val="nil"/>
            </w:tcBorders>
            <w:noWrap w:val="0"/>
            <w:vAlign w:val="center"/>
          </w:tcPr>
          <w:p w14:paraId="30476AFC">
            <w:pPr>
              <w:keepNext w:val="0"/>
              <w:keepLines w:val="0"/>
              <w:pageBreakBefore w:val="0"/>
              <w:numPr>
                <w:ilvl w:val="0"/>
                <w:numId w:val="26"/>
              </w:numPr>
              <w:tabs>
                <w:tab w:val="left" w:pos="0"/>
              </w:tabs>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7F939885">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lang w:eastAsia="zh-CN"/>
              </w:rPr>
            </w:pPr>
          </w:p>
        </w:tc>
        <w:tc>
          <w:tcPr>
            <w:tcW w:w="1189" w:type="dxa"/>
            <w:tcBorders>
              <w:tl2br w:val="nil"/>
              <w:tr2bl w:val="nil"/>
            </w:tcBorders>
            <w:noWrap w:val="0"/>
            <w:vAlign w:val="center"/>
          </w:tcPr>
          <w:p w14:paraId="61CF8917">
            <w:pPr>
              <w:keepNext w:val="0"/>
              <w:keepLines w:val="0"/>
              <w:pageBreakBefore w:val="0"/>
              <w:widowControl/>
              <w:suppressLineNumbers w:val="0"/>
              <w:wordWrap/>
              <w:overflowPunct/>
              <w:topLinePunct w:val="0"/>
              <w:bidi w:val="0"/>
              <w:spacing w:line="240" w:lineRule="auto"/>
              <w:ind w:left="0" w:firstLine="0"/>
              <w:jc w:val="center"/>
              <w:textAlignment w:val="center"/>
              <w:rPr>
                <w:rFonts w:hint="default" w:ascii="Times New Roman" w:hAnsi="Times New Roman"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CO</w:t>
            </w:r>
            <w:r>
              <w:rPr>
                <w:rFonts w:hint="default" w:ascii="Times New Roman" w:hAnsi="Times New Roman" w:cs="Times New Roman"/>
                <w:sz w:val="21"/>
                <w:szCs w:val="21"/>
                <w:highlight w:val="none"/>
                <w:vertAlign w:val="subscript"/>
                <w:lang w:val="en-US" w:eastAsia="zh-CN"/>
              </w:rPr>
              <w:t>3</w:t>
            </w:r>
            <w:r>
              <w:rPr>
                <w:rFonts w:hint="default" w:ascii="Times New Roman" w:hAnsi="Times New Roman" w:cs="Times New Roman"/>
                <w:sz w:val="21"/>
                <w:szCs w:val="21"/>
                <w:highlight w:val="none"/>
                <w:vertAlign w:val="superscript"/>
                <w:lang w:val="en-US" w:eastAsia="zh-CN"/>
              </w:rPr>
              <w:t>2-</w:t>
            </w:r>
          </w:p>
        </w:tc>
        <w:tc>
          <w:tcPr>
            <w:tcW w:w="3083" w:type="dxa"/>
            <w:tcBorders>
              <w:tl2br w:val="nil"/>
              <w:tr2bl w:val="nil"/>
            </w:tcBorders>
            <w:noWrap w:val="0"/>
            <w:vAlign w:val="center"/>
          </w:tcPr>
          <w:p w14:paraId="73B47A83">
            <w:pPr>
              <w:keepNext w:val="0"/>
              <w:keepLines w:val="0"/>
              <w:pageBreakBefore w:val="0"/>
              <w:widowControl/>
              <w:wordWrap/>
              <w:overflowPunct/>
              <w:topLinePunct w:val="0"/>
              <w:bidi w:val="0"/>
              <w:spacing w:line="240" w:lineRule="auto"/>
              <w:ind w:left="0" w:firstLine="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color w:val="auto"/>
                <w:kern w:val="0"/>
                <w:sz w:val="21"/>
                <w:szCs w:val="21"/>
              </w:rPr>
              <w:t>酸碱指示剂滴定法《水和废水监测分析方法》（第四版增补版）国家环保总局（2002年）P121</w:t>
            </w:r>
          </w:p>
        </w:tc>
        <w:tc>
          <w:tcPr>
            <w:tcW w:w="1945" w:type="dxa"/>
            <w:tcBorders>
              <w:tl2br w:val="nil"/>
              <w:tr2bl w:val="nil"/>
            </w:tcBorders>
            <w:noWrap w:val="0"/>
            <w:vAlign w:val="center"/>
          </w:tcPr>
          <w:p w14:paraId="316314B1">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滴定管</w:t>
            </w:r>
          </w:p>
          <w:p w14:paraId="105433B4">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kern w:val="2"/>
                <w:sz w:val="21"/>
                <w:szCs w:val="21"/>
                <w:highlight w:val="none"/>
                <w:lang w:val="en-US" w:eastAsia="zh-CN" w:bidi="ar-SA"/>
              </w:rPr>
              <w:t>50mL</w:t>
            </w:r>
          </w:p>
        </w:tc>
        <w:tc>
          <w:tcPr>
            <w:tcW w:w="1547" w:type="dxa"/>
            <w:tcBorders>
              <w:tl2br w:val="nil"/>
              <w:tr2bl w:val="nil"/>
            </w:tcBorders>
            <w:noWrap w:val="0"/>
            <w:vAlign w:val="center"/>
          </w:tcPr>
          <w:p w14:paraId="1F62CC0C">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kern w:val="2"/>
                <w:sz w:val="21"/>
                <w:szCs w:val="21"/>
                <w:highlight w:val="none"/>
                <w:lang w:val="en-US" w:eastAsia="zh-CN" w:bidi="ar-SA"/>
              </w:rPr>
              <w:t>/</w:t>
            </w:r>
          </w:p>
        </w:tc>
      </w:tr>
      <w:tr w14:paraId="6F582C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tcBorders>
              <w:tl2br w:val="nil"/>
              <w:tr2bl w:val="nil"/>
            </w:tcBorders>
            <w:noWrap w:val="0"/>
            <w:vAlign w:val="center"/>
          </w:tcPr>
          <w:p w14:paraId="6D45A9CC">
            <w:pPr>
              <w:keepNext w:val="0"/>
              <w:keepLines w:val="0"/>
              <w:pageBreakBefore w:val="0"/>
              <w:numPr>
                <w:ilvl w:val="0"/>
                <w:numId w:val="26"/>
              </w:numPr>
              <w:tabs>
                <w:tab w:val="left" w:pos="0"/>
              </w:tabs>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3B0BC332">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lang w:eastAsia="zh-CN"/>
              </w:rPr>
            </w:pPr>
          </w:p>
        </w:tc>
        <w:tc>
          <w:tcPr>
            <w:tcW w:w="1189" w:type="dxa"/>
            <w:tcBorders>
              <w:tl2br w:val="nil"/>
              <w:tr2bl w:val="nil"/>
            </w:tcBorders>
            <w:noWrap w:val="0"/>
            <w:vAlign w:val="center"/>
          </w:tcPr>
          <w:p w14:paraId="2CF54BC1">
            <w:pPr>
              <w:keepNext w:val="0"/>
              <w:keepLines w:val="0"/>
              <w:pageBreakBefore w:val="0"/>
              <w:widowControl/>
              <w:suppressLineNumbers w:val="0"/>
              <w:wordWrap/>
              <w:overflowPunct/>
              <w:topLinePunct w:val="0"/>
              <w:bidi w:val="0"/>
              <w:spacing w:line="240" w:lineRule="auto"/>
              <w:ind w:left="0" w:firstLine="0"/>
              <w:jc w:val="center"/>
              <w:textAlignment w:val="center"/>
              <w:rPr>
                <w:rFonts w:hint="default" w:ascii="Times New Roman" w:hAnsi="Times New Roman"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HCO</w:t>
            </w:r>
            <w:r>
              <w:rPr>
                <w:rFonts w:hint="default" w:ascii="Times New Roman" w:hAnsi="Times New Roman" w:cs="Times New Roman"/>
                <w:sz w:val="21"/>
                <w:szCs w:val="21"/>
                <w:highlight w:val="none"/>
                <w:vertAlign w:val="subscript"/>
                <w:lang w:val="en-US" w:eastAsia="zh-CN"/>
              </w:rPr>
              <w:t>3</w:t>
            </w:r>
            <w:r>
              <w:rPr>
                <w:rFonts w:hint="default" w:ascii="Times New Roman" w:hAnsi="Times New Roman" w:cs="Times New Roman"/>
                <w:sz w:val="21"/>
                <w:szCs w:val="21"/>
                <w:highlight w:val="none"/>
                <w:vertAlign w:val="superscript"/>
                <w:lang w:val="en-US" w:eastAsia="zh-CN"/>
              </w:rPr>
              <w:t>-</w:t>
            </w:r>
          </w:p>
        </w:tc>
        <w:tc>
          <w:tcPr>
            <w:tcW w:w="3083" w:type="dxa"/>
            <w:tcBorders>
              <w:tl2br w:val="nil"/>
              <w:tr2bl w:val="nil"/>
            </w:tcBorders>
            <w:noWrap w:val="0"/>
            <w:vAlign w:val="center"/>
          </w:tcPr>
          <w:p w14:paraId="76B40E7D">
            <w:pPr>
              <w:keepNext w:val="0"/>
              <w:keepLines w:val="0"/>
              <w:pageBreakBefore w:val="0"/>
              <w:widowControl/>
              <w:wordWrap/>
              <w:overflowPunct/>
              <w:topLinePunct w:val="0"/>
              <w:bidi w:val="0"/>
              <w:spacing w:line="240" w:lineRule="auto"/>
              <w:ind w:left="0" w:firstLine="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kern w:val="0"/>
                <w:sz w:val="21"/>
                <w:szCs w:val="21"/>
              </w:rPr>
              <w:t>酸碱指示剂滴定法《水和废水监测分析方法》（第四版增补版）国家环保总局（2002年）P121</w:t>
            </w:r>
          </w:p>
        </w:tc>
        <w:tc>
          <w:tcPr>
            <w:tcW w:w="1945" w:type="dxa"/>
            <w:tcBorders>
              <w:tl2br w:val="nil"/>
              <w:tr2bl w:val="nil"/>
            </w:tcBorders>
            <w:noWrap w:val="0"/>
            <w:vAlign w:val="center"/>
          </w:tcPr>
          <w:p w14:paraId="0095A53A">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滴定管</w:t>
            </w:r>
          </w:p>
          <w:p w14:paraId="50F0F2A9">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kern w:val="2"/>
                <w:sz w:val="21"/>
                <w:szCs w:val="21"/>
                <w:highlight w:val="none"/>
                <w:lang w:val="en-US" w:eastAsia="zh-CN" w:bidi="ar-SA"/>
              </w:rPr>
              <w:t>50mL</w:t>
            </w:r>
          </w:p>
        </w:tc>
        <w:tc>
          <w:tcPr>
            <w:tcW w:w="1547" w:type="dxa"/>
            <w:tcBorders>
              <w:tl2br w:val="nil"/>
              <w:tr2bl w:val="nil"/>
            </w:tcBorders>
            <w:noWrap w:val="0"/>
            <w:vAlign w:val="center"/>
          </w:tcPr>
          <w:p w14:paraId="327B224C">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kern w:val="2"/>
                <w:sz w:val="21"/>
                <w:szCs w:val="21"/>
                <w:highlight w:val="none"/>
                <w:lang w:val="en-US" w:eastAsia="zh-CN" w:bidi="ar-SA"/>
              </w:rPr>
              <w:t>/</w:t>
            </w:r>
          </w:p>
        </w:tc>
      </w:tr>
      <w:tr w14:paraId="2A0630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tcBorders>
              <w:tl2br w:val="nil"/>
              <w:tr2bl w:val="nil"/>
            </w:tcBorders>
            <w:noWrap w:val="0"/>
            <w:vAlign w:val="center"/>
          </w:tcPr>
          <w:p w14:paraId="47B3C946">
            <w:pPr>
              <w:keepNext w:val="0"/>
              <w:keepLines w:val="0"/>
              <w:pageBreakBefore w:val="0"/>
              <w:numPr>
                <w:ilvl w:val="0"/>
                <w:numId w:val="26"/>
              </w:numPr>
              <w:tabs>
                <w:tab w:val="left" w:pos="0"/>
              </w:tabs>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64DA7A13">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lang w:eastAsia="zh-CN"/>
              </w:rPr>
            </w:pPr>
          </w:p>
        </w:tc>
        <w:tc>
          <w:tcPr>
            <w:tcW w:w="1189" w:type="dxa"/>
            <w:tcBorders>
              <w:tl2br w:val="nil"/>
              <w:tr2bl w:val="nil"/>
            </w:tcBorders>
            <w:noWrap w:val="0"/>
            <w:vAlign w:val="center"/>
          </w:tcPr>
          <w:p w14:paraId="7CA2E23B">
            <w:pPr>
              <w:keepNext w:val="0"/>
              <w:keepLines w:val="0"/>
              <w:pageBreakBefore w:val="0"/>
              <w:widowControl/>
              <w:suppressLineNumbers w:val="0"/>
              <w:wordWrap/>
              <w:overflowPunct/>
              <w:topLinePunct w:val="0"/>
              <w:bidi w:val="0"/>
              <w:spacing w:line="240" w:lineRule="auto"/>
              <w:ind w:left="0" w:firstLine="0"/>
              <w:jc w:val="center"/>
              <w:textAlignment w:val="center"/>
              <w:rPr>
                <w:rFonts w:hint="default" w:ascii="Times New Roman" w:hAnsi="Times New Roman"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SO</w:t>
            </w:r>
            <w:r>
              <w:rPr>
                <w:rFonts w:hint="default" w:ascii="Times New Roman" w:hAnsi="Times New Roman" w:cs="Times New Roman"/>
                <w:sz w:val="21"/>
                <w:szCs w:val="21"/>
                <w:highlight w:val="none"/>
                <w:vertAlign w:val="subscript"/>
                <w:lang w:val="en-US" w:eastAsia="zh-CN"/>
              </w:rPr>
              <w:t>4</w:t>
            </w:r>
            <w:r>
              <w:rPr>
                <w:rFonts w:hint="default" w:ascii="Times New Roman" w:hAnsi="Times New Roman" w:cs="Times New Roman"/>
                <w:sz w:val="21"/>
                <w:szCs w:val="21"/>
                <w:highlight w:val="none"/>
                <w:vertAlign w:val="superscript"/>
                <w:lang w:val="en-US" w:eastAsia="zh-CN"/>
              </w:rPr>
              <w:t>2-</w:t>
            </w:r>
          </w:p>
        </w:tc>
        <w:tc>
          <w:tcPr>
            <w:tcW w:w="3083" w:type="dxa"/>
            <w:tcBorders>
              <w:tl2br w:val="nil"/>
              <w:tr2bl w:val="nil"/>
            </w:tcBorders>
            <w:noWrap w:val="0"/>
            <w:vAlign w:val="center"/>
          </w:tcPr>
          <w:p w14:paraId="48A3F202">
            <w:pPr>
              <w:keepNext w:val="0"/>
              <w:keepLines w:val="0"/>
              <w:pageBreakBefore w:val="0"/>
              <w:widowControl/>
              <w:wordWrap/>
              <w:overflowPunct/>
              <w:topLinePunct w:val="0"/>
              <w:bidi w:val="0"/>
              <w:spacing w:line="240" w:lineRule="auto"/>
              <w:ind w:left="0" w:firstLine="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cs="Times New Roman"/>
                <w:color w:val="auto"/>
                <w:kern w:val="0"/>
                <w:sz w:val="21"/>
                <w:szCs w:val="21"/>
              </w:rPr>
              <w:t>水质 无机阴离子（F</w:t>
            </w:r>
            <w:r>
              <w:rPr>
                <w:rFonts w:hint="default" w:ascii="Times New Roman" w:hAnsi="Times New Roman" w:cs="Times New Roman"/>
                <w:color w:val="auto"/>
                <w:kern w:val="0"/>
                <w:sz w:val="21"/>
                <w:szCs w:val="21"/>
                <w:vertAlign w:val="superscript"/>
              </w:rPr>
              <w:t>-</w:t>
            </w:r>
            <w:r>
              <w:rPr>
                <w:rFonts w:hint="default" w:ascii="Times New Roman" w:hAnsi="Times New Roman" w:cs="Times New Roman"/>
                <w:color w:val="auto"/>
                <w:kern w:val="0"/>
                <w:sz w:val="21"/>
                <w:szCs w:val="21"/>
              </w:rPr>
              <w:t>、Cl</w:t>
            </w:r>
            <w:r>
              <w:rPr>
                <w:rFonts w:hint="default" w:ascii="Times New Roman" w:hAnsi="Times New Roman" w:cs="Times New Roman"/>
                <w:color w:val="auto"/>
                <w:kern w:val="0"/>
                <w:sz w:val="21"/>
                <w:szCs w:val="21"/>
                <w:vertAlign w:val="superscript"/>
              </w:rPr>
              <w:t>-</w:t>
            </w:r>
            <w:r>
              <w:rPr>
                <w:rFonts w:hint="default" w:ascii="Times New Roman" w:hAnsi="Times New Roman" w:cs="Times New Roman"/>
                <w:color w:val="auto"/>
                <w:kern w:val="0"/>
                <w:sz w:val="21"/>
                <w:szCs w:val="21"/>
              </w:rPr>
              <w:t>、NO</w:t>
            </w:r>
            <w:r>
              <w:rPr>
                <w:rFonts w:hint="default" w:ascii="Times New Roman" w:hAnsi="Times New Roman" w:cs="Times New Roman"/>
                <w:color w:val="auto"/>
                <w:kern w:val="0"/>
                <w:sz w:val="21"/>
                <w:szCs w:val="21"/>
                <w:vertAlign w:val="subscript"/>
              </w:rPr>
              <w:t>2</w:t>
            </w:r>
            <w:r>
              <w:rPr>
                <w:rFonts w:hint="default" w:ascii="Times New Roman" w:hAnsi="Times New Roman" w:cs="Times New Roman"/>
                <w:color w:val="auto"/>
                <w:kern w:val="0"/>
                <w:sz w:val="21"/>
                <w:szCs w:val="21"/>
                <w:vertAlign w:val="superscript"/>
              </w:rPr>
              <w:t>-</w:t>
            </w:r>
            <w:r>
              <w:rPr>
                <w:rFonts w:hint="default" w:ascii="Times New Roman" w:hAnsi="Times New Roman" w:cs="Times New Roman"/>
                <w:color w:val="auto"/>
                <w:kern w:val="0"/>
                <w:sz w:val="21"/>
                <w:szCs w:val="21"/>
              </w:rPr>
              <w:t>、Br</w:t>
            </w:r>
            <w:r>
              <w:rPr>
                <w:rFonts w:hint="default" w:ascii="Times New Roman" w:hAnsi="Times New Roman" w:cs="Times New Roman"/>
                <w:color w:val="auto"/>
                <w:kern w:val="0"/>
                <w:sz w:val="21"/>
                <w:szCs w:val="21"/>
                <w:vertAlign w:val="superscript"/>
              </w:rPr>
              <w:t>-</w:t>
            </w:r>
            <w:r>
              <w:rPr>
                <w:rFonts w:hint="default" w:ascii="Times New Roman" w:hAnsi="Times New Roman" w:cs="Times New Roman"/>
                <w:color w:val="auto"/>
                <w:kern w:val="0"/>
                <w:sz w:val="21"/>
                <w:szCs w:val="21"/>
              </w:rPr>
              <w:t>、NO</w:t>
            </w:r>
            <w:r>
              <w:rPr>
                <w:rFonts w:hint="default" w:ascii="Times New Roman" w:hAnsi="Times New Roman" w:cs="Times New Roman"/>
                <w:color w:val="auto"/>
                <w:kern w:val="0"/>
                <w:sz w:val="21"/>
                <w:szCs w:val="21"/>
                <w:vertAlign w:val="subscript"/>
              </w:rPr>
              <w:t>3</w:t>
            </w:r>
            <w:r>
              <w:rPr>
                <w:rFonts w:hint="default" w:ascii="Times New Roman" w:hAnsi="Times New Roman" w:cs="Times New Roman"/>
                <w:color w:val="auto"/>
                <w:kern w:val="0"/>
                <w:sz w:val="21"/>
                <w:szCs w:val="21"/>
                <w:vertAlign w:val="superscript"/>
              </w:rPr>
              <w:t>-</w:t>
            </w:r>
            <w:r>
              <w:rPr>
                <w:rFonts w:hint="default" w:ascii="Times New Roman" w:hAnsi="Times New Roman" w:cs="Times New Roman"/>
                <w:color w:val="auto"/>
                <w:kern w:val="0"/>
                <w:sz w:val="21"/>
                <w:szCs w:val="21"/>
              </w:rPr>
              <w:t>、PO</w:t>
            </w:r>
            <w:r>
              <w:rPr>
                <w:rFonts w:hint="default" w:ascii="Times New Roman" w:hAnsi="Times New Roman" w:cs="Times New Roman"/>
                <w:color w:val="auto"/>
                <w:kern w:val="0"/>
                <w:sz w:val="21"/>
                <w:szCs w:val="21"/>
                <w:vertAlign w:val="subscript"/>
              </w:rPr>
              <w:t>4</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、SO</w:t>
            </w:r>
            <w:r>
              <w:rPr>
                <w:rFonts w:hint="default" w:ascii="Times New Roman" w:hAnsi="Times New Roman" w:cs="Times New Roman"/>
                <w:color w:val="auto"/>
                <w:kern w:val="0"/>
                <w:sz w:val="21"/>
                <w:szCs w:val="21"/>
                <w:vertAlign w:val="subscript"/>
              </w:rPr>
              <w:t>3</w:t>
            </w:r>
            <w:r>
              <w:rPr>
                <w:rFonts w:hint="default" w:ascii="Times New Roman" w:hAnsi="Times New Roman" w:cs="Times New Roman"/>
                <w:color w:val="auto"/>
                <w:kern w:val="0"/>
                <w:sz w:val="21"/>
                <w:szCs w:val="21"/>
                <w:vertAlign w:val="superscript"/>
              </w:rPr>
              <w:t>2-</w:t>
            </w:r>
            <w:r>
              <w:rPr>
                <w:rFonts w:hint="default" w:ascii="Times New Roman" w:hAnsi="Times New Roman" w:cs="Times New Roman"/>
                <w:color w:val="auto"/>
                <w:kern w:val="0"/>
                <w:sz w:val="21"/>
                <w:szCs w:val="21"/>
              </w:rPr>
              <w:t>、SO</w:t>
            </w:r>
            <w:r>
              <w:rPr>
                <w:rFonts w:hint="default" w:ascii="Times New Roman" w:hAnsi="Times New Roman" w:cs="Times New Roman"/>
                <w:color w:val="auto"/>
                <w:kern w:val="0"/>
                <w:sz w:val="21"/>
                <w:szCs w:val="21"/>
                <w:vertAlign w:val="subscript"/>
              </w:rPr>
              <w:t>4</w:t>
            </w:r>
            <w:r>
              <w:rPr>
                <w:rFonts w:hint="default" w:ascii="Times New Roman" w:hAnsi="Times New Roman" w:cs="Times New Roman"/>
                <w:color w:val="auto"/>
                <w:kern w:val="0"/>
                <w:sz w:val="21"/>
                <w:szCs w:val="21"/>
                <w:vertAlign w:val="superscript"/>
              </w:rPr>
              <w:t>2-</w:t>
            </w:r>
            <w:r>
              <w:rPr>
                <w:rFonts w:hint="default" w:ascii="Times New Roman" w:hAnsi="Times New Roman" w:cs="Times New Roman"/>
                <w:color w:val="auto"/>
                <w:kern w:val="0"/>
                <w:sz w:val="21"/>
                <w:szCs w:val="21"/>
              </w:rPr>
              <w:t>）的测定 离子色谱法</w:t>
            </w:r>
            <w:r>
              <w:rPr>
                <w:rFonts w:hint="default" w:ascii="Times New Roman" w:hAnsi="Times New Roman" w:cs="Times New Roman"/>
                <w:color w:val="auto"/>
                <w:kern w:val="0"/>
                <w:sz w:val="21"/>
                <w:szCs w:val="21"/>
                <w:lang w:val="en-US" w:eastAsia="zh-CN"/>
              </w:rPr>
              <w:t xml:space="preserve"> </w:t>
            </w:r>
            <w:r>
              <w:rPr>
                <w:rFonts w:hint="default" w:ascii="Times New Roman" w:hAnsi="Times New Roman" w:cs="Times New Roman"/>
                <w:color w:val="auto"/>
                <w:kern w:val="0"/>
                <w:sz w:val="21"/>
                <w:szCs w:val="21"/>
              </w:rPr>
              <w:t>HJ 84-2016</w:t>
            </w:r>
          </w:p>
        </w:tc>
        <w:tc>
          <w:tcPr>
            <w:tcW w:w="1945" w:type="dxa"/>
            <w:tcBorders>
              <w:tl2br w:val="nil"/>
              <w:tr2bl w:val="nil"/>
            </w:tcBorders>
            <w:noWrap w:val="0"/>
            <w:vAlign w:val="center"/>
          </w:tcPr>
          <w:p w14:paraId="580F2DA0">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离子色谱仪</w:t>
            </w:r>
          </w:p>
          <w:p w14:paraId="44978390">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b w:val="0"/>
                <w:bCs w:val="0"/>
                <w:color w:val="auto"/>
                <w:sz w:val="21"/>
                <w:szCs w:val="21"/>
                <w:highlight w:val="none"/>
              </w:rPr>
              <w:t>IC6000</w:t>
            </w:r>
          </w:p>
        </w:tc>
        <w:tc>
          <w:tcPr>
            <w:tcW w:w="1547" w:type="dxa"/>
            <w:tcBorders>
              <w:tl2br w:val="nil"/>
              <w:tr2bl w:val="nil"/>
            </w:tcBorders>
            <w:noWrap w:val="0"/>
            <w:vAlign w:val="center"/>
          </w:tcPr>
          <w:p w14:paraId="08129070">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b w:val="0"/>
                <w:bCs w:val="0"/>
                <w:color w:val="auto"/>
                <w:sz w:val="21"/>
                <w:szCs w:val="21"/>
                <w:highlight w:val="none"/>
              </w:rPr>
              <w:t>HYJC-LH-003</w:t>
            </w:r>
          </w:p>
        </w:tc>
      </w:tr>
      <w:tr w14:paraId="57C228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16" w:type="dxa"/>
            <w:tcBorders>
              <w:tl2br w:val="nil"/>
              <w:tr2bl w:val="nil"/>
            </w:tcBorders>
            <w:noWrap w:val="0"/>
            <w:vAlign w:val="center"/>
          </w:tcPr>
          <w:p w14:paraId="49D48BB7">
            <w:pPr>
              <w:keepNext w:val="0"/>
              <w:keepLines w:val="0"/>
              <w:pageBreakBefore w:val="0"/>
              <w:numPr>
                <w:ilvl w:val="0"/>
                <w:numId w:val="26"/>
              </w:numPr>
              <w:tabs>
                <w:tab w:val="left" w:pos="0"/>
              </w:tabs>
              <w:wordWrap/>
              <w:overflowPunct/>
              <w:topLinePunct w:val="0"/>
              <w:bidi w:val="0"/>
              <w:spacing w:line="240" w:lineRule="auto"/>
              <w:ind w:left="0" w:leftChars="0" w:firstLine="0" w:firstLineChars="0"/>
              <w:jc w:val="center"/>
              <w:rPr>
                <w:rFonts w:hint="default" w:ascii="Times New Roman" w:hAnsi="Times New Roman" w:eastAsia="宋体" w:cs="Times New Roman"/>
                <w:sz w:val="21"/>
                <w:szCs w:val="21"/>
              </w:rPr>
            </w:pPr>
          </w:p>
        </w:tc>
        <w:tc>
          <w:tcPr>
            <w:tcW w:w="901" w:type="dxa"/>
            <w:vMerge w:val="continue"/>
            <w:tcBorders>
              <w:tl2br w:val="nil"/>
              <w:tr2bl w:val="nil"/>
            </w:tcBorders>
            <w:noWrap w:val="0"/>
            <w:vAlign w:val="center"/>
          </w:tcPr>
          <w:p w14:paraId="19A7B6EA">
            <w:pPr>
              <w:keepNext w:val="0"/>
              <w:keepLines w:val="0"/>
              <w:pageBreakBefore w:val="0"/>
              <w:wordWrap/>
              <w:overflowPunct/>
              <w:topLinePunct w:val="0"/>
              <w:bidi w:val="0"/>
              <w:spacing w:line="240" w:lineRule="auto"/>
              <w:ind w:left="0" w:firstLine="0"/>
              <w:jc w:val="center"/>
              <w:rPr>
                <w:rFonts w:hint="default" w:ascii="Times New Roman" w:hAnsi="Times New Roman" w:eastAsia="宋体" w:cs="Times New Roman"/>
                <w:sz w:val="21"/>
                <w:szCs w:val="21"/>
                <w:lang w:eastAsia="zh-CN"/>
              </w:rPr>
            </w:pPr>
          </w:p>
        </w:tc>
        <w:tc>
          <w:tcPr>
            <w:tcW w:w="1189" w:type="dxa"/>
            <w:tcBorders>
              <w:tl2br w:val="nil"/>
              <w:tr2bl w:val="nil"/>
            </w:tcBorders>
            <w:noWrap w:val="0"/>
            <w:vAlign w:val="center"/>
          </w:tcPr>
          <w:p w14:paraId="2BDC1D2E">
            <w:pPr>
              <w:keepNext w:val="0"/>
              <w:keepLines w:val="0"/>
              <w:pageBreakBefore w:val="0"/>
              <w:widowControl/>
              <w:suppressLineNumbers w:val="0"/>
              <w:wordWrap/>
              <w:overflowPunct/>
              <w:topLinePunct w:val="0"/>
              <w:bidi w:val="0"/>
              <w:spacing w:line="240" w:lineRule="auto"/>
              <w:ind w:left="0" w:firstLine="0"/>
              <w:jc w:val="center"/>
              <w:textAlignment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石油类</w:t>
            </w:r>
          </w:p>
        </w:tc>
        <w:tc>
          <w:tcPr>
            <w:tcW w:w="3083" w:type="dxa"/>
            <w:tcBorders>
              <w:tl2br w:val="nil"/>
              <w:tr2bl w:val="nil"/>
            </w:tcBorders>
            <w:noWrap w:val="0"/>
            <w:vAlign w:val="center"/>
          </w:tcPr>
          <w:p w14:paraId="6072596B">
            <w:pPr>
              <w:keepNext w:val="0"/>
              <w:keepLines w:val="0"/>
              <w:pageBreakBefore w:val="0"/>
              <w:widowControl/>
              <w:wordWrap/>
              <w:overflowPunct/>
              <w:topLinePunct w:val="0"/>
              <w:bidi w:val="0"/>
              <w:spacing w:line="240" w:lineRule="auto"/>
              <w:ind w:left="0" w:firstLine="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水质 石油类的测定 紫外分光光度法（试行） HJ 970-2018</w:t>
            </w:r>
          </w:p>
        </w:tc>
        <w:tc>
          <w:tcPr>
            <w:tcW w:w="1945" w:type="dxa"/>
            <w:tcBorders>
              <w:tl2br w:val="nil"/>
              <w:tr2bl w:val="nil"/>
            </w:tcBorders>
            <w:noWrap w:val="0"/>
            <w:vAlign w:val="center"/>
          </w:tcPr>
          <w:p w14:paraId="444E3BA3">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紫外可见分光光度计</w:t>
            </w:r>
          </w:p>
          <w:p w14:paraId="0C1599FD">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kern w:val="0"/>
                <w:sz w:val="21"/>
                <w:szCs w:val="21"/>
                <w:highlight w:val="none"/>
              </w:rPr>
              <w:t>T6新世纪</w:t>
            </w:r>
          </w:p>
        </w:tc>
        <w:tc>
          <w:tcPr>
            <w:tcW w:w="1547" w:type="dxa"/>
            <w:tcBorders>
              <w:tl2br w:val="nil"/>
              <w:tr2bl w:val="nil"/>
            </w:tcBorders>
            <w:noWrap w:val="0"/>
            <w:vAlign w:val="center"/>
          </w:tcPr>
          <w:p w14:paraId="4932AC55">
            <w:pPr>
              <w:keepNext w:val="0"/>
              <w:keepLines w:val="0"/>
              <w:pageBreakBefore w:val="0"/>
              <w:kinsoku/>
              <w:wordWrap/>
              <w:overflowPunct/>
              <w:topLinePunct w:val="0"/>
              <w:autoSpaceDE/>
              <w:autoSpaceDN/>
              <w:bidi w:val="0"/>
              <w:adjustRightInd/>
              <w:snapToGrid/>
              <w:spacing w:line="240" w:lineRule="auto"/>
              <w:ind w:left="0"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sz w:val="21"/>
                <w:szCs w:val="21"/>
                <w:highlight w:val="none"/>
              </w:rPr>
              <w:t>HYJC-LH-009</w:t>
            </w:r>
          </w:p>
        </w:tc>
      </w:tr>
    </w:tbl>
    <w:p w14:paraId="4D021F73">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4.2.3.5</w:t>
      </w:r>
      <w:r>
        <w:rPr>
          <w:rFonts w:hint="default" w:ascii="Times New Roman" w:hAnsi="Times New Roman" w:eastAsia="宋体" w:cs="Times New Roman"/>
          <w:b/>
          <w:bCs/>
          <w:color w:val="auto"/>
          <w:sz w:val="28"/>
          <w:szCs w:val="28"/>
          <w:lang w:val="en-US" w:eastAsia="zh-CN"/>
        </w:rPr>
        <w:t>监测结果统计与分析</w:t>
      </w:r>
    </w:p>
    <w:p w14:paraId="6F6173C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Arial" w:cs="Times New Roman"/>
          <w:b/>
          <w:bCs/>
          <w:snapToGrid w:val="0"/>
          <w:color w:val="auto"/>
          <w:kern w:val="0"/>
          <w:sz w:val="24"/>
          <w:szCs w:val="24"/>
          <w:highlight w:val="none"/>
          <w:lang w:val="en-US" w:eastAsia="zh-CN" w:bidi="ar-SA"/>
        </w:rPr>
      </w:pPr>
      <w:r>
        <w:rPr>
          <w:rFonts w:hint="default" w:ascii="Times New Roman" w:hAnsi="Times New Roman" w:cs="Times New Roman"/>
          <w:color w:val="auto"/>
          <w:sz w:val="24"/>
          <w:szCs w:val="24"/>
        </w:rPr>
        <w:t>地下水监测结果统计于下表。</w:t>
      </w:r>
    </w:p>
    <w:p w14:paraId="1F3C7D6E">
      <w:pPr>
        <w:pStyle w:val="57"/>
        <w:ind w:firstLine="0" w:firstLineChars="0"/>
        <w:rPr>
          <w:rFonts w:hint="eastAsia" w:ascii="Times New Roman" w:hAnsi="Times New Roman" w:eastAsia="Arial" w:cs="Times New Roman"/>
          <w:b/>
          <w:bCs/>
          <w:snapToGrid w:val="0"/>
          <w:color w:val="auto"/>
          <w:kern w:val="0"/>
          <w:sz w:val="24"/>
          <w:szCs w:val="24"/>
          <w:highlight w:val="none"/>
          <w:lang w:val="en-US" w:eastAsia="zh-CN" w:bidi="ar-SA"/>
        </w:rPr>
      </w:pPr>
      <w:r>
        <w:rPr>
          <w:rFonts w:hint="eastAsia" w:ascii="Times New Roman" w:hAnsi="Times New Roman" w:eastAsia="Arial" w:cs="Times New Roman"/>
          <w:b/>
          <w:bCs/>
          <w:snapToGrid w:val="0"/>
          <w:color w:val="auto"/>
          <w:kern w:val="0"/>
          <w:sz w:val="24"/>
          <w:szCs w:val="24"/>
          <w:highlight w:val="none"/>
          <w:lang w:val="en-US" w:eastAsia="zh-CN" w:bidi="ar-SA"/>
        </w:rPr>
        <w:t>表4.2-10  地下水监测结果统计表  单位：mg/L</w:t>
      </w:r>
    </w:p>
    <w:tbl>
      <w:tblPr>
        <w:tblStyle w:val="2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689"/>
        <w:gridCol w:w="1887"/>
        <w:gridCol w:w="1838"/>
        <w:gridCol w:w="1838"/>
        <w:gridCol w:w="1839"/>
      </w:tblGrid>
      <w:tr w14:paraId="630DC7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205" w:type="pct"/>
            <w:vMerge w:val="restart"/>
            <w:tcBorders>
              <w:tl2br w:val="nil"/>
              <w:tr2bl w:val="nil"/>
            </w:tcBorders>
            <w:noWrap w:val="0"/>
            <w:vAlign w:val="center"/>
          </w:tcPr>
          <w:p w14:paraId="445B2CA9">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序号</w:t>
            </w:r>
          </w:p>
        </w:tc>
        <w:tc>
          <w:tcPr>
            <w:tcW w:w="352" w:type="pct"/>
            <w:vMerge w:val="restart"/>
            <w:tcBorders>
              <w:tl2br w:val="nil"/>
              <w:tr2bl w:val="nil"/>
            </w:tcBorders>
            <w:noWrap w:val="0"/>
            <w:vAlign w:val="center"/>
          </w:tcPr>
          <w:p w14:paraId="31A75C69">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采样日期</w:t>
            </w:r>
          </w:p>
        </w:tc>
        <w:tc>
          <w:tcPr>
            <w:tcW w:w="1331" w:type="pct"/>
            <w:vMerge w:val="restart"/>
            <w:tcBorders>
              <w:tl2br w:val="nil"/>
              <w:tr2bl w:val="nil"/>
            </w:tcBorders>
            <w:noWrap w:val="0"/>
            <w:vAlign w:val="center"/>
          </w:tcPr>
          <w:p w14:paraId="712AC6B2">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检测项目</w:t>
            </w:r>
          </w:p>
        </w:tc>
        <w:tc>
          <w:tcPr>
            <w:tcW w:w="1036" w:type="pct"/>
            <w:tcBorders>
              <w:tl2br w:val="nil"/>
              <w:tr2bl w:val="nil"/>
            </w:tcBorders>
            <w:noWrap w:val="0"/>
            <w:vAlign w:val="center"/>
          </w:tcPr>
          <w:p w14:paraId="42319D4E">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color w:val="000000"/>
                <w:sz w:val="21"/>
                <w:szCs w:val="21"/>
                <w:highlight w:val="none"/>
                <w:lang w:val="en-US" w:eastAsia="zh-CN"/>
              </w:rPr>
              <w:t>1#地下水井</w:t>
            </w:r>
            <w:r>
              <w:rPr>
                <w:rFonts w:hint="default" w:ascii="Times New Roman" w:hAnsi="Times New Roman" w:eastAsia="宋体" w:cs="Times New Roman"/>
                <w:sz w:val="21"/>
                <w:szCs w:val="21"/>
                <w:lang w:eastAsia="zh-CN"/>
              </w:rPr>
              <w:t>1☆</w:t>
            </w:r>
          </w:p>
        </w:tc>
        <w:tc>
          <w:tcPr>
            <w:tcW w:w="1036" w:type="pct"/>
            <w:tcBorders>
              <w:tl2br w:val="nil"/>
              <w:tr2bl w:val="nil"/>
            </w:tcBorders>
            <w:noWrap w:val="0"/>
            <w:vAlign w:val="center"/>
          </w:tcPr>
          <w:p w14:paraId="656CD7FE">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sz w:val="21"/>
                <w:szCs w:val="21"/>
                <w:highlight w:val="none"/>
                <w:lang w:val="en-US" w:eastAsia="zh-CN"/>
              </w:rPr>
              <w:t>2#地下水井</w:t>
            </w:r>
            <w:r>
              <w:rPr>
                <w:rFonts w:hint="default" w:ascii="Times New Roman" w:hAnsi="Times New Roman" w:cs="Times New Roman"/>
                <w:sz w:val="21"/>
                <w:szCs w:val="21"/>
                <w:lang w:val="en-US" w:eastAsia="zh-CN"/>
              </w:rPr>
              <w:t>2</w:t>
            </w:r>
            <w:r>
              <w:rPr>
                <w:rFonts w:hint="default" w:ascii="Times New Roman" w:hAnsi="Times New Roman" w:cs="Times New Roman"/>
                <w:sz w:val="21"/>
                <w:szCs w:val="21"/>
              </w:rPr>
              <w:t>☆</w:t>
            </w:r>
          </w:p>
        </w:tc>
        <w:tc>
          <w:tcPr>
            <w:tcW w:w="1036" w:type="pct"/>
            <w:tcBorders>
              <w:tl2br w:val="nil"/>
              <w:tr2bl w:val="nil"/>
            </w:tcBorders>
            <w:noWrap w:val="0"/>
            <w:vAlign w:val="center"/>
          </w:tcPr>
          <w:p w14:paraId="553F423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sz w:val="21"/>
                <w:szCs w:val="21"/>
                <w:highlight w:val="none"/>
                <w:lang w:val="en-US" w:eastAsia="zh-CN"/>
              </w:rPr>
              <w:t>3#地下水井</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rPr>
              <w:t>☆</w:t>
            </w:r>
          </w:p>
        </w:tc>
      </w:tr>
      <w:tr w14:paraId="69C740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205" w:type="pct"/>
            <w:vMerge w:val="continue"/>
            <w:tcBorders>
              <w:tl2br w:val="nil"/>
              <w:tr2bl w:val="nil"/>
            </w:tcBorders>
            <w:noWrap w:val="0"/>
            <w:vAlign w:val="center"/>
          </w:tcPr>
          <w:p w14:paraId="793D4C57">
            <w:p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6E05638A">
            <w:pPr>
              <w:jc w:val="center"/>
              <w:rPr>
                <w:rFonts w:hint="default" w:ascii="Times New Roman" w:hAnsi="Times New Roman" w:cs="Times New Roman"/>
                <w:sz w:val="21"/>
                <w:szCs w:val="21"/>
              </w:rPr>
            </w:pPr>
          </w:p>
        </w:tc>
        <w:tc>
          <w:tcPr>
            <w:tcW w:w="1331" w:type="pct"/>
            <w:vMerge w:val="continue"/>
            <w:tcBorders>
              <w:tl2br w:val="nil"/>
              <w:tr2bl w:val="nil"/>
            </w:tcBorders>
            <w:noWrap w:val="0"/>
            <w:vAlign w:val="center"/>
          </w:tcPr>
          <w:p w14:paraId="557A2213">
            <w:pPr>
              <w:jc w:val="center"/>
              <w:rPr>
                <w:rFonts w:hint="default" w:ascii="Times New Roman" w:hAnsi="Times New Roman" w:cs="Times New Roman"/>
                <w:sz w:val="21"/>
                <w:szCs w:val="21"/>
              </w:rPr>
            </w:pPr>
          </w:p>
        </w:tc>
        <w:tc>
          <w:tcPr>
            <w:tcW w:w="1036" w:type="pct"/>
            <w:tcBorders>
              <w:tl2br w:val="nil"/>
              <w:tr2bl w:val="nil"/>
            </w:tcBorders>
            <w:noWrap w:val="0"/>
            <w:vAlign w:val="center"/>
          </w:tcPr>
          <w:p w14:paraId="2A732B00">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WCL25110401001</w:t>
            </w:r>
          </w:p>
        </w:tc>
        <w:tc>
          <w:tcPr>
            <w:tcW w:w="1036" w:type="pct"/>
            <w:tcBorders>
              <w:tl2br w:val="nil"/>
              <w:tr2bl w:val="nil"/>
            </w:tcBorders>
            <w:noWrap w:val="0"/>
            <w:vAlign w:val="center"/>
          </w:tcPr>
          <w:p w14:paraId="56374500">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WCL25110402001</w:t>
            </w:r>
          </w:p>
        </w:tc>
        <w:tc>
          <w:tcPr>
            <w:tcW w:w="1036" w:type="pct"/>
            <w:tcBorders>
              <w:tl2br w:val="nil"/>
              <w:tr2bl w:val="nil"/>
            </w:tcBorders>
            <w:noWrap w:val="0"/>
            <w:vAlign w:val="center"/>
          </w:tcPr>
          <w:p w14:paraId="24D1DE1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WCL25110403001</w:t>
            </w:r>
          </w:p>
        </w:tc>
      </w:tr>
      <w:tr w14:paraId="229CD8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02FF9F25">
            <w:pPr>
              <w:numPr>
                <w:ilvl w:val="0"/>
                <w:numId w:val="27"/>
              </w:numPr>
              <w:jc w:val="center"/>
              <w:rPr>
                <w:rFonts w:hint="default" w:ascii="Times New Roman" w:hAnsi="Times New Roman" w:cs="Times New Roman"/>
                <w:sz w:val="21"/>
                <w:szCs w:val="21"/>
              </w:rPr>
            </w:pPr>
          </w:p>
        </w:tc>
        <w:tc>
          <w:tcPr>
            <w:tcW w:w="352" w:type="pct"/>
            <w:vMerge w:val="restart"/>
            <w:tcBorders>
              <w:tl2br w:val="nil"/>
              <w:tr2bl w:val="nil"/>
            </w:tcBorders>
            <w:noWrap w:val="0"/>
            <w:vAlign w:val="center"/>
          </w:tcPr>
          <w:p w14:paraId="7BC24336">
            <w:pPr>
              <w:widowControl/>
              <w:jc w:val="center"/>
              <w:textAlignment w:val="center"/>
              <w:rPr>
                <w:rFonts w:hint="default" w:ascii="Times New Roman" w:hAnsi="Times New Roman" w:cs="Times New Roman"/>
                <w:kern w:val="0"/>
                <w:sz w:val="21"/>
                <w:szCs w:val="21"/>
                <w:lang w:val="en-US" w:eastAsia="zh-CN" w:bidi="ar"/>
              </w:rPr>
            </w:pPr>
            <w:r>
              <w:rPr>
                <w:rFonts w:hint="default" w:ascii="Times New Roman" w:hAnsi="Times New Roman" w:cs="Times New Roman"/>
                <w:kern w:val="0"/>
                <w:sz w:val="21"/>
                <w:szCs w:val="21"/>
                <w:lang w:val="en-US" w:eastAsia="zh-CN" w:bidi="ar"/>
              </w:rPr>
              <w:t>2025.</w:t>
            </w:r>
          </w:p>
          <w:p w14:paraId="2C9C2410">
            <w:pPr>
              <w:widowControl/>
              <w:jc w:val="center"/>
              <w:textAlignment w:val="center"/>
              <w:rPr>
                <w:rFonts w:hint="default" w:ascii="Times New Roman" w:hAnsi="Times New Roman" w:eastAsia="宋体" w:cs="Times New Roman"/>
                <w:kern w:val="0"/>
                <w:sz w:val="21"/>
                <w:szCs w:val="21"/>
                <w:lang w:val="en-US" w:eastAsia="zh-CN" w:bidi="ar"/>
              </w:rPr>
            </w:pPr>
            <w:r>
              <w:rPr>
                <w:rFonts w:hint="default" w:ascii="Times New Roman" w:hAnsi="Times New Roman" w:cs="Times New Roman"/>
                <w:kern w:val="0"/>
                <w:sz w:val="21"/>
                <w:szCs w:val="21"/>
                <w:lang w:val="en-US" w:eastAsia="zh-CN" w:bidi="ar"/>
              </w:rPr>
              <w:t>11.04</w:t>
            </w:r>
          </w:p>
        </w:tc>
        <w:tc>
          <w:tcPr>
            <w:tcW w:w="1331" w:type="pct"/>
            <w:tcBorders>
              <w:tl2br w:val="nil"/>
              <w:tr2bl w:val="nil"/>
            </w:tcBorders>
            <w:noWrap w:val="0"/>
            <w:vAlign w:val="center"/>
          </w:tcPr>
          <w:p w14:paraId="08E8D966">
            <w:pPr>
              <w:widowControl/>
              <w:jc w:val="center"/>
              <w:textAlignment w:val="center"/>
              <w:rPr>
                <w:rFonts w:hint="default" w:ascii="Times New Roman" w:hAnsi="Times New Roman" w:cs="Times New Roman"/>
                <w:sz w:val="21"/>
                <w:szCs w:val="21"/>
              </w:rPr>
            </w:pPr>
            <w:r>
              <w:rPr>
                <w:rFonts w:hint="default" w:ascii="Times New Roman" w:hAnsi="Times New Roman" w:cs="Times New Roman"/>
                <w:kern w:val="0"/>
                <w:sz w:val="21"/>
                <w:szCs w:val="21"/>
                <w:lang w:bidi="ar"/>
              </w:rPr>
              <w:t>pH值（无量纲）</w:t>
            </w:r>
          </w:p>
        </w:tc>
        <w:tc>
          <w:tcPr>
            <w:tcW w:w="1036" w:type="pct"/>
            <w:tcBorders>
              <w:tl2br w:val="nil"/>
              <w:tr2bl w:val="nil"/>
            </w:tcBorders>
            <w:noWrap w:val="0"/>
            <w:vAlign w:val="center"/>
          </w:tcPr>
          <w:p w14:paraId="3A49EC96">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w:t>
            </w:r>
          </w:p>
        </w:tc>
        <w:tc>
          <w:tcPr>
            <w:tcW w:w="1036" w:type="pct"/>
            <w:tcBorders>
              <w:tl2br w:val="nil"/>
              <w:tr2bl w:val="nil"/>
            </w:tcBorders>
            <w:noWrap w:val="0"/>
            <w:vAlign w:val="center"/>
          </w:tcPr>
          <w:p w14:paraId="334E371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7.0</w:t>
            </w:r>
          </w:p>
        </w:tc>
        <w:tc>
          <w:tcPr>
            <w:tcW w:w="1036" w:type="pct"/>
            <w:tcBorders>
              <w:tl2br w:val="nil"/>
              <w:tr2bl w:val="nil"/>
            </w:tcBorders>
            <w:noWrap w:val="0"/>
            <w:vAlign w:val="center"/>
          </w:tcPr>
          <w:p w14:paraId="7A2004F4">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6.8</w:t>
            </w:r>
          </w:p>
        </w:tc>
      </w:tr>
      <w:tr w14:paraId="1A0B3A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4E964F77">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364AB040">
            <w:pPr>
              <w:widowControl/>
              <w:jc w:val="center"/>
              <w:textAlignment w:val="center"/>
              <w:rPr>
                <w:rFonts w:hint="default" w:ascii="Times New Roman" w:hAnsi="Times New Roman" w:cs="Times New Roman"/>
                <w:sz w:val="21"/>
                <w:szCs w:val="21"/>
                <w:lang w:eastAsia="zh-CN"/>
              </w:rPr>
            </w:pPr>
          </w:p>
        </w:tc>
        <w:tc>
          <w:tcPr>
            <w:tcW w:w="1331" w:type="pct"/>
            <w:tcBorders>
              <w:tl2br w:val="nil"/>
              <w:tr2bl w:val="nil"/>
            </w:tcBorders>
            <w:noWrap w:val="0"/>
            <w:vAlign w:val="center"/>
          </w:tcPr>
          <w:p w14:paraId="22644DC7">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0"/>
                <w:sz w:val="21"/>
                <w:szCs w:val="21"/>
                <w:lang w:bidi="ar"/>
              </w:rPr>
              <w:t>氨氮</w:t>
            </w:r>
          </w:p>
        </w:tc>
        <w:tc>
          <w:tcPr>
            <w:tcW w:w="1036" w:type="pct"/>
            <w:tcBorders>
              <w:tl2br w:val="nil"/>
              <w:tr2bl w:val="nil"/>
            </w:tcBorders>
            <w:noWrap w:val="0"/>
            <w:vAlign w:val="center"/>
          </w:tcPr>
          <w:p w14:paraId="1AF617C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0.051</w:t>
            </w:r>
          </w:p>
        </w:tc>
        <w:tc>
          <w:tcPr>
            <w:tcW w:w="1036" w:type="pct"/>
            <w:tcBorders>
              <w:tl2br w:val="nil"/>
              <w:tr2bl w:val="nil"/>
            </w:tcBorders>
            <w:noWrap w:val="0"/>
            <w:vAlign w:val="center"/>
          </w:tcPr>
          <w:p w14:paraId="04DAC27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0.044</w:t>
            </w:r>
          </w:p>
        </w:tc>
        <w:tc>
          <w:tcPr>
            <w:tcW w:w="1036" w:type="pct"/>
            <w:tcBorders>
              <w:tl2br w:val="nil"/>
              <w:tr2bl w:val="nil"/>
            </w:tcBorders>
            <w:noWrap w:val="0"/>
            <w:vAlign w:val="center"/>
          </w:tcPr>
          <w:p w14:paraId="54122D7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0.063</w:t>
            </w:r>
          </w:p>
        </w:tc>
      </w:tr>
      <w:tr w14:paraId="6306CB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51BF4F0C">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36CE8CE6">
            <w:pPr>
              <w:widowControl/>
              <w:jc w:val="center"/>
              <w:textAlignment w:val="center"/>
              <w:rPr>
                <w:rFonts w:hint="default" w:ascii="Times New Roman" w:hAnsi="Times New Roman" w:cs="Times New Roman"/>
                <w:sz w:val="21"/>
                <w:szCs w:val="21"/>
                <w:lang w:eastAsia="zh-CN"/>
              </w:rPr>
            </w:pPr>
          </w:p>
        </w:tc>
        <w:tc>
          <w:tcPr>
            <w:tcW w:w="1331" w:type="pct"/>
            <w:tcBorders>
              <w:tl2br w:val="nil"/>
              <w:tr2bl w:val="nil"/>
            </w:tcBorders>
            <w:noWrap w:val="0"/>
            <w:vAlign w:val="center"/>
          </w:tcPr>
          <w:p w14:paraId="68062B70">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0"/>
                <w:sz w:val="21"/>
                <w:szCs w:val="21"/>
                <w:lang w:bidi="ar"/>
              </w:rPr>
              <w:t>硝酸盐（以N计）</w:t>
            </w:r>
          </w:p>
        </w:tc>
        <w:tc>
          <w:tcPr>
            <w:tcW w:w="1036" w:type="pct"/>
            <w:tcBorders>
              <w:tl2br w:val="nil"/>
              <w:tr2bl w:val="nil"/>
            </w:tcBorders>
            <w:noWrap w:val="0"/>
            <w:vAlign w:val="center"/>
          </w:tcPr>
          <w:p w14:paraId="39365E4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0.585</w:t>
            </w:r>
          </w:p>
        </w:tc>
        <w:tc>
          <w:tcPr>
            <w:tcW w:w="1036" w:type="pct"/>
            <w:tcBorders>
              <w:tl2br w:val="nil"/>
              <w:tr2bl w:val="nil"/>
            </w:tcBorders>
            <w:noWrap w:val="0"/>
            <w:vAlign w:val="center"/>
          </w:tcPr>
          <w:p w14:paraId="092CB36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0.487</w:t>
            </w:r>
          </w:p>
        </w:tc>
        <w:tc>
          <w:tcPr>
            <w:tcW w:w="1036" w:type="pct"/>
            <w:tcBorders>
              <w:tl2br w:val="nil"/>
              <w:tr2bl w:val="nil"/>
            </w:tcBorders>
            <w:noWrap w:val="0"/>
            <w:vAlign w:val="center"/>
          </w:tcPr>
          <w:p w14:paraId="64711F6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0.519</w:t>
            </w:r>
          </w:p>
        </w:tc>
      </w:tr>
      <w:tr w14:paraId="359874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2497AA85">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7960FAE3">
            <w:pPr>
              <w:widowControl/>
              <w:jc w:val="center"/>
              <w:textAlignment w:val="center"/>
              <w:rPr>
                <w:rFonts w:hint="default" w:ascii="Times New Roman" w:hAnsi="Times New Roman" w:cs="Times New Roman"/>
                <w:sz w:val="21"/>
                <w:szCs w:val="21"/>
                <w:lang w:eastAsia="zh-CN"/>
              </w:rPr>
            </w:pPr>
          </w:p>
        </w:tc>
        <w:tc>
          <w:tcPr>
            <w:tcW w:w="1331" w:type="pct"/>
            <w:tcBorders>
              <w:tl2br w:val="nil"/>
              <w:tr2bl w:val="nil"/>
            </w:tcBorders>
            <w:noWrap w:val="0"/>
            <w:vAlign w:val="center"/>
          </w:tcPr>
          <w:p w14:paraId="0C0E8A19">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0"/>
                <w:sz w:val="21"/>
                <w:szCs w:val="21"/>
                <w:lang w:bidi="ar"/>
              </w:rPr>
              <w:t>亚硝酸盐氮</w:t>
            </w:r>
          </w:p>
        </w:tc>
        <w:tc>
          <w:tcPr>
            <w:tcW w:w="1036" w:type="pct"/>
            <w:tcBorders>
              <w:tl2br w:val="nil"/>
              <w:tr2bl w:val="nil"/>
            </w:tcBorders>
            <w:noWrap w:val="0"/>
            <w:vAlign w:val="center"/>
          </w:tcPr>
          <w:p w14:paraId="028EBDD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0.003L</w:t>
            </w:r>
          </w:p>
        </w:tc>
        <w:tc>
          <w:tcPr>
            <w:tcW w:w="1036" w:type="pct"/>
            <w:tcBorders>
              <w:tl2br w:val="nil"/>
              <w:tr2bl w:val="nil"/>
            </w:tcBorders>
            <w:noWrap w:val="0"/>
            <w:vAlign w:val="center"/>
          </w:tcPr>
          <w:p w14:paraId="76B624E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0.003L</w:t>
            </w:r>
          </w:p>
        </w:tc>
        <w:tc>
          <w:tcPr>
            <w:tcW w:w="1036" w:type="pct"/>
            <w:tcBorders>
              <w:tl2br w:val="nil"/>
              <w:tr2bl w:val="nil"/>
            </w:tcBorders>
            <w:noWrap w:val="0"/>
            <w:vAlign w:val="center"/>
          </w:tcPr>
          <w:p w14:paraId="477D524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0.003L</w:t>
            </w:r>
          </w:p>
        </w:tc>
      </w:tr>
      <w:tr w14:paraId="5212CF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45D0EEAF">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7B9976F6">
            <w:pPr>
              <w:widowControl/>
              <w:jc w:val="center"/>
              <w:textAlignment w:val="center"/>
              <w:rPr>
                <w:rFonts w:hint="default" w:ascii="Times New Roman" w:hAnsi="Times New Roman" w:cs="Times New Roman"/>
                <w:sz w:val="21"/>
                <w:szCs w:val="21"/>
                <w:lang w:eastAsia="zh-CN"/>
              </w:rPr>
            </w:pPr>
          </w:p>
        </w:tc>
        <w:tc>
          <w:tcPr>
            <w:tcW w:w="1331" w:type="pct"/>
            <w:tcBorders>
              <w:tl2br w:val="nil"/>
              <w:tr2bl w:val="nil"/>
            </w:tcBorders>
            <w:noWrap w:val="0"/>
            <w:vAlign w:val="center"/>
          </w:tcPr>
          <w:p w14:paraId="0E05FD79">
            <w:pPr>
              <w:widowControl/>
              <w:jc w:val="center"/>
              <w:textAlignment w:val="center"/>
              <w:rPr>
                <w:rFonts w:hint="default" w:ascii="Times New Roman" w:hAnsi="Times New Roman" w:eastAsia="宋体" w:cs="Times New Roman"/>
                <w:kern w:val="2"/>
                <w:sz w:val="21"/>
                <w:szCs w:val="21"/>
                <w:highlight w:val="yellow"/>
                <w:lang w:val="en-US" w:eastAsia="zh-CN" w:bidi="ar-SA"/>
              </w:rPr>
            </w:pPr>
            <w:r>
              <w:rPr>
                <w:rFonts w:hint="default" w:ascii="Times New Roman" w:hAnsi="Times New Roman" w:cs="Times New Roman"/>
                <w:kern w:val="0"/>
                <w:sz w:val="21"/>
                <w:szCs w:val="21"/>
                <w:highlight w:val="none"/>
                <w:lang w:bidi="ar"/>
              </w:rPr>
              <w:t>挥发酚</w:t>
            </w:r>
          </w:p>
        </w:tc>
        <w:tc>
          <w:tcPr>
            <w:tcW w:w="1036" w:type="pct"/>
            <w:tcBorders>
              <w:tl2br w:val="nil"/>
              <w:tr2bl w:val="nil"/>
            </w:tcBorders>
            <w:noWrap w:val="0"/>
            <w:vAlign w:val="center"/>
          </w:tcPr>
          <w:p w14:paraId="3AE1DF5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1036" w:type="pct"/>
            <w:tcBorders>
              <w:tl2br w:val="nil"/>
              <w:tr2bl w:val="nil"/>
            </w:tcBorders>
            <w:noWrap w:val="0"/>
            <w:vAlign w:val="center"/>
          </w:tcPr>
          <w:p w14:paraId="738527E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c>
          <w:tcPr>
            <w:tcW w:w="1036" w:type="pct"/>
            <w:tcBorders>
              <w:tl2br w:val="nil"/>
              <w:tr2bl w:val="nil"/>
            </w:tcBorders>
            <w:noWrap w:val="0"/>
            <w:vAlign w:val="center"/>
          </w:tcPr>
          <w:p w14:paraId="312074A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0.0003L</w:t>
            </w:r>
          </w:p>
        </w:tc>
      </w:tr>
      <w:tr w14:paraId="6108CA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34F3032C">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76C81404">
            <w:pPr>
              <w:widowControl/>
              <w:jc w:val="center"/>
              <w:textAlignment w:val="center"/>
              <w:rPr>
                <w:rFonts w:hint="default" w:ascii="Times New Roman" w:hAnsi="Times New Roman" w:cs="Times New Roman"/>
                <w:sz w:val="21"/>
                <w:szCs w:val="21"/>
                <w:lang w:eastAsia="zh-CN"/>
              </w:rPr>
            </w:pPr>
          </w:p>
        </w:tc>
        <w:tc>
          <w:tcPr>
            <w:tcW w:w="1331" w:type="pct"/>
            <w:tcBorders>
              <w:tl2br w:val="nil"/>
              <w:tr2bl w:val="nil"/>
            </w:tcBorders>
            <w:noWrap w:val="0"/>
            <w:vAlign w:val="center"/>
          </w:tcPr>
          <w:p w14:paraId="153EBF2F">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kern w:val="0"/>
                <w:sz w:val="21"/>
                <w:szCs w:val="21"/>
                <w:highlight w:val="none"/>
                <w:lang w:bidi="ar"/>
              </w:rPr>
              <w:t>氰化物</w:t>
            </w:r>
          </w:p>
        </w:tc>
        <w:tc>
          <w:tcPr>
            <w:tcW w:w="1036" w:type="pct"/>
            <w:tcBorders>
              <w:tl2br w:val="nil"/>
              <w:tr2bl w:val="nil"/>
            </w:tcBorders>
            <w:noWrap w:val="0"/>
            <w:vAlign w:val="center"/>
          </w:tcPr>
          <w:p w14:paraId="4AA9769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0.002L</w:t>
            </w:r>
          </w:p>
        </w:tc>
        <w:tc>
          <w:tcPr>
            <w:tcW w:w="1036" w:type="pct"/>
            <w:tcBorders>
              <w:tl2br w:val="nil"/>
              <w:tr2bl w:val="nil"/>
            </w:tcBorders>
            <w:noWrap w:val="0"/>
            <w:vAlign w:val="center"/>
          </w:tcPr>
          <w:p w14:paraId="5245C4C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0.002L</w:t>
            </w:r>
          </w:p>
        </w:tc>
        <w:tc>
          <w:tcPr>
            <w:tcW w:w="1036" w:type="pct"/>
            <w:tcBorders>
              <w:tl2br w:val="nil"/>
              <w:tr2bl w:val="nil"/>
            </w:tcBorders>
            <w:noWrap w:val="0"/>
            <w:vAlign w:val="center"/>
          </w:tcPr>
          <w:p w14:paraId="579E111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0.002L</w:t>
            </w:r>
          </w:p>
        </w:tc>
      </w:tr>
      <w:tr w14:paraId="28ADEE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01AA6748">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1772493E">
            <w:pPr>
              <w:widowControl/>
              <w:jc w:val="center"/>
              <w:textAlignment w:val="center"/>
              <w:rPr>
                <w:rFonts w:hint="default" w:ascii="Times New Roman" w:hAnsi="Times New Roman" w:cs="Times New Roman"/>
                <w:sz w:val="21"/>
                <w:szCs w:val="21"/>
                <w:lang w:eastAsia="zh-CN"/>
              </w:rPr>
            </w:pPr>
          </w:p>
        </w:tc>
        <w:tc>
          <w:tcPr>
            <w:tcW w:w="1331" w:type="pct"/>
            <w:tcBorders>
              <w:tl2br w:val="nil"/>
              <w:tr2bl w:val="nil"/>
            </w:tcBorders>
            <w:noWrap w:val="0"/>
            <w:vAlign w:val="center"/>
          </w:tcPr>
          <w:p w14:paraId="427C53FC">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0"/>
                <w:sz w:val="21"/>
                <w:szCs w:val="21"/>
                <w:lang w:bidi="ar"/>
              </w:rPr>
              <w:t>砷</w:t>
            </w:r>
          </w:p>
        </w:tc>
        <w:tc>
          <w:tcPr>
            <w:tcW w:w="1036" w:type="pct"/>
            <w:tcBorders>
              <w:tl2br w:val="nil"/>
              <w:tr2bl w:val="nil"/>
            </w:tcBorders>
            <w:noWrap w:val="0"/>
            <w:vAlign w:val="center"/>
          </w:tcPr>
          <w:p w14:paraId="423CC5D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0.0003L</w:t>
            </w:r>
          </w:p>
        </w:tc>
        <w:tc>
          <w:tcPr>
            <w:tcW w:w="1036" w:type="pct"/>
            <w:tcBorders>
              <w:tl2br w:val="nil"/>
              <w:tr2bl w:val="nil"/>
            </w:tcBorders>
            <w:noWrap w:val="0"/>
            <w:vAlign w:val="center"/>
          </w:tcPr>
          <w:p w14:paraId="0210224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0.0003L</w:t>
            </w:r>
          </w:p>
        </w:tc>
        <w:tc>
          <w:tcPr>
            <w:tcW w:w="1036" w:type="pct"/>
            <w:tcBorders>
              <w:tl2br w:val="nil"/>
              <w:tr2bl w:val="nil"/>
            </w:tcBorders>
            <w:noWrap w:val="0"/>
            <w:vAlign w:val="center"/>
          </w:tcPr>
          <w:p w14:paraId="639FDF1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0.0003L</w:t>
            </w:r>
          </w:p>
        </w:tc>
      </w:tr>
      <w:tr w14:paraId="269B0D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0D85FF8B">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1E8EDE64">
            <w:pPr>
              <w:widowControl/>
              <w:jc w:val="center"/>
              <w:textAlignment w:val="center"/>
              <w:rPr>
                <w:rFonts w:hint="default" w:ascii="Times New Roman" w:hAnsi="Times New Roman" w:cs="Times New Roman"/>
                <w:sz w:val="21"/>
                <w:szCs w:val="21"/>
                <w:lang w:eastAsia="zh-CN"/>
              </w:rPr>
            </w:pPr>
          </w:p>
        </w:tc>
        <w:tc>
          <w:tcPr>
            <w:tcW w:w="1331" w:type="pct"/>
            <w:tcBorders>
              <w:tl2br w:val="nil"/>
              <w:tr2bl w:val="nil"/>
            </w:tcBorders>
            <w:noWrap w:val="0"/>
            <w:vAlign w:val="center"/>
          </w:tcPr>
          <w:p w14:paraId="4076A204">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0"/>
                <w:sz w:val="21"/>
                <w:szCs w:val="21"/>
                <w:lang w:bidi="ar"/>
              </w:rPr>
              <w:t>汞</w:t>
            </w:r>
          </w:p>
        </w:tc>
        <w:tc>
          <w:tcPr>
            <w:tcW w:w="1036" w:type="pct"/>
            <w:tcBorders>
              <w:tl2br w:val="nil"/>
              <w:tr2bl w:val="nil"/>
            </w:tcBorders>
            <w:noWrap w:val="0"/>
            <w:vAlign w:val="center"/>
          </w:tcPr>
          <w:p w14:paraId="2DC8D1F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0.00001L</w:t>
            </w:r>
          </w:p>
        </w:tc>
        <w:tc>
          <w:tcPr>
            <w:tcW w:w="1036" w:type="pct"/>
            <w:tcBorders>
              <w:tl2br w:val="nil"/>
              <w:tr2bl w:val="nil"/>
            </w:tcBorders>
            <w:noWrap w:val="0"/>
            <w:vAlign w:val="center"/>
          </w:tcPr>
          <w:p w14:paraId="2D37FEC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0.00001L</w:t>
            </w:r>
          </w:p>
        </w:tc>
        <w:tc>
          <w:tcPr>
            <w:tcW w:w="1036" w:type="pct"/>
            <w:tcBorders>
              <w:tl2br w:val="nil"/>
              <w:tr2bl w:val="nil"/>
            </w:tcBorders>
            <w:noWrap w:val="0"/>
            <w:vAlign w:val="center"/>
          </w:tcPr>
          <w:p w14:paraId="7098764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0.00001L</w:t>
            </w:r>
          </w:p>
        </w:tc>
      </w:tr>
      <w:tr w14:paraId="5FE4AA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49754ADD">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44776FD1">
            <w:pPr>
              <w:widowControl/>
              <w:jc w:val="center"/>
              <w:textAlignment w:val="center"/>
              <w:rPr>
                <w:rFonts w:hint="default" w:ascii="Times New Roman" w:hAnsi="Times New Roman" w:cs="Times New Roman"/>
                <w:sz w:val="21"/>
                <w:szCs w:val="21"/>
                <w:lang w:eastAsia="zh-CN"/>
              </w:rPr>
            </w:pPr>
          </w:p>
        </w:tc>
        <w:tc>
          <w:tcPr>
            <w:tcW w:w="1331" w:type="pct"/>
            <w:tcBorders>
              <w:tl2br w:val="nil"/>
              <w:tr2bl w:val="nil"/>
            </w:tcBorders>
            <w:noWrap w:val="0"/>
            <w:vAlign w:val="center"/>
          </w:tcPr>
          <w:p w14:paraId="1DE1E89B">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0"/>
                <w:sz w:val="21"/>
                <w:szCs w:val="21"/>
                <w:lang w:bidi="ar"/>
              </w:rPr>
              <w:t>六价铬</w:t>
            </w:r>
          </w:p>
        </w:tc>
        <w:tc>
          <w:tcPr>
            <w:tcW w:w="1036" w:type="pct"/>
            <w:tcBorders>
              <w:tl2br w:val="nil"/>
              <w:tr2bl w:val="nil"/>
            </w:tcBorders>
            <w:noWrap w:val="0"/>
            <w:vAlign w:val="center"/>
          </w:tcPr>
          <w:p w14:paraId="27AFEEC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0.004L</w:t>
            </w:r>
          </w:p>
        </w:tc>
        <w:tc>
          <w:tcPr>
            <w:tcW w:w="1036" w:type="pct"/>
            <w:tcBorders>
              <w:tl2br w:val="nil"/>
              <w:tr2bl w:val="nil"/>
            </w:tcBorders>
            <w:noWrap w:val="0"/>
            <w:vAlign w:val="center"/>
          </w:tcPr>
          <w:p w14:paraId="7BE9799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0.004L</w:t>
            </w:r>
          </w:p>
        </w:tc>
        <w:tc>
          <w:tcPr>
            <w:tcW w:w="1036" w:type="pct"/>
            <w:tcBorders>
              <w:tl2br w:val="nil"/>
              <w:tr2bl w:val="nil"/>
            </w:tcBorders>
            <w:noWrap w:val="0"/>
            <w:vAlign w:val="center"/>
          </w:tcPr>
          <w:p w14:paraId="2C2269C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0.004L</w:t>
            </w:r>
          </w:p>
        </w:tc>
      </w:tr>
      <w:tr w14:paraId="2A5611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58CF30E2">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006D6138">
            <w:pPr>
              <w:widowControl/>
              <w:jc w:val="center"/>
              <w:textAlignment w:val="center"/>
              <w:rPr>
                <w:rFonts w:hint="default" w:ascii="Times New Roman" w:hAnsi="Times New Roman" w:cs="Times New Roman"/>
                <w:sz w:val="21"/>
                <w:szCs w:val="21"/>
                <w:lang w:eastAsia="zh-CN"/>
              </w:rPr>
            </w:pPr>
          </w:p>
        </w:tc>
        <w:tc>
          <w:tcPr>
            <w:tcW w:w="1331" w:type="pct"/>
            <w:tcBorders>
              <w:tl2br w:val="nil"/>
              <w:tr2bl w:val="nil"/>
            </w:tcBorders>
            <w:noWrap w:val="0"/>
            <w:vAlign w:val="center"/>
          </w:tcPr>
          <w:p w14:paraId="63948111">
            <w:pPr>
              <w:widowControl/>
              <w:jc w:val="center"/>
              <w:textAlignment w:val="center"/>
              <w:rPr>
                <w:rFonts w:hint="default" w:ascii="Times New Roman" w:hAnsi="Times New Roman" w:eastAsia="宋体" w:cs="Times New Roman"/>
                <w:kern w:val="0"/>
                <w:sz w:val="21"/>
                <w:szCs w:val="21"/>
                <w:highlight w:val="none"/>
                <w:lang w:val="en-US" w:eastAsia="zh-CN" w:bidi="ar"/>
              </w:rPr>
            </w:pPr>
            <w:r>
              <w:rPr>
                <w:rFonts w:hint="default" w:ascii="Times New Roman" w:hAnsi="Times New Roman" w:cs="Times New Roman"/>
                <w:kern w:val="0"/>
                <w:sz w:val="21"/>
                <w:szCs w:val="21"/>
                <w:highlight w:val="none"/>
                <w:lang w:bidi="ar"/>
              </w:rPr>
              <w:t>总硬度</w:t>
            </w:r>
          </w:p>
        </w:tc>
        <w:tc>
          <w:tcPr>
            <w:tcW w:w="1036" w:type="pct"/>
            <w:tcBorders>
              <w:tl2br w:val="nil"/>
              <w:tr2bl w:val="nil"/>
            </w:tcBorders>
            <w:noWrap w:val="0"/>
            <w:vAlign w:val="center"/>
          </w:tcPr>
          <w:p w14:paraId="24CA7F7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251</w:t>
            </w:r>
          </w:p>
        </w:tc>
        <w:tc>
          <w:tcPr>
            <w:tcW w:w="1036" w:type="pct"/>
            <w:tcBorders>
              <w:tl2br w:val="nil"/>
              <w:tr2bl w:val="nil"/>
            </w:tcBorders>
            <w:noWrap w:val="0"/>
            <w:vAlign w:val="center"/>
          </w:tcPr>
          <w:p w14:paraId="2E826E2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243</w:t>
            </w:r>
          </w:p>
        </w:tc>
        <w:tc>
          <w:tcPr>
            <w:tcW w:w="1036" w:type="pct"/>
            <w:tcBorders>
              <w:tl2br w:val="nil"/>
              <w:tr2bl w:val="nil"/>
            </w:tcBorders>
            <w:noWrap w:val="0"/>
            <w:vAlign w:val="center"/>
          </w:tcPr>
          <w:p w14:paraId="3D00E67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266</w:t>
            </w:r>
          </w:p>
        </w:tc>
      </w:tr>
      <w:tr w14:paraId="33E2AE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709E7550">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0E288E59">
            <w:pPr>
              <w:widowControl/>
              <w:jc w:val="center"/>
              <w:textAlignment w:val="center"/>
              <w:rPr>
                <w:rFonts w:hint="default" w:ascii="Times New Roman" w:hAnsi="Times New Roman" w:cs="Times New Roman"/>
                <w:sz w:val="21"/>
                <w:szCs w:val="21"/>
                <w:lang w:eastAsia="zh-CN"/>
              </w:rPr>
            </w:pPr>
          </w:p>
        </w:tc>
        <w:tc>
          <w:tcPr>
            <w:tcW w:w="1331" w:type="pct"/>
            <w:tcBorders>
              <w:tl2br w:val="nil"/>
              <w:tr2bl w:val="nil"/>
            </w:tcBorders>
            <w:noWrap w:val="0"/>
            <w:vAlign w:val="center"/>
          </w:tcPr>
          <w:p w14:paraId="2FE64333">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0"/>
                <w:sz w:val="21"/>
                <w:szCs w:val="21"/>
                <w:lang w:bidi="ar"/>
              </w:rPr>
              <w:t>铅</w:t>
            </w:r>
          </w:p>
        </w:tc>
        <w:tc>
          <w:tcPr>
            <w:tcW w:w="1036" w:type="pct"/>
            <w:tcBorders>
              <w:tl2br w:val="nil"/>
              <w:tr2bl w:val="nil"/>
            </w:tcBorders>
            <w:noWrap w:val="0"/>
            <w:vAlign w:val="center"/>
          </w:tcPr>
          <w:p w14:paraId="1F2EB81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0.001L</w:t>
            </w:r>
          </w:p>
        </w:tc>
        <w:tc>
          <w:tcPr>
            <w:tcW w:w="1036" w:type="pct"/>
            <w:tcBorders>
              <w:tl2br w:val="nil"/>
              <w:tr2bl w:val="nil"/>
            </w:tcBorders>
            <w:noWrap w:val="0"/>
            <w:vAlign w:val="center"/>
          </w:tcPr>
          <w:p w14:paraId="071E3B7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0.001L</w:t>
            </w:r>
          </w:p>
        </w:tc>
        <w:tc>
          <w:tcPr>
            <w:tcW w:w="1036" w:type="pct"/>
            <w:tcBorders>
              <w:tl2br w:val="nil"/>
              <w:tr2bl w:val="nil"/>
            </w:tcBorders>
            <w:noWrap w:val="0"/>
            <w:vAlign w:val="center"/>
          </w:tcPr>
          <w:p w14:paraId="4399421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0.001L</w:t>
            </w:r>
          </w:p>
        </w:tc>
      </w:tr>
      <w:tr w14:paraId="075F82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6AA2A1FD">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465B0617">
            <w:pPr>
              <w:widowControl/>
              <w:jc w:val="center"/>
              <w:textAlignment w:val="center"/>
              <w:rPr>
                <w:rFonts w:hint="default" w:ascii="Times New Roman" w:hAnsi="Times New Roman" w:cs="Times New Roman"/>
                <w:sz w:val="21"/>
                <w:szCs w:val="21"/>
                <w:lang w:eastAsia="zh-CN"/>
              </w:rPr>
            </w:pPr>
          </w:p>
        </w:tc>
        <w:tc>
          <w:tcPr>
            <w:tcW w:w="1331" w:type="pct"/>
            <w:tcBorders>
              <w:tl2br w:val="nil"/>
              <w:tr2bl w:val="nil"/>
            </w:tcBorders>
            <w:noWrap w:val="0"/>
            <w:vAlign w:val="center"/>
          </w:tcPr>
          <w:p w14:paraId="4B727269">
            <w:pPr>
              <w:pStyle w:val="69"/>
              <w:snapToGrid w:val="0"/>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highlight w:val="none"/>
              </w:rPr>
              <w:t>氟化物</w:t>
            </w:r>
            <w:r>
              <w:rPr>
                <w:rFonts w:hint="default" w:ascii="Times New Roman" w:hAnsi="Times New Roman" w:cs="Times New Roman"/>
                <w:sz w:val="21"/>
                <w:szCs w:val="21"/>
                <w:highlight w:val="none"/>
                <w:lang w:eastAsia="zh-CN"/>
              </w:rPr>
              <w:t>（</w:t>
            </w:r>
            <w:r>
              <w:rPr>
                <w:rFonts w:hint="default" w:ascii="Times New Roman" w:hAnsi="Times New Roman" w:eastAsia="宋体" w:cs="Times New Roman"/>
                <w:kern w:val="0"/>
                <w:sz w:val="21"/>
                <w:szCs w:val="21"/>
              </w:rPr>
              <w:t>F</w:t>
            </w:r>
            <w:r>
              <w:rPr>
                <w:rFonts w:hint="default" w:ascii="Times New Roman" w:hAnsi="Times New Roman" w:eastAsia="宋体" w:cs="Times New Roman"/>
                <w:kern w:val="0"/>
                <w:sz w:val="21"/>
                <w:szCs w:val="21"/>
                <w:vertAlign w:val="superscript"/>
              </w:rPr>
              <w:t>-</w:t>
            </w:r>
            <w:r>
              <w:rPr>
                <w:rFonts w:hint="default" w:ascii="Times New Roman" w:hAnsi="Times New Roman" w:cs="Times New Roman"/>
                <w:sz w:val="21"/>
                <w:szCs w:val="21"/>
                <w:highlight w:val="none"/>
                <w:lang w:eastAsia="zh-CN"/>
              </w:rPr>
              <w:t>）</w:t>
            </w:r>
          </w:p>
        </w:tc>
        <w:tc>
          <w:tcPr>
            <w:tcW w:w="1036" w:type="pct"/>
            <w:tcBorders>
              <w:tl2br w:val="nil"/>
              <w:tr2bl w:val="nil"/>
            </w:tcBorders>
            <w:noWrap w:val="0"/>
            <w:vAlign w:val="center"/>
          </w:tcPr>
          <w:p w14:paraId="6BF4BCB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0.382</w:t>
            </w:r>
          </w:p>
        </w:tc>
        <w:tc>
          <w:tcPr>
            <w:tcW w:w="1036" w:type="pct"/>
            <w:tcBorders>
              <w:tl2br w:val="nil"/>
              <w:tr2bl w:val="nil"/>
            </w:tcBorders>
            <w:noWrap w:val="0"/>
            <w:vAlign w:val="center"/>
          </w:tcPr>
          <w:p w14:paraId="0BD34B7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0.418</w:t>
            </w:r>
          </w:p>
        </w:tc>
        <w:tc>
          <w:tcPr>
            <w:tcW w:w="1036" w:type="pct"/>
            <w:tcBorders>
              <w:tl2br w:val="nil"/>
              <w:tr2bl w:val="nil"/>
            </w:tcBorders>
            <w:noWrap w:val="0"/>
            <w:vAlign w:val="center"/>
          </w:tcPr>
          <w:p w14:paraId="63257FE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0.339</w:t>
            </w:r>
          </w:p>
        </w:tc>
      </w:tr>
      <w:tr w14:paraId="0049FC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7072B9D0">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462DFCE1">
            <w:pPr>
              <w:widowControl/>
              <w:jc w:val="center"/>
              <w:textAlignment w:val="center"/>
              <w:rPr>
                <w:rFonts w:hint="default" w:ascii="Times New Roman" w:hAnsi="Times New Roman" w:cs="Times New Roman"/>
                <w:sz w:val="21"/>
                <w:szCs w:val="21"/>
                <w:lang w:eastAsia="zh-CN"/>
              </w:rPr>
            </w:pPr>
          </w:p>
        </w:tc>
        <w:tc>
          <w:tcPr>
            <w:tcW w:w="1331" w:type="pct"/>
            <w:tcBorders>
              <w:tl2br w:val="nil"/>
              <w:tr2bl w:val="nil"/>
            </w:tcBorders>
            <w:noWrap w:val="0"/>
            <w:vAlign w:val="center"/>
          </w:tcPr>
          <w:p w14:paraId="389F5A2A">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0"/>
                <w:sz w:val="21"/>
                <w:szCs w:val="21"/>
                <w:lang w:bidi="ar"/>
              </w:rPr>
              <w:t>镉</w:t>
            </w:r>
          </w:p>
        </w:tc>
        <w:tc>
          <w:tcPr>
            <w:tcW w:w="1036" w:type="pct"/>
            <w:tcBorders>
              <w:tl2br w:val="nil"/>
              <w:tr2bl w:val="nil"/>
            </w:tcBorders>
            <w:noWrap w:val="0"/>
            <w:vAlign w:val="center"/>
          </w:tcPr>
          <w:p w14:paraId="79BD6D6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0.0001L</w:t>
            </w:r>
          </w:p>
        </w:tc>
        <w:tc>
          <w:tcPr>
            <w:tcW w:w="1036" w:type="pct"/>
            <w:tcBorders>
              <w:tl2br w:val="nil"/>
              <w:tr2bl w:val="nil"/>
            </w:tcBorders>
            <w:noWrap w:val="0"/>
            <w:vAlign w:val="center"/>
          </w:tcPr>
          <w:p w14:paraId="5A2A43F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0.0001L</w:t>
            </w:r>
          </w:p>
        </w:tc>
        <w:tc>
          <w:tcPr>
            <w:tcW w:w="1036" w:type="pct"/>
            <w:tcBorders>
              <w:tl2br w:val="nil"/>
              <w:tr2bl w:val="nil"/>
            </w:tcBorders>
            <w:noWrap w:val="0"/>
            <w:vAlign w:val="center"/>
          </w:tcPr>
          <w:p w14:paraId="5DB3D53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0.0001L</w:t>
            </w:r>
          </w:p>
        </w:tc>
      </w:tr>
      <w:tr w14:paraId="5B3693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667F873E">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72CC185B">
            <w:pPr>
              <w:widowControl/>
              <w:jc w:val="center"/>
              <w:textAlignment w:val="center"/>
              <w:rPr>
                <w:rFonts w:hint="default" w:ascii="Times New Roman" w:hAnsi="Times New Roman" w:cs="Times New Roman"/>
                <w:sz w:val="21"/>
                <w:szCs w:val="21"/>
                <w:lang w:eastAsia="zh-CN"/>
              </w:rPr>
            </w:pPr>
          </w:p>
        </w:tc>
        <w:tc>
          <w:tcPr>
            <w:tcW w:w="1331" w:type="pct"/>
            <w:tcBorders>
              <w:tl2br w:val="nil"/>
              <w:tr2bl w:val="nil"/>
            </w:tcBorders>
            <w:noWrap w:val="0"/>
            <w:vAlign w:val="center"/>
          </w:tcPr>
          <w:p w14:paraId="3AE5E0A7">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0"/>
                <w:sz w:val="21"/>
                <w:szCs w:val="21"/>
                <w:lang w:bidi="ar"/>
              </w:rPr>
              <w:t>铁</w:t>
            </w:r>
          </w:p>
        </w:tc>
        <w:tc>
          <w:tcPr>
            <w:tcW w:w="1036" w:type="pct"/>
            <w:tcBorders>
              <w:tl2br w:val="nil"/>
              <w:tr2bl w:val="nil"/>
            </w:tcBorders>
            <w:noWrap w:val="0"/>
            <w:vAlign w:val="center"/>
          </w:tcPr>
          <w:p w14:paraId="0F6FFCE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0.03L</w:t>
            </w:r>
          </w:p>
        </w:tc>
        <w:tc>
          <w:tcPr>
            <w:tcW w:w="1036" w:type="pct"/>
            <w:tcBorders>
              <w:tl2br w:val="nil"/>
              <w:tr2bl w:val="nil"/>
            </w:tcBorders>
            <w:noWrap w:val="0"/>
            <w:vAlign w:val="center"/>
          </w:tcPr>
          <w:p w14:paraId="65B8E14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0.03L</w:t>
            </w:r>
          </w:p>
        </w:tc>
        <w:tc>
          <w:tcPr>
            <w:tcW w:w="1036" w:type="pct"/>
            <w:tcBorders>
              <w:tl2br w:val="nil"/>
              <w:tr2bl w:val="nil"/>
            </w:tcBorders>
            <w:noWrap w:val="0"/>
            <w:vAlign w:val="center"/>
          </w:tcPr>
          <w:p w14:paraId="4655287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0.03L</w:t>
            </w:r>
          </w:p>
        </w:tc>
      </w:tr>
      <w:tr w14:paraId="74CDA3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7F84768F">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3528245A">
            <w:pPr>
              <w:widowControl/>
              <w:jc w:val="center"/>
              <w:textAlignment w:val="center"/>
              <w:rPr>
                <w:rFonts w:hint="default" w:ascii="Times New Roman" w:hAnsi="Times New Roman" w:cs="Times New Roman"/>
                <w:sz w:val="21"/>
                <w:szCs w:val="21"/>
                <w:lang w:eastAsia="zh-CN"/>
              </w:rPr>
            </w:pPr>
          </w:p>
        </w:tc>
        <w:tc>
          <w:tcPr>
            <w:tcW w:w="1331" w:type="pct"/>
            <w:tcBorders>
              <w:tl2br w:val="nil"/>
              <w:tr2bl w:val="nil"/>
            </w:tcBorders>
            <w:noWrap w:val="0"/>
            <w:vAlign w:val="center"/>
          </w:tcPr>
          <w:p w14:paraId="18F3C336">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0"/>
                <w:sz w:val="21"/>
                <w:szCs w:val="21"/>
                <w:lang w:bidi="ar"/>
              </w:rPr>
              <w:t>锰</w:t>
            </w:r>
          </w:p>
        </w:tc>
        <w:tc>
          <w:tcPr>
            <w:tcW w:w="1036" w:type="pct"/>
            <w:tcBorders>
              <w:tl2br w:val="nil"/>
              <w:tr2bl w:val="nil"/>
            </w:tcBorders>
            <w:noWrap w:val="0"/>
            <w:vAlign w:val="center"/>
          </w:tcPr>
          <w:p w14:paraId="4A2AF0E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0.12</w:t>
            </w:r>
          </w:p>
        </w:tc>
        <w:tc>
          <w:tcPr>
            <w:tcW w:w="1036" w:type="pct"/>
            <w:tcBorders>
              <w:tl2br w:val="nil"/>
              <w:tr2bl w:val="nil"/>
            </w:tcBorders>
            <w:noWrap w:val="0"/>
            <w:vAlign w:val="center"/>
          </w:tcPr>
          <w:p w14:paraId="0FC0B1A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0.15</w:t>
            </w:r>
          </w:p>
        </w:tc>
        <w:tc>
          <w:tcPr>
            <w:tcW w:w="1036" w:type="pct"/>
            <w:tcBorders>
              <w:tl2br w:val="nil"/>
              <w:tr2bl w:val="nil"/>
            </w:tcBorders>
            <w:noWrap w:val="0"/>
            <w:vAlign w:val="center"/>
          </w:tcPr>
          <w:p w14:paraId="478B6EC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0.09</w:t>
            </w:r>
          </w:p>
        </w:tc>
      </w:tr>
      <w:tr w14:paraId="0EABF4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0B2DDA65">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254344F6">
            <w:pPr>
              <w:widowControl/>
              <w:jc w:val="center"/>
              <w:textAlignment w:val="center"/>
              <w:rPr>
                <w:rFonts w:hint="default" w:ascii="Times New Roman" w:hAnsi="Times New Roman" w:cs="Times New Roman"/>
                <w:sz w:val="21"/>
                <w:szCs w:val="21"/>
                <w:lang w:eastAsia="zh-CN"/>
              </w:rPr>
            </w:pPr>
          </w:p>
        </w:tc>
        <w:tc>
          <w:tcPr>
            <w:tcW w:w="1331" w:type="pct"/>
            <w:tcBorders>
              <w:tl2br w:val="nil"/>
              <w:tr2bl w:val="nil"/>
            </w:tcBorders>
            <w:noWrap w:val="0"/>
            <w:vAlign w:val="center"/>
          </w:tcPr>
          <w:p w14:paraId="6E657D66">
            <w:pPr>
              <w:widowControl/>
              <w:jc w:val="center"/>
              <w:textAlignment w:val="center"/>
              <w:rPr>
                <w:rFonts w:hint="default" w:ascii="Times New Roman" w:hAnsi="Times New Roman" w:eastAsia="宋体" w:cs="Times New Roman"/>
                <w:kern w:val="0"/>
                <w:sz w:val="21"/>
                <w:szCs w:val="21"/>
                <w:lang w:val="en-US" w:eastAsia="zh-CN" w:bidi="ar"/>
              </w:rPr>
            </w:pPr>
            <w:r>
              <w:rPr>
                <w:rFonts w:hint="default" w:ascii="Times New Roman" w:hAnsi="Times New Roman" w:cs="Times New Roman"/>
                <w:kern w:val="0"/>
                <w:sz w:val="21"/>
                <w:szCs w:val="21"/>
                <w:lang w:bidi="ar"/>
              </w:rPr>
              <w:t>溶解性总固体</w:t>
            </w:r>
          </w:p>
        </w:tc>
        <w:tc>
          <w:tcPr>
            <w:tcW w:w="1036" w:type="pct"/>
            <w:tcBorders>
              <w:tl2br w:val="nil"/>
              <w:tr2bl w:val="nil"/>
            </w:tcBorders>
            <w:noWrap w:val="0"/>
            <w:vAlign w:val="center"/>
          </w:tcPr>
          <w:p w14:paraId="4859680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506</w:t>
            </w:r>
          </w:p>
        </w:tc>
        <w:tc>
          <w:tcPr>
            <w:tcW w:w="1036" w:type="pct"/>
            <w:tcBorders>
              <w:tl2br w:val="nil"/>
              <w:tr2bl w:val="nil"/>
            </w:tcBorders>
            <w:noWrap w:val="0"/>
            <w:vAlign w:val="center"/>
          </w:tcPr>
          <w:p w14:paraId="5E759C8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491</w:t>
            </w:r>
          </w:p>
        </w:tc>
        <w:tc>
          <w:tcPr>
            <w:tcW w:w="1036" w:type="pct"/>
            <w:tcBorders>
              <w:tl2br w:val="nil"/>
              <w:tr2bl w:val="nil"/>
            </w:tcBorders>
            <w:noWrap w:val="0"/>
            <w:vAlign w:val="center"/>
          </w:tcPr>
          <w:p w14:paraId="78F49E0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548</w:t>
            </w:r>
          </w:p>
        </w:tc>
      </w:tr>
      <w:tr w14:paraId="426CE3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6D42D48A">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73BA2405">
            <w:pPr>
              <w:widowControl/>
              <w:jc w:val="center"/>
              <w:textAlignment w:val="center"/>
              <w:rPr>
                <w:rFonts w:hint="default" w:ascii="Times New Roman" w:hAnsi="Times New Roman" w:cs="Times New Roman"/>
                <w:sz w:val="21"/>
                <w:szCs w:val="21"/>
                <w:lang w:eastAsia="zh-CN"/>
              </w:rPr>
            </w:pPr>
          </w:p>
        </w:tc>
        <w:tc>
          <w:tcPr>
            <w:tcW w:w="1331" w:type="pct"/>
            <w:tcBorders>
              <w:tl2br w:val="nil"/>
              <w:tr2bl w:val="nil"/>
            </w:tcBorders>
            <w:noWrap w:val="0"/>
            <w:vAlign w:val="center"/>
          </w:tcPr>
          <w:p w14:paraId="265BAF24">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eastAsia="zh-CN"/>
              </w:rPr>
              <w:t>耗氧量（</w:t>
            </w:r>
            <w:r>
              <w:rPr>
                <w:rFonts w:hint="default" w:ascii="Times New Roman" w:hAnsi="Times New Roman" w:cs="Times New Roman"/>
                <w:sz w:val="21"/>
                <w:szCs w:val="21"/>
                <w:lang w:val="en-US" w:eastAsia="zh-CN"/>
              </w:rPr>
              <w:t>高锰酸盐指数</w:t>
            </w:r>
            <w:r>
              <w:rPr>
                <w:rFonts w:hint="default" w:ascii="Times New Roman" w:hAnsi="Times New Roman" w:cs="Times New Roman"/>
                <w:sz w:val="21"/>
                <w:szCs w:val="21"/>
                <w:lang w:eastAsia="zh-CN"/>
              </w:rPr>
              <w:t>）</w:t>
            </w:r>
          </w:p>
        </w:tc>
        <w:tc>
          <w:tcPr>
            <w:tcW w:w="1036" w:type="pct"/>
            <w:tcBorders>
              <w:tl2br w:val="nil"/>
              <w:tr2bl w:val="nil"/>
            </w:tcBorders>
            <w:noWrap w:val="0"/>
            <w:vAlign w:val="center"/>
          </w:tcPr>
          <w:p w14:paraId="0F48043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w:t>
            </w:r>
          </w:p>
        </w:tc>
        <w:tc>
          <w:tcPr>
            <w:tcW w:w="1036" w:type="pct"/>
            <w:tcBorders>
              <w:tl2br w:val="nil"/>
              <w:tr2bl w:val="nil"/>
            </w:tcBorders>
            <w:noWrap w:val="0"/>
            <w:vAlign w:val="center"/>
          </w:tcPr>
          <w:p w14:paraId="194C20D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1.4</w:t>
            </w:r>
          </w:p>
        </w:tc>
        <w:tc>
          <w:tcPr>
            <w:tcW w:w="1036" w:type="pct"/>
            <w:tcBorders>
              <w:tl2br w:val="nil"/>
              <w:tr2bl w:val="nil"/>
            </w:tcBorders>
            <w:noWrap w:val="0"/>
            <w:vAlign w:val="center"/>
          </w:tcPr>
          <w:p w14:paraId="34468FC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1.8</w:t>
            </w:r>
          </w:p>
        </w:tc>
      </w:tr>
      <w:tr w14:paraId="4C241F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44BE2CC1">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588BA85D">
            <w:pPr>
              <w:widowControl/>
              <w:jc w:val="center"/>
              <w:textAlignment w:val="center"/>
              <w:rPr>
                <w:rFonts w:hint="default" w:ascii="Times New Roman" w:hAnsi="Times New Roman" w:cs="Times New Roman"/>
                <w:kern w:val="0"/>
                <w:sz w:val="21"/>
                <w:szCs w:val="21"/>
                <w:lang w:bidi="ar"/>
              </w:rPr>
            </w:pPr>
          </w:p>
        </w:tc>
        <w:tc>
          <w:tcPr>
            <w:tcW w:w="1331" w:type="pct"/>
            <w:tcBorders>
              <w:tl2br w:val="nil"/>
              <w:tr2bl w:val="nil"/>
            </w:tcBorders>
            <w:noWrap w:val="0"/>
            <w:vAlign w:val="center"/>
          </w:tcPr>
          <w:p w14:paraId="45D8D6FB">
            <w:pPr>
              <w:widowControl/>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0"/>
                <w:sz w:val="21"/>
                <w:szCs w:val="21"/>
                <w:lang w:bidi="ar"/>
              </w:rPr>
              <w:t>硫酸盐</w:t>
            </w:r>
            <w:r>
              <w:rPr>
                <w:rFonts w:hint="default" w:ascii="Times New Roman" w:hAnsi="Times New Roman" w:cs="Times New Roman"/>
                <w:kern w:val="0"/>
                <w:sz w:val="21"/>
                <w:szCs w:val="21"/>
                <w:lang w:eastAsia="zh-CN" w:bidi="ar"/>
              </w:rPr>
              <w:t>（</w:t>
            </w:r>
            <w:r>
              <w:rPr>
                <w:rFonts w:hint="default" w:ascii="Times New Roman" w:hAnsi="Times New Roman" w:eastAsia="宋体" w:cs="Times New Roman"/>
                <w:kern w:val="0"/>
                <w:sz w:val="21"/>
                <w:szCs w:val="21"/>
              </w:rPr>
              <w:t>SO</w:t>
            </w:r>
            <w:r>
              <w:rPr>
                <w:rFonts w:hint="default" w:ascii="Times New Roman" w:hAnsi="Times New Roman" w:eastAsia="宋体" w:cs="Times New Roman"/>
                <w:kern w:val="0"/>
                <w:sz w:val="21"/>
                <w:szCs w:val="21"/>
                <w:vertAlign w:val="subscript"/>
              </w:rPr>
              <w:t>4</w:t>
            </w:r>
            <w:r>
              <w:rPr>
                <w:rFonts w:hint="default" w:ascii="Times New Roman" w:hAnsi="Times New Roman" w:eastAsia="宋体" w:cs="Times New Roman"/>
                <w:kern w:val="0"/>
                <w:sz w:val="21"/>
                <w:szCs w:val="21"/>
                <w:vertAlign w:val="superscript"/>
              </w:rPr>
              <w:t>2-</w:t>
            </w:r>
            <w:r>
              <w:rPr>
                <w:rFonts w:hint="default" w:ascii="Times New Roman" w:hAnsi="Times New Roman" w:cs="Times New Roman"/>
                <w:kern w:val="0"/>
                <w:sz w:val="21"/>
                <w:szCs w:val="21"/>
                <w:lang w:eastAsia="zh-CN" w:bidi="ar"/>
              </w:rPr>
              <w:t>）</w:t>
            </w:r>
          </w:p>
        </w:tc>
        <w:tc>
          <w:tcPr>
            <w:tcW w:w="1036" w:type="pct"/>
            <w:tcBorders>
              <w:tl2br w:val="nil"/>
              <w:tr2bl w:val="nil"/>
            </w:tcBorders>
            <w:noWrap w:val="0"/>
            <w:vAlign w:val="center"/>
          </w:tcPr>
          <w:p w14:paraId="02AF713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17.4</w:t>
            </w:r>
          </w:p>
        </w:tc>
        <w:tc>
          <w:tcPr>
            <w:tcW w:w="1036" w:type="pct"/>
            <w:tcBorders>
              <w:tl2br w:val="nil"/>
              <w:tr2bl w:val="nil"/>
            </w:tcBorders>
            <w:noWrap w:val="0"/>
            <w:vAlign w:val="center"/>
          </w:tcPr>
          <w:p w14:paraId="13D7E4C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15.9</w:t>
            </w:r>
          </w:p>
        </w:tc>
        <w:tc>
          <w:tcPr>
            <w:tcW w:w="1036" w:type="pct"/>
            <w:tcBorders>
              <w:tl2br w:val="nil"/>
              <w:tr2bl w:val="nil"/>
            </w:tcBorders>
            <w:noWrap w:val="0"/>
            <w:vAlign w:val="center"/>
          </w:tcPr>
          <w:p w14:paraId="37D3E43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13.8</w:t>
            </w:r>
          </w:p>
        </w:tc>
      </w:tr>
      <w:tr w14:paraId="5937BA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53591860">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4E5731AF">
            <w:pPr>
              <w:widowControl/>
              <w:jc w:val="center"/>
              <w:textAlignment w:val="center"/>
              <w:rPr>
                <w:rFonts w:hint="default" w:ascii="Times New Roman" w:hAnsi="Times New Roman" w:cs="Times New Roman"/>
                <w:kern w:val="0"/>
                <w:sz w:val="21"/>
                <w:szCs w:val="21"/>
                <w:lang w:bidi="ar"/>
              </w:rPr>
            </w:pPr>
          </w:p>
        </w:tc>
        <w:tc>
          <w:tcPr>
            <w:tcW w:w="1331" w:type="pct"/>
            <w:tcBorders>
              <w:tl2br w:val="nil"/>
              <w:tr2bl w:val="nil"/>
            </w:tcBorders>
            <w:noWrap w:val="0"/>
            <w:vAlign w:val="center"/>
          </w:tcPr>
          <w:p w14:paraId="7BB09E45">
            <w:pPr>
              <w:widowControl/>
              <w:jc w:val="center"/>
              <w:textAlignment w:val="center"/>
              <w:rPr>
                <w:rFonts w:hint="default" w:ascii="Times New Roman" w:hAnsi="Times New Roman" w:cs="Times New Roman"/>
                <w:sz w:val="21"/>
                <w:szCs w:val="21"/>
              </w:rPr>
            </w:pPr>
            <w:r>
              <w:rPr>
                <w:rFonts w:hint="default" w:ascii="Times New Roman" w:hAnsi="Times New Roman" w:cs="Times New Roman"/>
                <w:kern w:val="0"/>
                <w:sz w:val="21"/>
                <w:szCs w:val="21"/>
                <w:lang w:bidi="ar"/>
              </w:rPr>
              <w:t>氯化物</w:t>
            </w:r>
            <w:r>
              <w:rPr>
                <w:rFonts w:hint="default" w:ascii="Times New Roman" w:hAnsi="Times New Roman" w:cs="Times New Roman"/>
                <w:kern w:val="0"/>
                <w:sz w:val="21"/>
                <w:szCs w:val="21"/>
                <w:lang w:eastAsia="zh-CN" w:bidi="ar"/>
              </w:rPr>
              <w:t>（</w:t>
            </w:r>
            <w:r>
              <w:rPr>
                <w:rFonts w:hint="default" w:ascii="Times New Roman" w:hAnsi="Times New Roman" w:eastAsia="宋体" w:cs="Times New Roman"/>
                <w:kern w:val="0"/>
                <w:sz w:val="21"/>
                <w:szCs w:val="21"/>
              </w:rPr>
              <w:t>Cl</w:t>
            </w:r>
            <w:r>
              <w:rPr>
                <w:rFonts w:hint="default" w:ascii="Times New Roman" w:hAnsi="Times New Roman" w:eastAsia="宋体" w:cs="Times New Roman"/>
                <w:kern w:val="0"/>
                <w:sz w:val="21"/>
                <w:szCs w:val="21"/>
                <w:vertAlign w:val="superscript"/>
              </w:rPr>
              <w:t>-</w:t>
            </w:r>
            <w:r>
              <w:rPr>
                <w:rFonts w:hint="default" w:ascii="Times New Roman" w:hAnsi="Times New Roman" w:cs="Times New Roman"/>
                <w:kern w:val="0"/>
                <w:sz w:val="21"/>
                <w:szCs w:val="21"/>
                <w:lang w:eastAsia="zh-CN" w:bidi="ar"/>
              </w:rPr>
              <w:t>）</w:t>
            </w:r>
          </w:p>
        </w:tc>
        <w:tc>
          <w:tcPr>
            <w:tcW w:w="1036" w:type="pct"/>
            <w:tcBorders>
              <w:tl2br w:val="nil"/>
              <w:tr2bl w:val="nil"/>
            </w:tcBorders>
            <w:noWrap w:val="0"/>
            <w:vAlign w:val="center"/>
          </w:tcPr>
          <w:p w14:paraId="328C961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4.12</w:t>
            </w:r>
          </w:p>
        </w:tc>
        <w:tc>
          <w:tcPr>
            <w:tcW w:w="1036" w:type="pct"/>
            <w:tcBorders>
              <w:tl2br w:val="nil"/>
              <w:tr2bl w:val="nil"/>
            </w:tcBorders>
            <w:noWrap w:val="0"/>
            <w:vAlign w:val="center"/>
          </w:tcPr>
          <w:p w14:paraId="69EED04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4.89</w:t>
            </w:r>
          </w:p>
        </w:tc>
        <w:tc>
          <w:tcPr>
            <w:tcW w:w="1036" w:type="pct"/>
            <w:tcBorders>
              <w:tl2br w:val="nil"/>
              <w:tr2bl w:val="nil"/>
            </w:tcBorders>
            <w:noWrap w:val="0"/>
            <w:vAlign w:val="center"/>
          </w:tcPr>
          <w:p w14:paraId="4F4C512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4.66</w:t>
            </w:r>
          </w:p>
        </w:tc>
      </w:tr>
      <w:tr w14:paraId="3963EA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2032628D">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2AEEE9F0">
            <w:pPr>
              <w:jc w:val="center"/>
              <w:rPr>
                <w:rFonts w:hint="default" w:ascii="Times New Roman" w:hAnsi="Times New Roman" w:eastAsia="宋体" w:cs="Times New Roman"/>
                <w:sz w:val="21"/>
                <w:szCs w:val="21"/>
              </w:rPr>
            </w:pPr>
          </w:p>
        </w:tc>
        <w:tc>
          <w:tcPr>
            <w:tcW w:w="1331" w:type="pct"/>
            <w:tcBorders>
              <w:tl2br w:val="nil"/>
              <w:tr2bl w:val="nil"/>
            </w:tcBorders>
            <w:noWrap w:val="0"/>
            <w:vAlign w:val="center"/>
          </w:tcPr>
          <w:p w14:paraId="070C72FF">
            <w:pPr>
              <w:jc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sz w:val="21"/>
                <w:szCs w:val="21"/>
              </w:rPr>
              <w:t>总大肠菌群</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MPN/100mL</w:t>
            </w:r>
            <w:r>
              <w:rPr>
                <w:rFonts w:hint="default" w:ascii="Times New Roman" w:hAnsi="Times New Roman" w:eastAsia="宋体" w:cs="Times New Roman"/>
                <w:sz w:val="21"/>
                <w:szCs w:val="21"/>
                <w:lang w:eastAsia="zh-CN"/>
              </w:rPr>
              <w:t>）</w:t>
            </w:r>
          </w:p>
        </w:tc>
        <w:tc>
          <w:tcPr>
            <w:tcW w:w="1036" w:type="pct"/>
            <w:tcBorders>
              <w:tl2br w:val="nil"/>
              <w:tr2bl w:val="nil"/>
            </w:tcBorders>
            <w:noWrap w:val="0"/>
            <w:vAlign w:val="center"/>
          </w:tcPr>
          <w:p w14:paraId="0F2D7FD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未检出</w:t>
            </w:r>
          </w:p>
        </w:tc>
        <w:tc>
          <w:tcPr>
            <w:tcW w:w="1036" w:type="pct"/>
            <w:tcBorders>
              <w:tl2br w:val="nil"/>
              <w:tr2bl w:val="nil"/>
            </w:tcBorders>
            <w:noWrap w:val="0"/>
            <w:vAlign w:val="center"/>
          </w:tcPr>
          <w:p w14:paraId="0FDE6A4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vertAlign w:val="baseline"/>
                <w:lang w:val="en-US" w:eastAsia="zh-CN"/>
              </w:rPr>
              <w:t>未检出</w:t>
            </w:r>
          </w:p>
        </w:tc>
        <w:tc>
          <w:tcPr>
            <w:tcW w:w="1036" w:type="pct"/>
            <w:tcBorders>
              <w:tl2br w:val="nil"/>
              <w:tr2bl w:val="nil"/>
            </w:tcBorders>
            <w:noWrap w:val="0"/>
            <w:vAlign w:val="center"/>
          </w:tcPr>
          <w:p w14:paraId="359E2DF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vertAlign w:val="baseline"/>
                <w:lang w:val="en-US" w:eastAsia="zh-CN"/>
              </w:rPr>
              <w:t>未检出</w:t>
            </w:r>
          </w:p>
        </w:tc>
      </w:tr>
      <w:tr w14:paraId="23F6FD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0BF46DA1">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6BB1DD7B">
            <w:pPr>
              <w:jc w:val="center"/>
              <w:rPr>
                <w:rFonts w:hint="default" w:ascii="Times New Roman" w:hAnsi="Times New Roman" w:eastAsia="宋体" w:cs="Times New Roman"/>
                <w:sz w:val="21"/>
                <w:szCs w:val="21"/>
              </w:rPr>
            </w:pPr>
          </w:p>
        </w:tc>
        <w:tc>
          <w:tcPr>
            <w:tcW w:w="1331" w:type="pct"/>
            <w:tcBorders>
              <w:tl2br w:val="nil"/>
              <w:tr2bl w:val="nil"/>
            </w:tcBorders>
            <w:noWrap w:val="0"/>
            <w:vAlign w:val="center"/>
          </w:tcPr>
          <w:p w14:paraId="2F74C304">
            <w:pPr>
              <w:jc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sz w:val="21"/>
                <w:szCs w:val="21"/>
              </w:rPr>
              <w:t>菌落总数</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CFU/mL</w:t>
            </w:r>
            <w:r>
              <w:rPr>
                <w:rFonts w:hint="default" w:ascii="Times New Roman" w:hAnsi="Times New Roman" w:eastAsia="宋体" w:cs="Times New Roman"/>
                <w:sz w:val="21"/>
                <w:szCs w:val="21"/>
                <w:lang w:eastAsia="zh-CN"/>
              </w:rPr>
              <w:t>）</w:t>
            </w:r>
          </w:p>
        </w:tc>
        <w:tc>
          <w:tcPr>
            <w:tcW w:w="1036" w:type="pct"/>
            <w:tcBorders>
              <w:tl2br w:val="nil"/>
              <w:tr2bl w:val="nil"/>
            </w:tcBorders>
            <w:noWrap w:val="0"/>
            <w:vAlign w:val="center"/>
          </w:tcPr>
          <w:p w14:paraId="6FB6C28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21</w:t>
            </w:r>
          </w:p>
        </w:tc>
        <w:tc>
          <w:tcPr>
            <w:tcW w:w="1036" w:type="pct"/>
            <w:tcBorders>
              <w:tl2br w:val="nil"/>
              <w:tr2bl w:val="nil"/>
            </w:tcBorders>
            <w:noWrap w:val="0"/>
            <w:vAlign w:val="center"/>
          </w:tcPr>
          <w:p w14:paraId="3E0AE4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15</w:t>
            </w:r>
          </w:p>
        </w:tc>
        <w:tc>
          <w:tcPr>
            <w:tcW w:w="1036" w:type="pct"/>
            <w:tcBorders>
              <w:tl2br w:val="nil"/>
              <w:tr2bl w:val="nil"/>
            </w:tcBorders>
            <w:noWrap w:val="0"/>
            <w:vAlign w:val="center"/>
          </w:tcPr>
          <w:p w14:paraId="39E14FD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18</w:t>
            </w:r>
          </w:p>
        </w:tc>
      </w:tr>
      <w:tr w14:paraId="22D3D8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281F6A1D">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4FB5B617">
            <w:pPr>
              <w:keepNext w:val="0"/>
              <w:keepLines w:val="0"/>
              <w:widowControl/>
              <w:suppressLineNumbers w:val="0"/>
              <w:spacing w:line="240" w:lineRule="auto"/>
              <w:jc w:val="center"/>
              <w:textAlignment w:val="center"/>
              <w:rPr>
                <w:rFonts w:hint="default" w:ascii="Times New Roman" w:hAnsi="Times New Roman" w:cs="Times New Roman"/>
                <w:sz w:val="21"/>
                <w:szCs w:val="21"/>
                <w:highlight w:val="none"/>
                <w:lang w:val="en-US" w:eastAsia="zh-CN"/>
              </w:rPr>
            </w:pPr>
          </w:p>
        </w:tc>
        <w:tc>
          <w:tcPr>
            <w:tcW w:w="1331" w:type="pct"/>
            <w:tcBorders>
              <w:tl2br w:val="nil"/>
              <w:tr2bl w:val="nil"/>
            </w:tcBorders>
            <w:noWrap w:val="0"/>
            <w:vAlign w:val="center"/>
          </w:tcPr>
          <w:p w14:paraId="0CFDAE7C">
            <w:pPr>
              <w:keepNext w:val="0"/>
              <w:keepLines w:val="0"/>
              <w:widowControl/>
              <w:suppressLineNumbers w:val="0"/>
              <w:spacing w:line="240" w:lineRule="auto"/>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cs="Times New Roman"/>
                <w:sz w:val="21"/>
                <w:szCs w:val="21"/>
                <w:highlight w:val="none"/>
                <w:lang w:val="en-US" w:eastAsia="zh-CN"/>
              </w:rPr>
              <w:t>K</w:t>
            </w:r>
            <w:r>
              <w:rPr>
                <w:rFonts w:hint="default" w:ascii="Times New Roman" w:hAnsi="Times New Roman" w:cs="Times New Roman"/>
                <w:sz w:val="21"/>
                <w:szCs w:val="21"/>
                <w:highlight w:val="none"/>
                <w:vertAlign w:val="superscript"/>
                <w:lang w:val="en-US" w:eastAsia="zh-CN"/>
              </w:rPr>
              <w:t>+</w:t>
            </w:r>
          </w:p>
        </w:tc>
        <w:tc>
          <w:tcPr>
            <w:tcW w:w="1036" w:type="pct"/>
            <w:tcBorders>
              <w:tl2br w:val="nil"/>
              <w:tr2bl w:val="nil"/>
            </w:tcBorders>
            <w:noWrap w:val="0"/>
            <w:vAlign w:val="center"/>
          </w:tcPr>
          <w:p w14:paraId="31587F86">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20.4</w:t>
            </w:r>
          </w:p>
        </w:tc>
        <w:tc>
          <w:tcPr>
            <w:tcW w:w="1036" w:type="pct"/>
            <w:tcBorders>
              <w:tl2br w:val="nil"/>
              <w:tr2bl w:val="nil"/>
            </w:tcBorders>
            <w:noWrap w:val="0"/>
            <w:vAlign w:val="center"/>
          </w:tcPr>
          <w:p w14:paraId="4ABBC0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18.7</w:t>
            </w:r>
          </w:p>
        </w:tc>
        <w:tc>
          <w:tcPr>
            <w:tcW w:w="1036" w:type="pct"/>
            <w:tcBorders>
              <w:tl2br w:val="nil"/>
              <w:tr2bl w:val="nil"/>
            </w:tcBorders>
            <w:noWrap w:val="0"/>
            <w:vAlign w:val="center"/>
          </w:tcPr>
          <w:p w14:paraId="7AE2AF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22.8</w:t>
            </w:r>
          </w:p>
        </w:tc>
      </w:tr>
      <w:tr w14:paraId="1226D1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50B1F9EF">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1DB9DE1A">
            <w:pPr>
              <w:keepNext w:val="0"/>
              <w:keepLines w:val="0"/>
              <w:widowControl/>
              <w:suppressLineNumbers w:val="0"/>
              <w:spacing w:line="240" w:lineRule="auto"/>
              <w:jc w:val="center"/>
              <w:textAlignment w:val="center"/>
              <w:rPr>
                <w:rFonts w:hint="default" w:ascii="Times New Roman" w:hAnsi="Times New Roman" w:cs="Times New Roman"/>
                <w:sz w:val="21"/>
                <w:szCs w:val="21"/>
                <w:highlight w:val="none"/>
                <w:lang w:val="en-US" w:eastAsia="zh-CN"/>
              </w:rPr>
            </w:pPr>
          </w:p>
        </w:tc>
        <w:tc>
          <w:tcPr>
            <w:tcW w:w="1331" w:type="pct"/>
            <w:tcBorders>
              <w:tl2br w:val="nil"/>
              <w:tr2bl w:val="nil"/>
            </w:tcBorders>
            <w:noWrap w:val="0"/>
            <w:vAlign w:val="center"/>
          </w:tcPr>
          <w:p w14:paraId="60411012">
            <w:pPr>
              <w:keepNext w:val="0"/>
              <w:keepLines w:val="0"/>
              <w:widowControl/>
              <w:suppressLineNumbers w:val="0"/>
              <w:spacing w:line="240" w:lineRule="auto"/>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cs="Times New Roman"/>
                <w:sz w:val="21"/>
                <w:szCs w:val="21"/>
                <w:highlight w:val="none"/>
                <w:lang w:val="en-US" w:eastAsia="zh-CN"/>
              </w:rPr>
              <w:t>Na</w:t>
            </w:r>
            <w:r>
              <w:rPr>
                <w:rFonts w:hint="default" w:ascii="Times New Roman" w:hAnsi="Times New Roman" w:cs="Times New Roman"/>
                <w:sz w:val="21"/>
                <w:szCs w:val="21"/>
                <w:highlight w:val="none"/>
                <w:vertAlign w:val="superscript"/>
                <w:lang w:val="en-US" w:eastAsia="zh-CN"/>
              </w:rPr>
              <w:t>+</w:t>
            </w:r>
          </w:p>
        </w:tc>
        <w:tc>
          <w:tcPr>
            <w:tcW w:w="1036" w:type="pct"/>
            <w:tcBorders>
              <w:tl2br w:val="nil"/>
              <w:tr2bl w:val="nil"/>
            </w:tcBorders>
            <w:noWrap w:val="0"/>
            <w:vAlign w:val="center"/>
          </w:tcPr>
          <w:p w14:paraId="2BEA0343">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32.4</w:t>
            </w:r>
          </w:p>
        </w:tc>
        <w:tc>
          <w:tcPr>
            <w:tcW w:w="1036" w:type="pct"/>
            <w:tcBorders>
              <w:tl2br w:val="nil"/>
              <w:tr2bl w:val="nil"/>
            </w:tcBorders>
            <w:noWrap w:val="0"/>
            <w:vAlign w:val="center"/>
          </w:tcPr>
          <w:p w14:paraId="2E056C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29.4</w:t>
            </w:r>
          </w:p>
        </w:tc>
        <w:tc>
          <w:tcPr>
            <w:tcW w:w="1036" w:type="pct"/>
            <w:tcBorders>
              <w:tl2br w:val="nil"/>
              <w:tr2bl w:val="nil"/>
            </w:tcBorders>
            <w:noWrap w:val="0"/>
            <w:vAlign w:val="center"/>
          </w:tcPr>
          <w:p w14:paraId="59CB25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29.7</w:t>
            </w:r>
          </w:p>
        </w:tc>
      </w:tr>
      <w:tr w14:paraId="2930F9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7992C915">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78215DBA">
            <w:pPr>
              <w:keepNext w:val="0"/>
              <w:keepLines w:val="0"/>
              <w:widowControl/>
              <w:suppressLineNumbers w:val="0"/>
              <w:spacing w:line="240" w:lineRule="auto"/>
              <w:jc w:val="center"/>
              <w:textAlignment w:val="center"/>
              <w:rPr>
                <w:rFonts w:hint="default" w:ascii="Times New Roman" w:hAnsi="Times New Roman" w:cs="Times New Roman"/>
                <w:sz w:val="21"/>
                <w:szCs w:val="21"/>
                <w:highlight w:val="none"/>
                <w:lang w:val="en-US" w:eastAsia="zh-CN"/>
              </w:rPr>
            </w:pPr>
          </w:p>
        </w:tc>
        <w:tc>
          <w:tcPr>
            <w:tcW w:w="1331" w:type="pct"/>
            <w:tcBorders>
              <w:tl2br w:val="nil"/>
              <w:tr2bl w:val="nil"/>
            </w:tcBorders>
            <w:noWrap w:val="0"/>
            <w:vAlign w:val="center"/>
          </w:tcPr>
          <w:p w14:paraId="575650BF">
            <w:pPr>
              <w:keepNext w:val="0"/>
              <w:keepLines w:val="0"/>
              <w:widowControl/>
              <w:suppressLineNumbers w:val="0"/>
              <w:spacing w:line="240" w:lineRule="auto"/>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cs="Times New Roman"/>
                <w:sz w:val="21"/>
                <w:szCs w:val="21"/>
                <w:highlight w:val="none"/>
                <w:lang w:val="en-US" w:eastAsia="zh-CN"/>
              </w:rPr>
              <w:t>Cl</w:t>
            </w:r>
            <w:r>
              <w:rPr>
                <w:rFonts w:hint="default" w:ascii="Times New Roman" w:hAnsi="Times New Roman" w:cs="Times New Roman"/>
                <w:sz w:val="21"/>
                <w:szCs w:val="21"/>
                <w:highlight w:val="none"/>
                <w:vertAlign w:val="superscript"/>
                <w:lang w:val="en-US" w:eastAsia="zh-CN"/>
              </w:rPr>
              <w:t>-</w:t>
            </w:r>
          </w:p>
        </w:tc>
        <w:tc>
          <w:tcPr>
            <w:tcW w:w="1036" w:type="pct"/>
            <w:tcBorders>
              <w:tl2br w:val="nil"/>
              <w:tr2bl w:val="nil"/>
            </w:tcBorders>
            <w:noWrap w:val="0"/>
            <w:vAlign w:val="center"/>
          </w:tcPr>
          <w:p w14:paraId="55134D58">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4.12</w:t>
            </w:r>
          </w:p>
        </w:tc>
        <w:tc>
          <w:tcPr>
            <w:tcW w:w="1036" w:type="pct"/>
            <w:tcBorders>
              <w:tl2br w:val="nil"/>
              <w:tr2bl w:val="nil"/>
            </w:tcBorders>
            <w:noWrap w:val="0"/>
            <w:vAlign w:val="center"/>
          </w:tcPr>
          <w:p w14:paraId="50661F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kern w:val="2"/>
                <w:sz w:val="21"/>
                <w:szCs w:val="21"/>
                <w:highlight w:val="none"/>
                <w:lang w:val="en-US" w:eastAsia="zh-CN" w:bidi="ar-SA"/>
              </w:rPr>
              <w:t>4.89</w:t>
            </w:r>
          </w:p>
        </w:tc>
        <w:tc>
          <w:tcPr>
            <w:tcW w:w="1036" w:type="pct"/>
            <w:tcBorders>
              <w:tl2br w:val="nil"/>
              <w:tr2bl w:val="nil"/>
            </w:tcBorders>
            <w:noWrap w:val="0"/>
            <w:vAlign w:val="center"/>
          </w:tcPr>
          <w:p w14:paraId="32F5B35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lang w:val="en-US" w:eastAsia="zh-CN"/>
              </w:rPr>
              <w:t>4.66</w:t>
            </w:r>
          </w:p>
        </w:tc>
      </w:tr>
      <w:tr w14:paraId="5EE2CA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27BEBBE7">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389B7DB3">
            <w:pPr>
              <w:keepNext w:val="0"/>
              <w:keepLines w:val="0"/>
              <w:widowControl/>
              <w:suppressLineNumbers w:val="0"/>
              <w:spacing w:line="240" w:lineRule="auto"/>
              <w:jc w:val="center"/>
              <w:textAlignment w:val="center"/>
              <w:rPr>
                <w:rFonts w:hint="default" w:ascii="Times New Roman" w:hAnsi="Times New Roman" w:cs="Times New Roman"/>
                <w:sz w:val="21"/>
                <w:szCs w:val="21"/>
                <w:highlight w:val="none"/>
                <w:lang w:val="en-US" w:eastAsia="zh-CN"/>
              </w:rPr>
            </w:pPr>
          </w:p>
        </w:tc>
        <w:tc>
          <w:tcPr>
            <w:tcW w:w="1331" w:type="pct"/>
            <w:tcBorders>
              <w:tl2br w:val="nil"/>
              <w:tr2bl w:val="nil"/>
            </w:tcBorders>
            <w:noWrap w:val="0"/>
            <w:vAlign w:val="center"/>
          </w:tcPr>
          <w:p w14:paraId="6B57146E">
            <w:pPr>
              <w:keepNext w:val="0"/>
              <w:keepLines w:val="0"/>
              <w:widowControl/>
              <w:suppressLineNumbers w:val="0"/>
              <w:spacing w:line="240" w:lineRule="auto"/>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cs="Times New Roman"/>
                <w:sz w:val="21"/>
                <w:szCs w:val="21"/>
                <w:highlight w:val="none"/>
                <w:lang w:val="en-US" w:eastAsia="zh-CN"/>
              </w:rPr>
              <w:t>Ca</w:t>
            </w:r>
            <w:r>
              <w:rPr>
                <w:rFonts w:hint="default" w:ascii="Times New Roman" w:hAnsi="Times New Roman" w:cs="Times New Roman"/>
                <w:sz w:val="21"/>
                <w:szCs w:val="21"/>
                <w:highlight w:val="none"/>
                <w:vertAlign w:val="superscript"/>
                <w:lang w:val="en-US" w:eastAsia="zh-CN"/>
              </w:rPr>
              <w:t>2+</w:t>
            </w:r>
          </w:p>
        </w:tc>
        <w:tc>
          <w:tcPr>
            <w:tcW w:w="1036" w:type="pct"/>
            <w:tcBorders>
              <w:tl2br w:val="nil"/>
              <w:tr2bl w:val="nil"/>
            </w:tcBorders>
            <w:noWrap w:val="0"/>
            <w:vAlign w:val="center"/>
          </w:tcPr>
          <w:p w14:paraId="1030988D">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28.1</w:t>
            </w:r>
          </w:p>
        </w:tc>
        <w:tc>
          <w:tcPr>
            <w:tcW w:w="1036" w:type="pct"/>
            <w:tcBorders>
              <w:tl2br w:val="nil"/>
              <w:tr2bl w:val="nil"/>
            </w:tcBorders>
            <w:noWrap w:val="0"/>
            <w:vAlign w:val="center"/>
          </w:tcPr>
          <w:p w14:paraId="6A25DE2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31.1</w:t>
            </w:r>
          </w:p>
        </w:tc>
        <w:tc>
          <w:tcPr>
            <w:tcW w:w="1036" w:type="pct"/>
            <w:tcBorders>
              <w:tl2br w:val="nil"/>
              <w:tr2bl w:val="nil"/>
            </w:tcBorders>
            <w:noWrap w:val="0"/>
            <w:vAlign w:val="center"/>
          </w:tcPr>
          <w:p w14:paraId="6BDE312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33.3</w:t>
            </w:r>
          </w:p>
        </w:tc>
      </w:tr>
      <w:tr w14:paraId="7E296C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5F25E276">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21F6074E">
            <w:pPr>
              <w:keepNext w:val="0"/>
              <w:keepLines w:val="0"/>
              <w:widowControl/>
              <w:suppressLineNumbers w:val="0"/>
              <w:spacing w:line="240" w:lineRule="auto"/>
              <w:jc w:val="center"/>
              <w:textAlignment w:val="center"/>
              <w:rPr>
                <w:rFonts w:hint="default" w:ascii="Times New Roman" w:hAnsi="Times New Roman" w:cs="Times New Roman"/>
                <w:sz w:val="21"/>
                <w:szCs w:val="21"/>
                <w:highlight w:val="none"/>
                <w:lang w:val="en-US" w:eastAsia="zh-CN"/>
              </w:rPr>
            </w:pPr>
          </w:p>
        </w:tc>
        <w:tc>
          <w:tcPr>
            <w:tcW w:w="1331" w:type="pct"/>
            <w:tcBorders>
              <w:tl2br w:val="nil"/>
              <w:tr2bl w:val="nil"/>
            </w:tcBorders>
            <w:noWrap w:val="0"/>
            <w:vAlign w:val="center"/>
          </w:tcPr>
          <w:p w14:paraId="7F589F3A">
            <w:pPr>
              <w:keepNext w:val="0"/>
              <w:keepLines w:val="0"/>
              <w:widowControl/>
              <w:suppressLineNumbers w:val="0"/>
              <w:spacing w:line="240" w:lineRule="auto"/>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cs="Times New Roman"/>
                <w:sz w:val="21"/>
                <w:szCs w:val="21"/>
                <w:highlight w:val="none"/>
                <w:lang w:val="en-US" w:eastAsia="zh-CN"/>
              </w:rPr>
              <w:t>Mg</w:t>
            </w:r>
            <w:r>
              <w:rPr>
                <w:rFonts w:hint="default" w:ascii="Times New Roman" w:hAnsi="Times New Roman" w:cs="Times New Roman"/>
                <w:sz w:val="21"/>
                <w:szCs w:val="21"/>
                <w:highlight w:val="none"/>
                <w:vertAlign w:val="superscript"/>
                <w:lang w:val="en-US" w:eastAsia="zh-CN"/>
              </w:rPr>
              <w:t>2+</w:t>
            </w:r>
          </w:p>
        </w:tc>
        <w:tc>
          <w:tcPr>
            <w:tcW w:w="1036" w:type="pct"/>
            <w:tcBorders>
              <w:tl2br w:val="nil"/>
              <w:tr2bl w:val="nil"/>
            </w:tcBorders>
            <w:noWrap w:val="0"/>
            <w:vAlign w:val="center"/>
          </w:tcPr>
          <w:p w14:paraId="396A607C">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37.2</w:t>
            </w:r>
          </w:p>
        </w:tc>
        <w:tc>
          <w:tcPr>
            <w:tcW w:w="1036" w:type="pct"/>
            <w:tcBorders>
              <w:tl2br w:val="nil"/>
              <w:tr2bl w:val="nil"/>
            </w:tcBorders>
            <w:noWrap w:val="0"/>
            <w:vAlign w:val="center"/>
          </w:tcPr>
          <w:p w14:paraId="7FABEE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39.1</w:t>
            </w:r>
          </w:p>
        </w:tc>
        <w:tc>
          <w:tcPr>
            <w:tcW w:w="1036" w:type="pct"/>
            <w:tcBorders>
              <w:tl2br w:val="nil"/>
              <w:tr2bl w:val="nil"/>
            </w:tcBorders>
            <w:noWrap w:val="0"/>
            <w:vAlign w:val="center"/>
          </w:tcPr>
          <w:p w14:paraId="04A247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30.8</w:t>
            </w:r>
          </w:p>
        </w:tc>
      </w:tr>
      <w:tr w14:paraId="786350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59B13349">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77E47F97">
            <w:pPr>
              <w:keepNext w:val="0"/>
              <w:keepLines w:val="0"/>
              <w:widowControl/>
              <w:suppressLineNumbers w:val="0"/>
              <w:spacing w:line="240" w:lineRule="auto"/>
              <w:jc w:val="center"/>
              <w:textAlignment w:val="center"/>
              <w:rPr>
                <w:rFonts w:hint="default" w:ascii="Times New Roman" w:hAnsi="Times New Roman" w:cs="Times New Roman"/>
                <w:sz w:val="21"/>
                <w:szCs w:val="21"/>
                <w:highlight w:val="none"/>
                <w:lang w:val="en-US" w:eastAsia="zh-CN"/>
              </w:rPr>
            </w:pPr>
          </w:p>
        </w:tc>
        <w:tc>
          <w:tcPr>
            <w:tcW w:w="1331" w:type="pct"/>
            <w:tcBorders>
              <w:tl2br w:val="nil"/>
              <w:tr2bl w:val="nil"/>
            </w:tcBorders>
            <w:noWrap w:val="0"/>
            <w:vAlign w:val="center"/>
          </w:tcPr>
          <w:p w14:paraId="703927F1">
            <w:pPr>
              <w:keepNext w:val="0"/>
              <w:keepLines w:val="0"/>
              <w:widowControl/>
              <w:suppressLineNumbers w:val="0"/>
              <w:spacing w:line="240" w:lineRule="auto"/>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cs="Times New Roman"/>
                <w:sz w:val="21"/>
                <w:szCs w:val="21"/>
                <w:highlight w:val="none"/>
                <w:lang w:val="en-US" w:eastAsia="zh-CN"/>
              </w:rPr>
              <w:t>CO</w:t>
            </w:r>
            <w:r>
              <w:rPr>
                <w:rFonts w:hint="default" w:ascii="Times New Roman" w:hAnsi="Times New Roman" w:cs="Times New Roman"/>
                <w:sz w:val="21"/>
                <w:szCs w:val="21"/>
                <w:highlight w:val="none"/>
                <w:vertAlign w:val="subscript"/>
                <w:lang w:val="en-US" w:eastAsia="zh-CN"/>
              </w:rPr>
              <w:t>3</w:t>
            </w:r>
            <w:r>
              <w:rPr>
                <w:rFonts w:hint="default" w:ascii="Times New Roman" w:hAnsi="Times New Roman" w:cs="Times New Roman"/>
                <w:sz w:val="21"/>
                <w:szCs w:val="21"/>
                <w:highlight w:val="none"/>
                <w:vertAlign w:val="superscript"/>
                <w:lang w:val="en-US" w:eastAsia="zh-CN"/>
              </w:rPr>
              <w:t>2-</w:t>
            </w:r>
          </w:p>
        </w:tc>
        <w:tc>
          <w:tcPr>
            <w:tcW w:w="1036" w:type="pct"/>
            <w:tcBorders>
              <w:tl2br w:val="nil"/>
              <w:tr2bl w:val="nil"/>
            </w:tcBorders>
            <w:noWrap w:val="0"/>
            <w:vAlign w:val="center"/>
          </w:tcPr>
          <w:p w14:paraId="05C52100">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w:t>
            </w:r>
          </w:p>
        </w:tc>
        <w:tc>
          <w:tcPr>
            <w:tcW w:w="1036" w:type="pct"/>
            <w:tcBorders>
              <w:tl2br w:val="nil"/>
              <w:tr2bl w:val="nil"/>
            </w:tcBorders>
            <w:noWrap w:val="0"/>
            <w:vAlign w:val="center"/>
          </w:tcPr>
          <w:p w14:paraId="7FEE7B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036" w:type="pct"/>
            <w:tcBorders>
              <w:tl2br w:val="nil"/>
              <w:tr2bl w:val="nil"/>
            </w:tcBorders>
            <w:noWrap w:val="0"/>
            <w:vAlign w:val="center"/>
          </w:tcPr>
          <w:p w14:paraId="69FAA2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r>
      <w:tr w14:paraId="37BAA4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4B34FE29">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69D8A5F5">
            <w:pPr>
              <w:keepNext w:val="0"/>
              <w:keepLines w:val="0"/>
              <w:widowControl/>
              <w:suppressLineNumbers w:val="0"/>
              <w:spacing w:line="240" w:lineRule="auto"/>
              <w:jc w:val="center"/>
              <w:textAlignment w:val="center"/>
              <w:rPr>
                <w:rFonts w:hint="default" w:ascii="Times New Roman" w:hAnsi="Times New Roman" w:cs="Times New Roman"/>
                <w:sz w:val="21"/>
                <w:szCs w:val="21"/>
                <w:highlight w:val="none"/>
                <w:lang w:val="en-US" w:eastAsia="zh-CN"/>
              </w:rPr>
            </w:pPr>
          </w:p>
        </w:tc>
        <w:tc>
          <w:tcPr>
            <w:tcW w:w="1331" w:type="pct"/>
            <w:tcBorders>
              <w:tl2br w:val="nil"/>
              <w:tr2bl w:val="nil"/>
            </w:tcBorders>
            <w:noWrap w:val="0"/>
            <w:vAlign w:val="center"/>
          </w:tcPr>
          <w:p w14:paraId="1D7DF929">
            <w:pPr>
              <w:keepNext w:val="0"/>
              <w:keepLines w:val="0"/>
              <w:widowControl/>
              <w:suppressLineNumbers w:val="0"/>
              <w:spacing w:line="240" w:lineRule="auto"/>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cs="Times New Roman"/>
                <w:sz w:val="21"/>
                <w:szCs w:val="21"/>
                <w:highlight w:val="none"/>
                <w:lang w:val="en-US" w:eastAsia="zh-CN"/>
              </w:rPr>
              <w:t>HCO</w:t>
            </w:r>
            <w:r>
              <w:rPr>
                <w:rFonts w:hint="default" w:ascii="Times New Roman" w:hAnsi="Times New Roman" w:cs="Times New Roman"/>
                <w:sz w:val="21"/>
                <w:szCs w:val="21"/>
                <w:highlight w:val="none"/>
                <w:vertAlign w:val="subscript"/>
                <w:lang w:val="en-US" w:eastAsia="zh-CN"/>
              </w:rPr>
              <w:t>3</w:t>
            </w:r>
            <w:r>
              <w:rPr>
                <w:rFonts w:hint="default" w:ascii="Times New Roman" w:hAnsi="Times New Roman" w:cs="Times New Roman"/>
                <w:sz w:val="21"/>
                <w:szCs w:val="21"/>
                <w:highlight w:val="none"/>
                <w:vertAlign w:val="superscript"/>
                <w:lang w:val="en-US" w:eastAsia="zh-CN"/>
              </w:rPr>
              <w:t>-</w:t>
            </w:r>
          </w:p>
        </w:tc>
        <w:tc>
          <w:tcPr>
            <w:tcW w:w="1036" w:type="pct"/>
            <w:tcBorders>
              <w:tl2br w:val="nil"/>
              <w:tr2bl w:val="nil"/>
            </w:tcBorders>
            <w:noWrap w:val="0"/>
            <w:vAlign w:val="center"/>
          </w:tcPr>
          <w:p w14:paraId="3D5B2E2A">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348.7</w:t>
            </w:r>
          </w:p>
        </w:tc>
        <w:tc>
          <w:tcPr>
            <w:tcW w:w="1036" w:type="pct"/>
            <w:tcBorders>
              <w:tl2br w:val="nil"/>
              <w:tr2bl w:val="nil"/>
            </w:tcBorders>
            <w:noWrap w:val="0"/>
            <w:vAlign w:val="center"/>
          </w:tcPr>
          <w:p w14:paraId="4CF535F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336.9</w:t>
            </w:r>
          </w:p>
        </w:tc>
        <w:tc>
          <w:tcPr>
            <w:tcW w:w="1036" w:type="pct"/>
            <w:tcBorders>
              <w:tl2br w:val="nil"/>
              <w:tr2bl w:val="nil"/>
            </w:tcBorders>
            <w:noWrap w:val="0"/>
            <w:vAlign w:val="center"/>
          </w:tcPr>
          <w:p w14:paraId="6EC2F0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324.1</w:t>
            </w:r>
          </w:p>
        </w:tc>
      </w:tr>
      <w:tr w14:paraId="5C94B8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3C3D01A1">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1DC135A9">
            <w:pPr>
              <w:keepNext w:val="0"/>
              <w:keepLines w:val="0"/>
              <w:widowControl/>
              <w:suppressLineNumbers w:val="0"/>
              <w:spacing w:line="240" w:lineRule="auto"/>
              <w:jc w:val="center"/>
              <w:textAlignment w:val="center"/>
              <w:rPr>
                <w:rFonts w:hint="default" w:ascii="Times New Roman" w:hAnsi="Times New Roman" w:cs="Times New Roman"/>
                <w:sz w:val="21"/>
                <w:szCs w:val="21"/>
                <w:highlight w:val="none"/>
                <w:lang w:val="en-US" w:eastAsia="zh-CN"/>
              </w:rPr>
            </w:pPr>
          </w:p>
        </w:tc>
        <w:tc>
          <w:tcPr>
            <w:tcW w:w="1331" w:type="pct"/>
            <w:tcBorders>
              <w:tl2br w:val="nil"/>
              <w:tr2bl w:val="nil"/>
            </w:tcBorders>
            <w:noWrap w:val="0"/>
            <w:vAlign w:val="center"/>
          </w:tcPr>
          <w:p w14:paraId="13941654">
            <w:pPr>
              <w:keepNext w:val="0"/>
              <w:keepLines w:val="0"/>
              <w:widowControl/>
              <w:suppressLineNumbers w:val="0"/>
              <w:spacing w:line="240" w:lineRule="auto"/>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cs="Times New Roman"/>
                <w:sz w:val="21"/>
                <w:szCs w:val="21"/>
                <w:highlight w:val="none"/>
                <w:lang w:val="en-US" w:eastAsia="zh-CN"/>
              </w:rPr>
              <w:t>SO</w:t>
            </w:r>
            <w:r>
              <w:rPr>
                <w:rFonts w:hint="default" w:ascii="Times New Roman" w:hAnsi="Times New Roman" w:cs="Times New Roman"/>
                <w:sz w:val="21"/>
                <w:szCs w:val="21"/>
                <w:highlight w:val="none"/>
                <w:vertAlign w:val="subscript"/>
                <w:lang w:val="en-US" w:eastAsia="zh-CN"/>
              </w:rPr>
              <w:t>4</w:t>
            </w:r>
            <w:r>
              <w:rPr>
                <w:rFonts w:hint="default" w:ascii="Times New Roman" w:hAnsi="Times New Roman" w:cs="Times New Roman"/>
                <w:sz w:val="21"/>
                <w:szCs w:val="21"/>
                <w:highlight w:val="none"/>
                <w:vertAlign w:val="superscript"/>
                <w:lang w:val="en-US" w:eastAsia="zh-CN"/>
              </w:rPr>
              <w:t>2-</w:t>
            </w:r>
          </w:p>
        </w:tc>
        <w:tc>
          <w:tcPr>
            <w:tcW w:w="1036" w:type="pct"/>
            <w:tcBorders>
              <w:tl2br w:val="nil"/>
              <w:tr2bl w:val="nil"/>
            </w:tcBorders>
            <w:noWrap w:val="0"/>
            <w:vAlign w:val="center"/>
          </w:tcPr>
          <w:p w14:paraId="10F13324">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kern w:val="2"/>
                <w:sz w:val="21"/>
                <w:szCs w:val="21"/>
                <w:lang w:val="en-US" w:eastAsia="zh-CN" w:bidi="ar-SA"/>
              </w:rPr>
              <w:t>17.4</w:t>
            </w:r>
          </w:p>
        </w:tc>
        <w:tc>
          <w:tcPr>
            <w:tcW w:w="1036" w:type="pct"/>
            <w:tcBorders>
              <w:tl2br w:val="nil"/>
              <w:tr2bl w:val="nil"/>
            </w:tcBorders>
            <w:noWrap w:val="0"/>
            <w:vAlign w:val="center"/>
          </w:tcPr>
          <w:p w14:paraId="7C5043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kern w:val="2"/>
                <w:sz w:val="21"/>
                <w:szCs w:val="21"/>
                <w:lang w:val="en-US" w:eastAsia="zh-CN" w:bidi="ar-SA"/>
              </w:rPr>
              <w:t>15.9</w:t>
            </w:r>
          </w:p>
        </w:tc>
        <w:tc>
          <w:tcPr>
            <w:tcW w:w="1036" w:type="pct"/>
            <w:tcBorders>
              <w:tl2br w:val="nil"/>
              <w:tr2bl w:val="nil"/>
            </w:tcBorders>
            <w:noWrap w:val="0"/>
            <w:vAlign w:val="center"/>
          </w:tcPr>
          <w:p w14:paraId="1540A3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lang w:val="en-US" w:eastAsia="zh-CN"/>
              </w:rPr>
              <w:t>13.8</w:t>
            </w:r>
          </w:p>
        </w:tc>
      </w:tr>
      <w:tr w14:paraId="0BF7FB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 w:type="pct"/>
            <w:tcBorders>
              <w:tl2br w:val="nil"/>
              <w:tr2bl w:val="nil"/>
            </w:tcBorders>
            <w:noWrap w:val="0"/>
            <w:vAlign w:val="center"/>
          </w:tcPr>
          <w:p w14:paraId="1A662FF2">
            <w:pPr>
              <w:numPr>
                <w:ilvl w:val="0"/>
                <w:numId w:val="27"/>
              </w:numPr>
              <w:jc w:val="center"/>
              <w:rPr>
                <w:rFonts w:hint="default" w:ascii="Times New Roman" w:hAnsi="Times New Roman" w:cs="Times New Roman"/>
                <w:sz w:val="21"/>
                <w:szCs w:val="21"/>
              </w:rPr>
            </w:pPr>
          </w:p>
        </w:tc>
        <w:tc>
          <w:tcPr>
            <w:tcW w:w="352" w:type="pct"/>
            <w:vMerge w:val="continue"/>
            <w:tcBorders>
              <w:tl2br w:val="nil"/>
              <w:tr2bl w:val="nil"/>
            </w:tcBorders>
            <w:noWrap w:val="0"/>
            <w:vAlign w:val="center"/>
          </w:tcPr>
          <w:p w14:paraId="6A0C92D7">
            <w:pPr>
              <w:keepNext w:val="0"/>
              <w:keepLines w:val="0"/>
              <w:widowControl/>
              <w:suppressLineNumbers w:val="0"/>
              <w:spacing w:line="240" w:lineRule="auto"/>
              <w:jc w:val="center"/>
              <w:textAlignment w:val="center"/>
              <w:rPr>
                <w:rFonts w:hint="default" w:ascii="Times New Roman" w:hAnsi="Times New Roman" w:cs="Times New Roman"/>
                <w:sz w:val="21"/>
                <w:szCs w:val="21"/>
                <w:highlight w:val="none"/>
                <w:lang w:val="en-US" w:eastAsia="zh-CN"/>
              </w:rPr>
            </w:pPr>
          </w:p>
        </w:tc>
        <w:tc>
          <w:tcPr>
            <w:tcW w:w="1331" w:type="pct"/>
            <w:tcBorders>
              <w:tl2br w:val="nil"/>
              <w:tr2bl w:val="nil"/>
            </w:tcBorders>
            <w:noWrap w:val="0"/>
            <w:vAlign w:val="center"/>
          </w:tcPr>
          <w:p w14:paraId="53ED7078">
            <w:pPr>
              <w:keepNext w:val="0"/>
              <w:keepLines w:val="0"/>
              <w:widowControl/>
              <w:suppressLineNumbers w:val="0"/>
              <w:spacing w:line="240" w:lineRule="auto"/>
              <w:jc w:val="center"/>
              <w:textAlignment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石油类</w:t>
            </w:r>
          </w:p>
        </w:tc>
        <w:tc>
          <w:tcPr>
            <w:tcW w:w="1036" w:type="pct"/>
            <w:tcBorders>
              <w:tl2br w:val="nil"/>
              <w:tr2bl w:val="nil"/>
            </w:tcBorders>
            <w:noWrap w:val="0"/>
            <w:vAlign w:val="center"/>
          </w:tcPr>
          <w:p w14:paraId="61CAE429">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0.01L</w:t>
            </w:r>
          </w:p>
        </w:tc>
        <w:tc>
          <w:tcPr>
            <w:tcW w:w="1036" w:type="pct"/>
            <w:tcBorders>
              <w:tl2br w:val="nil"/>
              <w:tr2bl w:val="nil"/>
            </w:tcBorders>
            <w:noWrap w:val="0"/>
            <w:vAlign w:val="center"/>
          </w:tcPr>
          <w:p w14:paraId="1C89F27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vertAlign w:val="baseline"/>
                <w:lang w:val="en-US" w:eastAsia="zh-CN"/>
              </w:rPr>
              <w:t>0.01L</w:t>
            </w:r>
          </w:p>
        </w:tc>
        <w:tc>
          <w:tcPr>
            <w:tcW w:w="1036" w:type="pct"/>
            <w:tcBorders>
              <w:tl2br w:val="nil"/>
              <w:tr2bl w:val="nil"/>
            </w:tcBorders>
            <w:noWrap w:val="0"/>
            <w:vAlign w:val="center"/>
          </w:tcPr>
          <w:p w14:paraId="282704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vertAlign w:val="baseline"/>
                <w:lang w:val="en-US" w:eastAsia="zh-CN"/>
              </w:rPr>
              <w:t>0.01L</w:t>
            </w:r>
          </w:p>
        </w:tc>
      </w:tr>
    </w:tbl>
    <w:p w14:paraId="44F565EC">
      <w:pPr>
        <w:pStyle w:val="32"/>
        <w:jc w:val="both"/>
        <w:rPr>
          <w:rFonts w:ascii="Times New Roman" w:eastAsia="宋体"/>
          <w:color w:val="auto"/>
          <w:sz w:val="21"/>
          <w:szCs w:val="21"/>
        </w:rPr>
      </w:pPr>
      <w:r>
        <w:rPr>
          <w:rFonts w:ascii="Times New Roman" w:eastAsia="宋体"/>
          <w:color w:val="auto"/>
          <w:sz w:val="21"/>
          <w:szCs w:val="21"/>
        </w:rPr>
        <w:t>注：当检测结果低于方法检出限时，检测结果用“检出限L”表示。</w:t>
      </w:r>
    </w:p>
    <w:p w14:paraId="50F84A1B">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4.2.3.6</w:t>
      </w:r>
      <w:r>
        <w:rPr>
          <w:rFonts w:hint="default" w:ascii="Times New Roman" w:hAnsi="Times New Roman" w:eastAsia="宋体" w:cs="Times New Roman"/>
          <w:b/>
          <w:bCs/>
          <w:color w:val="auto"/>
          <w:sz w:val="28"/>
          <w:szCs w:val="28"/>
          <w:lang w:val="en-US" w:eastAsia="zh-CN"/>
        </w:rPr>
        <w:t>地下水现状评价</w:t>
      </w:r>
    </w:p>
    <w:p w14:paraId="22E78A77">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1、评价标准</w:t>
      </w:r>
    </w:p>
    <w:p w14:paraId="3FFB065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根据评价区地下水水质状况和使用功能，地下水评价执行《地下水质量标准》(GB/T14848-2017)Ⅲ类标准，</w:t>
      </w:r>
      <w:r>
        <w:rPr>
          <w:rFonts w:hint="default" w:ascii="Times New Roman" w:hAnsi="Times New Roman" w:cs="Times New Roman"/>
          <w:color w:val="auto"/>
          <w:sz w:val="24"/>
          <w:szCs w:val="24"/>
          <w:lang w:val="en-US" w:eastAsia="zh-CN"/>
        </w:rPr>
        <w:t>石油类参照《地表水环境质量标准》（GB3838-2002）中Ⅲ类标准</w:t>
      </w:r>
      <w:r>
        <w:rPr>
          <w:rFonts w:hint="eastAsia" w:ascii="Times New Roman" w:hAnsi="Times New Roman" w:cs="Times New Roman"/>
          <w:color w:val="auto"/>
          <w:sz w:val="24"/>
          <w:szCs w:val="24"/>
          <w:lang w:val="en-US" w:eastAsia="zh-CN"/>
        </w:rPr>
        <w:t>（≤0.05</w:t>
      </w:r>
      <w:r>
        <w:rPr>
          <w:rFonts w:hint="default" w:ascii="Times New Roman" w:hAnsi="Times New Roman" w:cs="Times New Roman"/>
          <w:bCs/>
          <w:color w:val="auto"/>
          <w:sz w:val="21"/>
          <w:szCs w:val="21"/>
        </w:rPr>
        <w:t>mg/L</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具体指标的评价标准见表4</w:t>
      </w:r>
      <w:r>
        <w:rPr>
          <w:rFonts w:hint="default" w:ascii="Times New Roman" w:hAnsi="Times New Roman" w:eastAsia="宋体" w:cs="Times New Roman"/>
          <w:color w:val="auto"/>
          <w:sz w:val="24"/>
          <w:szCs w:val="24"/>
          <w:lang w:val="en-US" w:eastAsia="zh-CN"/>
        </w:rPr>
        <w:t>.</w:t>
      </w:r>
      <w:r>
        <w:rPr>
          <w:rFonts w:hint="default" w:ascii="Times New Roman" w:hAnsi="Times New Roman" w:cs="Times New Roman"/>
          <w:color w:val="auto"/>
          <w:sz w:val="24"/>
          <w:szCs w:val="24"/>
        </w:rPr>
        <w:t>2-</w:t>
      </w:r>
      <w:r>
        <w:rPr>
          <w:rFonts w:hint="eastAsia" w:ascii="Times New Roman" w:hAnsi="Times New Roman" w:eastAsia="宋体" w:cs="Times New Roman"/>
          <w:color w:val="auto"/>
          <w:sz w:val="24"/>
          <w:szCs w:val="24"/>
          <w:lang w:val="en-US" w:eastAsia="zh-CN"/>
        </w:rPr>
        <w:t>11</w:t>
      </w:r>
      <w:r>
        <w:rPr>
          <w:rFonts w:hint="default" w:ascii="Times New Roman" w:hAnsi="Times New Roman" w:cs="Times New Roman"/>
          <w:color w:val="auto"/>
          <w:sz w:val="24"/>
          <w:szCs w:val="24"/>
        </w:rPr>
        <w:t>。</w:t>
      </w:r>
    </w:p>
    <w:p w14:paraId="25ECE624">
      <w:pPr>
        <w:adjustRightInd/>
        <w:snapToGrid/>
        <w:ind w:firstLine="0" w:firstLineChars="0"/>
        <w:jc w:val="center"/>
        <w:rPr>
          <w:rFonts w:hint="eastAsia" w:ascii="Times New Roman" w:hAnsi="Times New Roman" w:eastAsia="Arial" w:cs="Times New Roman"/>
          <w:b/>
          <w:bCs/>
          <w:snapToGrid w:val="0"/>
          <w:color w:val="auto"/>
          <w:kern w:val="0"/>
          <w:sz w:val="24"/>
          <w:szCs w:val="24"/>
          <w:highlight w:val="none"/>
          <w:lang w:val="en-US" w:eastAsia="zh-CN" w:bidi="ar-SA"/>
        </w:rPr>
      </w:pPr>
      <w:r>
        <w:rPr>
          <w:rFonts w:hint="eastAsia" w:ascii="Times New Roman" w:hAnsi="Times New Roman" w:eastAsia="Arial" w:cs="Times New Roman"/>
          <w:b/>
          <w:bCs/>
          <w:snapToGrid w:val="0"/>
          <w:color w:val="auto"/>
          <w:kern w:val="0"/>
          <w:sz w:val="24"/>
          <w:szCs w:val="24"/>
          <w:highlight w:val="none"/>
          <w:lang w:val="en-US" w:eastAsia="zh-CN" w:bidi="ar-SA"/>
        </w:rPr>
        <w:t>表4</w:t>
      </w:r>
      <w:r>
        <w:rPr>
          <w:rFonts w:hint="eastAsia" w:ascii="Times New Roman" w:hAnsi="Times New Roman" w:cs="Times New Roman"/>
          <w:b/>
          <w:bCs/>
          <w:snapToGrid w:val="0"/>
          <w:color w:val="auto"/>
          <w:kern w:val="0"/>
          <w:sz w:val="24"/>
          <w:szCs w:val="24"/>
          <w:highlight w:val="none"/>
          <w:lang w:val="en-US" w:eastAsia="zh-CN" w:bidi="ar-SA"/>
        </w:rPr>
        <w:t>.</w:t>
      </w:r>
      <w:r>
        <w:rPr>
          <w:rFonts w:hint="eastAsia" w:ascii="Times New Roman" w:hAnsi="Times New Roman" w:eastAsia="Arial" w:cs="Times New Roman"/>
          <w:b/>
          <w:bCs/>
          <w:snapToGrid w:val="0"/>
          <w:color w:val="auto"/>
          <w:kern w:val="0"/>
          <w:sz w:val="24"/>
          <w:szCs w:val="24"/>
          <w:highlight w:val="none"/>
          <w:lang w:val="en-US" w:eastAsia="zh-CN" w:bidi="ar-SA"/>
        </w:rPr>
        <w:t>2-</w:t>
      </w:r>
      <w:r>
        <w:rPr>
          <w:rFonts w:hint="eastAsia" w:ascii="Times New Roman" w:hAnsi="Times New Roman" w:cs="Times New Roman"/>
          <w:b/>
          <w:bCs/>
          <w:snapToGrid w:val="0"/>
          <w:color w:val="auto"/>
          <w:kern w:val="0"/>
          <w:sz w:val="24"/>
          <w:szCs w:val="24"/>
          <w:highlight w:val="none"/>
          <w:lang w:val="en-US" w:eastAsia="zh-CN" w:bidi="ar-SA"/>
        </w:rPr>
        <w:t>11</w:t>
      </w:r>
      <w:r>
        <w:rPr>
          <w:rFonts w:hint="eastAsia" w:ascii="Times New Roman" w:hAnsi="Times New Roman" w:eastAsia="Arial" w:cs="Times New Roman"/>
          <w:b/>
          <w:bCs/>
          <w:snapToGrid w:val="0"/>
          <w:color w:val="auto"/>
          <w:kern w:val="0"/>
          <w:sz w:val="24"/>
          <w:szCs w:val="24"/>
          <w:highlight w:val="none"/>
          <w:lang w:val="en-US" w:eastAsia="zh-CN" w:bidi="ar-SA"/>
        </w:rPr>
        <w:t xml:space="preserve">  地下水质量标准表</w:t>
      </w:r>
    </w:p>
    <w:tbl>
      <w:tblPr>
        <w:tblStyle w:val="2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60"/>
        <w:gridCol w:w="1219"/>
        <w:gridCol w:w="1215"/>
        <w:gridCol w:w="1226"/>
        <w:gridCol w:w="1681"/>
        <w:gridCol w:w="1219"/>
      </w:tblGrid>
      <w:tr w14:paraId="7D75AF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1150" w:type="pct"/>
            <w:tcBorders>
              <w:tl2br w:val="nil"/>
              <w:tr2bl w:val="nil"/>
            </w:tcBorders>
            <w:vAlign w:val="center"/>
          </w:tcPr>
          <w:p w14:paraId="4A36AED4">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项目</w:t>
            </w:r>
          </w:p>
        </w:tc>
        <w:tc>
          <w:tcPr>
            <w:tcW w:w="715" w:type="pct"/>
            <w:tcBorders>
              <w:tl2br w:val="nil"/>
              <w:tr2bl w:val="nil"/>
            </w:tcBorders>
            <w:vAlign w:val="center"/>
          </w:tcPr>
          <w:p w14:paraId="0A3EB60C">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eastAsia="en-US"/>
              </w:rPr>
              <w:t>Ⅰ类</w:t>
            </w:r>
          </w:p>
        </w:tc>
        <w:tc>
          <w:tcPr>
            <w:tcW w:w="713" w:type="pct"/>
            <w:tcBorders>
              <w:tl2br w:val="nil"/>
              <w:tr2bl w:val="nil"/>
            </w:tcBorders>
            <w:vAlign w:val="center"/>
          </w:tcPr>
          <w:p w14:paraId="57D86698">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eastAsia="en-US"/>
              </w:rPr>
              <w:t>Ⅱ类</w:t>
            </w:r>
          </w:p>
        </w:tc>
        <w:tc>
          <w:tcPr>
            <w:tcW w:w="718" w:type="pct"/>
            <w:tcBorders>
              <w:tl2br w:val="nil"/>
              <w:tr2bl w:val="nil"/>
            </w:tcBorders>
            <w:vAlign w:val="center"/>
          </w:tcPr>
          <w:p w14:paraId="3562F0DF">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eastAsia="en-US"/>
              </w:rPr>
              <w:t>Ⅲ类</w:t>
            </w:r>
          </w:p>
        </w:tc>
        <w:tc>
          <w:tcPr>
            <w:tcW w:w="986" w:type="pct"/>
            <w:tcBorders>
              <w:tl2br w:val="nil"/>
              <w:tr2bl w:val="nil"/>
            </w:tcBorders>
            <w:vAlign w:val="center"/>
          </w:tcPr>
          <w:p w14:paraId="6DA46176">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eastAsia="en-US"/>
              </w:rPr>
              <w:t>Ⅳ类</w:t>
            </w:r>
          </w:p>
        </w:tc>
        <w:tc>
          <w:tcPr>
            <w:tcW w:w="715" w:type="pct"/>
            <w:tcBorders>
              <w:tl2br w:val="nil"/>
              <w:tr2bl w:val="nil"/>
            </w:tcBorders>
            <w:vAlign w:val="center"/>
          </w:tcPr>
          <w:p w14:paraId="710D1230">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eastAsia="en-US"/>
              </w:rPr>
              <w:t>V类</w:t>
            </w:r>
          </w:p>
        </w:tc>
      </w:tr>
      <w:tr w14:paraId="6A8D19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75D67073">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eastAsia="en-US"/>
              </w:rPr>
              <w:t>pH值</w:t>
            </w:r>
          </w:p>
        </w:tc>
        <w:tc>
          <w:tcPr>
            <w:tcW w:w="2147" w:type="pct"/>
            <w:gridSpan w:val="3"/>
            <w:tcBorders>
              <w:tl2br w:val="nil"/>
              <w:tr2bl w:val="nil"/>
            </w:tcBorders>
            <w:vAlign w:val="center"/>
          </w:tcPr>
          <w:p w14:paraId="493375FE">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eastAsia="en-US"/>
              </w:rPr>
              <w:t>6.5～8.5</w:t>
            </w:r>
          </w:p>
        </w:tc>
        <w:tc>
          <w:tcPr>
            <w:tcW w:w="986" w:type="pct"/>
            <w:tcBorders>
              <w:tl2br w:val="nil"/>
              <w:tr2bl w:val="nil"/>
            </w:tcBorders>
            <w:vAlign w:val="center"/>
          </w:tcPr>
          <w:p w14:paraId="26F82685">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eastAsia="en-US"/>
              </w:rPr>
              <w:t>5.5～6.5</w:t>
            </w:r>
          </w:p>
          <w:p w14:paraId="263327DB">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eastAsia="en-US"/>
              </w:rPr>
              <w:t>8.5～9</w:t>
            </w:r>
          </w:p>
        </w:tc>
        <w:tc>
          <w:tcPr>
            <w:tcW w:w="715" w:type="pct"/>
            <w:tcBorders>
              <w:tl2br w:val="nil"/>
              <w:tr2bl w:val="nil"/>
            </w:tcBorders>
            <w:vAlign w:val="center"/>
          </w:tcPr>
          <w:p w14:paraId="5222D3E7">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eastAsia="en-US"/>
              </w:rPr>
              <w:t>&lt;5.5，&gt;9</w:t>
            </w:r>
          </w:p>
        </w:tc>
      </w:tr>
      <w:tr w14:paraId="6CB280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5E0E89EF">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氨氮</w:t>
            </w:r>
          </w:p>
        </w:tc>
        <w:tc>
          <w:tcPr>
            <w:tcW w:w="715" w:type="pct"/>
            <w:tcBorders>
              <w:tl2br w:val="nil"/>
              <w:tr2bl w:val="nil"/>
            </w:tcBorders>
            <w:vAlign w:val="center"/>
          </w:tcPr>
          <w:p w14:paraId="36325B02">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≤0.02</w:t>
            </w:r>
          </w:p>
        </w:tc>
        <w:tc>
          <w:tcPr>
            <w:tcW w:w="713" w:type="pct"/>
            <w:tcBorders>
              <w:tl2br w:val="nil"/>
              <w:tr2bl w:val="nil"/>
            </w:tcBorders>
            <w:vAlign w:val="center"/>
          </w:tcPr>
          <w:p w14:paraId="7E60C9D8">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≤0.10</w:t>
            </w:r>
          </w:p>
        </w:tc>
        <w:tc>
          <w:tcPr>
            <w:tcW w:w="718" w:type="pct"/>
            <w:tcBorders>
              <w:tl2br w:val="nil"/>
              <w:tr2bl w:val="nil"/>
            </w:tcBorders>
            <w:vAlign w:val="bottom"/>
          </w:tcPr>
          <w:p w14:paraId="46D65796">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≤0.50</w:t>
            </w:r>
          </w:p>
        </w:tc>
        <w:tc>
          <w:tcPr>
            <w:tcW w:w="986" w:type="pct"/>
            <w:tcBorders>
              <w:tl2br w:val="nil"/>
              <w:tr2bl w:val="nil"/>
            </w:tcBorders>
            <w:vAlign w:val="center"/>
          </w:tcPr>
          <w:p w14:paraId="2AB58B9E">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≤1.5</w:t>
            </w:r>
          </w:p>
        </w:tc>
        <w:tc>
          <w:tcPr>
            <w:tcW w:w="715" w:type="pct"/>
            <w:tcBorders>
              <w:tl2br w:val="nil"/>
              <w:tr2bl w:val="nil"/>
            </w:tcBorders>
            <w:vAlign w:val="center"/>
          </w:tcPr>
          <w:p w14:paraId="6DB86EC9">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&gt;1.5</w:t>
            </w:r>
          </w:p>
        </w:tc>
      </w:tr>
      <w:tr w14:paraId="35CCC5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1B51E614">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rPr>
              <w:t>硝酸盐</w:t>
            </w:r>
          </w:p>
        </w:tc>
        <w:tc>
          <w:tcPr>
            <w:tcW w:w="715" w:type="pct"/>
            <w:tcBorders>
              <w:tl2br w:val="nil"/>
              <w:tr2bl w:val="nil"/>
            </w:tcBorders>
            <w:vAlign w:val="center"/>
          </w:tcPr>
          <w:p w14:paraId="1FED6DFB">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≤2.0</w:t>
            </w:r>
          </w:p>
        </w:tc>
        <w:tc>
          <w:tcPr>
            <w:tcW w:w="713" w:type="pct"/>
            <w:tcBorders>
              <w:tl2br w:val="nil"/>
              <w:tr2bl w:val="nil"/>
            </w:tcBorders>
            <w:vAlign w:val="center"/>
          </w:tcPr>
          <w:p w14:paraId="2E983CE7">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≤5.0</w:t>
            </w:r>
          </w:p>
        </w:tc>
        <w:tc>
          <w:tcPr>
            <w:tcW w:w="718" w:type="pct"/>
            <w:tcBorders>
              <w:tl2br w:val="nil"/>
              <w:tr2bl w:val="nil"/>
            </w:tcBorders>
            <w:vAlign w:val="bottom"/>
          </w:tcPr>
          <w:p w14:paraId="79A224C0">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≤20</w:t>
            </w:r>
          </w:p>
        </w:tc>
        <w:tc>
          <w:tcPr>
            <w:tcW w:w="986" w:type="pct"/>
            <w:tcBorders>
              <w:tl2br w:val="nil"/>
              <w:tr2bl w:val="nil"/>
            </w:tcBorders>
            <w:vAlign w:val="center"/>
          </w:tcPr>
          <w:p w14:paraId="3B830C9C">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≤30</w:t>
            </w:r>
          </w:p>
        </w:tc>
        <w:tc>
          <w:tcPr>
            <w:tcW w:w="715" w:type="pct"/>
            <w:tcBorders>
              <w:tl2br w:val="nil"/>
              <w:tr2bl w:val="nil"/>
            </w:tcBorders>
            <w:vAlign w:val="center"/>
          </w:tcPr>
          <w:p w14:paraId="5C6D6D1C">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&gt;30</w:t>
            </w:r>
          </w:p>
        </w:tc>
      </w:tr>
      <w:tr w14:paraId="50A9A9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4A0F7569">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rPr>
              <w:t>亚硝酸盐</w:t>
            </w:r>
          </w:p>
        </w:tc>
        <w:tc>
          <w:tcPr>
            <w:tcW w:w="715" w:type="pct"/>
            <w:tcBorders>
              <w:tl2br w:val="nil"/>
              <w:tr2bl w:val="nil"/>
            </w:tcBorders>
            <w:vAlign w:val="center"/>
          </w:tcPr>
          <w:p w14:paraId="7C3B314C">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≤0.01</w:t>
            </w:r>
          </w:p>
        </w:tc>
        <w:tc>
          <w:tcPr>
            <w:tcW w:w="713" w:type="pct"/>
            <w:tcBorders>
              <w:tl2br w:val="nil"/>
              <w:tr2bl w:val="nil"/>
            </w:tcBorders>
            <w:vAlign w:val="center"/>
          </w:tcPr>
          <w:p w14:paraId="773A5122">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≤0.10</w:t>
            </w:r>
          </w:p>
        </w:tc>
        <w:tc>
          <w:tcPr>
            <w:tcW w:w="718" w:type="pct"/>
            <w:tcBorders>
              <w:tl2br w:val="nil"/>
              <w:tr2bl w:val="nil"/>
            </w:tcBorders>
            <w:vAlign w:val="bottom"/>
          </w:tcPr>
          <w:p w14:paraId="5F789BC5">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≤1.00</w:t>
            </w:r>
          </w:p>
        </w:tc>
        <w:tc>
          <w:tcPr>
            <w:tcW w:w="986" w:type="pct"/>
            <w:tcBorders>
              <w:tl2br w:val="nil"/>
              <w:tr2bl w:val="nil"/>
            </w:tcBorders>
            <w:vAlign w:val="center"/>
          </w:tcPr>
          <w:p w14:paraId="2DF27084">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≤4.80</w:t>
            </w:r>
          </w:p>
        </w:tc>
        <w:tc>
          <w:tcPr>
            <w:tcW w:w="715" w:type="pct"/>
            <w:tcBorders>
              <w:tl2br w:val="nil"/>
              <w:tr2bl w:val="nil"/>
            </w:tcBorders>
            <w:vAlign w:val="center"/>
          </w:tcPr>
          <w:p w14:paraId="59A8D6C3">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&gt;4.80</w:t>
            </w:r>
          </w:p>
        </w:tc>
      </w:tr>
      <w:tr w14:paraId="420346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317C77C0">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挥发酚</w:t>
            </w:r>
          </w:p>
        </w:tc>
        <w:tc>
          <w:tcPr>
            <w:tcW w:w="715" w:type="pct"/>
            <w:tcBorders>
              <w:tl2br w:val="nil"/>
              <w:tr2bl w:val="nil"/>
            </w:tcBorders>
            <w:vAlign w:val="center"/>
          </w:tcPr>
          <w:p w14:paraId="7CEF46CE">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≤0.001</w:t>
            </w:r>
          </w:p>
        </w:tc>
        <w:tc>
          <w:tcPr>
            <w:tcW w:w="713" w:type="pct"/>
            <w:tcBorders>
              <w:tl2br w:val="nil"/>
              <w:tr2bl w:val="nil"/>
            </w:tcBorders>
            <w:vAlign w:val="center"/>
          </w:tcPr>
          <w:p w14:paraId="1F8140F8">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≤0.001</w:t>
            </w:r>
          </w:p>
        </w:tc>
        <w:tc>
          <w:tcPr>
            <w:tcW w:w="718" w:type="pct"/>
            <w:tcBorders>
              <w:tl2br w:val="nil"/>
              <w:tr2bl w:val="nil"/>
            </w:tcBorders>
            <w:vAlign w:val="bottom"/>
          </w:tcPr>
          <w:p w14:paraId="6F1A88E2">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≤0.002</w:t>
            </w:r>
          </w:p>
        </w:tc>
        <w:tc>
          <w:tcPr>
            <w:tcW w:w="986" w:type="pct"/>
            <w:tcBorders>
              <w:tl2br w:val="nil"/>
              <w:tr2bl w:val="nil"/>
            </w:tcBorders>
            <w:vAlign w:val="center"/>
          </w:tcPr>
          <w:p w14:paraId="025C458B">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≤0.01</w:t>
            </w:r>
          </w:p>
        </w:tc>
        <w:tc>
          <w:tcPr>
            <w:tcW w:w="715" w:type="pct"/>
            <w:tcBorders>
              <w:tl2br w:val="nil"/>
              <w:tr2bl w:val="nil"/>
            </w:tcBorders>
            <w:vAlign w:val="center"/>
          </w:tcPr>
          <w:p w14:paraId="20F60F69">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&gt;0.01</w:t>
            </w:r>
          </w:p>
        </w:tc>
      </w:tr>
      <w:tr w14:paraId="26DE45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7FB12E1A">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氟化物</w:t>
            </w:r>
          </w:p>
        </w:tc>
        <w:tc>
          <w:tcPr>
            <w:tcW w:w="715" w:type="pct"/>
            <w:tcBorders>
              <w:tl2br w:val="nil"/>
              <w:tr2bl w:val="nil"/>
            </w:tcBorders>
            <w:vAlign w:val="center"/>
          </w:tcPr>
          <w:p w14:paraId="39239E9A">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≤1.0</w:t>
            </w:r>
          </w:p>
        </w:tc>
        <w:tc>
          <w:tcPr>
            <w:tcW w:w="713" w:type="pct"/>
            <w:tcBorders>
              <w:tl2br w:val="nil"/>
              <w:tr2bl w:val="nil"/>
            </w:tcBorders>
            <w:vAlign w:val="center"/>
          </w:tcPr>
          <w:p w14:paraId="08D87D80">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≤1.0</w:t>
            </w:r>
          </w:p>
        </w:tc>
        <w:tc>
          <w:tcPr>
            <w:tcW w:w="718" w:type="pct"/>
            <w:tcBorders>
              <w:tl2br w:val="nil"/>
              <w:tr2bl w:val="nil"/>
            </w:tcBorders>
            <w:vAlign w:val="bottom"/>
          </w:tcPr>
          <w:p w14:paraId="3C643577">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≤1.0</w:t>
            </w:r>
          </w:p>
        </w:tc>
        <w:tc>
          <w:tcPr>
            <w:tcW w:w="986" w:type="pct"/>
            <w:tcBorders>
              <w:tl2br w:val="nil"/>
              <w:tr2bl w:val="nil"/>
            </w:tcBorders>
            <w:vAlign w:val="center"/>
          </w:tcPr>
          <w:p w14:paraId="3D2FE9DD">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≤2.0</w:t>
            </w:r>
          </w:p>
        </w:tc>
        <w:tc>
          <w:tcPr>
            <w:tcW w:w="715" w:type="pct"/>
            <w:tcBorders>
              <w:tl2br w:val="nil"/>
              <w:tr2bl w:val="nil"/>
            </w:tcBorders>
            <w:vAlign w:val="center"/>
          </w:tcPr>
          <w:p w14:paraId="1C4EDC4B">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&gt;2.0</w:t>
            </w:r>
          </w:p>
        </w:tc>
      </w:tr>
      <w:tr w14:paraId="2C7A74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1F8403D1">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汞</w:t>
            </w:r>
          </w:p>
        </w:tc>
        <w:tc>
          <w:tcPr>
            <w:tcW w:w="715" w:type="pct"/>
            <w:tcBorders>
              <w:tl2br w:val="nil"/>
              <w:tr2bl w:val="nil"/>
            </w:tcBorders>
            <w:vAlign w:val="center"/>
          </w:tcPr>
          <w:p w14:paraId="468A91F4">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≤0.0001</w:t>
            </w:r>
          </w:p>
        </w:tc>
        <w:tc>
          <w:tcPr>
            <w:tcW w:w="713" w:type="pct"/>
            <w:tcBorders>
              <w:tl2br w:val="nil"/>
              <w:tr2bl w:val="nil"/>
            </w:tcBorders>
            <w:vAlign w:val="center"/>
          </w:tcPr>
          <w:p w14:paraId="2049D32A">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≤0.0001</w:t>
            </w:r>
          </w:p>
        </w:tc>
        <w:tc>
          <w:tcPr>
            <w:tcW w:w="718" w:type="pct"/>
            <w:tcBorders>
              <w:tl2br w:val="nil"/>
              <w:tr2bl w:val="nil"/>
            </w:tcBorders>
            <w:vAlign w:val="bottom"/>
          </w:tcPr>
          <w:p w14:paraId="59107A02">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≤0.001</w:t>
            </w:r>
          </w:p>
        </w:tc>
        <w:tc>
          <w:tcPr>
            <w:tcW w:w="986" w:type="pct"/>
            <w:tcBorders>
              <w:tl2br w:val="nil"/>
              <w:tr2bl w:val="nil"/>
            </w:tcBorders>
            <w:vAlign w:val="center"/>
          </w:tcPr>
          <w:p w14:paraId="717EAB70">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≤0.002</w:t>
            </w:r>
          </w:p>
        </w:tc>
        <w:tc>
          <w:tcPr>
            <w:tcW w:w="715" w:type="pct"/>
            <w:tcBorders>
              <w:tl2br w:val="nil"/>
              <w:tr2bl w:val="nil"/>
            </w:tcBorders>
            <w:vAlign w:val="center"/>
          </w:tcPr>
          <w:p w14:paraId="2D95FACA">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&gt;0.002</w:t>
            </w:r>
          </w:p>
        </w:tc>
      </w:tr>
      <w:tr w14:paraId="5FD97A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34DA20C1">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砷</w:t>
            </w:r>
          </w:p>
        </w:tc>
        <w:tc>
          <w:tcPr>
            <w:tcW w:w="715" w:type="pct"/>
            <w:tcBorders>
              <w:tl2br w:val="nil"/>
              <w:tr2bl w:val="nil"/>
            </w:tcBorders>
            <w:vAlign w:val="center"/>
          </w:tcPr>
          <w:p w14:paraId="32E7D200">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≤0.001</w:t>
            </w:r>
          </w:p>
        </w:tc>
        <w:tc>
          <w:tcPr>
            <w:tcW w:w="713" w:type="pct"/>
            <w:tcBorders>
              <w:tl2br w:val="nil"/>
              <w:tr2bl w:val="nil"/>
            </w:tcBorders>
            <w:vAlign w:val="center"/>
          </w:tcPr>
          <w:p w14:paraId="0AF2EB8B">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≤0.001</w:t>
            </w:r>
          </w:p>
        </w:tc>
        <w:tc>
          <w:tcPr>
            <w:tcW w:w="718" w:type="pct"/>
            <w:tcBorders>
              <w:tl2br w:val="nil"/>
              <w:tr2bl w:val="nil"/>
            </w:tcBorders>
            <w:vAlign w:val="bottom"/>
          </w:tcPr>
          <w:p w14:paraId="69CE8017">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≤0.01</w:t>
            </w:r>
          </w:p>
        </w:tc>
        <w:tc>
          <w:tcPr>
            <w:tcW w:w="986" w:type="pct"/>
            <w:tcBorders>
              <w:tl2br w:val="nil"/>
              <w:tr2bl w:val="nil"/>
            </w:tcBorders>
            <w:vAlign w:val="center"/>
          </w:tcPr>
          <w:p w14:paraId="3187697D">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≤0.05</w:t>
            </w:r>
          </w:p>
        </w:tc>
        <w:tc>
          <w:tcPr>
            <w:tcW w:w="715" w:type="pct"/>
            <w:tcBorders>
              <w:tl2br w:val="nil"/>
              <w:tr2bl w:val="nil"/>
            </w:tcBorders>
            <w:vAlign w:val="center"/>
          </w:tcPr>
          <w:p w14:paraId="034B6ED7">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&gt;0.05</w:t>
            </w:r>
          </w:p>
        </w:tc>
      </w:tr>
      <w:tr w14:paraId="4BB512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65B9BDB0">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铁</w:t>
            </w:r>
          </w:p>
        </w:tc>
        <w:tc>
          <w:tcPr>
            <w:tcW w:w="715" w:type="pct"/>
            <w:tcBorders>
              <w:tl2br w:val="nil"/>
              <w:tr2bl w:val="nil"/>
            </w:tcBorders>
            <w:vAlign w:val="center"/>
          </w:tcPr>
          <w:p w14:paraId="51828ECC">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≤0.1</w:t>
            </w:r>
          </w:p>
        </w:tc>
        <w:tc>
          <w:tcPr>
            <w:tcW w:w="713" w:type="pct"/>
            <w:tcBorders>
              <w:tl2br w:val="nil"/>
              <w:tr2bl w:val="nil"/>
            </w:tcBorders>
            <w:vAlign w:val="center"/>
          </w:tcPr>
          <w:p w14:paraId="5D02BB1E">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≤0.2</w:t>
            </w:r>
          </w:p>
        </w:tc>
        <w:tc>
          <w:tcPr>
            <w:tcW w:w="718" w:type="pct"/>
            <w:tcBorders>
              <w:tl2br w:val="nil"/>
              <w:tr2bl w:val="nil"/>
            </w:tcBorders>
            <w:vAlign w:val="bottom"/>
          </w:tcPr>
          <w:p w14:paraId="413723CA">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≤0.3</w:t>
            </w:r>
          </w:p>
        </w:tc>
        <w:tc>
          <w:tcPr>
            <w:tcW w:w="986" w:type="pct"/>
            <w:tcBorders>
              <w:tl2br w:val="nil"/>
              <w:tr2bl w:val="nil"/>
            </w:tcBorders>
            <w:vAlign w:val="center"/>
          </w:tcPr>
          <w:p w14:paraId="24BD1FD1">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≤2.0</w:t>
            </w:r>
          </w:p>
        </w:tc>
        <w:tc>
          <w:tcPr>
            <w:tcW w:w="715" w:type="pct"/>
            <w:tcBorders>
              <w:tl2br w:val="nil"/>
              <w:tr2bl w:val="nil"/>
            </w:tcBorders>
            <w:vAlign w:val="center"/>
          </w:tcPr>
          <w:p w14:paraId="2C3FBBE7">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&gt;2.0</w:t>
            </w:r>
          </w:p>
        </w:tc>
      </w:tr>
      <w:tr w14:paraId="3D321F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74FD3870">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锰</w:t>
            </w:r>
          </w:p>
        </w:tc>
        <w:tc>
          <w:tcPr>
            <w:tcW w:w="715" w:type="pct"/>
            <w:tcBorders>
              <w:tl2br w:val="nil"/>
              <w:tr2bl w:val="nil"/>
            </w:tcBorders>
            <w:vAlign w:val="center"/>
          </w:tcPr>
          <w:p w14:paraId="699E9480">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≤0.05</w:t>
            </w:r>
          </w:p>
        </w:tc>
        <w:tc>
          <w:tcPr>
            <w:tcW w:w="713" w:type="pct"/>
            <w:tcBorders>
              <w:tl2br w:val="nil"/>
              <w:tr2bl w:val="nil"/>
            </w:tcBorders>
            <w:vAlign w:val="center"/>
          </w:tcPr>
          <w:p w14:paraId="7486C0E7">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≤0.05</w:t>
            </w:r>
          </w:p>
        </w:tc>
        <w:tc>
          <w:tcPr>
            <w:tcW w:w="718" w:type="pct"/>
            <w:tcBorders>
              <w:tl2br w:val="nil"/>
              <w:tr2bl w:val="nil"/>
            </w:tcBorders>
            <w:vAlign w:val="bottom"/>
          </w:tcPr>
          <w:p w14:paraId="4729ADE8">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≤0.10</w:t>
            </w:r>
          </w:p>
        </w:tc>
        <w:tc>
          <w:tcPr>
            <w:tcW w:w="986" w:type="pct"/>
            <w:tcBorders>
              <w:tl2br w:val="nil"/>
              <w:tr2bl w:val="nil"/>
            </w:tcBorders>
            <w:vAlign w:val="center"/>
          </w:tcPr>
          <w:p w14:paraId="32466A13">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≤1.50</w:t>
            </w:r>
          </w:p>
        </w:tc>
        <w:tc>
          <w:tcPr>
            <w:tcW w:w="715" w:type="pct"/>
            <w:tcBorders>
              <w:tl2br w:val="nil"/>
              <w:tr2bl w:val="nil"/>
            </w:tcBorders>
            <w:vAlign w:val="center"/>
          </w:tcPr>
          <w:p w14:paraId="3D416324">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&gt;1.50</w:t>
            </w:r>
          </w:p>
        </w:tc>
      </w:tr>
      <w:tr w14:paraId="14DD04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03796A43">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铅</w:t>
            </w:r>
          </w:p>
        </w:tc>
        <w:tc>
          <w:tcPr>
            <w:tcW w:w="715" w:type="pct"/>
            <w:tcBorders>
              <w:tl2br w:val="nil"/>
              <w:tr2bl w:val="nil"/>
            </w:tcBorders>
            <w:vAlign w:val="center"/>
          </w:tcPr>
          <w:p w14:paraId="2949BFED">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≤0.005</w:t>
            </w:r>
          </w:p>
        </w:tc>
        <w:tc>
          <w:tcPr>
            <w:tcW w:w="713" w:type="pct"/>
            <w:tcBorders>
              <w:tl2br w:val="nil"/>
              <w:tr2bl w:val="nil"/>
            </w:tcBorders>
            <w:vAlign w:val="center"/>
          </w:tcPr>
          <w:p w14:paraId="065352C9">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≤0.005</w:t>
            </w:r>
          </w:p>
        </w:tc>
        <w:tc>
          <w:tcPr>
            <w:tcW w:w="718" w:type="pct"/>
            <w:tcBorders>
              <w:tl2br w:val="nil"/>
              <w:tr2bl w:val="nil"/>
            </w:tcBorders>
            <w:vAlign w:val="bottom"/>
          </w:tcPr>
          <w:p w14:paraId="67144869">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≤0.01</w:t>
            </w:r>
          </w:p>
        </w:tc>
        <w:tc>
          <w:tcPr>
            <w:tcW w:w="986" w:type="pct"/>
            <w:tcBorders>
              <w:tl2br w:val="nil"/>
              <w:tr2bl w:val="nil"/>
            </w:tcBorders>
            <w:vAlign w:val="center"/>
          </w:tcPr>
          <w:p w14:paraId="2D6E8004">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≤0.10</w:t>
            </w:r>
          </w:p>
        </w:tc>
        <w:tc>
          <w:tcPr>
            <w:tcW w:w="715" w:type="pct"/>
            <w:tcBorders>
              <w:tl2br w:val="nil"/>
              <w:tr2bl w:val="nil"/>
            </w:tcBorders>
            <w:vAlign w:val="center"/>
          </w:tcPr>
          <w:p w14:paraId="648630CC">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&gt;0.10</w:t>
            </w:r>
          </w:p>
        </w:tc>
      </w:tr>
      <w:tr w14:paraId="464840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27747C93">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镉</w:t>
            </w:r>
          </w:p>
        </w:tc>
        <w:tc>
          <w:tcPr>
            <w:tcW w:w="715" w:type="pct"/>
            <w:tcBorders>
              <w:tl2br w:val="nil"/>
              <w:tr2bl w:val="nil"/>
            </w:tcBorders>
            <w:vAlign w:val="center"/>
          </w:tcPr>
          <w:p w14:paraId="1318D09B">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≤0.0001</w:t>
            </w:r>
          </w:p>
        </w:tc>
        <w:tc>
          <w:tcPr>
            <w:tcW w:w="713" w:type="pct"/>
            <w:tcBorders>
              <w:tl2br w:val="nil"/>
              <w:tr2bl w:val="nil"/>
            </w:tcBorders>
            <w:vAlign w:val="center"/>
          </w:tcPr>
          <w:p w14:paraId="62E9EA9E">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≤0.001</w:t>
            </w:r>
          </w:p>
        </w:tc>
        <w:tc>
          <w:tcPr>
            <w:tcW w:w="718" w:type="pct"/>
            <w:tcBorders>
              <w:tl2br w:val="nil"/>
              <w:tr2bl w:val="nil"/>
            </w:tcBorders>
            <w:vAlign w:val="bottom"/>
          </w:tcPr>
          <w:p w14:paraId="64E0D795">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≤0.005</w:t>
            </w:r>
          </w:p>
        </w:tc>
        <w:tc>
          <w:tcPr>
            <w:tcW w:w="986" w:type="pct"/>
            <w:tcBorders>
              <w:tl2br w:val="nil"/>
              <w:tr2bl w:val="nil"/>
            </w:tcBorders>
            <w:vAlign w:val="center"/>
          </w:tcPr>
          <w:p w14:paraId="5B7E9C69">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≤0.01</w:t>
            </w:r>
          </w:p>
        </w:tc>
        <w:tc>
          <w:tcPr>
            <w:tcW w:w="715" w:type="pct"/>
            <w:tcBorders>
              <w:tl2br w:val="nil"/>
              <w:tr2bl w:val="nil"/>
            </w:tcBorders>
            <w:vAlign w:val="center"/>
          </w:tcPr>
          <w:p w14:paraId="2B80CA80">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&gt;0.01</w:t>
            </w:r>
          </w:p>
        </w:tc>
      </w:tr>
      <w:tr w14:paraId="6CC0E3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0A6975D9">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氰化物</w:t>
            </w:r>
          </w:p>
        </w:tc>
        <w:tc>
          <w:tcPr>
            <w:tcW w:w="715" w:type="pct"/>
            <w:tcBorders>
              <w:tl2br w:val="nil"/>
              <w:tr2bl w:val="nil"/>
            </w:tcBorders>
            <w:vAlign w:val="center"/>
          </w:tcPr>
          <w:p w14:paraId="6F4E1E36">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≤0.001</w:t>
            </w:r>
          </w:p>
        </w:tc>
        <w:tc>
          <w:tcPr>
            <w:tcW w:w="713" w:type="pct"/>
            <w:tcBorders>
              <w:tl2br w:val="nil"/>
              <w:tr2bl w:val="nil"/>
            </w:tcBorders>
            <w:vAlign w:val="center"/>
          </w:tcPr>
          <w:p w14:paraId="4B331E22">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≤0.01</w:t>
            </w:r>
          </w:p>
        </w:tc>
        <w:tc>
          <w:tcPr>
            <w:tcW w:w="718" w:type="pct"/>
            <w:tcBorders>
              <w:tl2br w:val="nil"/>
              <w:tr2bl w:val="nil"/>
            </w:tcBorders>
            <w:vAlign w:val="bottom"/>
          </w:tcPr>
          <w:p w14:paraId="1F429D8D">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≤0.05</w:t>
            </w:r>
          </w:p>
        </w:tc>
        <w:tc>
          <w:tcPr>
            <w:tcW w:w="986" w:type="pct"/>
            <w:tcBorders>
              <w:tl2br w:val="nil"/>
              <w:tr2bl w:val="nil"/>
            </w:tcBorders>
            <w:vAlign w:val="center"/>
          </w:tcPr>
          <w:p w14:paraId="40499111">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≤0.1</w:t>
            </w:r>
          </w:p>
        </w:tc>
        <w:tc>
          <w:tcPr>
            <w:tcW w:w="715" w:type="pct"/>
            <w:tcBorders>
              <w:tl2br w:val="nil"/>
              <w:tr2bl w:val="nil"/>
            </w:tcBorders>
            <w:vAlign w:val="center"/>
          </w:tcPr>
          <w:p w14:paraId="259A3F48">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&gt;0.1</w:t>
            </w:r>
          </w:p>
        </w:tc>
      </w:tr>
      <w:tr w14:paraId="7F49E6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2A06D13C">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总硬度</w:t>
            </w:r>
          </w:p>
        </w:tc>
        <w:tc>
          <w:tcPr>
            <w:tcW w:w="715" w:type="pct"/>
            <w:tcBorders>
              <w:tl2br w:val="nil"/>
              <w:tr2bl w:val="nil"/>
            </w:tcBorders>
            <w:vAlign w:val="center"/>
          </w:tcPr>
          <w:p w14:paraId="24C44FE9">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≤150</w:t>
            </w:r>
          </w:p>
        </w:tc>
        <w:tc>
          <w:tcPr>
            <w:tcW w:w="713" w:type="pct"/>
            <w:tcBorders>
              <w:tl2br w:val="nil"/>
              <w:tr2bl w:val="nil"/>
            </w:tcBorders>
            <w:vAlign w:val="center"/>
          </w:tcPr>
          <w:p w14:paraId="5E2565E1">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≤300</w:t>
            </w:r>
          </w:p>
        </w:tc>
        <w:tc>
          <w:tcPr>
            <w:tcW w:w="718" w:type="pct"/>
            <w:tcBorders>
              <w:tl2br w:val="nil"/>
              <w:tr2bl w:val="nil"/>
            </w:tcBorders>
            <w:vAlign w:val="bottom"/>
          </w:tcPr>
          <w:p w14:paraId="3E6201B0">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≤450</w:t>
            </w:r>
          </w:p>
        </w:tc>
        <w:tc>
          <w:tcPr>
            <w:tcW w:w="986" w:type="pct"/>
            <w:tcBorders>
              <w:tl2br w:val="nil"/>
              <w:tr2bl w:val="nil"/>
            </w:tcBorders>
            <w:vAlign w:val="center"/>
          </w:tcPr>
          <w:p w14:paraId="52C156DA">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≤650</w:t>
            </w:r>
          </w:p>
        </w:tc>
        <w:tc>
          <w:tcPr>
            <w:tcW w:w="715" w:type="pct"/>
            <w:tcBorders>
              <w:tl2br w:val="nil"/>
              <w:tr2bl w:val="nil"/>
            </w:tcBorders>
            <w:vAlign w:val="center"/>
          </w:tcPr>
          <w:p w14:paraId="7525E70B">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&gt;650</w:t>
            </w:r>
          </w:p>
        </w:tc>
      </w:tr>
      <w:tr w14:paraId="086FBF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40DC331F">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硫酸盐</w:t>
            </w:r>
          </w:p>
        </w:tc>
        <w:tc>
          <w:tcPr>
            <w:tcW w:w="715" w:type="pct"/>
            <w:tcBorders>
              <w:tl2br w:val="nil"/>
              <w:tr2bl w:val="nil"/>
            </w:tcBorders>
            <w:vAlign w:val="center"/>
          </w:tcPr>
          <w:p w14:paraId="5AAD5E42">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≤50</w:t>
            </w:r>
          </w:p>
        </w:tc>
        <w:tc>
          <w:tcPr>
            <w:tcW w:w="713" w:type="pct"/>
            <w:tcBorders>
              <w:tl2br w:val="nil"/>
              <w:tr2bl w:val="nil"/>
            </w:tcBorders>
            <w:vAlign w:val="center"/>
          </w:tcPr>
          <w:p w14:paraId="757C39D0">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≤150</w:t>
            </w:r>
          </w:p>
        </w:tc>
        <w:tc>
          <w:tcPr>
            <w:tcW w:w="718" w:type="pct"/>
            <w:tcBorders>
              <w:tl2br w:val="nil"/>
              <w:tr2bl w:val="nil"/>
            </w:tcBorders>
            <w:vAlign w:val="bottom"/>
          </w:tcPr>
          <w:p w14:paraId="0A66FDE4">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≤250</w:t>
            </w:r>
          </w:p>
        </w:tc>
        <w:tc>
          <w:tcPr>
            <w:tcW w:w="986" w:type="pct"/>
            <w:tcBorders>
              <w:tl2br w:val="nil"/>
              <w:tr2bl w:val="nil"/>
            </w:tcBorders>
            <w:vAlign w:val="center"/>
          </w:tcPr>
          <w:p w14:paraId="48A9F88B">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≤350</w:t>
            </w:r>
          </w:p>
        </w:tc>
        <w:tc>
          <w:tcPr>
            <w:tcW w:w="715" w:type="pct"/>
            <w:tcBorders>
              <w:tl2br w:val="nil"/>
              <w:tr2bl w:val="nil"/>
            </w:tcBorders>
            <w:vAlign w:val="center"/>
          </w:tcPr>
          <w:p w14:paraId="0F9B96BF">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&gt;350</w:t>
            </w:r>
          </w:p>
        </w:tc>
      </w:tr>
      <w:tr w14:paraId="3FB085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2D8F6961">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六价铬</w:t>
            </w:r>
          </w:p>
        </w:tc>
        <w:tc>
          <w:tcPr>
            <w:tcW w:w="715" w:type="pct"/>
            <w:tcBorders>
              <w:tl2br w:val="nil"/>
              <w:tr2bl w:val="nil"/>
            </w:tcBorders>
            <w:vAlign w:val="center"/>
          </w:tcPr>
          <w:p w14:paraId="681131B3">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≤0.005</w:t>
            </w:r>
          </w:p>
        </w:tc>
        <w:tc>
          <w:tcPr>
            <w:tcW w:w="713" w:type="pct"/>
            <w:tcBorders>
              <w:tl2br w:val="nil"/>
              <w:tr2bl w:val="nil"/>
            </w:tcBorders>
            <w:vAlign w:val="center"/>
          </w:tcPr>
          <w:p w14:paraId="0156BB04">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≤0.01</w:t>
            </w:r>
          </w:p>
        </w:tc>
        <w:tc>
          <w:tcPr>
            <w:tcW w:w="718" w:type="pct"/>
            <w:tcBorders>
              <w:tl2br w:val="nil"/>
              <w:tr2bl w:val="nil"/>
            </w:tcBorders>
            <w:vAlign w:val="bottom"/>
          </w:tcPr>
          <w:p w14:paraId="64BFD96B">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≤0.05</w:t>
            </w:r>
          </w:p>
        </w:tc>
        <w:tc>
          <w:tcPr>
            <w:tcW w:w="986" w:type="pct"/>
            <w:tcBorders>
              <w:tl2br w:val="nil"/>
              <w:tr2bl w:val="nil"/>
            </w:tcBorders>
            <w:vAlign w:val="center"/>
          </w:tcPr>
          <w:p w14:paraId="2B36F631">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≤0.10</w:t>
            </w:r>
          </w:p>
        </w:tc>
        <w:tc>
          <w:tcPr>
            <w:tcW w:w="715" w:type="pct"/>
            <w:tcBorders>
              <w:tl2br w:val="nil"/>
              <w:tr2bl w:val="nil"/>
            </w:tcBorders>
            <w:vAlign w:val="center"/>
          </w:tcPr>
          <w:p w14:paraId="58758BE5">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&gt;0.10</w:t>
            </w:r>
          </w:p>
        </w:tc>
      </w:tr>
      <w:tr w14:paraId="6520EE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16929A7D">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氯化物</w:t>
            </w:r>
          </w:p>
        </w:tc>
        <w:tc>
          <w:tcPr>
            <w:tcW w:w="715" w:type="pct"/>
            <w:tcBorders>
              <w:tl2br w:val="nil"/>
              <w:tr2bl w:val="nil"/>
            </w:tcBorders>
            <w:vAlign w:val="center"/>
          </w:tcPr>
          <w:p w14:paraId="592EBF4C">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≤50</w:t>
            </w:r>
          </w:p>
        </w:tc>
        <w:tc>
          <w:tcPr>
            <w:tcW w:w="713" w:type="pct"/>
            <w:tcBorders>
              <w:tl2br w:val="nil"/>
              <w:tr2bl w:val="nil"/>
            </w:tcBorders>
            <w:vAlign w:val="center"/>
          </w:tcPr>
          <w:p w14:paraId="4D299D73">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≤150</w:t>
            </w:r>
          </w:p>
        </w:tc>
        <w:tc>
          <w:tcPr>
            <w:tcW w:w="718" w:type="pct"/>
            <w:tcBorders>
              <w:tl2br w:val="nil"/>
              <w:tr2bl w:val="nil"/>
            </w:tcBorders>
            <w:vAlign w:val="bottom"/>
          </w:tcPr>
          <w:p w14:paraId="6C6B0B19">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≤250</w:t>
            </w:r>
          </w:p>
        </w:tc>
        <w:tc>
          <w:tcPr>
            <w:tcW w:w="986" w:type="pct"/>
            <w:tcBorders>
              <w:tl2br w:val="nil"/>
              <w:tr2bl w:val="nil"/>
            </w:tcBorders>
            <w:vAlign w:val="center"/>
          </w:tcPr>
          <w:p w14:paraId="66BDC292">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≤350</w:t>
            </w:r>
          </w:p>
        </w:tc>
        <w:tc>
          <w:tcPr>
            <w:tcW w:w="715" w:type="pct"/>
            <w:tcBorders>
              <w:tl2br w:val="nil"/>
              <w:tr2bl w:val="nil"/>
            </w:tcBorders>
            <w:vAlign w:val="center"/>
          </w:tcPr>
          <w:p w14:paraId="60D00C4D">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&gt;350</w:t>
            </w:r>
          </w:p>
        </w:tc>
      </w:tr>
      <w:tr w14:paraId="35E03F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2C9FD0E5">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溶解性总固体</w:t>
            </w:r>
          </w:p>
        </w:tc>
        <w:tc>
          <w:tcPr>
            <w:tcW w:w="715" w:type="pct"/>
            <w:tcBorders>
              <w:tl2br w:val="nil"/>
              <w:tr2bl w:val="nil"/>
            </w:tcBorders>
            <w:vAlign w:val="center"/>
          </w:tcPr>
          <w:p w14:paraId="67B9BD57">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≤300</w:t>
            </w:r>
          </w:p>
        </w:tc>
        <w:tc>
          <w:tcPr>
            <w:tcW w:w="713" w:type="pct"/>
            <w:tcBorders>
              <w:tl2br w:val="nil"/>
              <w:tr2bl w:val="nil"/>
            </w:tcBorders>
            <w:vAlign w:val="center"/>
          </w:tcPr>
          <w:p w14:paraId="6BA86976">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≤500</w:t>
            </w:r>
          </w:p>
        </w:tc>
        <w:tc>
          <w:tcPr>
            <w:tcW w:w="718" w:type="pct"/>
            <w:tcBorders>
              <w:tl2br w:val="nil"/>
              <w:tr2bl w:val="nil"/>
            </w:tcBorders>
            <w:vAlign w:val="bottom"/>
          </w:tcPr>
          <w:p w14:paraId="5F40AF51">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≤1000</w:t>
            </w:r>
          </w:p>
        </w:tc>
        <w:tc>
          <w:tcPr>
            <w:tcW w:w="986" w:type="pct"/>
            <w:tcBorders>
              <w:tl2br w:val="nil"/>
              <w:tr2bl w:val="nil"/>
            </w:tcBorders>
            <w:vAlign w:val="center"/>
          </w:tcPr>
          <w:p w14:paraId="47B5C69B">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≤2000</w:t>
            </w:r>
          </w:p>
        </w:tc>
        <w:tc>
          <w:tcPr>
            <w:tcW w:w="715" w:type="pct"/>
            <w:tcBorders>
              <w:tl2br w:val="nil"/>
              <w:tr2bl w:val="nil"/>
            </w:tcBorders>
            <w:vAlign w:val="center"/>
          </w:tcPr>
          <w:p w14:paraId="66A7CBBC">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&gt;2000</w:t>
            </w:r>
          </w:p>
        </w:tc>
      </w:tr>
      <w:tr w14:paraId="7D8659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4232C8B7">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耗氧量</w:t>
            </w:r>
          </w:p>
        </w:tc>
        <w:tc>
          <w:tcPr>
            <w:tcW w:w="715" w:type="pct"/>
            <w:tcBorders>
              <w:tl2br w:val="nil"/>
              <w:tr2bl w:val="nil"/>
            </w:tcBorders>
            <w:vAlign w:val="center"/>
          </w:tcPr>
          <w:p w14:paraId="08D2BCFC">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≤1.0</w:t>
            </w:r>
          </w:p>
        </w:tc>
        <w:tc>
          <w:tcPr>
            <w:tcW w:w="713" w:type="pct"/>
            <w:tcBorders>
              <w:tl2br w:val="nil"/>
              <w:tr2bl w:val="nil"/>
            </w:tcBorders>
            <w:vAlign w:val="center"/>
          </w:tcPr>
          <w:p w14:paraId="089286F6">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≤2.0</w:t>
            </w:r>
          </w:p>
        </w:tc>
        <w:tc>
          <w:tcPr>
            <w:tcW w:w="718" w:type="pct"/>
            <w:tcBorders>
              <w:tl2br w:val="nil"/>
              <w:tr2bl w:val="nil"/>
            </w:tcBorders>
            <w:vAlign w:val="bottom"/>
          </w:tcPr>
          <w:p w14:paraId="4B5A7003">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≤3.0</w:t>
            </w:r>
          </w:p>
        </w:tc>
        <w:tc>
          <w:tcPr>
            <w:tcW w:w="986" w:type="pct"/>
            <w:tcBorders>
              <w:tl2br w:val="nil"/>
              <w:tr2bl w:val="nil"/>
            </w:tcBorders>
            <w:vAlign w:val="center"/>
          </w:tcPr>
          <w:p w14:paraId="4A30C874">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≤10</w:t>
            </w:r>
          </w:p>
        </w:tc>
        <w:tc>
          <w:tcPr>
            <w:tcW w:w="715" w:type="pct"/>
            <w:tcBorders>
              <w:tl2br w:val="nil"/>
              <w:tr2bl w:val="nil"/>
            </w:tcBorders>
            <w:vAlign w:val="center"/>
          </w:tcPr>
          <w:p w14:paraId="4D9DF6BF">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&gt;10</w:t>
            </w:r>
          </w:p>
        </w:tc>
      </w:tr>
      <w:tr w14:paraId="50B90E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6F44729E">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总大肠菌群</w:t>
            </w:r>
          </w:p>
        </w:tc>
        <w:tc>
          <w:tcPr>
            <w:tcW w:w="715" w:type="pct"/>
            <w:tcBorders>
              <w:tl2br w:val="nil"/>
              <w:tr2bl w:val="nil"/>
            </w:tcBorders>
            <w:vAlign w:val="center"/>
          </w:tcPr>
          <w:p w14:paraId="338E1E62">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≤3.0</w:t>
            </w:r>
          </w:p>
        </w:tc>
        <w:tc>
          <w:tcPr>
            <w:tcW w:w="713" w:type="pct"/>
            <w:tcBorders>
              <w:tl2br w:val="nil"/>
              <w:tr2bl w:val="nil"/>
            </w:tcBorders>
            <w:vAlign w:val="center"/>
          </w:tcPr>
          <w:p w14:paraId="2BB5334E">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≤3.0</w:t>
            </w:r>
          </w:p>
        </w:tc>
        <w:tc>
          <w:tcPr>
            <w:tcW w:w="718" w:type="pct"/>
            <w:tcBorders>
              <w:tl2br w:val="nil"/>
              <w:tr2bl w:val="nil"/>
            </w:tcBorders>
            <w:vAlign w:val="bottom"/>
          </w:tcPr>
          <w:p w14:paraId="68604BBE">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≤3.0</w:t>
            </w:r>
          </w:p>
        </w:tc>
        <w:tc>
          <w:tcPr>
            <w:tcW w:w="986" w:type="pct"/>
            <w:tcBorders>
              <w:tl2br w:val="nil"/>
              <w:tr2bl w:val="nil"/>
            </w:tcBorders>
            <w:vAlign w:val="center"/>
          </w:tcPr>
          <w:p w14:paraId="3338BC8C">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≤100</w:t>
            </w:r>
          </w:p>
        </w:tc>
        <w:tc>
          <w:tcPr>
            <w:tcW w:w="715" w:type="pct"/>
            <w:tcBorders>
              <w:tl2br w:val="nil"/>
              <w:tr2bl w:val="nil"/>
            </w:tcBorders>
            <w:vAlign w:val="center"/>
          </w:tcPr>
          <w:p w14:paraId="2A5F6401">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&gt;100</w:t>
            </w:r>
          </w:p>
        </w:tc>
      </w:tr>
      <w:tr w14:paraId="75A5A7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50" w:type="pct"/>
            <w:tcBorders>
              <w:tl2br w:val="nil"/>
              <w:tr2bl w:val="nil"/>
            </w:tcBorders>
            <w:vAlign w:val="center"/>
          </w:tcPr>
          <w:p w14:paraId="3AE9F8F0">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菌落总数</w:t>
            </w:r>
          </w:p>
        </w:tc>
        <w:tc>
          <w:tcPr>
            <w:tcW w:w="715" w:type="pct"/>
            <w:tcBorders>
              <w:tl2br w:val="nil"/>
              <w:tr2bl w:val="nil"/>
            </w:tcBorders>
            <w:vAlign w:val="center"/>
          </w:tcPr>
          <w:p w14:paraId="7C9CFDD6">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≤100</w:t>
            </w:r>
          </w:p>
        </w:tc>
        <w:tc>
          <w:tcPr>
            <w:tcW w:w="713" w:type="pct"/>
            <w:tcBorders>
              <w:tl2br w:val="nil"/>
              <w:tr2bl w:val="nil"/>
            </w:tcBorders>
            <w:vAlign w:val="center"/>
          </w:tcPr>
          <w:p w14:paraId="26AE7465">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≤100</w:t>
            </w:r>
          </w:p>
        </w:tc>
        <w:tc>
          <w:tcPr>
            <w:tcW w:w="718" w:type="pct"/>
            <w:tcBorders>
              <w:tl2br w:val="nil"/>
              <w:tr2bl w:val="nil"/>
            </w:tcBorders>
            <w:vAlign w:val="bottom"/>
          </w:tcPr>
          <w:p w14:paraId="39E19553">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≤100</w:t>
            </w:r>
          </w:p>
        </w:tc>
        <w:tc>
          <w:tcPr>
            <w:tcW w:w="986" w:type="pct"/>
            <w:tcBorders>
              <w:tl2br w:val="nil"/>
              <w:tr2bl w:val="nil"/>
            </w:tcBorders>
            <w:vAlign w:val="center"/>
          </w:tcPr>
          <w:p w14:paraId="1C319888">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≤1000</w:t>
            </w:r>
          </w:p>
        </w:tc>
        <w:tc>
          <w:tcPr>
            <w:tcW w:w="715" w:type="pct"/>
            <w:tcBorders>
              <w:tl2br w:val="nil"/>
              <w:tr2bl w:val="nil"/>
            </w:tcBorders>
            <w:vAlign w:val="center"/>
          </w:tcPr>
          <w:p w14:paraId="7D7D7B1D">
            <w:pPr>
              <w:pStyle w:val="34"/>
              <w:bidi w:val="0"/>
              <w:rPr>
                <w:rFonts w:hint="default" w:ascii="Times New Roman" w:hAnsi="Times New Roman" w:eastAsia="宋体" w:cs="Times New Roman"/>
                <w:highlight w:val="none"/>
                <w:lang w:val="en-US" w:eastAsia="en-US"/>
              </w:rPr>
            </w:pPr>
            <w:r>
              <w:rPr>
                <w:rFonts w:hint="default" w:ascii="Times New Roman" w:hAnsi="Times New Roman" w:eastAsia="宋体" w:cs="Times New Roman"/>
                <w:highlight w:val="none"/>
                <w:lang w:val="en-US"/>
              </w:rPr>
              <w:t>&gt;1000</w:t>
            </w:r>
          </w:p>
        </w:tc>
      </w:tr>
    </w:tbl>
    <w:p w14:paraId="0CA9FB60">
      <w:pPr>
        <w:adjustRightInd/>
        <w:snapToGrid/>
        <w:spacing w:line="440" w:lineRule="exact"/>
        <w:ind w:firstLine="0" w:firstLineChars="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（注：单位为mg/L，pH无量纲，总大肠菌群单位为MPN</w:t>
      </w:r>
      <w:r>
        <w:rPr>
          <w:rFonts w:hint="default" w:ascii="Times New Roman" w:hAnsi="Times New Roman" w:cs="Times New Roman"/>
          <w:bCs/>
          <w:color w:val="auto"/>
          <w:sz w:val="21"/>
          <w:szCs w:val="21"/>
          <w:vertAlign w:val="superscript"/>
        </w:rPr>
        <w:t>b</w:t>
      </w:r>
      <w:r>
        <w:rPr>
          <w:rFonts w:hint="default" w:ascii="Times New Roman" w:hAnsi="Times New Roman" w:cs="Times New Roman"/>
          <w:bCs/>
          <w:color w:val="auto"/>
          <w:sz w:val="21"/>
          <w:szCs w:val="21"/>
        </w:rPr>
        <w:t>/100mL，</w:t>
      </w:r>
      <w:r>
        <w:rPr>
          <w:rFonts w:hint="eastAsia" w:ascii="Times New Roman" w:hAnsi="Times New Roman" w:eastAsia="宋体" w:cs="Times New Roman"/>
          <w:bCs/>
          <w:color w:val="auto"/>
          <w:sz w:val="21"/>
          <w:szCs w:val="21"/>
          <w:lang w:eastAsia="zh-CN"/>
        </w:rPr>
        <w:t>菌落总数</w:t>
      </w:r>
      <w:r>
        <w:rPr>
          <w:rFonts w:hint="default" w:ascii="Times New Roman" w:hAnsi="Times New Roman" w:cs="Times New Roman"/>
          <w:bCs/>
          <w:color w:val="auto"/>
          <w:sz w:val="21"/>
          <w:szCs w:val="21"/>
        </w:rPr>
        <w:t>单位为CFU/mL）</w:t>
      </w:r>
    </w:p>
    <w:p w14:paraId="037FF584">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2、评价模式</w:t>
      </w:r>
    </w:p>
    <w:p w14:paraId="3E306E0E">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color w:val="auto"/>
          <w:sz w:val="24"/>
          <w:szCs w:val="24"/>
          <w:lang w:val="zh-CN"/>
        </w:rPr>
      </w:pPr>
      <w:r>
        <w:rPr>
          <w:rFonts w:hint="default" w:ascii="Times New Roman" w:hAnsi="Times New Roman" w:cs="Times New Roman"/>
          <w:color w:val="auto"/>
          <w:sz w:val="24"/>
          <w:szCs w:val="24"/>
          <w:lang w:val="zh-CN"/>
        </w:rPr>
        <w:t>采用单项标准指数法对地表水现状监测结果进行评价，评价模式如下：</w:t>
      </w:r>
    </w:p>
    <w:p w14:paraId="6017336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标准指数法计算公式如下：</w:t>
      </w:r>
    </w:p>
    <w:p w14:paraId="70EAF5D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jc w:val="center"/>
        <w:textAlignment w:val="baseline"/>
        <w:rPr>
          <w:rFonts w:hint="default" w:ascii="Times New Roman" w:hAnsi="Times New Roman" w:cs="Times New Roman"/>
          <w:color w:val="auto"/>
          <w:sz w:val="24"/>
          <w:szCs w:val="24"/>
        </w:rPr>
      </w:pPr>
      <w:r>
        <w:rPr>
          <w:rFonts w:hint="default" w:ascii="Times New Roman" w:hAnsi="Times New Roman" w:cs="Times New Roman"/>
          <w:color w:val="auto"/>
          <w:position w:val="-30"/>
          <w:sz w:val="24"/>
          <w:szCs w:val="24"/>
        </w:rPr>
        <w:object>
          <v:shape id="_x0000_i1049" o:spt="75" type="#_x0000_t75" style="height:36.3pt;width:47.25pt;" o:ole="t" filled="f" o:preferrelative="t" stroked="f" coordsize="21600,21600">
            <v:path/>
            <v:fill on="f" focussize="0,0"/>
            <v:stroke on="f" joinstyle="miter"/>
            <v:imagedata r:id="rId85" o:title=""/>
            <o:lock v:ext="edit" aspectratio="t"/>
            <w10:wrap type="none"/>
            <w10:anchorlock/>
          </v:shape>
          <o:OLEObject Type="Embed" ProgID="Equation.3" ShapeID="_x0000_i1049" DrawAspect="Content" ObjectID="_1468075749" r:id="rId84">
            <o:LockedField>false</o:LockedField>
          </o:OLEObject>
        </w:object>
      </w:r>
    </w:p>
    <w:p w14:paraId="2CA70C4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式中：P</w:t>
      </w:r>
      <w:r>
        <w:rPr>
          <w:rFonts w:hint="default" w:ascii="Times New Roman" w:hAnsi="Times New Roman" w:cs="Times New Roman"/>
          <w:color w:val="auto"/>
          <w:sz w:val="24"/>
          <w:szCs w:val="24"/>
          <w:vertAlign w:val="subscript"/>
        </w:rPr>
        <w:t>i</w:t>
      </w:r>
      <w:r>
        <w:rPr>
          <w:rFonts w:hint="default" w:ascii="Times New Roman" w:hAnsi="Times New Roman" w:cs="Times New Roman"/>
          <w:color w:val="auto"/>
          <w:sz w:val="24"/>
          <w:szCs w:val="24"/>
        </w:rPr>
        <w:t>－第i个水质因子的标准指数，无量纲；</w:t>
      </w:r>
    </w:p>
    <w:p w14:paraId="7C81EB55">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C</w:t>
      </w:r>
      <w:r>
        <w:rPr>
          <w:rFonts w:hint="default" w:ascii="Times New Roman" w:hAnsi="Times New Roman" w:cs="Times New Roman"/>
          <w:color w:val="auto"/>
          <w:sz w:val="24"/>
          <w:szCs w:val="24"/>
          <w:vertAlign w:val="subscript"/>
        </w:rPr>
        <w:t>i</w:t>
      </w:r>
      <w:r>
        <w:rPr>
          <w:rFonts w:hint="default" w:ascii="Times New Roman" w:hAnsi="Times New Roman" w:cs="Times New Roman"/>
          <w:color w:val="auto"/>
          <w:sz w:val="24"/>
          <w:szCs w:val="24"/>
        </w:rPr>
        <w:t>－第i个水质因子的监测浓度值，mg/L；</w:t>
      </w:r>
    </w:p>
    <w:p w14:paraId="2178CA1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C</w:t>
      </w:r>
      <w:r>
        <w:rPr>
          <w:rFonts w:hint="default" w:ascii="Times New Roman" w:hAnsi="Times New Roman" w:cs="Times New Roman"/>
          <w:color w:val="auto"/>
          <w:sz w:val="24"/>
          <w:szCs w:val="24"/>
          <w:vertAlign w:val="subscript"/>
        </w:rPr>
        <w:t>si</w:t>
      </w:r>
      <w:r>
        <w:rPr>
          <w:rFonts w:hint="default" w:ascii="Times New Roman" w:hAnsi="Times New Roman" w:cs="Times New Roman"/>
          <w:color w:val="auto"/>
          <w:sz w:val="24"/>
          <w:szCs w:val="24"/>
        </w:rPr>
        <w:t>－第i个水质因子的标准浓度值，mg/L。</w:t>
      </w:r>
    </w:p>
    <w:p w14:paraId="115125E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color w:val="auto"/>
          <w:sz w:val="24"/>
          <w:szCs w:val="24"/>
          <w:lang w:val="zh-CN"/>
        </w:rPr>
      </w:pPr>
      <w:r>
        <w:rPr>
          <w:rFonts w:hint="default" w:ascii="Times New Roman" w:hAnsi="Times New Roman" w:cs="Times New Roman"/>
          <w:color w:val="auto"/>
          <w:sz w:val="24"/>
          <w:szCs w:val="24"/>
          <w:lang w:val="zh-CN"/>
        </w:rPr>
        <w:t>pH的标准指数公式：</w:t>
      </w:r>
    </w:p>
    <w:p w14:paraId="219C0DA9">
      <w:pPr>
        <w:keepNext w:val="0"/>
        <w:keepLines w:val="0"/>
        <w:pageBreakBefore w:val="0"/>
        <w:widowControl/>
        <w:kinsoku w:val="0"/>
        <w:wordWrap/>
        <w:overflowPunct/>
        <w:topLinePunct w:val="0"/>
        <w:autoSpaceDE w:val="0"/>
        <w:autoSpaceDN w:val="0"/>
        <w:bidi w:val="0"/>
        <w:spacing w:line="360" w:lineRule="auto"/>
        <w:ind w:firstLine="480" w:firstLineChars="200"/>
        <w:jc w:val="center"/>
        <w:textAlignment w:val="baseline"/>
        <w:rPr>
          <w:rFonts w:hint="default" w:ascii="Times New Roman" w:hAnsi="Times New Roman" w:cs="Times New Roman"/>
          <w:color w:val="auto"/>
          <w:sz w:val="24"/>
          <w:szCs w:val="24"/>
          <w:highlight w:val="none"/>
          <w:lang w:val="zh-CN"/>
        </w:rPr>
      </w:pPr>
      <w:r>
        <w:rPr>
          <w:rFonts w:hint="default" w:ascii="Times New Roman" w:hAnsi="Times New Roman" w:cs="Times New Roman"/>
          <w:color w:val="auto"/>
          <w:position w:val="-28"/>
          <w:sz w:val="24"/>
          <w:szCs w:val="24"/>
          <w:highlight w:val="none"/>
        </w:rPr>
        <w:object>
          <v:shape id="_x0000_i1050" o:spt="75" type="#_x0000_t75" style="height:31.5pt;width:74.25pt;" o:ole="t" filled="f" coordsize="21600,21600">
            <v:path/>
            <v:fill on="f" focussize="0,0"/>
            <v:stroke/>
            <v:imagedata r:id="rId87" o:title=""/>
            <o:lock v:ext="edit" aspectratio="t"/>
            <w10:wrap type="none"/>
            <w10:anchorlock/>
          </v:shape>
          <o:OLEObject Type="Embed" ProgID="Equation.DSMT4" ShapeID="_x0000_i1050" DrawAspect="Content" ObjectID="_1468075750" r:id="rId86">
            <o:LockedField>false</o:LockedField>
          </o:OLEObject>
        </w:object>
      </w:r>
      <w:r>
        <w:rPr>
          <w:rFonts w:hint="default" w:ascii="Times New Roman" w:hAnsi="Times New Roman" w:cs="Times New Roman"/>
          <w:color w:val="auto"/>
          <w:sz w:val="24"/>
          <w:szCs w:val="24"/>
          <w:highlight w:val="none"/>
          <w:lang w:val="zh-CN"/>
        </w:rPr>
        <w:t xml:space="preserve">          pH≤7.0时</w:t>
      </w:r>
    </w:p>
    <w:p w14:paraId="0E1928F0">
      <w:pPr>
        <w:keepNext w:val="0"/>
        <w:keepLines w:val="0"/>
        <w:pageBreakBefore w:val="0"/>
        <w:widowControl/>
        <w:kinsoku w:val="0"/>
        <w:wordWrap/>
        <w:overflowPunct/>
        <w:topLinePunct w:val="0"/>
        <w:autoSpaceDE w:val="0"/>
        <w:autoSpaceDN w:val="0"/>
        <w:bidi w:val="0"/>
        <w:spacing w:line="360" w:lineRule="auto"/>
        <w:ind w:firstLine="480" w:firstLineChars="200"/>
        <w:jc w:val="center"/>
        <w:textAlignment w:val="baseline"/>
        <w:rPr>
          <w:rFonts w:hint="default" w:ascii="Times New Roman" w:hAnsi="Times New Roman" w:cs="Times New Roman"/>
          <w:color w:val="auto"/>
          <w:sz w:val="24"/>
          <w:szCs w:val="24"/>
          <w:highlight w:val="none"/>
          <w:lang w:val="zh-CN"/>
        </w:rPr>
      </w:pPr>
      <w:r>
        <w:rPr>
          <w:rFonts w:hint="default" w:ascii="Times New Roman" w:hAnsi="Times New Roman" w:cs="Times New Roman"/>
          <w:color w:val="auto"/>
          <w:position w:val="-28"/>
          <w:sz w:val="24"/>
          <w:szCs w:val="24"/>
          <w:highlight w:val="none"/>
        </w:rPr>
        <w:object>
          <v:shape id="_x0000_i1051" o:spt="75" type="#_x0000_t75" style="height:31.5pt;width:74.25pt;" o:ole="t" filled="f" coordsize="21600,21600">
            <v:path/>
            <v:fill on="f" focussize="0,0"/>
            <v:stroke/>
            <v:imagedata r:id="rId89" o:title=""/>
            <o:lock v:ext="edit" aspectratio="t"/>
            <w10:wrap type="none"/>
            <w10:anchorlock/>
          </v:shape>
          <o:OLEObject Type="Embed" ProgID="Equation.DSMT4" ShapeID="_x0000_i1051" DrawAspect="Content" ObjectID="_1468075751" r:id="rId88">
            <o:LockedField>false</o:LockedField>
          </o:OLEObject>
        </w:object>
      </w:r>
      <w:r>
        <w:rPr>
          <w:rFonts w:hint="default" w:ascii="Times New Roman" w:hAnsi="Times New Roman" w:cs="Times New Roman"/>
          <w:color w:val="auto"/>
          <w:sz w:val="24"/>
          <w:szCs w:val="24"/>
          <w:highlight w:val="none"/>
          <w:lang w:val="zh-CN"/>
        </w:rPr>
        <w:t xml:space="preserve">            pH＞7.0时</w:t>
      </w:r>
    </w:p>
    <w:p w14:paraId="2056F53E">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式中：P</w:t>
      </w:r>
      <w:r>
        <w:rPr>
          <w:rFonts w:hint="default" w:ascii="Times New Roman" w:hAnsi="Times New Roman" w:cs="Times New Roman"/>
          <w:color w:val="auto"/>
          <w:sz w:val="24"/>
          <w:szCs w:val="24"/>
          <w:vertAlign w:val="subscript"/>
        </w:rPr>
        <w:t>pH</w:t>
      </w:r>
      <w:r>
        <w:rPr>
          <w:rFonts w:hint="default" w:ascii="Times New Roman" w:hAnsi="Times New Roman" w:cs="Times New Roman"/>
          <w:color w:val="auto"/>
          <w:sz w:val="24"/>
          <w:szCs w:val="24"/>
        </w:rPr>
        <w:t>——pH的标准指数；</w:t>
      </w:r>
    </w:p>
    <w:p w14:paraId="2C19E27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pH——pH监测值；</w:t>
      </w:r>
    </w:p>
    <w:p w14:paraId="40BB826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pH</w:t>
      </w:r>
      <w:r>
        <w:rPr>
          <w:rFonts w:hint="default" w:ascii="Times New Roman" w:hAnsi="Times New Roman" w:cs="Times New Roman"/>
          <w:color w:val="auto"/>
          <w:sz w:val="24"/>
          <w:szCs w:val="24"/>
          <w:vertAlign w:val="subscript"/>
        </w:rPr>
        <w:t>su</w:t>
      </w:r>
      <w:r>
        <w:rPr>
          <w:rFonts w:hint="default" w:ascii="Times New Roman" w:hAnsi="Times New Roman" w:cs="Times New Roman"/>
          <w:color w:val="auto"/>
          <w:sz w:val="24"/>
          <w:szCs w:val="24"/>
        </w:rPr>
        <w:t>——标准中pH的上限值；</w:t>
      </w:r>
    </w:p>
    <w:p w14:paraId="4FAEEE5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pH</w:t>
      </w:r>
      <w:r>
        <w:rPr>
          <w:rFonts w:hint="default" w:ascii="Times New Roman" w:hAnsi="Times New Roman" w:cs="Times New Roman"/>
          <w:color w:val="auto"/>
          <w:sz w:val="24"/>
          <w:szCs w:val="24"/>
          <w:vertAlign w:val="subscript"/>
        </w:rPr>
        <w:t>sd</w:t>
      </w:r>
      <w:r>
        <w:rPr>
          <w:rFonts w:hint="default" w:ascii="Times New Roman" w:hAnsi="Times New Roman" w:cs="Times New Roman"/>
          <w:color w:val="auto"/>
          <w:sz w:val="24"/>
          <w:szCs w:val="24"/>
        </w:rPr>
        <w:t>——标准中pH的下限值。</w:t>
      </w:r>
    </w:p>
    <w:p w14:paraId="782DAA7D">
      <w:pPr>
        <w:pStyle w:val="31"/>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当标准指数＞1时，表示该水质参数所表征的污染物已满足不了标准要求，水体已受到污染；反之，则满足标准要求。</w:t>
      </w:r>
    </w:p>
    <w:p w14:paraId="7D4B46D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3、评价结果及分析</w:t>
      </w:r>
    </w:p>
    <w:p w14:paraId="1D09AD5E">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根据监测数据和评价标准，按上述模式计算的结果见表4</w:t>
      </w:r>
      <w:r>
        <w:rPr>
          <w:rFonts w:hint="eastAsia" w:ascii="Times New Roman" w:hAnsi="Times New Roman" w:eastAsia="宋体" w:cs="Times New Roman"/>
          <w:color w:val="auto"/>
          <w:sz w:val="24"/>
          <w:szCs w:val="24"/>
          <w:lang w:val="en-US" w:eastAsia="zh-CN"/>
        </w:rPr>
        <w:t>.</w:t>
      </w:r>
      <w:r>
        <w:rPr>
          <w:rFonts w:hint="default" w:ascii="Times New Roman" w:hAnsi="Times New Roman" w:cs="Times New Roman"/>
          <w:color w:val="auto"/>
          <w:sz w:val="24"/>
          <w:szCs w:val="24"/>
        </w:rPr>
        <w:t>2-</w:t>
      </w:r>
      <w:r>
        <w:rPr>
          <w:rFonts w:hint="eastAsia" w:ascii="Times New Roman" w:hAnsi="Times New Roman" w:eastAsia="宋体" w:cs="Times New Roman"/>
          <w:color w:val="auto"/>
          <w:sz w:val="24"/>
          <w:szCs w:val="24"/>
          <w:lang w:val="en-US" w:eastAsia="zh-CN"/>
        </w:rPr>
        <w:t>12</w:t>
      </w:r>
      <w:r>
        <w:rPr>
          <w:rFonts w:hint="default" w:ascii="Times New Roman" w:hAnsi="Times New Roman" w:cs="Times New Roman"/>
          <w:color w:val="auto"/>
          <w:sz w:val="24"/>
          <w:szCs w:val="24"/>
        </w:rPr>
        <w:t>。</w:t>
      </w:r>
    </w:p>
    <w:p w14:paraId="3A420C02">
      <w:pPr>
        <w:adjustRightInd/>
        <w:snapToGrid/>
        <w:ind w:firstLine="0" w:firstLineChars="0"/>
        <w:jc w:val="center"/>
        <w:rPr>
          <w:rFonts w:hint="eastAsia" w:ascii="Times New Roman" w:hAnsi="Times New Roman" w:eastAsia="Arial" w:cs="Times New Roman"/>
          <w:b/>
          <w:bCs/>
          <w:snapToGrid w:val="0"/>
          <w:color w:val="auto"/>
          <w:kern w:val="0"/>
          <w:sz w:val="24"/>
          <w:szCs w:val="24"/>
          <w:highlight w:val="none"/>
          <w:lang w:val="en-US" w:eastAsia="zh-CN" w:bidi="ar-SA"/>
        </w:rPr>
      </w:pPr>
      <w:r>
        <w:rPr>
          <w:rFonts w:hint="eastAsia" w:ascii="Times New Roman" w:hAnsi="Times New Roman" w:eastAsia="Arial" w:cs="Times New Roman"/>
          <w:b/>
          <w:bCs/>
          <w:snapToGrid w:val="0"/>
          <w:color w:val="auto"/>
          <w:kern w:val="0"/>
          <w:sz w:val="24"/>
          <w:szCs w:val="24"/>
          <w:highlight w:val="none"/>
          <w:lang w:val="en-US" w:eastAsia="zh-CN" w:bidi="ar-SA"/>
        </w:rPr>
        <w:t>表4</w:t>
      </w:r>
      <w:r>
        <w:rPr>
          <w:rFonts w:hint="eastAsia" w:ascii="Times New Roman" w:hAnsi="Times New Roman" w:cs="Times New Roman"/>
          <w:b/>
          <w:bCs/>
          <w:snapToGrid w:val="0"/>
          <w:color w:val="auto"/>
          <w:kern w:val="0"/>
          <w:sz w:val="24"/>
          <w:szCs w:val="24"/>
          <w:highlight w:val="none"/>
          <w:lang w:val="en-US" w:eastAsia="zh-CN" w:bidi="ar-SA"/>
        </w:rPr>
        <w:t>.</w:t>
      </w:r>
      <w:r>
        <w:rPr>
          <w:rFonts w:hint="eastAsia" w:ascii="Times New Roman" w:hAnsi="Times New Roman" w:eastAsia="Arial" w:cs="Times New Roman"/>
          <w:b/>
          <w:bCs/>
          <w:snapToGrid w:val="0"/>
          <w:color w:val="auto"/>
          <w:kern w:val="0"/>
          <w:sz w:val="24"/>
          <w:szCs w:val="24"/>
          <w:highlight w:val="none"/>
          <w:lang w:val="en-US" w:eastAsia="zh-CN" w:bidi="ar-SA"/>
        </w:rPr>
        <w:t>2-</w:t>
      </w:r>
      <w:r>
        <w:rPr>
          <w:rFonts w:hint="eastAsia" w:ascii="Times New Roman" w:hAnsi="Times New Roman" w:cs="Times New Roman"/>
          <w:b/>
          <w:bCs/>
          <w:snapToGrid w:val="0"/>
          <w:color w:val="auto"/>
          <w:kern w:val="0"/>
          <w:sz w:val="24"/>
          <w:szCs w:val="24"/>
          <w:highlight w:val="none"/>
          <w:lang w:val="en-US" w:eastAsia="zh-CN" w:bidi="ar-SA"/>
        </w:rPr>
        <w:t>12</w:t>
      </w:r>
      <w:r>
        <w:rPr>
          <w:rFonts w:hint="eastAsia" w:ascii="Times New Roman" w:hAnsi="Times New Roman" w:eastAsia="Arial" w:cs="Times New Roman"/>
          <w:b/>
          <w:bCs/>
          <w:snapToGrid w:val="0"/>
          <w:color w:val="auto"/>
          <w:kern w:val="0"/>
          <w:sz w:val="24"/>
          <w:szCs w:val="24"/>
          <w:highlight w:val="none"/>
          <w:lang w:val="en-US" w:eastAsia="zh-CN" w:bidi="ar-SA"/>
        </w:rPr>
        <w:t xml:space="preserve">  地下水污染指数计算结果</w:t>
      </w:r>
    </w:p>
    <w:tbl>
      <w:tblPr>
        <w:tblStyle w:val="2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000"/>
        <w:gridCol w:w="2183"/>
        <w:gridCol w:w="2058"/>
        <w:gridCol w:w="2063"/>
      </w:tblGrid>
      <w:tr w14:paraId="7E0752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Merge w:val="restart"/>
            <w:vAlign w:val="center"/>
          </w:tcPr>
          <w:p w14:paraId="0573A04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评价因子</w:t>
            </w:r>
          </w:p>
        </w:tc>
        <w:tc>
          <w:tcPr>
            <w:tcW w:w="3795" w:type="pct"/>
            <w:gridSpan w:val="3"/>
          </w:tcPr>
          <w:p w14:paraId="6728789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监测点位</w:t>
            </w:r>
          </w:p>
        </w:tc>
      </w:tr>
      <w:tr w14:paraId="1EA080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Merge w:val="continue"/>
            <w:vAlign w:val="center"/>
          </w:tcPr>
          <w:p w14:paraId="6479135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p>
        </w:tc>
        <w:tc>
          <w:tcPr>
            <w:tcW w:w="1314" w:type="pct"/>
            <w:vAlign w:val="center"/>
          </w:tcPr>
          <w:p w14:paraId="4A7A564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239" w:type="pct"/>
            <w:vAlign w:val="center"/>
          </w:tcPr>
          <w:p w14:paraId="7AD9E83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242" w:type="pct"/>
            <w:vAlign w:val="center"/>
          </w:tcPr>
          <w:p w14:paraId="3674A9C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r>
      <w:tr w14:paraId="232AD6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Align w:val="center"/>
          </w:tcPr>
          <w:p w14:paraId="139B19A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pH值（无量纲）</w:t>
            </w:r>
          </w:p>
        </w:tc>
        <w:tc>
          <w:tcPr>
            <w:tcW w:w="1314" w:type="pct"/>
            <w:vAlign w:val="center"/>
          </w:tcPr>
          <w:p w14:paraId="0A5FE54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0.3</w:t>
            </w:r>
          </w:p>
        </w:tc>
        <w:tc>
          <w:tcPr>
            <w:tcW w:w="1239" w:type="pct"/>
            <w:vAlign w:val="center"/>
          </w:tcPr>
          <w:p w14:paraId="236B863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1242" w:type="pct"/>
            <w:vAlign w:val="center"/>
          </w:tcPr>
          <w:p w14:paraId="30FAD95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0.4</w:t>
            </w:r>
          </w:p>
        </w:tc>
      </w:tr>
      <w:tr w14:paraId="149F1E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Align w:val="center"/>
          </w:tcPr>
          <w:p w14:paraId="53B4059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氨氮</w:t>
            </w:r>
          </w:p>
        </w:tc>
        <w:tc>
          <w:tcPr>
            <w:tcW w:w="1314" w:type="pct"/>
            <w:vAlign w:val="center"/>
          </w:tcPr>
          <w:p w14:paraId="415B92C3">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2"/>
                <w:szCs w:val="22"/>
                <w:u w:val="none"/>
                <w:lang w:val="en-US" w:eastAsia="zh-CN" w:bidi="ar"/>
              </w:rPr>
              <w:t>0.102</w:t>
            </w:r>
          </w:p>
        </w:tc>
        <w:tc>
          <w:tcPr>
            <w:tcW w:w="1239" w:type="pct"/>
            <w:vAlign w:val="center"/>
          </w:tcPr>
          <w:p w14:paraId="208C1B9C">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snapToGrid w:val="0"/>
                <w:color w:val="auto"/>
                <w:kern w:val="0"/>
                <w:sz w:val="22"/>
                <w:szCs w:val="22"/>
                <w:u w:val="none"/>
                <w:lang w:val="en-US" w:eastAsia="zh-CN" w:bidi="ar"/>
              </w:rPr>
              <w:t>0.088</w:t>
            </w:r>
          </w:p>
        </w:tc>
        <w:tc>
          <w:tcPr>
            <w:tcW w:w="1242" w:type="pct"/>
            <w:vAlign w:val="center"/>
          </w:tcPr>
          <w:p w14:paraId="41BEE9E4">
            <w:pPr>
              <w:keepNext w:val="0"/>
              <w:keepLines w:val="0"/>
              <w:widowControl/>
              <w:suppressLineNumbers w:val="0"/>
              <w:jc w:val="center"/>
              <w:textAlignment w:val="center"/>
              <w:rPr>
                <w:rFonts w:hint="default" w:ascii="Times New Roman" w:hAnsi="Times New Roman" w:eastAsia="宋体" w:cs="Times New Roman"/>
                <w:color w:val="FF0000"/>
                <w:sz w:val="21"/>
                <w:szCs w:val="21"/>
              </w:rPr>
            </w:pPr>
            <w:r>
              <w:rPr>
                <w:rFonts w:hint="default" w:ascii="Times New Roman" w:hAnsi="Times New Roman" w:eastAsia="宋体" w:cs="Times New Roman"/>
                <w:i w:val="0"/>
                <w:iCs w:val="0"/>
                <w:snapToGrid w:val="0"/>
                <w:color w:val="000000"/>
                <w:kern w:val="0"/>
                <w:sz w:val="22"/>
                <w:szCs w:val="22"/>
                <w:u w:val="none"/>
                <w:lang w:val="en-US" w:eastAsia="zh-CN" w:bidi="ar"/>
              </w:rPr>
              <w:t>0.126</w:t>
            </w:r>
          </w:p>
        </w:tc>
      </w:tr>
      <w:tr w14:paraId="03406D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Align w:val="center"/>
          </w:tcPr>
          <w:p w14:paraId="340AB23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硝酸盐（氮）</w:t>
            </w:r>
          </w:p>
        </w:tc>
        <w:tc>
          <w:tcPr>
            <w:tcW w:w="1314" w:type="pct"/>
            <w:vAlign w:val="center"/>
          </w:tcPr>
          <w:p w14:paraId="208586F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0.029</w:t>
            </w:r>
          </w:p>
        </w:tc>
        <w:tc>
          <w:tcPr>
            <w:tcW w:w="1239" w:type="pct"/>
            <w:vAlign w:val="center"/>
          </w:tcPr>
          <w:p w14:paraId="1049309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0.024</w:t>
            </w:r>
          </w:p>
        </w:tc>
        <w:tc>
          <w:tcPr>
            <w:tcW w:w="1242" w:type="pct"/>
            <w:vAlign w:val="center"/>
          </w:tcPr>
          <w:p w14:paraId="0CF30B6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0.026</w:t>
            </w:r>
          </w:p>
        </w:tc>
      </w:tr>
      <w:tr w14:paraId="3D8DEE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Align w:val="center"/>
          </w:tcPr>
          <w:p w14:paraId="11ECB9D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亚硝酸盐（氮）</w:t>
            </w:r>
          </w:p>
        </w:tc>
        <w:tc>
          <w:tcPr>
            <w:tcW w:w="1314" w:type="pct"/>
            <w:vAlign w:val="center"/>
          </w:tcPr>
          <w:p w14:paraId="17A8938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0.001</w:t>
            </w:r>
          </w:p>
        </w:tc>
        <w:tc>
          <w:tcPr>
            <w:tcW w:w="1239" w:type="pct"/>
            <w:vAlign w:val="center"/>
          </w:tcPr>
          <w:p w14:paraId="07F5DC8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0.001</w:t>
            </w:r>
          </w:p>
        </w:tc>
        <w:tc>
          <w:tcPr>
            <w:tcW w:w="1242" w:type="pct"/>
            <w:vAlign w:val="center"/>
          </w:tcPr>
          <w:p w14:paraId="7FC420C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0.001</w:t>
            </w:r>
          </w:p>
        </w:tc>
      </w:tr>
      <w:tr w14:paraId="2FB40E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Align w:val="center"/>
          </w:tcPr>
          <w:p w14:paraId="3B44354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挥发酚</w:t>
            </w:r>
          </w:p>
        </w:tc>
        <w:tc>
          <w:tcPr>
            <w:tcW w:w="1314" w:type="pct"/>
            <w:vAlign w:val="center"/>
          </w:tcPr>
          <w:p w14:paraId="1634E24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0.075</w:t>
            </w:r>
          </w:p>
        </w:tc>
        <w:tc>
          <w:tcPr>
            <w:tcW w:w="1239" w:type="pct"/>
            <w:vAlign w:val="center"/>
          </w:tcPr>
          <w:p w14:paraId="4649564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0.075</w:t>
            </w:r>
          </w:p>
        </w:tc>
        <w:tc>
          <w:tcPr>
            <w:tcW w:w="1242" w:type="pct"/>
            <w:vAlign w:val="center"/>
          </w:tcPr>
          <w:p w14:paraId="12FE511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0.075</w:t>
            </w:r>
          </w:p>
        </w:tc>
      </w:tr>
      <w:tr w14:paraId="5C71A0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0" w:hRule="atLeast"/>
          <w:jc w:val="center"/>
        </w:trPr>
        <w:tc>
          <w:tcPr>
            <w:tcW w:w="1204" w:type="pct"/>
            <w:vAlign w:val="center"/>
          </w:tcPr>
          <w:p w14:paraId="1F57744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氰化物</w:t>
            </w:r>
          </w:p>
        </w:tc>
        <w:tc>
          <w:tcPr>
            <w:tcW w:w="1314" w:type="pct"/>
            <w:vAlign w:val="center"/>
          </w:tcPr>
          <w:p w14:paraId="4D54BB4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0.020</w:t>
            </w:r>
          </w:p>
        </w:tc>
        <w:tc>
          <w:tcPr>
            <w:tcW w:w="1239" w:type="pct"/>
            <w:vAlign w:val="center"/>
          </w:tcPr>
          <w:p w14:paraId="46273A8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0.020</w:t>
            </w:r>
          </w:p>
        </w:tc>
        <w:tc>
          <w:tcPr>
            <w:tcW w:w="1242" w:type="pct"/>
            <w:vAlign w:val="center"/>
          </w:tcPr>
          <w:p w14:paraId="4D72A88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0.020</w:t>
            </w:r>
          </w:p>
        </w:tc>
      </w:tr>
      <w:tr w14:paraId="439A94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Align w:val="center"/>
          </w:tcPr>
          <w:p w14:paraId="1FC4053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砷</w:t>
            </w:r>
          </w:p>
        </w:tc>
        <w:tc>
          <w:tcPr>
            <w:tcW w:w="1314" w:type="pct"/>
            <w:vAlign w:val="center"/>
          </w:tcPr>
          <w:p w14:paraId="7C06D7BC">
            <w:pPr>
              <w:pStyle w:val="59"/>
              <w:snapToGrid w:val="0"/>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0.015</w:t>
            </w:r>
          </w:p>
        </w:tc>
        <w:tc>
          <w:tcPr>
            <w:tcW w:w="1239" w:type="pct"/>
            <w:vAlign w:val="center"/>
          </w:tcPr>
          <w:p w14:paraId="30CFAB56">
            <w:pPr>
              <w:pStyle w:val="59"/>
              <w:snapToGrid w:val="0"/>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0.015</w:t>
            </w:r>
          </w:p>
        </w:tc>
        <w:tc>
          <w:tcPr>
            <w:tcW w:w="1242" w:type="pct"/>
            <w:vAlign w:val="center"/>
          </w:tcPr>
          <w:p w14:paraId="7C1BEED9">
            <w:pPr>
              <w:pStyle w:val="59"/>
              <w:snapToGrid w:val="0"/>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0.015</w:t>
            </w:r>
          </w:p>
        </w:tc>
      </w:tr>
      <w:tr w14:paraId="52FCF5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Align w:val="center"/>
          </w:tcPr>
          <w:p w14:paraId="7F8764A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汞</w:t>
            </w:r>
          </w:p>
        </w:tc>
        <w:tc>
          <w:tcPr>
            <w:tcW w:w="1314" w:type="pct"/>
            <w:vAlign w:val="center"/>
          </w:tcPr>
          <w:p w14:paraId="147E0861">
            <w:pPr>
              <w:pStyle w:val="59"/>
              <w:snapToGrid w:val="0"/>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0.020</w:t>
            </w:r>
          </w:p>
        </w:tc>
        <w:tc>
          <w:tcPr>
            <w:tcW w:w="1239" w:type="pct"/>
            <w:vAlign w:val="center"/>
          </w:tcPr>
          <w:p w14:paraId="105EC8B4">
            <w:pPr>
              <w:pStyle w:val="59"/>
              <w:snapToGrid w:val="0"/>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0.020</w:t>
            </w:r>
          </w:p>
        </w:tc>
        <w:tc>
          <w:tcPr>
            <w:tcW w:w="1242" w:type="pct"/>
            <w:vAlign w:val="center"/>
          </w:tcPr>
          <w:p w14:paraId="6D147E2D">
            <w:pPr>
              <w:pStyle w:val="59"/>
              <w:snapToGrid w:val="0"/>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0.020</w:t>
            </w:r>
          </w:p>
        </w:tc>
      </w:tr>
      <w:tr w14:paraId="3CC330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Align w:val="center"/>
          </w:tcPr>
          <w:p w14:paraId="2FB03EE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铬（六价）</w:t>
            </w:r>
          </w:p>
        </w:tc>
        <w:tc>
          <w:tcPr>
            <w:tcW w:w="1314" w:type="pct"/>
            <w:vAlign w:val="center"/>
          </w:tcPr>
          <w:p w14:paraId="413EEDC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0.040</w:t>
            </w:r>
          </w:p>
        </w:tc>
        <w:tc>
          <w:tcPr>
            <w:tcW w:w="1239" w:type="pct"/>
            <w:vAlign w:val="center"/>
          </w:tcPr>
          <w:p w14:paraId="659C81C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0.040</w:t>
            </w:r>
          </w:p>
        </w:tc>
        <w:tc>
          <w:tcPr>
            <w:tcW w:w="1242" w:type="pct"/>
            <w:vAlign w:val="center"/>
          </w:tcPr>
          <w:p w14:paraId="49A9008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0.040</w:t>
            </w:r>
          </w:p>
        </w:tc>
      </w:tr>
      <w:tr w14:paraId="178414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Align w:val="center"/>
          </w:tcPr>
          <w:p w14:paraId="4E91506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总硬度</w:t>
            </w:r>
          </w:p>
        </w:tc>
        <w:tc>
          <w:tcPr>
            <w:tcW w:w="1314" w:type="pct"/>
            <w:vAlign w:val="center"/>
          </w:tcPr>
          <w:p w14:paraId="58648F0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0.558</w:t>
            </w:r>
          </w:p>
        </w:tc>
        <w:tc>
          <w:tcPr>
            <w:tcW w:w="1239" w:type="pct"/>
            <w:vAlign w:val="center"/>
          </w:tcPr>
          <w:p w14:paraId="5841916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auto"/>
                <w:sz w:val="21"/>
                <w:szCs w:val="21"/>
                <w:lang w:val="en-US" w:eastAsia="zh-CN"/>
              </w:rPr>
              <w:t>0.54</w:t>
            </w:r>
          </w:p>
        </w:tc>
        <w:tc>
          <w:tcPr>
            <w:tcW w:w="1242" w:type="pct"/>
            <w:vAlign w:val="center"/>
          </w:tcPr>
          <w:p w14:paraId="2778AB2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auto"/>
                <w:sz w:val="21"/>
                <w:szCs w:val="21"/>
                <w:lang w:val="en-US" w:eastAsia="zh-CN"/>
              </w:rPr>
              <w:t>0.591</w:t>
            </w:r>
          </w:p>
        </w:tc>
      </w:tr>
      <w:tr w14:paraId="6A052A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Align w:val="center"/>
          </w:tcPr>
          <w:p w14:paraId="4B578D1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铅</w:t>
            </w:r>
          </w:p>
        </w:tc>
        <w:tc>
          <w:tcPr>
            <w:tcW w:w="1314" w:type="pct"/>
            <w:vAlign w:val="center"/>
          </w:tcPr>
          <w:p w14:paraId="07139C7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0.050</w:t>
            </w:r>
          </w:p>
        </w:tc>
        <w:tc>
          <w:tcPr>
            <w:tcW w:w="1239" w:type="pct"/>
            <w:vAlign w:val="center"/>
          </w:tcPr>
          <w:p w14:paraId="7A28FEA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0.050</w:t>
            </w:r>
          </w:p>
        </w:tc>
        <w:tc>
          <w:tcPr>
            <w:tcW w:w="1242" w:type="pct"/>
            <w:vAlign w:val="center"/>
          </w:tcPr>
          <w:p w14:paraId="430E230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0.050</w:t>
            </w:r>
          </w:p>
        </w:tc>
      </w:tr>
      <w:tr w14:paraId="4A140B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Align w:val="center"/>
          </w:tcPr>
          <w:p w14:paraId="35FC3D5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氟化物</w:t>
            </w:r>
          </w:p>
        </w:tc>
        <w:tc>
          <w:tcPr>
            <w:tcW w:w="1314" w:type="pct"/>
            <w:vAlign w:val="center"/>
          </w:tcPr>
          <w:p w14:paraId="26929272">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0.382</w:t>
            </w:r>
          </w:p>
        </w:tc>
        <w:tc>
          <w:tcPr>
            <w:tcW w:w="1239" w:type="pct"/>
            <w:vAlign w:val="center"/>
          </w:tcPr>
          <w:p w14:paraId="4319516A">
            <w:pPr>
              <w:keepNext w:val="0"/>
              <w:keepLines w:val="0"/>
              <w:widowControl/>
              <w:suppressLineNumbers w:val="0"/>
              <w:jc w:val="center"/>
              <w:textAlignment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0.418</w:t>
            </w:r>
          </w:p>
        </w:tc>
        <w:tc>
          <w:tcPr>
            <w:tcW w:w="1242" w:type="pct"/>
            <w:vAlign w:val="center"/>
          </w:tcPr>
          <w:p w14:paraId="539FC090">
            <w:pPr>
              <w:keepNext w:val="0"/>
              <w:keepLines w:val="0"/>
              <w:widowControl/>
              <w:suppressLineNumbers w:val="0"/>
              <w:jc w:val="center"/>
              <w:textAlignment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0.339</w:t>
            </w:r>
          </w:p>
        </w:tc>
      </w:tr>
      <w:tr w14:paraId="74EEAB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Align w:val="center"/>
          </w:tcPr>
          <w:p w14:paraId="530EA7A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镉</w:t>
            </w:r>
          </w:p>
        </w:tc>
        <w:tc>
          <w:tcPr>
            <w:tcW w:w="1314" w:type="pct"/>
            <w:vAlign w:val="center"/>
          </w:tcPr>
          <w:p w14:paraId="6EA90A4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0.100</w:t>
            </w:r>
          </w:p>
        </w:tc>
        <w:tc>
          <w:tcPr>
            <w:tcW w:w="1239" w:type="pct"/>
            <w:vAlign w:val="center"/>
          </w:tcPr>
          <w:p w14:paraId="18E13EA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0.100</w:t>
            </w:r>
          </w:p>
        </w:tc>
        <w:tc>
          <w:tcPr>
            <w:tcW w:w="1242" w:type="pct"/>
            <w:vAlign w:val="center"/>
          </w:tcPr>
          <w:p w14:paraId="32621F3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0.100</w:t>
            </w:r>
          </w:p>
        </w:tc>
      </w:tr>
      <w:tr w14:paraId="271C15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Align w:val="center"/>
          </w:tcPr>
          <w:p w14:paraId="5A4ACAA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铁</w:t>
            </w:r>
          </w:p>
        </w:tc>
        <w:tc>
          <w:tcPr>
            <w:tcW w:w="1314" w:type="pct"/>
            <w:vAlign w:val="center"/>
          </w:tcPr>
          <w:p w14:paraId="72F13BA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w:t>
            </w:r>
          </w:p>
        </w:tc>
        <w:tc>
          <w:tcPr>
            <w:tcW w:w="1239" w:type="pct"/>
            <w:vAlign w:val="center"/>
          </w:tcPr>
          <w:p w14:paraId="1E2BB2E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0.05</w:t>
            </w:r>
          </w:p>
        </w:tc>
        <w:tc>
          <w:tcPr>
            <w:tcW w:w="1242" w:type="pct"/>
            <w:vAlign w:val="center"/>
          </w:tcPr>
          <w:p w14:paraId="29710B2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0.05</w:t>
            </w:r>
          </w:p>
        </w:tc>
      </w:tr>
      <w:tr w14:paraId="002CF6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2" w:hRule="atLeast"/>
          <w:jc w:val="center"/>
        </w:trPr>
        <w:tc>
          <w:tcPr>
            <w:tcW w:w="1204" w:type="pct"/>
            <w:vAlign w:val="center"/>
          </w:tcPr>
          <w:p w14:paraId="1F9221F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锰</w:t>
            </w:r>
          </w:p>
        </w:tc>
        <w:tc>
          <w:tcPr>
            <w:tcW w:w="1314" w:type="pct"/>
            <w:vAlign w:val="center"/>
          </w:tcPr>
          <w:p w14:paraId="1D40BD4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1239" w:type="pct"/>
            <w:vAlign w:val="center"/>
          </w:tcPr>
          <w:p w14:paraId="287CCF9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1242" w:type="pct"/>
            <w:vAlign w:val="center"/>
          </w:tcPr>
          <w:p w14:paraId="79047CD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0.9</w:t>
            </w:r>
          </w:p>
        </w:tc>
      </w:tr>
      <w:tr w14:paraId="46F913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Align w:val="center"/>
          </w:tcPr>
          <w:p w14:paraId="106CA04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溶解性总固体</w:t>
            </w:r>
          </w:p>
        </w:tc>
        <w:tc>
          <w:tcPr>
            <w:tcW w:w="1314" w:type="pct"/>
            <w:vAlign w:val="center"/>
          </w:tcPr>
          <w:p w14:paraId="46BE3718">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0.506</w:t>
            </w:r>
          </w:p>
        </w:tc>
        <w:tc>
          <w:tcPr>
            <w:tcW w:w="1239" w:type="pct"/>
            <w:vAlign w:val="center"/>
          </w:tcPr>
          <w:p w14:paraId="7C0EB3AA">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0.491</w:t>
            </w:r>
          </w:p>
        </w:tc>
        <w:tc>
          <w:tcPr>
            <w:tcW w:w="1242" w:type="pct"/>
            <w:vAlign w:val="center"/>
          </w:tcPr>
          <w:p w14:paraId="587D18BC">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0.548</w:t>
            </w:r>
          </w:p>
        </w:tc>
      </w:tr>
      <w:tr w14:paraId="61C1C7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Align w:val="center"/>
          </w:tcPr>
          <w:p w14:paraId="5F578A1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耗氧量</w:t>
            </w:r>
          </w:p>
        </w:tc>
        <w:tc>
          <w:tcPr>
            <w:tcW w:w="1314" w:type="pct"/>
            <w:vAlign w:val="center"/>
          </w:tcPr>
          <w:p w14:paraId="2186623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0.367</w:t>
            </w:r>
          </w:p>
        </w:tc>
        <w:tc>
          <w:tcPr>
            <w:tcW w:w="1239" w:type="pct"/>
            <w:vAlign w:val="center"/>
          </w:tcPr>
          <w:p w14:paraId="404CFF0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0.467</w:t>
            </w:r>
          </w:p>
        </w:tc>
        <w:tc>
          <w:tcPr>
            <w:tcW w:w="1242" w:type="pct"/>
            <w:vAlign w:val="center"/>
          </w:tcPr>
          <w:p w14:paraId="58ABBB6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0.6</w:t>
            </w:r>
          </w:p>
        </w:tc>
      </w:tr>
      <w:tr w14:paraId="6EF436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Align w:val="center"/>
          </w:tcPr>
          <w:p w14:paraId="77A3F68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硫酸盐</w:t>
            </w:r>
          </w:p>
        </w:tc>
        <w:tc>
          <w:tcPr>
            <w:tcW w:w="1314" w:type="pct"/>
            <w:vAlign w:val="center"/>
          </w:tcPr>
          <w:p w14:paraId="760A518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0.07</w:t>
            </w:r>
          </w:p>
        </w:tc>
        <w:tc>
          <w:tcPr>
            <w:tcW w:w="1239" w:type="pct"/>
            <w:vAlign w:val="center"/>
          </w:tcPr>
          <w:p w14:paraId="1D4F173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0.064</w:t>
            </w:r>
          </w:p>
        </w:tc>
        <w:tc>
          <w:tcPr>
            <w:tcW w:w="1242" w:type="pct"/>
            <w:vAlign w:val="center"/>
          </w:tcPr>
          <w:p w14:paraId="1389BE2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0.055</w:t>
            </w:r>
          </w:p>
        </w:tc>
      </w:tr>
      <w:tr w14:paraId="316AEF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Align w:val="center"/>
          </w:tcPr>
          <w:p w14:paraId="2B80AB0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氯化物</w:t>
            </w:r>
          </w:p>
        </w:tc>
        <w:tc>
          <w:tcPr>
            <w:tcW w:w="1314" w:type="pct"/>
            <w:vAlign w:val="center"/>
          </w:tcPr>
          <w:p w14:paraId="3EFECF2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0.017</w:t>
            </w:r>
          </w:p>
        </w:tc>
        <w:tc>
          <w:tcPr>
            <w:tcW w:w="1239" w:type="pct"/>
            <w:vAlign w:val="center"/>
          </w:tcPr>
          <w:p w14:paraId="5C966DB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0.02</w:t>
            </w:r>
          </w:p>
        </w:tc>
        <w:tc>
          <w:tcPr>
            <w:tcW w:w="1242" w:type="pct"/>
            <w:vAlign w:val="center"/>
          </w:tcPr>
          <w:p w14:paraId="5EA393F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0.019</w:t>
            </w:r>
          </w:p>
        </w:tc>
      </w:tr>
      <w:tr w14:paraId="36A44B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4" w:type="pct"/>
            <w:vAlign w:val="center"/>
          </w:tcPr>
          <w:p w14:paraId="5753183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总大肠菌群（MPN/L）</w:t>
            </w:r>
          </w:p>
        </w:tc>
        <w:tc>
          <w:tcPr>
            <w:tcW w:w="1314" w:type="pct"/>
            <w:vAlign w:val="center"/>
          </w:tcPr>
          <w:p w14:paraId="0CF3B1C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0.250</w:t>
            </w:r>
          </w:p>
        </w:tc>
        <w:tc>
          <w:tcPr>
            <w:tcW w:w="1239" w:type="pct"/>
            <w:vAlign w:val="center"/>
          </w:tcPr>
          <w:p w14:paraId="0B4BAC2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0.250</w:t>
            </w:r>
          </w:p>
        </w:tc>
        <w:tc>
          <w:tcPr>
            <w:tcW w:w="1242" w:type="pct"/>
            <w:vAlign w:val="center"/>
          </w:tcPr>
          <w:p w14:paraId="115766D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cs="Times New Roman"/>
                <w:kern w:val="0"/>
                <w:szCs w:val="21"/>
              </w:rPr>
              <w:t>0.250</w:t>
            </w:r>
          </w:p>
        </w:tc>
      </w:tr>
      <w:tr w14:paraId="08D3B5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57" w:hRule="atLeast"/>
          <w:jc w:val="center"/>
        </w:trPr>
        <w:tc>
          <w:tcPr>
            <w:tcW w:w="1204" w:type="pct"/>
            <w:vAlign w:val="center"/>
          </w:tcPr>
          <w:p w14:paraId="743EEDF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eastAsia="zh-CN" w:bidi="ar"/>
              </w:rPr>
              <w:t>菌落总数</w:t>
            </w:r>
            <w:r>
              <w:rPr>
                <w:rFonts w:hint="default" w:ascii="Times New Roman" w:hAnsi="Times New Roman" w:eastAsia="宋体" w:cs="Times New Roman"/>
                <w:color w:val="auto"/>
                <w:sz w:val="21"/>
                <w:szCs w:val="21"/>
                <w:shd w:val="clear" w:color="auto" w:fill="FFFFFF"/>
              </w:rPr>
              <w:t>（CFU/mL）</w:t>
            </w:r>
          </w:p>
        </w:tc>
        <w:tc>
          <w:tcPr>
            <w:tcW w:w="1314" w:type="pct"/>
            <w:vAlign w:val="center"/>
          </w:tcPr>
          <w:p w14:paraId="2A660409">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snapToGrid w:val="0"/>
                <w:color w:val="auto"/>
                <w:kern w:val="0"/>
                <w:sz w:val="22"/>
                <w:szCs w:val="22"/>
                <w:u w:val="none"/>
                <w:lang w:val="en-US" w:eastAsia="zh-CN" w:bidi="ar"/>
              </w:rPr>
              <w:t>0.21</w:t>
            </w:r>
          </w:p>
        </w:tc>
        <w:tc>
          <w:tcPr>
            <w:tcW w:w="1239" w:type="pct"/>
            <w:vAlign w:val="center"/>
          </w:tcPr>
          <w:p w14:paraId="0B256882">
            <w:pPr>
              <w:keepNext w:val="0"/>
              <w:keepLines w:val="0"/>
              <w:widowControl/>
              <w:suppressLineNumbers w:val="0"/>
              <w:jc w:val="center"/>
              <w:textAlignment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0.15</w:t>
            </w:r>
          </w:p>
        </w:tc>
        <w:tc>
          <w:tcPr>
            <w:tcW w:w="1242" w:type="pct"/>
            <w:vAlign w:val="center"/>
          </w:tcPr>
          <w:p w14:paraId="0977E7F5">
            <w:pPr>
              <w:keepNext w:val="0"/>
              <w:keepLines w:val="0"/>
              <w:widowControl/>
              <w:suppressLineNumbers w:val="0"/>
              <w:jc w:val="center"/>
              <w:textAlignment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0.18</w:t>
            </w:r>
          </w:p>
        </w:tc>
      </w:tr>
      <w:tr w14:paraId="6B8ABB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57" w:hRule="atLeast"/>
          <w:jc w:val="center"/>
        </w:trPr>
        <w:tc>
          <w:tcPr>
            <w:tcW w:w="1204" w:type="pct"/>
            <w:vAlign w:val="center"/>
          </w:tcPr>
          <w:p w14:paraId="777C5F1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石油类</w:t>
            </w:r>
          </w:p>
        </w:tc>
        <w:tc>
          <w:tcPr>
            <w:tcW w:w="1314" w:type="pct"/>
            <w:vAlign w:val="center"/>
          </w:tcPr>
          <w:p w14:paraId="552DFD13">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2"/>
                <w:szCs w:val="22"/>
                <w:u w:val="none"/>
                <w:lang w:val="en-US" w:eastAsia="zh-CN" w:bidi="ar"/>
              </w:rPr>
            </w:pPr>
            <w:r>
              <w:rPr>
                <w:rFonts w:hint="eastAsia" w:ascii="Times New Roman" w:hAnsi="Times New Roman" w:eastAsia="宋体" w:cs="Times New Roman"/>
                <w:i w:val="0"/>
                <w:iCs w:val="0"/>
                <w:snapToGrid w:val="0"/>
                <w:color w:val="auto"/>
                <w:kern w:val="0"/>
                <w:sz w:val="22"/>
                <w:szCs w:val="22"/>
                <w:u w:val="none"/>
                <w:lang w:val="en-US" w:eastAsia="zh-CN" w:bidi="ar"/>
              </w:rPr>
              <w:t>0.1</w:t>
            </w:r>
          </w:p>
        </w:tc>
        <w:tc>
          <w:tcPr>
            <w:tcW w:w="1239" w:type="pct"/>
            <w:vAlign w:val="center"/>
          </w:tcPr>
          <w:p w14:paraId="74700719">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2"/>
                <w:szCs w:val="22"/>
                <w:u w:val="none"/>
                <w:lang w:val="en-US" w:eastAsia="zh-CN" w:bidi="ar"/>
              </w:rPr>
            </w:pPr>
            <w:r>
              <w:rPr>
                <w:rFonts w:hint="eastAsia" w:ascii="Times New Roman" w:hAnsi="Times New Roman" w:eastAsia="宋体" w:cs="Times New Roman"/>
                <w:i w:val="0"/>
                <w:iCs w:val="0"/>
                <w:snapToGrid w:val="0"/>
                <w:color w:val="000000"/>
                <w:kern w:val="0"/>
                <w:sz w:val="22"/>
                <w:szCs w:val="22"/>
                <w:u w:val="none"/>
                <w:lang w:val="en-US" w:eastAsia="zh-CN" w:bidi="ar"/>
              </w:rPr>
              <w:t>0.1</w:t>
            </w:r>
          </w:p>
        </w:tc>
        <w:tc>
          <w:tcPr>
            <w:tcW w:w="1242" w:type="pct"/>
            <w:vAlign w:val="center"/>
          </w:tcPr>
          <w:p w14:paraId="14F4E58C">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kern w:val="0"/>
                <w:sz w:val="22"/>
                <w:szCs w:val="22"/>
                <w:u w:val="none"/>
                <w:lang w:val="en-US" w:eastAsia="zh-CN" w:bidi="ar"/>
              </w:rPr>
            </w:pPr>
            <w:r>
              <w:rPr>
                <w:rFonts w:hint="eastAsia" w:ascii="Times New Roman" w:hAnsi="Times New Roman" w:eastAsia="宋体" w:cs="Times New Roman"/>
                <w:i w:val="0"/>
                <w:iCs w:val="0"/>
                <w:snapToGrid w:val="0"/>
                <w:color w:val="000000"/>
                <w:kern w:val="0"/>
                <w:sz w:val="22"/>
                <w:szCs w:val="22"/>
                <w:u w:val="none"/>
                <w:lang w:val="en-US" w:eastAsia="zh-CN" w:bidi="ar"/>
              </w:rPr>
              <w:t>0.1</w:t>
            </w:r>
          </w:p>
        </w:tc>
      </w:tr>
    </w:tbl>
    <w:p w14:paraId="4F219A8B">
      <w:pPr>
        <w:keepNext w:val="0"/>
        <w:keepLines w:val="0"/>
        <w:pageBreakBefore w:val="0"/>
        <w:widowControl/>
        <w:kinsoku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注：检出限以下监测因子按检出限的二分之一评价</w:t>
      </w:r>
    </w:p>
    <w:p w14:paraId="6532273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由上表可知，</w:t>
      </w:r>
      <w:r>
        <w:rPr>
          <w:rFonts w:hint="default" w:ascii="Times New Roman" w:hAnsi="Times New Roman" w:cs="Times New Roman"/>
          <w:color w:val="auto"/>
          <w:sz w:val="24"/>
          <w:szCs w:val="24"/>
          <w:lang w:val="en-US" w:eastAsia="zh-CN"/>
        </w:rPr>
        <w:t>在监测时段内</w:t>
      </w:r>
      <w:r>
        <w:rPr>
          <w:rFonts w:hint="eastAsia" w:ascii="Times New Roman" w:hAnsi="Times New Roman" w:cs="Times New Roman"/>
          <w:color w:val="auto"/>
          <w:sz w:val="24"/>
          <w:szCs w:val="24"/>
          <w:lang w:val="en-US" w:eastAsia="zh-CN"/>
        </w:rPr>
        <w:t>1#、2#监测点</w:t>
      </w:r>
      <w:r>
        <w:rPr>
          <w:rFonts w:hint="default" w:ascii="Times New Roman" w:hAnsi="Times New Roman" w:cs="Times New Roman"/>
          <w:color w:val="auto"/>
          <w:sz w:val="24"/>
          <w:szCs w:val="24"/>
          <w:lang w:val="en-US" w:eastAsia="zh-CN"/>
        </w:rPr>
        <w:t>锰超标。其他监测因子指标均满足《地下水质量标准》（GB/T14848-2017）中的Ⅲ类标准限值要求</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石油类满足《地表水环境质量标准》（GB3838-2002）中Ⅲ类标准要求。超标原因为受原生地质环境影响所致。</w:t>
      </w:r>
    </w:p>
    <w:p w14:paraId="4A0DC42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b/>
          <w:bCs/>
          <w:color w:val="auto"/>
          <w:sz w:val="28"/>
          <w:szCs w:val="28"/>
          <w:lang w:val="en-US" w:eastAsia="zh-CN"/>
        </w:rPr>
      </w:pPr>
      <w:r>
        <w:rPr>
          <w:rFonts w:hint="default" w:ascii="Times New Roman" w:hAnsi="Times New Roman" w:cs="Times New Roman"/>
          <w:color w:val="auto"/>
          <w:sz w:val="24"/>
          <w:szCs w:val="24"/>
        </w:rPr>
        <w:t>4、地下水化学类型</w:t>
      </w:r>
    </w:p>
    <w:p w14:paraId="0F3E66D2">
      <w:pPr>
        <w:keepNext w:val="0"/>
        <w:keepLines w:val="0"/>
        <w:pageBreakBefore w:val="0"/>
        <w:widowControl/>
        <w:kinsoku w:val="0"/>
        <w:wordWrap/>
        <w:overflowPunct/>
        <w:topLinePunct w:val="0"/>
        <w:autoSpaceDE w:val="0"/>
        <w:autoSpaceDN w:val="0"/>
        <w:bidi w:val="0"/>
        <w:adjustRightInd w:val="0"/>
        <w:snapToGrid w:val="0"/>
        <w:spacing w:line="360" w:lineRule="auto"/>
        <w:ind w:firstLine="528" w:firstLineChars="200"/>
        <w:textAlignment w:val="baseline"/>
        <w:rPr>
          <w:rFonts w:hint="default" w:ascii="Times New Roman" w:hAnsi="Times New Roman" w:cs="Times New Roman"/>
          <w:color w:val="auto"/>
          <w:spacing w:val="12"/>
          <w:sz w:val="24"/>
          <w:szCs w:val="24"/>
        </w:rPr>
      </w:pPr>
      <w:r>
        <w:rPr>
          <w:rFonts w:hint="default" w:ascii="Times New Roman" w:hAnsi="Times New Roman" w:cs="Times New Roman"/>
          <w:color w:val="auto"/>
          <w:spacing w:val="12"/>
          <w:sz w:val="24"/>
          <w:szCs w:val="24"/>
        </w:rPr>
        <w:t>用舒卡列夫分类法对地下水化学类型进行评价，其主要作用有两点，一是查明地下水化学类型，二是查验检测结果的准确性。地下水化学类型的舒卡列夫分类是根据地下水中7种主要离子（Na</w:t>
      </w:r>
      <w:r>
        <w:rPr>
          <w:rFonts w:hint="default" w:ascii="Times New Roman" w:hAnsi="Times New Roman" w:cs="Times New Roman"/>
          <w:color w:val="auto"/>
          <w:spacing w:val="12"/>
          <w:sz w:val="24"/>
          <w:szCs w:val="24"/>
          <w:vertAlign w:val="superscript"/>
        </w:rPr>
        <w:t>+</w:t>
      </w:r>
      <w:r>
        <w:rPr>
          <w:rFonts w:hint="default" w:ascii="Times New Roman" w:hAnsi="Times New Roman" w:cs="Times New Roman"/>
          <w:color w:val="auto"/>
          <w:spacing w:val="12"/>
          <w:sz w:val="24"/>
          <w:szCs w:val="24"/>
        </w:rPr>
        <w:t>、C</w:t>
      </w:r>
      <w:r>
        <w:rPr>
          <w:rFonts w:hint="default" w:ascii="Times New Roman" w:hAnsi="Times New Roman" w:cs="Times New Roman"/>
          <w:color w:val="auto"/>
          <w:spacing w:val="12"/>
          <w:sz w:val="24"/>
          <w:szCs w:val="24"/>
          <w:vertAlign w:val="subscript"/>
        </w:rPr>
        <w:t>a</w:t>
      </w:r>
      <w:r>
        <w:rPr>
          <w:rFonts w:hint="default" w:ascii="Times New Roman" w:hAnsi="Times New Roman" w:cs="Times New Roman"/>
          <w:color w:val="auto"/>
          <w:spacing w:val="12"/>
          <w:sz w:val="24"/>
          <w:szCs w:val="24"/>
          <w:vertAlign w:val="superscript"/>
        </w:rPr>
        <w:t>2+</w:t>
      </w:r>
      <w:r>
        <w:rPr>
          <w:rFonts w:hint="default" w:ascii="Times New Roman" w:hAnsi="Times New Roman" w:cs="Times New Roman"/>
          <w:color w:val="auto"/>
          <w:spacing w:val="12"/>
          <w:sz w:val="24"/>
          <w:szCs w:val="24"/>
        </w:rPr>
        <w:t>、Mg</w:t>
      </w:r>
      <w:r>
        <w:rPr>
          <w:rFonts w:hint="default" w:ascii="Times New Roman" w:hAnsi="Times New Roman" w:cs="Times New Roman"/>
          <w:color w:val="auto"/>
          <w:spacing w:val="12"/>
          <w:sz w:val="24"/>
          <w:szCs w:val="24"/>
          <w:vertAlign w:val="superscript"/>
        </w:rPr>
        <w:t>2+</w:t>
      </w:r>
      <w:r>
        <w:rPr>
          <w:rFonts w:hint="default" w:ascii="Times New Roman" w:hAnsi="Times New Roman" w:cs="Times New Roman"/>
          <w:color w:val="auto"/>
          <w:spacing w:val="12"/>
          <w:sz w:val="24"/>
          <w:szCs w:val="24"/>
        </w:rPr>
        <w:t>、HCO</w:t>
      </w:r>
      <w:r>
        <w:rPr>
          <w:rFonts w:hint="default" w:ascii="Times New Roman" w:hAnsi="Times New Roman" w:cs="Times New Roman"/>
          <w:color w:val="auto"/>
          <w:spacing w:val="12"/>
          <w:sz w:val="24"/>
          <w:szCs w:val="24"/>
          <w:vertAlign w:val="subscript"/>
        </w:rPr>
        <w:t>3</w:t>
      </w:r>
      <w:r>
        <w:rPr>
          <w:rFonts w:hint="default" w:ascii="Times New Roman" w:hAnsi="Times New Roman" w:cs="Times New Roman"/>
          <w:color w:val="auto"/>
          <w:spacing w:val="12"/>
          <w:sz w:val="24"/>
          <w:szCs w:val="24"/>
          <w:vertAlign w:val="superscript"/>
        </w:rPr>
        <w:t>-</w:t>
      </w:r>
      <w:r>
        <w:rPr>
          <w:rFonts w:hint="default" w:ascii="Times New Roman" w:hAnsi="Times New Roman" w:cs="Times New Roman"/>
          <w:color w:val="auto"/>
          <w:spacing w:val="12"/>
          <w:sz w:val="24"/>
          <w:szCs w:val="24"/>
        </w:rPr>
        <w:t>、SO</w:t>
      </w:r>
      <w:r>
        <w:rPr>
          <w:rFonts w:hint="default" w:ascii="Times New Roman" w:hAnsi="Times New Roman" w:cs="Times New Roman"/>
          <w:color w:val="auto"/>
          <w:spacing w:val="12"/>
          <w:sz w:val="24"/>
          <w:szCs w:val="24"/>
          <w:vertAlign w:val="subscript"/>
        </w:rPr>
        <w:t>4</w:t>
      </w:r>
      <w:r>
        <w:rPr>
          <w:rFonts w:hint="default" w:ascii="Times New Roman" w:hAnsi="Times New Roman" w:cs="Times New Roman"/>
          <w:color w:val="auto"/>
          <w:spacing w:val="12"/>
          <w:sz w:val="24"/>
          <w:szCs w:val="24"/>
          <w:vertAlign w:val="superscript"/>
        </w:rPr>
        <w:t>2-</w:t>
      </w:r>
      <w:r>
        <w:rPr>
          <w:rFonts w:hint="default" w:ascii="Times New Roman" w:hAnsi="Times New Roman" w:cs="Times New Roman"/>
          <w:color w:val="auto"/>
          <w:spacing w:val="12"/>
          <w:sz w:val="24"/>
          <w:szCs w:val="24"/>
        </w:rPr>
        <w:t>、Cl</w:t>
      </w:r>
      <w:r>
        <w:rPr>
          <w:rFonts w:hint="default" w:ascii="Times New Roman" w:hAnsi="Times New Roman" w:cs="Times New Roman"/>
          <w:color w:val="auto"/>
          <w:spacing w:val="12"/>
          <w:sz w:val="24"/>
          <w:szCs w:val="24"/>
          <w:vertAlign w:val="superscript"/>
        </w:rPr>
        <w:t>-</w:t>
      </w:r>
      <w:r>
        <w:rPr>
          <w:rFonts w:hint="default" w:ascii="Times New Roman" w:hAnsi="Times New Roman" w:cs="Times New Roman"/>
          <w:color w:val="auto"/>
          <w:spacing w:val="12"/>
          <w:sz w:val="24"/>
          <w:szCs w:val="24"/>
        </w:rPr>
        <w:t>，K</w:t>
      </w:r>
      <w:r>
        <w:rPr>
          <w:rFonts w:hint="default" w:ascii="Times New Roman" w:hAnsi="Times New Roman" w:cs="Times New Roman"/>
          <w:color w:val="auto"/>
          <w:spacing w:val="12"/>
          <w:sz w:val="24"/>
          <w:szCs w:val="24"/>
          <w:vertAlign w:val="superscript"/>
        </w:rPr>
        <w:t>+</w:t>
      </w:r>
      <w:r>
        <w:rPr>
          <w:rFonts w:hint="default" w:ascii="Times New Roman" w:hAnsi="Times New Roman" w:cs="Times New Roman"/>
          <w:color w:val="auto"/>
          <w:spacing w:val="12"/>
          <w:sz w:val="24"/>
          <w:szCs w:val="24"/>
        </w:rPr>
        <w:t>合并于Na</w:t>
      </w:r>
      <w:r>
        <w:rPr>
          <w:rFonts w:hint="default" w:ascii="Times New Roman" w:hAnsi="Times New Roman" w:cs="Times New Roman"/>
          <w:color w:val="auto"/>
          <w:spacing w:val="12"/>
          <w:sz w:val="24"/>
          <w:szCs w:val="24"/>
          <w:vertAlign w:val="superscript"/>
        </w:rPr>
        <w:t>+</w:t>
      </w:r>
      <w:r>
        <w:rPr>
          <w:rFonts w:hint="default" w:ascii="Times New Roman" w:hAnsi="Times New Roman" w:cs="Times New Roman"/>
          <w:color w:val="auto"/>
          <w:spacing w:val="12"/>
          <w:sz w:val="24"/>
          <w:szCs w:val="24"/>
        </w:rPr>
        <w:t>）。具体步骤如下：</w:t>
      </w:r>
    </w:p>
    <w:p w14:paraId="3D56069C">
      <w:pPr>
        <w:keepNext w:val="0"/>
        <w:keepLines w:val="0"/>
        <w:pageBreakBefore w:val="0"/>
        <w:widowControl/>
        <w:kinsoku w:val="0"/>
        <w:wordWrap/>
        <w:overflowPunct/>
        <w:topLinePunct w:val="0"/>
        <w:autoSpaceDE w:val="0"/>
        <w:autoSpaceDN w:val="0"/>
        <w:bidi w:val="0"/>
        <w:adjustRightInd w:val="0"/>
        <w:snapToGrid w:val="0"/>
        <w:spacing w:line="360" w:lineRule="auto"/>
        <w:ind w:firstLine="528" w:firstLineChars="200"/>
        <w:textAlignment w:val="baseline"/>
        <w:rPr>
          <w:rFonts w:hint="default" w:ascii="Times New Roman" w:hAnsi="Times New Roman" w:cs="Times New Roman"/>
          <w:color w:val="auto"/>
          <w:spacing w:val="12"/>
          <w:sz w:val="24"/>
          <w:szCs w:val="24"/>
          <w:highlight w:val="yellow"/>
        </w:rPr>
      </w:pPr>
      <w:r>
        <w:rPr>
          <w:rFonts w:hint="default" w:ascii="Times New Roman" w:hAnsi="Times New Roman" w:cs="Times New Roman"/>
          <w:color w:val="auto"/>
          <w:spacing w:val="12"/>
          <w:sz w:val="24"/>
          <w:szCs w:val="24"/>
        </w:rPr>
        <w:t>将7种主要离子中含量大于25％毫克当量的阴离子和阳离子进行组合，可组合出49型水，并将每型用一个阿拉伯数字作为代号，见表4</w:t>
      </w:r>
      <w:r>
        <w:rPr>
          <w:rFonts w:hint="default" w:ascii="Times New Roman" w:hAnsi="Times New Roman" w:eastAsia="宋体" w:cs="Times New Roman"/>
          <w:color w:val="auto"/>
          <w:spacing w:val="12"/>
          <w:sz w:val="24"/>
          <w:szCs w:val="24"/>
          <w:lang w:val="en-US" w:eastAsia="zh-CN"/>
        </w:rPr>
        <w:t>.</w:t>
      </w:r>
      <w:r>
        <w:rPr>
          <w:rFonts w:hint="default" w:ascii="Times New Roman" w:hAnsi="Times New Roman" w:cs="Times New Roman"/>
          <w:color w:val="auto"/>
          <w:spacing w:val="12"/>
          <w:sz w:val="24"/>
          <w:szCs w:val="24"/>
        </w:rPr>
        <w:t>2-1</w:t>
      </w:r>
      <w:r>
        <w:rPr>
          <w:rFonts w:hint="eastAsia" w:ascii="Times New Roman" w:hAnsi="Times New Roman" w:eastAsia="宋体" w:cs="Times New Roman"/>
          <w:color w:val="auto"/>
          <w:spacing w:val="12"/>
          <w:sz w:val="24"/>
          <w:szCs w:val="24"/>
          <w:lang w:val="en-US" w:eastAsia="zh-CN"/>
        </w:rPr>
        <w:t>3</w:t>
      </w:r>
      <w:r>
        <w:rPr>
          <w:rFonts w:hint="default" w:ascii="Times New Roman" w:hAnsi="Times New Roman" w:cs="Times New Roman"/>
          <w:color w:val="auto"/>
          <w:spacing w:val="12"/>
          <w:sz w:val="24"/>
          <w:szCs w:val="24"/>
        </w:rPr>
        <w:t>。</w:t>
      </w:r>
    </w:p>
    <w:p w14:paraId="4F6E259C">
      <w:pPr>
        <w:adjustRightInd/>
        <w:snapToGrid/>
        <w:ind w:firstLine="0" w:firstLineChars="0"/>
        <w:jc w:val="center"/>
        <w:rPr>
          <w:rFonts w:hint="eastAsia" w:ascii="Times New Roman" w:hAnsi="Times New Roman" w:eastAsia="Arial" w:cs="Times New Roman"/>
          <w:b/>
          <w:bCs/>
          <w:snapToGrid w:val="0"/>
          <w:color w:val="auto"/>
          <w:kern w:val="0"/>
          <w:sz w:val="24"/>
          <w:szCs w:val="24"/>
          <w:highlight w:val="none"/>
          <w:lang w:val="en-US" w:eastAsia="zh-CN" w:bidi="ar-SA"/>
        </w:rPr>
      </w:pPr>
      <w:r>
        <w:rPr>
          <w:rFonts w:hint="eastAsia" w:ascii="Times New Roman" w:hAnsi="Times New Roman" w:eastAsia="Arial" w:cs="Times New Roman"/>
          <w:b/>
          <w:bCs/>
          <w:snapToGrid w:val="0"/>
          <w:color w:val="auto"/>
          <w:kern w:val="0"/>
          <w:sz w:val="24"/>
          <w:szCs w:val="24"/>
          <w:highlight w:val="none"/>
          <w:lang w:val="en-US" w:eastAsia="zh-CN" w:bidi="ar-SA"/>
        </w:rPr>
        <w:t>表4.2-1</w:t>
      </w:r>
      <w:r>
        <w:rPr>
          <w:rFonts w:hint="eastAsia" w:ascii="Times New Roman" w:hAnsi="Times New Roman" w:cs="Times New Roman"/>
          <w:b/>
          <w:bCs/>
          <w:snapToGrid w:val="0"/>
          <w:color w:val="auto"/>
          <w:kern w:val="0"/>
          <w:sz w:val="24"/>
          <w:szCs w:val="24"/>
          <w:highlight w:val="none"/>
          <w:lang w:val="en-US" w:eastAsia="zh-CN" w:bidi="ar-SA"/>
        </w:rPr>
        <w:t>3</w:t>
      </w:r>
      <w:r>
        <w:rPr>
          <w:rFonts w:hint="eastAsia" w:ascii="Times New Roman" w:hAnsi="Times New Roman" w:eastAsia="Arial" w:cs="Times New Roman"/>
          <w:b/>
          <w:bCs/>
          <w:snapToGrid w:val="0"/>
          <w:color w:val="auto"/>
          <w:kern w:val="0"/>
          <w:sz w:val="24"/>
          <w:szCs w:val="24"/>
          <w:highlight w:val="none"/>
          <w:lang w:val="en-US" w:eastAsia="zh-CN" w:bidi="ar-SA"/>
        </w:rPr>
        <w:t xml:space="preserve">  舒卡列夫分类图表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42"/>
        <w:gridCol w:w="854"/>
        <w:gridCol w:w="986"/>
        <w:gridCol w:w="987"/>
        <w:gridCol w:w="986"/>
        <w:gridCol w:w="989"/>
        <w:gridCol w:w="989"/>
        <w:gridCol w:w="989"/>
      </w:tblGrid>
      <w:tr w14:paraId="088A11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1" w:type="pct"/>
            <w:vAlign w:val="center"/>
          </w:tcPr>
          <w:p w14:paraId="468D8449">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超过25%毫克当量的离子</w:t>
            </w:r>
          </w:p>
        </w:tc>
        <w:tc>
          <w:tcPr>
            <w:tcW w:w="501" w:type="pct"/>
            <w:vAlign w:val="center"/>
          </w:tcPr>
          <w:p w14:paraId="320503C5">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HCO</w:t>
            </w:r>
            <w:r>
              <w:rPr>
                <w:rFonts w:hint="default" w:ascii="Times New Roman" w:hAnsi="Times New Roman" w:cs="Times New Roman"/>
                <w:snapToGrid w:val="0"/>
                <w:color w:val="auto"/>
                <w:spacing w:val="16"/>
                <w:sz w:val="21"/>
                <w:szCs w:val="21"/>
                <w:vertAlign w:val="superscript"/>
              </w:rPr>
              <w:t>3-</w:t>
            </w:r>
          </w:p>
        </w:tc>
        <w:tc>
          <w:tcPr>
            <w:tcW w:w="578" w:type="pct"/>
            <w:vAlign w:val="center"/>
          </w:tcPr>
          <w:p w14:paraId="45A420E3">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vertAlign w:val="superscript"/>
              </w:rPr>
            </w:pPr>
            <w:r>
              <w:rPr>
                <w:rFonts w:hint="default" w:ascii="Times New Roman" w:hAnsi="Times New Roman" w:cs="Times New Roman"/>
                <w:snapToGrid w:val="0"/>
                <w:color w:val="auto"/>
                <w:spacing w:val="16"/>
                <w:sz w:val="21"/>
                <w:szCs w:val="21"/>
              </w:rPr>
              <w:t>HCO</w:t>
            </w:r>
            <w:r>
              <w:rPr>
                <w:rFonts w:hint="default" w:ascii="Times New Roman" w:hAnsi="Times New Roman" w:cs="Times New Roman"/>
                <w:snapToGrid w:val="0"/>
                <w:color w:val="auto"/>
                <w:spacing w:val="16"/>
                <w:sz w:val="21"/>
                <w:szCs w:val="21"/>
                <w:vertAlign w:val="subscript"/>
              </w:rPr>
              <w:t>3</w:t>
            </w:r>
            <w:r>
              <w:rPr>
                <w:rFonts w:hint="default" w:ascii="Times New Roman" w:hAnsi="Times New Roman" w:cs="Times New Roman"/>
                <w:snapToGrid w:val="0"/>
                <w:color w:val="auto"/>
                <w:spacing w:val="16"/>
                <w:sz w:val="21"/>
                <w:szCs w:val="21"/>
                <w:vertAlign w:val="superscript"/>
              </w:rPr>
              <w:t>-</w:t>
            </w:r>
          </w:p>
          <w:p w14:paraId="62D60562">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SO</w:t>
            </w:r>
            <w:r>
              <w:rPr>
                <w:rFonts w:hint="default" w:ascii="Times New Roman" w:hAnsi="Times New Roman" w:cs="Times New Roman"/>
                <w:snapToGrid w:val="0"/>
                <w:color w:val="auto"/>
                <w:spacing w:val="16"/>
                <w:sz w:val="21"/>
                <w:szCs w:val="21"/>
                <w:vertAlign w:val="subscript"/>
              </w:rPr>
              <w:t>4</w:t>
            </w:r>
            <w:r>
              <w:rPr>
                <w:rFonts w:hint="default" w:ascii="Times New Roman" w:hAnsi="Times New Roman" w:cs="Times New Roman"/>
                <w:snapToGrid w:val="0"/>
                <w:color w:val="auto"/>
                <w:spacing w:val="16"/>
                <w:sz w:val="21"/>
                <w:szCs w:val="21"/>
                <w:vertAlign w:val="superscript"/>
              </w:rPr>
              <w:t>2-</w:t>
            </w:r>
          </w:p>
        </w:tc>
        <w:tc>
          <w:tcPr>
            <w:tcW w:w="579" w:type="pct"/>
            <w:vAlign w:val="center"/>
          </w:tcPr>
          <w:p w14:paraId="3763B9D6">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HCO</w:t>
            </w:r>
            <w:r>
              <w:rPr>
                <w:rFonts w:hint="default" w:ascii="Times New Roman" w:hAnsi="Times New Roman" w:cs="Times New Roman"/>
                <w:snapToGrid w:val="0"/>
                <w:color w:val="auto"/>
                <w:spacing w:val="16"/>
                <w:sz w:val="21"/>
                <w:szCs w:val="21"/>
                <w:vertAlign w:val="subscript"/>
              </w:rPr>
              <w:t>3</w:t>
            </w:r>
            <w:r>
              <w:rPr>
                <w:rFonts w:hint="default" w:ascii="Times New Roman" w:hAnsi="Times New Roman" w:cs="Times New Roman"/>
                <w:snapToGrid w:val="0"/>
                <w:color w:val="auto"/>
                <w:spacing w:val="16"/>
                <w:sz w:val="21"/>
                <w:szCs w:val="21"/>
                <w:vertAlign w:val="superscript"/>
              </w:rPr>
              <w:t>-</w:t>
            </w:r>
          </w:p>
          <w:p w14:paraId="04F49B2F">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SO</w:t>
            </w:r>
            <w:r>
              <w:rPr>
                <w:rFonts w:hint="default" w:ascii="Times New Roman" w:hAnsi="Times New Roman" w:cs="Times New Roman"/>
                <w:snapToGrid w:val="0"/>
                <w:color w:val="auto"/>
                <w:spacing w:val="16"/>
                <w:sz w:val="21"/>
                <w:szCs w:val="21"/>
                <w:vertAlign w:val="subscript"/>
              </w:rPr>
              <w:t>4</w:t>
            </w:r>
            <w:r>
              <w:rPr>
                <w:rFonts w:hint="default" w:ascii="Times New Roman" w:hAnsi="Times New Roman" w:cs="Times New Roman"/>
                <w:snapToGrid w:val="0"/>
                <w:color w:val="auto"/>
                <w:spacing w:val="16"/>
                <w:sz w:val="21"/>
                <w:szCs w:val="21"/>
                <w:vertAlign w:val="superscript"/>
              </w:rPr>
              <w:t>2-</w:t>
            </w:r>
          </w:p>
          <w:p w14:paraId="1ECBFD76">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Cl</w:t>
            </w:r>
            <w:r>
              <w:rPr>
                <w:rFonts w:hint="default" w:ascii="Times New Roman" w:hAnsi="Times New Roman" w:cs="Times New Roman"/>
                <w:snapToGrid w:val="0"/>
                <w:color w:val="auto"/>
                <w:spacing w:val="16"/>
                <w:sz w:val="21"/>
                <w:szCs w:val="21"/>
                <w:vertAlign w:val="superscript"/>
              </w:rPr>
              <w:t>-</w:t>
            </w:r>
          </w:p>
        </w:tc>
        <w:tc>
          <w:tcPr>
            <w:tcW w:w="578" w:type="pct"/>
            <w:vAlign w:val="center"/>
          </w:tcPr>
          <w:p w14:paraId="26E1A2F0">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vertAlign w:val="superscript"/>
              </w:rPr>
            </w:pPr>
            <w:r>
              <w:rPr>
                <w:rFonts w:hint="default" w:ascii="Times New Roman" w:hAnsi="Times New Roman" w:cs="Times New Roman"/>
                <w:snapToGrid w:val="0"/>
                <w:color w:val="auto"/>
                <w:spacing w:val="16"/>
                <w:sz w:val="21"/>
                <w:szCs w:val="21"/>
              </w:rPr>
              <w:t>HCO</w:t>
            </w:r>
            <w:r>
              <w:rPr>
                <w:rFonts w:hint="default" w:ascii="Times New Roman" w:hAnsi="Times New Roman" w:cs="Times New Roman"/>
                <w:snapToGrid w:val="0"/>
                <w:color w:val="auto"/>
                <w:spacing w:val="16"/>
                <w:sz w:val="21"/>
                <w:szCs w:val="21"/>
                <w:vertAlign w:val="subscript"/>
              </w:rPr>
              <w:t>3</w:t>
            </w:r>
            <w:r>
              <w:rPr>
                <w:rFonts w:hint="default" w:ascii="Times New Roman" w:hAnsi="Times New Roman" w:cs="Times New Roman"/>
                <w:snapToGrid w:val="0"/>
                <w:color w:val="auto"/>
                <w:spacing w:val="16"/>
                <w:sz w:val="21"/>
                <w:szCs w:val="21"/>
                <w:vertAlign w:val="superscript"/>
              </w:rPr>
              <w:t>-</w:t>
            </w:r>
          </w:p>
          <w:p w14:paraId="19BA9363">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Cl</w:t>
            </w:r>
            <w:r>
              <w:rPr>
                <w:rFonts w:hint="default" w:ascii="Times New Roman" w:hAnsi="Times New Roman" w:cs="Times New Roman"/>
                <w:snapToGrid w:val="0"/>
                <w:color w:val="auto"/>
                <w:spacing w:val="16"/>
                <w:sz w:val="21"/>
                <w:szCs w:val="21"/>
                <w:vertAlign w:val="superscript"/>
              </w:rPr>
              <w:t>-</w:t>
            </w:r>
          </w:p>
        </w:tc>
        <w:tc>
          <w:tcPr>
            <w:tcW w:w="580" w:type="pct"/>
            <w:vAlign w:val="center"/>
          </w:tcPr>
          <w:p w14:paraId="372CE517">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SO</w:t>
            </w:r>
            <w:r>
              <w:rPr>
                <w:rFonts w:hint="default" w:ascii="Times New Roman" w:hAnsi="Times New Roman" w:cs="Times New Roman"/>
                <w:snapToGrid w:val="0"/>
                <w:color w:val="auto"/>
                <w:spacing w:val="16"/>
                <w:sz w:val="21"/>
                <w:szCs w:val="21"/>
                <w:vertAlign w:val="subscript"/>
              </w:rPr>
              <w:t>4</w:t>
            </w:r>
            <w:r>
              <w:rPr>
                <w:rFonts w:hint="default" w:ascii="Times New Roman" w:hAnsi="Times New Roman" w:cs="Times New Roman"/>
                <w:snapToGrid w:val="0"/>
                <w:color w:val="auto"/>
                <w:spacing w:val="16"/>
                <w:sz w:val="21"/>
                <w:szCs w:val="21"/>
                <w:vertAlign w:val="superscript"/>
              </w:rPr>
              <w:t>2-</w:t>
            </w:r>
          </w:p>
        </w:tc>
        <w:tc>
          <w:tcPr>
            <w:tcW w:w="580" w:type="pct"/>
            <w:vAlign w:val="center"/>
          </w:tcPr>
          <w:p w14:paraId="476A411E">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SO</w:t>
            </w:r>
            <w:r>
              <w:rPr>
                <w:rFonts w:hint="default" w:ascii="Times New Roman" w:hAnsi="Times New Roman" w:cs="Times New Roman"/>
                <w:snapToGrid w:val="0"/>
                <w:color w:val="auto"/>
                <w:spacing w:val="16"/>
                <w:sz w:val="21"/>
                <w:szCs w:val="21"/>
                <w:vertAlign w:val="subscript"/>
              </w:rPr>
              <w:t>4</w:t>
            </w:r>
            <w:r>
              <w:rPr>
                <w:rFonts w:hint="default" w:ascii="Times New Roman" w:hAnsi="Times New Roman" w:cs="Times New Roman"/>
                <w:snapToGrid w:val="0"/>
                <w:color w:val="auto"/>
                <w:spacing w:val="16"/>
                <w:sz w:val="21"/>
                <w:szCs w:val="21"/>
                <w:vertAlign w:val="superscript"/>
              </w:rPr>
              <w:t>2-</w:t>
            </w:r>
          </w:p>
          <w:p w14:paraId="332BF499">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Cl</w:t>
            </w:r>
            <w:r>
              <w:rPr>
                <w:rFonts w:hint="default" w:ascii="Times New Roman" w:hAnsi="Times New Roman" w:cs="Times New Roman"/>
                <w:snapToGrid w:val="0"/>
                <w:color w:val="auto"/>
                <w:spacing w:val="16"/>
                <w:sz w:val="21"/>
                <w:szCs w:val="21"/>
                <w:vertAlign w:val="superscript"/>
              </w:rPr>
              <w:t>-</w:t>
            </w:r>
          </w:p>
        </w:tc>
        <w:tc>
          <w:tcPr>
            <w:tcW w:w="580" w:type="pct"/>
            <w:vAlign w:val="center"/>
          </w:tcPr>
          <w:p w14:paraId="31D007A9">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Cl</w:t>
            </w:r>
            <w:r>
              <w:rPr>
                <w:rFonts w:hint="default" w:ascii="Times New Roman" w:hAnsi="Times New Roman" w:cs="Times New Roman"/>
                <w:snapToGrid w:val="0"/>
                <w:color w:val="auto"/>
                <w:spacing w:val="16"/>
                <w:sz w:val="21"/>
                <w:szCs w:val="21"/>
                <w:vertAlign w:val="superscript"/>
              </w:rPr>
              <w:t>-</w:t>
            </w:r>
          </w:p>
        </w:tc>
      </w:tr>
      <w:tr w14:paraId="496211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1" w:type="pct"/>
            <w:vAlign w:val="center"/>
          </w:tcPr>
          <w:p w14:paraId="711ACB8F">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Ca</w:t>
            </w:r>
            <w:r>
              <w:rPr>
                <w:rFonts w:hint="default" w:ascii="Times New Roman" w:hAnsi="Times New Roman" w:cs="Times New Roman"/>
                <w:snapToGrid w:val="0"/>
                <w:color w:val="auto"/>
                <w:spacing w:val="16"/>
                <w:sz w:val="21"/>
                <w:szCs w:val="21"/>
                <w:vertAlign w:val="superscript"/>
              </w:rPr>
              <w:t>2+</w:t>
            </w:r>
          </w:p>
        </w:tc>
        <w:tc>
          <w:tcPr>
            <w:tcW w:w="501" w:type="pct"/>
            <w:vAlign w:val="center"/>
          </w:tcPr>
          <w:p w14:paraId="2A859674">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1</w:t>
            </w:r>
          </w:p>
        </w:tc>
        <w:tc>
          <w:tcPr>
            <w:tcW w:w="578" w:type="pct"/>
            <w:vAlign w:val="center"/>
          </w:tcPr>
          <w:p w14:paraId="0402C955">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8</w:t>
            </w:r>
          </w:p>
        </w:tc>
        <w:tc>
          <w:tcPr>
            <w:tcW w:w="579" w:type="pct"/>
            <w:vAlign w:val="center"/>
          </w:tcPr>
          <w:p w14:paraId="17C0568F">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15</w:t>
            </w:r>
          </w:p>
        </w:tc>
        <w:tc>
          <w:tcPr>
            <w:tcW w:w="578" w:type="pct"/>
            <w:vAlign w:val="center"/>
          </w:tcPr>
          <w:p w14:paraId="7CB08364">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22</w:t>
            </w:r>
          </w:p>
        </w:tc>
        <w:tc>
          <w:tcPr>
            <w:tcW w:w="580" w:type="pct"/>
            <w:vAlign w:val="center"/>
          </w:tcPr>
          <w:p w14:paraId="3B6F78CA">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29</w:t>
            </w:r>
          </w:p>
        </w:tc>
        <w:tc>
          <w:tcPr>
            <w:tcW w:w="580" w:type="pct"/>
            <w:vAlign w:val="center"/>
          </w:tcPr>
          <w:p w14:paraId="1D47958E">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36</w:t>
            </w:r>
          </w:p>
        </w:tc>
        <w:tc>
          <w:tcPr>
            <w:tcW w:w="580" w:type="pct"/>
            <w:vAlign w:val="center"/>
          </w:tcPr>
          <w:p w14:paraId="4BBCC677">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43</w:t>
            </w:r>
          </w:p>
        </w:tc>
      </w:tr>
      <w:tr w14:paraId="27F771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1" w:type="pct"/>
            <w:vAlign w:val="center"/>
          </w:tcPr>
          <w:p w14:paraId="78FFF858">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Ca</w:t>
            </w:r>
            <w:r>
              <w:rPr>
                <w:rFonts w:hint="default" w:ascii="Times New Roman" w:hAnsi="Times New Roman" w:cs="Times New Roman"/>
                <w:snapToGrid w:val="0"/>
                <w:color w:val="auto"/>
                <w:spacing w:val="16"/>
                <w:sz w:val="21"/>
                <w:szCs w:val="21"/>
                <w:vertAlign w:val="superscript"/>
              </w:rPr>
              <w:t>2+</w:t>
            </w:r>
            <w:r>
              <w:rPr>
                <w:rFonts w:hint="default" w:ascii="Times New Roman" w:hAnsi="Times New Roman" w:cs="Times New Roman"/>
                <w:snapToGrid w:val="0"/>
                <w:color w:val="auto"/>
                <w:spacing w:val="16"/>
                <w:sz w:val="21"/>
                <w:szCs w:val="21"/>
              </w:rPr>
              <w:t>-Mg</w:t>
            </w:r>
            <w:r>
              <w:rPr>
                <w:rFonts w:hint="default" w:ascii="Times New Roman" w:hAnsi="Times New Roman" w:cs="Times New Roman"/>
                <w:snapToGrid w:val="0"/>
                <w:color w:val="auto"/>
                <w:spacing w:val="16"/>
                <w:sz w:val="21"/>
                <w:szCs w:val="21"/>
                <w:vertAlign w:val="superscript"/>
              </w:rPr>
              <w:t>2+</w:t>
            </w:r>
          </w:p>
        </w:tc>
        <w:tc>
          <w:tcPr>
            <w:tcW w:w="501" w:type="pct"/>
            <w:vAlign w:val="center"/>
          </w:tcPr>
          <w:p w14:paraId="1E66C39F">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2</w:t>
            </w:r>
          </w:p>
        </w:tc>
        <w:tc>
          <w:tcPr>
            <w:tcW w:w="578" w:type="pct"/>
            <w:vAlign w:val="center"/>
          </w:tcPr>
          <w:p w14:paraId="46A35AC5">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9</w:t>
            </w:r>
          </w:p>
        </w:tc>
        <w:tc>
          <w:tcPr>
            <w:tcW w:w="579" w:type="pct"/>
            <w:vAlign w:val="center"/>
          </w:tcPr>
          <w:p w14:paraId="53E67F9B">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16</w:t>
            </w:r>
          </w:p>
        </w:tc>
        <w:tc>
          <w:tcPr>
            <w:tcW w:w="578" w:type="pct"/>
            <w:vAlign w:val="center"/>
          </w:tcPr>
          <w:p w14:paraId="7986889F">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23</w:t>
            </w:r>
          </w:p>
        </w:tc>
        <w:tc>
          <w:tcPr>
            <w:tcW w:w="580" w:type="pct"/>
            <w:vAlign w:val="center"/>
          </w:tcPr>
          <w:p w14:paraId="1C76EE08">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30</w:t>
            </w:r>
          </w:p>
        </w:tc>
        <w:tc>
          <w:tcPr>
            <w:tcW w:w="580" w:type="pct"/>
            <w:vAlign w:val="center"/>
          </w:tcPr>
          <w:p w14:paraId="548BB843">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37</w:t>
            </w:r>
          </w:p>
        </w:tc>
        <w:tc>
          <w:tcPr>
            <w:tcW w:w="580" w:type="pct"/>
            <w:vAlign w:val="center"/>
          </w:tcPr>
          <w:p w14:paraId="43A05892">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44</w:t>
            </w:r>
          </w:p>
        </w:tc>
      </w:tr>
      <w:tr w14:paraId="2CE702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1" w:type="pct"/>
            <w:vAlign w:val="center"/>
          </w:tcPr>
          <w:p w14:paraId="7F81E2B3">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Mg</w:t>
            </w:r>
            <w:r>
              <w:rPr>
                <w:rFonts w:hint="default" w:ascii="Times New Roman" w:hAnsi="Times New Roman" w:cs="Times New Roman"/>
                <w:snapToGrid w:val="0"/>
                <w:color w:val="auto"/>
                <w:spacing w:val="16"/>
                <w:sz w:val="21"/>
                <w:szCs w:val="21"/>
                <w:vertAlign w:val="superscript"/>
              </w:rPr>
              <w:t>2+</w:t>
            </w:r>
          </w:p>
        </w:tc>
        <w:tc>
          <w:tcPr>
            <w:tcW w:w="501" w:type="pct"/>
            <w:vAlign w:val="center"/>
          </w:tcPr>
          <w:p w14:paraId="40367954">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3</w:t>
            </w:r>
          </w:p>
        </w:tc>
        <w:tc>
          <w:tcPr>
            <w:tcW w:w="578" w:type="pct"/>
            <w:vAlign w:val="center"/>
          </w:tcPr>
          <w:p w14:paraId="1F413FC6">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10</w:t>
            </w:r>
          </w:p>
        </w:tc>
        <w:tc>
          <w:tcPr>
            <w:tcW w:w="579" w:type="pct"/>
            <w:vAlign w:val="center"/>
          </w:tcPr>
          <w:p w14:paraId="6B24C27E">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17</w:t>
            </w:r>
          </w:p>
        </w:tc>
        <w:tc>
          <w:tcPr>
            <w:tcW w:w="578" w:type="pct"/>
            <w:vAlign w:val="center"/>
          </w:tcPr>
          <w:p w14:paraId="7BE7A600">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24</w:t>
            </w:r>
          </w:p>
        </w:tc>
        <w:tc>
          <w:tcPr>
            <w:tcW w:w="580" w:type="pct"/>
            <w:vAlign w:val="center"/>
          </w:tcPr>
          <w:p w14:paraId="410B7DE6">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31</w:t>
            </w:r>
          </w:p>
        </w:tc>
        <w:tc>
          <w:tcPr>
            <w:tcW w:w="580" w:type="pct"/>
            <w:vAlign w:val="center"/>
          </w:tcPr>
          <w:p w14:paraId="0A1955D4">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38</w:t>
            </w:r>
          </w:p>
        </w:tc>
        <w:tc>
          <w:tcPr>
            <w:tcW w:w="580" w:type="pct"/>
            <w:vAlign w:val="center"/>
          </w:tcPr>
          <w:p w14:paraId="7969AA06">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45</w:t>
            </w:r>
          </w:p>
        </w:tc>
      </w:tr>
      <w:tr w14:paraId="206E37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1" w:type="pct"/>
            <w:vAlign w:val="center"/>
          </w:tcPr>
          <w:p w14:paraId="1A94F4BE">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Na</w:t>
            </w:r>
            <w:r>
              <w:rPr>
                <w:rFonts w:hint="default" w:ascii="Times New Roman" w:hAnsi="Times New Roman" w:cs="Times New Roman"/>
                <w:snapToGrid w:val="0"/>
                <w:color w:val="auto"/>
                <w:spacing w:val="16"/>
                <w:sz w:val="21"/>
                <w:szCs w:val="21"/>
                <w:vertAlign w:val="superscript"/>
              </w:rPr>
              <w:t>+</w:t>
            </w:r>
            <w:r>
              <w:rPr>
                <w:rFonts w:hint="default" w:ascii="Times New Roman" w:hAnsi="Times New Roman" w:cs="Times New Roman"/>
                <w:snapToGrid w:val="0"/>
                <w:color w:val="auto"/>
                <w:spacing w:val="16"/>
                <w:sz w:val="21"/>
                <w:szCs w:val="21"/>
              </w:rPr>
              <w:t>-Ca</w:t>
            </w:r>
            <w:r>
              <w:rPr>
                <w:rFonts w:hint="default" w:ascii="Times New Roman" w:hAnsi="Times New Roman" w:cs="Times New Roman"/>
                <w:snapToGrid w:val="0"/>
                <w:color w:val="auto"/>
                <w:spacing w:val="16"/>
                <w:sz w:val="21"/>
                <w:szCs w:val="21"/>
                <w:vertAlign w:val="superscript"/>
              </w:rPr>
              <w:t>2+</w:t>
            </w:r>
          </w:p>
        </w:tc>
        <w:tc>
          <w:tcPr>
            <w:tcW w:w="501" w:type="pct"/>
            <w:vAlign w:val="center"/>
          </w:tcPr>
          <w:p w14:paraId="249D8899">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4</w:t>
            </w:r>
          </w:p>
        </w:tc>
        <w:tc>
          <w:tcPr>
            <w:tcW w:w="578" w:type="pct"/>
            <w:vAlign w:val="center"/>
          </w:tcPr>
          <w:p w14:paraId="38A274AB">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11</w:t>
            </w:r>
          </w:p>
        </w:tc>
        <w:tc>
          <w:tcPr>
            <w:tcW w:w="579" w:type="pct"/>
            <w:vAlign w:val="center"/>
          </w:tcPr>
          <w:p w14:paraId="1E3F9202">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18</w:t>
            </w:r>
          </w:p>
        </w:tc>
        <w:tc>
          <w:tcPr>
            <w:tcW w:w="578" w:type="pct"/>
            <w:vAlign w:val="center"/>
          </w:tcPr>
          <w:p w14:paraId="47AFACB4">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25</w:t>
            </w:r>
          </w:p>
        </w:tc>
        <w:tc>
          <w:tcPr>
            <w:tcW w:w="580" w:type="pct"/>
            <w:vAlign w:val="center"/>
          </w:tcPr>
          <w:p w14:paraId="7B9EF409">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32</w:t>
            </w:r>
          </w:p>
        </w:tc>
        <w:tc>
          <w:tcPr>
            <w:tcW w:w="580" w:type="pct"/>
            <w:vAlign w:val="center"/>
          </w:tcPr>
          <w:p w14:paraId="224D1F57">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39</w:t>
            </w:r>
          </w:p>
        </w:tc>
        <w:tc>
          <w:tcPr>
            <w:tcW w:w="580" w:type="pct"/>
            <w:vAlign w:val="center"/>
          </w:tcPr>
          <w:p w14:paraId="3A2F075E">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46</w:t>
            </w:r>
          </w:p>
        </w:tc>
      </w:tr>
      <w:tr w14:paraId="74246F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1" w:type="pct"/>
            <w:vAlign w:val="center"/>
          </w:tcPr>
          <w:p w14:paraId="04F856C7">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Na</w:t>
            </w:r>
            <w:r>
              <w:rPr>
                <w:rFonts w:hint="default" w:ascii="Times New Roman" w:hAnsi="Times New Roman" w:cs="Times New Roman"/>
                <w:snapToGrid w:val="0"/>
                <w:color w:val="auto"/>
                <w:spacing w:val="16"/>
                <w:sz w:val="21"/>
                <w:szCs w:val="21"/>
                <w:vertAlign w:val="superscript"/>
              </w:rPr>
              <w:t>+</w:t>
            </w:r>
            <w:r>
              <w:rPr>
                <w:rFonts w:hint="default" w:ascii="Times New Roman" w:hAnsi="Times New Roman" w:cs="Times New Roman"/>
                <w:snapToGrid w:val="0"/>
                <w:color w:val="auto"/>
                <w:spacing w:val="16"/>
                <w:sz w:val="21"/>
                <w:szCs w:val="21"/>
              </w:rPr>
              <w:t>-Ca</w:t>
            </w:r>
            <w:r>
              <w:rPr>
                <w:rFonts w:hint="default" w:ascii="Times New Roman" w:hAnsi="Times New Roman" w:cs="Times New Roman"/>
                <w:snapToGrid w:val="0"/>
                <w:color w:val="auto"/>
                <w:spacing w:val="16"/>
                <w:sz w:val="21"/>
                <w:szCs w:val="21"/>
                <w:vertAlign w:val="superscript"/>
              </w:rPr>
              <w:t>2</w:t>
            </w:r>
            <w:r>
              <w:rPr>
                <w:rFonts w:hint="default" w:ascii="Times New Roman" w:hAnsi="Times New Roman" w:cs="Times New Roman"/>
                <w:snapToGrid w:val="0"/>
                <w:color w:val="auto"/>
                <w:spacing w:val="16"/>
                <w:sz w:val="21"/>
                <w:szCs w:val="21"/>
              </w:rPr>
              <w:t>+-Mg</w:t>
            </w:r>
            <w:r>
              <w:rPr>
                <w:rFonts w:hint="default" w:ascii="Times New Roman" w:hAnsi="Times New Roman" w:cs="Times New Roman"/>
                <w:snapToGrid w:val="0"/>
                <w:color w:val="auto"/>
                <w:spacing w:val="16"/>
                <w:sz w:val="21"/>
                <w:szCs w:val="21"/>
                <w:vertAlign w:val="superscript"/>
              </w:rPr>
              <w:t>2+</w:t>
            </w:r>
          </w:p>
        </w:tc>
        <w:tc>
          <w:tcPr>
            <w:tcW w:w="501" w:type="pct"/>
            <w:vAlign w:val="center"/>
          </w:tcPr>
          <w:p w14:paraId="61823DBB">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5</w:t>
            </w:r>
          </w:p>
        </w:tc>
        <w:tc>
          <w:tcPr>
            <w:tcW w:w="578" w:type="pct"/>
            <w:vAlign w:val="center"/>
          </w:tcPr>
          <w:p w14:paraId="5790DA6F">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12</w:t>
            </w:r>
          </w:p>
        </w:tc>
        <w:tc>
          <w:tcPr>
            <w:tcW w:w="579" w:type="pct"/>
            <w:vAlign w:val="center"/>
          </w:tcPr>
          <w:p w14:paraId="18228928">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19</w:t>
            </w:r>
          </w:p>
        </w:tc>
        <w:tc>
          <w:tcPr>
            <w:tcW w:w="578" w:type="pct"/>
            <w:vAlign w:val="center"/>
          </w:tcPr>
          <w:p w14:paraId="64CBE9C2">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26</w:t>
            </w:r>
          </w:p>
        </w:tc>
        <w:tc>
          <w:tcPr>
            <w:tcW w:w="580" w:type="pct"/>
            <w:vAlign w:val="center"/>
          </w:tcPr>
          <w:p w14:paraId="0CE51DDB">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33</w:t>
            </w:r>
          </w:p>
        </w:tc>
        <w:tc>
          <w:tcPr>
            <w:tcW w:w="580" w:type="pct"/>
            <w:vAlign w:val="center"/>
          </w:tcPr>
          <w:p w14:paraId="17199FE5">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40</w:t>
            </w:r>
          </w:p>
        </w:tc>
        <w:tc>
          <w:tcPr>
            <w:tcW w:w="580" w:type="pct"/>
            <w:vAlign w:val="center"/>
          </w:tcPr>
          <w:p w14:paraId="4AFD0DE6">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47</w:t>
            </w:r>
          </w:p>
        </w:tc>
      </w:tr>
      <w:tr w14:paraId="3BB005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1" w:type="pct"/>
            <w:vAlign w:val="center"/>
          </w:tcPr>
          <w:p w14:paraId="47C77BB1">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Na</w:t>
            </w:r>
            <w:r>
              <w:rPr>
                <w:rFonts w:hint="default" w:ascii="Times New Roman" w:hAnsi="Times New Roman" w:cs="Times New Roman"/>
                <w:snapToGrid w:val="0"/>
                <w:color w:val="auto"/>
                <w:spacing w:val="16"/>
                <w:sz w:val="21"/>
                <w:szCs w:val="21"/>
                <w:vertAlign w:val="superscript"/>
              </w:rPr>
              <w:t>+</w:t>
            </w:r>
            <w:r>
              <w:rPr>
                <w:rFonts w:hint="default" w:ascii="Times New Roman" w:hAnsi="Times New Roman" w:cs="Times New Roman"/>
                <w:snapToGrid w:val="0"/>
                <w:color w:val="auto"/>
                <w:spacing w:val="16"/>
                <w:sz w:val="21"/>
                <w:szCs w:val="21"/>
              </w:rPr>
              <w:t>-Mg</w:t>
            </w:r>
            <w:r>
              <w:rPr>
                <w:rFonts w:hint="default" w:ascii="Times New Roman" w:hAnsi="Times New Roman" w:cs="Times New Roman"/>
                <w:snapToGrid w:val="0"/>
                <w:color w:val="auto"/>
                <w:spacing w:val="16"/>
                <w:sz w:val="21"/>
                <w:szCs w:val="21"/>
                <w:vertAlign w:val="superscript"/>
              </w:rPr>
              <w:t>2+</w:t>
            </w:r>
          </w:p>
        </w:tc>
        <w:tc>
          <w:tcPr>
            <w:tcW w:w="501" w:type="pct"/>
            <w:vAlign w:val="center"/>
          </w:tcPr>
          <w:p w14:paraId="7CDD3291">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6</w:t>
            </w:r>
          </w:p>
        </w:tc>
        <w:tc>
          <w:tcPr>
            <w:tcW w:w="578" w:type="pct"/>
            <w:vAlign w:val="center"/>
          </w:tcPr>
          <w:p w14:paraId="66D811B3">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13</w:t>
            </w:r>
          </w:p>
        </w:tc>
        <w:tc>
          <w:tcPr>
            <w:tcW w:w="579" w:type="pct"/>
            <w:vAlign w:val="center"/>
          </w:tcPr>
          <w:p w14:paraId="137D0E0C">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20</w:t>
            </w:r>
          </w:p>
        </w:tc>
        <w:tc>
          <w:tcPr>
            <w:tcW w:w="578" w:type="pct"/>
            <w:vAlign w:val="center"/>
          </w:tcPr>
          <w:p w14:paraId="783D519F">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27</w:t>
            </w:r>
          </w:p>
        </w:tc>
        <w:tc>
          <w:tcPr>
            <w:tcW w:w="580" w:type="pct"/>
            <w:vAlign w:val="center"/>
          </w:tcPr>
          <w:p w14:paraId="2E15E466">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34</w:t>
            </w:r>
          </w:p>
        </w:tc>
        <w:tc>
          <w:tcPr>
            <w:tcW w:w="580" w:type="pct"/>
            <w:vAlign w:val="center"/>
          </w:tcPr>
          <w:p w14:paraId="3FD7015D">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41</w:t>
            </w:r>
          </w:p>
        </w:tc>
        <w:tc>
          <w:tcPr>
            <w:tcW w:w="580" w:type="pct"/>
            <w:vAlign w:val="center"/>
          </w:tcPr>
          <w:p w14:paraId="0BD0B5BD">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48</w:t>
            </w:r>
          </w:p>
        </w:tc>
      </w:tr>
      <w:tr w14:paraId="6E339E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1" w:type="pct"/>
            <w:vAlign w:val="center"/>
          </w:tcPr>
          <w:p w14:paraId="0AD599D8">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Na</w:t>
            </w:r>
            <w:r>
              <w:rPr>
                <w:rFonts w:hint="default" w:ascii="Times New Roman" w:hAnsi="Times New Roman" w:cs="Times New Roman"/>
                <w:snapToGrid w:val="0"/>
                <w:color w:val="auto"/>
                <w:spacing w:val="16"/>
                <w:sz w:val="21"/>
                <w:szCs w:val="21"/>
                <w:vertAlign w:val="superscript"/>
              </w:rPr>
              <w:t>+</w:t>
            </w:r>
          </w:p>
        </w:tc>
        <w:tc>
          <w:tcPr>
            <w:tcW w:w="501" w:type="pct"/>
            <w:vAlign w:val="center"/>
          </w:tcPr>
          <w:p w14:paraId="1CA07ED0">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7</w:t>
            </w:r>
          </w:p>
        </w:tc>
        <w:tc>
          <w:tcPr>
            <w:tcW w:w="578" w:type="pct"/>
            <w:vAlign w:val="center"/>
          </w:tcPr>
          <w:p w14:paraId="193DBCD4">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14</w:t>
            </w:r>
          </w:p>
        </w:tc>
        <w:tc>
          <w:tcPr>
            <w:tcW w:w="579" w:type="pct"/>
            <w:vAlign w:val="center"/>
          </w:tcPr>
          <w:p w14:paraId="6A1A9D96">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21</w:t>
            </w:r>
          </w:p>
        </w:tc>
        <w:tc>
          <w:tcPr>
            <w:tcW w:w="578" w:type="pct"/>
            <w:vAlign w:val="center"/>
          </w:tcPr>
          <w:p w14:paraId="21C0EA34">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28</w:t>
            </w:r>
          </w:p>
        </w:tc>
        <w:tc>
          <w:tcPr>
            <w:tcW w:w="580" w:type="pct"/>
            <w:vAlign w:val="center"/>
          </w:tcPr>
          <w:p w14:paraId="1FC4D435">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35</w:t>
            </w:r>
          </w:p>
        </w:tc>
        <w:tc>
          <w:tcPr>
            <w:tcW w:w="580" w:type="pct"/>
            <w:vAlign w:val="center"/>
          </w:tcPr>
          <w:p w14:paraId="1A8CEDF2">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42</w:t>
            </w:r>
          </w:p>
        </w:tc>
        <w:tc>
          <w:tcPr>
            <w:tcW w:w="580" w:type="pct"/>
            <w:vAlign w:val="center"/>
          </w:tcPr>
          <w:p w14:paraId="0F4CAB52">
            <w:pPr>
              <w:autoSpaceDE w:val="0"/>
              <w:autoSpaceDN w:val="0"/>
              <w:snapToGrid/>
              <w:spacing w:line="240" w:lineRule="auto"/>
              <w:ind w:firstLine="0" w:firstLineChars="0"/>
              <w:jc w:val="center"/>
              <w:textAlignment w:val="bottom"/>
              <w:rPr>
                <w:rFonts w:hint="default" w:ascii="Times New Roman" w:hAnsi="Times New Roman" w:cs="Times New Roman"/>
                <w:snapToGrid w:val="0"/>
                <w:color w:val="auto"/>
                <w:spacing w:val="16"/>
                <w:sz w:val="21"/>
                <w:szCs w:val="21"/>
              </w:rPr>
            </w:pPr>
            <w:r>
              <w:rPr>
                <w:rFonts w:hint="default" w:ascii="Times New Roman" w:hAnsi="Times New Roman" w:cs="Times New Roman"/>
                <w:snapToGrid w:val="0"/>
                <w:color w:val="auto"/>
                <w:spacing w:val="16"/>
                <w:sz w:val="21"/>
                <w:szCs w:val="21"/>
              </w:rPr>
              <w:t>49</w:t>
            </w:r>
          </w:p>
        </w:tc>
      </w:tr>
    </w:tbl>
    <w:p w14:paraId="594C6C49">
      <w:pPr>
        <w:pStyle w:val="71"/>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第一步，对水文资料进行整理：</w:t>
      </w:r>
    </w:p>
    <w:p w14:paraId="2DE0C113">
      <w:pPr>
        <w:pStyle w:val="71"/>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换算毫克/升为毫克当量/升及毫克当量百分数</w:t>
      </w:r>
    </w:p>
    <w:p w14:paraId="405881FF">
      <w:pPr>
        <w:pStyle w:val="71"/>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按照化学原理，毫克数与毫克当量数的关系如下式：</w:t>
      </w:r>
    </w:p>
    <w:p w14:paraId="0867C125">
      <w:pPr>
        <w:pStyle w:val="71"/>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离子的毫克当量数=</w:t>
      </w:r>
      <m:oMath>
        <m:f>
          <m:fPr>
            <m:ctrlPr>
              <w:rPr>
                <w:rFonts w:hint="default" w:ascii="Cambria Math" w:hAnsi="Cambria Math" w:eastAsia="宋体" w:cs="Times New Roman"/>
                <w:highlight w:val="none"/>
              </w:rPr>
            </m:ctrlPr>
          </m:fPr>
          <m:num>
            <m:r>
              <m:rPr>
                <m:nor/>
                <m:sty m:val="p"/>
              </m:rPr>
              <w:rPr>
                <w:rFonts w:hint="default" w:ascii="Times New Roman" w:hAnsi="Times New Roman" w:eastAsia="宋体" w:cs="Times New Roman"/>
                <w:b w:val="0"/>
                <w:i w:val="0"/>
                <w:highlight w:val="none"/>
              </w:rPr>
              <m:t>离子的毫克数</m:t>
            </m:r>
            <m:ctrlPr>
              <w:rPr>
                <w:rFonts w:hint="default" w:ascii="Cambria Math" w:hAnsi="Cambria Math" w:eastAsia="宋体" w:cs="Times New Roman"/>
                <w:highlight w:val="none"/>
              </w:rPr>
            </m:ctrlPr>
          </m:num>
          <m:den>
            <m:r>
              <m:rPr>
                <m:nor/>
                <m:sty m:val="p"/>
              </m:rPr>
              <w:rPr>
                <w:rFonts w:hint="default" w:ascii="Times New Roman" w:hAnsi="Times New Roman" w:eastAsia="宋体" w:cs="Times New Roman"/>
                <w:b w:val="0"/>
                <w:i w:val="0"/>
                <w:highlight w:val="none"/>
              </w:rPr>
              <m:t>离子的当量</m:t>
            </m:r>
            <m:ctrlPr>
              <w:rPr>
                <w:rFonts w:hint="default" w:ascii="Cambria Math" w:hAnsi="Cambria Math" w:eastAsia="宋体" w:cs="Times New Roman"/>
                <w:highlight w:val="none"/>
              </w:rPr>
            </m:ctrlPr>
          </m:den>
        </m:f>
      </m:oMath>
      <w:r>
        <w:rPr>
          <w:rFonts w:hint="default" w:ascii="Times New Roman" w:hAnsi="Times New Roman" w:eastAsia="宋体" w:cs="Times New Roman"/>
          <w:highlight w:val="none"/>
        </w:rPr>
        <w:t xml:space="preserve"> </w:t>
      </w:r>
    </w:p>
    <w:p w14:paraId="42047968">
      <w:pPr>
        <w:pStyle w:val="71"/>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知道了离子在水中的毫克当量数以后，则可根据下式计算其毫克当量百分数：</w:t>
      </w:r>
    </w:p>
    <w:p w14:paraId="41C8D3DB">
      <w:pPr>
        <w:pStyle w:val="71"/>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某阴离子的毫克当量百分数=</w:t>
      </w:r>
      <m:oMath>
        <m:f>
          <m:fPr>
            <m:ctrlPr>
              <w:rPr>
                <w:rFonts w:hint="default" w:ascii="Cambria Math" w:hAnsi="Cambria Math" w:eastAsia="宋体" w:cs="Times New Roman"/>
                <w:highlight w:val="none"/>
              </w:rPr>
            </m:ctrlPr>
          </m:fPr>
          <m:num>
            <m:r>
              <m:rPr>
                <m:nor/>
                <m:sty m:val="p"/>
              </m:rPr>
              <w:rPr>
                <w:rFonts w:hint="default" w:ascii="Times New Roman" w:hAnsi="Times New Roman" w:eastAsia="宋体" w:cs="Times New Roman"/>
                <w:b w:val="0"/>
                <w:i w:val="0"/>
                <w:highlight w:val="none"/>
              </w:rPr>
              <m:t>该离子毫克当量/升</m:t>
            </m:r>
            <m:ctrlPr>
              <w:rPr>
                <w:rFonts w:hint="default" w:ascii="Cambria Math" w:hAnsi="Cambria Math" w:eastAsia="宋体" w:cs="Times New Roman"/>
                <w:highlight w:val="none"/>
              </w:rPr>
            </m:ctrlPr>
          </m:num>
          <m:den>
            <m:r>
              <m:rPr>
                <m:nor/>
                <m:sty m:val="p"/>
              </m:rPr>
              <w:rPr>
                <w:rFonts w:hint="default" w:ascii="Times New Roman" w:hAnsi="Times New Roman" w:eastAsia="宋体" w:cs="Times New Roman"/>
                <w:b w:val="0"/>
                <w:i w:val="0"/>
                <w:highlight w:val="none"/>
              </w:rPr>
              <m:t>阴离子毫克当量总数/升</m:t>
            </m:r>
            <m:ctrlPr>
              <w:rPr>
                <w:rFonts w:hint="default" w:ascii="Cambria Math" w:hAnsi="Cambria Math" w:eastAsia="宋体" w:cs="Times New Roman"/>
                <w:highlight w:val="none"/>
              </w:rPr>
            </m:ctrlPr>
          </m:den>
        </m:f>
        <m:r>
          <m:rPr>
            <m:nor/>
            <m:sty m:val="p"/>
          </m:rPr>
          <w:rPr>
            <w:rFonts w:hint="default" w:ascii="Times New Roman" w:hAnsi="Times New Roman" w:eastAsia="宋体" w:cs="Times New Roman"/>
            <w:b w:val="0"/>
            <w:i w:val="0"/>
            <w:highlight w:val="none"/>
          </w:rPr>
          <m:t xml:space="preserve"> </m:t>
        </m:r>
      </m:oMath>
      <w:r>
        <w:rPr>
          <w:rFonts w:hint="default" w:ascii="Times New Roman" w:hAnsi="Times New Roman" w:eastAsia="宋体" w:cs="Times New Roman"/>
          <w:highlight w:val="none"/>
        </w:rPr>
        <w:t>×100%</w:t>
      </w:r>
    </w:p>
    <w:p w14:paraId="7E6E355C">
      <w:pPr>
        <w:pStyle w:val="71"/>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第二步，按矿化度（M）的大小划分为4组。</w:t>
      </w:r>
    </w:p>
    <w:p w14:paraId="04781EB6">
      <w:pPr>
        <w:pStyle w:val="71"/>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A组——M≤1.5g/L；</w:t>
      </w:r>
    </w:p>
    <w:p w14:paraId="41F6AE72">
      <w:pPr>
        <w:pStyle w:val="71"/>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B组——1.5＜M≤10g/L；</w:t>
      </w:r>
    </w:p>
    <w:p w14:paraId="37F364F4">
      <w:pPr>
        <w:pStyle w:val="71"/>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C组——10＜M≤40g/L；</w:t>
      </w:r>
    </w:p>
    <w:p w14:paraId="6149B28D">
      <w:pPr>
        <w:pStyle w:val="71"/>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D组——M＞40g/L。</w:t>
      </w:r>
    </w:p>
    <w:p w14:paraId="407A48C8">
      <w:pPr>
        <w:pStyle w:val="71"/>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矿化度的计算采用《用主要阴离子含量计算水的矿化度》（高仁先.山东省水利科学研究院），计算方法如下：</w:t>
      </w:r>
    </w:p>
    <w:p w14:paraId="5629D95A">
      <w:pPr>
        <w:pStyle w:val="71"/>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矿化度（g/L）=C（∑A）×MS</w:t>
      </w:r>
    </w:p>
    <w:p w14:paraId="6ADD2D9B">
      <w:pPr>
        <w:pStyle w:val="71"/>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SB=</w:t>
      </w:r>
      <m:oMath>
        <m:f>
          <m:fPr>
            <m:ctrlPr>
              <w:rPr>
                <w:rFonts w:hint="default" w:ascii="Cambria Math" w:hAnsi="Cambria Math" w:eastAsia="宋体" w:cs="Times New Roman"/>
                <w:highlight w:val="none"/>
              </w:rPr>
            </m:ctrlPr>
          </m:fPr>
          <m:num>
            <m:r>
              <m:rPr>
                <m:nor/>
                <m:sty m:val="p"/>
              </m:rPr>
              <w:rPr>
                <w:rFonts w:hint="default" w:ascii="Times New Roman" w:hAnsi="Times New Roman" w:eastAsia="宋体" w:cs="Times New Roman"/>
                <w:b w:val="0"/>
                <w:i w:val="0"/>
                <w:highlight w:val="none"/>
              </w:rPr>
              <m:t>C（</m:t>
            </m:r>
            <m:f>
              <m:fPr>
                <m:type m:val="skw"/>
                <m:ctrlPr>
                  <w:rPr>
                    <w:rFonts w:hint="default" w:ascii="Cambria Math" w:hAnsi="Cambria Math" w:eastAsia="宋体" w:cs="Times New Roman"/>
                    <w:highlight w:val="none"/>
                  </w:rPr>
                </m:ctrlPr>
              </m:fPr>
              <m:num>
                <m:r>
                  <m:rPr>
                    <m:nor/>
                    <m:sty m:val="p"/>
                  </m:rPr>
                  <w:rPr>
                    <w:rFonts w:hint="default" w:ascii="Times New Roman" w:hAnsi="Times New Roman" w:eastAsia="宋体" w:cs="Times New Roman"/>
                    <w:b w:val="0"/>
                    <w:i w:val="0"/>
                    <w:highlight w:val="none"/>
                  </w:rPr>
                  <m:t>1</m:t>
                </m:r>
                <m:ctrlPr>
                  <w:rPr>
                    <w:rFonts w:hint="default" w:ascii="Cambria Math" w:hAnsi="Cambria Math" w:eastAsia="宋体" w:cs="Times New Roman"/>
                    <w:highlight w:val="none"/>
                  </w:rPr>
                </m:ctrlPr>
              </m:num>
              <m:den>
                <m:r>
                  <m:rPr>
                    <m:nor/>
                    <m:sty m:val="p"/>
                  </m:rPr>
                  <w:rPr>
                    <w:rFonts w:hint="default" w:ascii="Times New Roman" w:hAnsi="Times New Roman" w:eastAsia="宋体" w:cs="Times New Roman"/>
                    <w:b w:val="0"/>
                    <w:i w:val="0"/>
                    <w:highlight w:val="none"/>
                  </w:rPr>
                  <m:t>2</m:t>
                </m:r>
                <m:ctrlPr>
                  <w:rPr>
                    <w:rFonts w:hint="default" w:ascii="Cambria Math" w:hAnsi="Cambria Math" w:eastAsia="宋体" w:cs="Times New Roman"/>
                    <w:highlight w:val="none"/>
                  </w:rPr>
                </m:ctrlPr>
              </m:den>
            </m:f>
            <m:sSubSup>
              <m:sSubSupPr>
                <m:ctrlPr>
                  <w:rPr>
                    <w:rFonts w:hint="default" w:ascii="Cambria Math" w:hAnsi="Cambria Math" w:eastAsia="宋体" w:cs="Times New Roman"/>
                    <w:highlight w:val="none"/>
                  </w:rPr>
                </m:ctrlPr>
              </m:sSubSupPr>
              <m:e>
                <m:r>
                  <m:rPr>
                    <m:nor/>
                    <m:sty m:val="p"/>
                  </m:rPr>
                  <w:rPr>
                    <w:rFonts w:hint="default" w:ascii="Times New Roman" w:hAnsi="Times New Roman" w:eastAsia="宋体" w:cs="Times New Roman"/>
                    <w:b w:val="0"/>
                    <w:i w:val="0"/>
                    <w:highlight w:val="none"/>
                  </w:rPr>
                  <m:t>SO</m:t>
                </m:r>
                <m:ctrlPr>
                  <w:rPr>
                    <w:rFonts w:hint="default" w:ascii="Cambria Math" w:hAnsi="Cambria Math" w:eastAsia="宋体" w:cs="Times New Roman"/>
                    <w:highlight w:val="none"/>
                  </w:rPr>
                </m:ctrlPr>
              </m:e>
              <m:sub>
                <m:r>
                  <m:rPr>
                    <m:nor/>
                    <m:sty m:val="p"/>
                  </m:rPr>
                  <w:rPr>
                    <w:rFonts w:hint="default" w:ascii="Times New Roman" w:hAnsi="Times New Roman" w:eastAsia="宋体" w:cs="Times New Roman"/>
                    <w:b w:val="0"/>
                    <w:i w:val="0"/>
                    <w:highlight w:val="none"/>
                  </w:rPr>
                  <m:t>4</m:t>
                </m:r>
                <m:ctrlPr>
                  <w:rPr>
                    <w:rFonts w:hint="default" w:ascii="Cambria Math" w:hAnsi="Cambria Math" w:eastAsia="宋体" w:cs="Times New Roman"/>
                    <w:highlight w:val="none"/>
                  </w:rPr>
                </m:ctrlPr>
              </m:sub>
              <m:sup>
                <m:r>
                  <m:rPr>
                    <m:nor/>
                    <m:sty m:val="p"/>
                  </m:rPr>
                  <w:rPr>
                    <w:rFonts w:hint="default" w:ascii="Times New Roman" w:hAnsi="Times New Roman" w:eastAsia="宋体" w:cs="Times New Roman"/>
                    <w:b w:val="0"/>
                    <w:i w:val="0"/>
                    <w:highlight w:val="none"/>
                  </w:rPr>
                  <m:t>2−</m:t>
                </m:r>
                <m:ctrlPr>
                  <w:rPr>
                    <w:rFonts w:hint="default" w:ascii="Cambria Math" w:hAnsi="Cambria Math" w:eastAsia="宋体" w:cs="Times New Roman"/>
                    <w:highlight w:val="none"/>
                  </w:rPr>
                </m:ctrlPr>
              </m:sup>
            </m:sSubSup>
            <m:r>
              <m:rPr>
                <m:nor/>
                <m:sty m:val="p"/>
              </m:rPr>
              <w:rPr>
                <w:rFonts w:hint="default" w:ascii="Times New Roman" w:hAnsi="Times New Roman" w:eastAsia="宋体" w:cs="Times New Roman"/>
                <w:b w:val="0"/>
                <w:i w:val="0"/>
                <w:highlight w:val="none"/>
              </w:rPr>
              <m:t>）</m:t>
            </m:r>
            <m:ctrlPr>
              <w:rPr>
                <w:rFonts w:hint="default" w:ascii="Cambria Math" w:hAnsi="Cambria Math" w:eastAsia="宋体" w:cs="Times New Roman"/>
                <w:highlight w:val="none"/>
              </w:rPr>
            </m:ctrlPr>
          </m:num>
          <m:den>
            <m:r>
              <m:rPr>
                <m:nor/>
                <m:sty m:val="p"/>
              </m:rPr>
              <w:rPr>
                <w:rFonts w:hint="default" w:ascii="Times New Roman" w:hAnsi="Times New Roman" w:eastAsia="宋体" w:cs="Times New Roman"/>
                <w:b w:val="0"/>
                <w:i w:val="0"/>
                <w:highlight w:val="none"/>
              </w:rPr>
              <m:t>C(∑A)</m:t>
            </m:r>
            <m:ctrlPr>
              <w:rPr>
                <w:rFonts w:hint="default" w:ascii="Cambria Math" w:hAnsi="Cambria Math" w:eastAsia="宋体" w:cs="Times New Roman"/>
                <w:highlight w:val="none"/>
              </w:rPr>
            </m:ctrlPr>
          </m:den>
        </m:f>
      </m:oMath>
      <w:r>
        <w:rPr>
          <w:rFonts w:hint="default" w:ascii="Times New Roman" w:hAnsi="Times New Roman" w:eastAsia="宋体" w:cs="Times New Roman"/>
          <w:highlight w:val="none"/>
        </w:rPr>
        <w:t>或</w:t>
      </w:r>
      <m:oMath>
        <m:f>
          <m:fPr>
            <m:ctrlPr>
              <w:rPr>
                <w:rFonts w:hint="default" w:ascii="Cambria Math" w:hAnsi="Cambria Math" w:eastAsia="宋体" w:cs="Times New Roman"/>
                <w:highlight w:val="none"/>
              </w:rPr>
            </m:ctrlPr>
          </m:fPr>
          <m:num>
            <m:r>
              <m:rPr>
                <m:nor/>
                <m:sty m:val="p"/>
              </m:rPr>
              <w:rPr>
                <w:rFonts w:hint="default" w:ascii="Times New Roman" w:hAnsi="Times New Roman" w:eastAsia="宋体" w:cs="Times New Roman"/>
                <w:b w:val="0"/>
                <w:i w:val="0"/>
                <w:highlight w:val="none"/>
              </w:rPr>
              <m:t>C</m:t>
            </m:r>
            <m:d>
              <m:dPr>
                <m:ctrlPr>
                  <w:rPr>
                    <w:rFonts w:hint="default" w:ascii="Cambria Math" w:hAnsi="Cambria Math" w:eastAsia="宋体" w:cs="Times New Roman"/>
                    <w:highlight w:val="none"/>
                  </w:rPr>
                </m:ctrlPr>
              </m:dPr>
              <m:e>
                <m:r>
                  <m:rPr>
                    <m:nor/>
                    <m:sty m:val="p"/>
                  </m:rPr>
                  <w:rPr>
                    <w:rFonts w:hint="default" w:ascii="Times New Roman" w:hAnsi="Times New Roman" w:eastAsia="宋体" w:cs="Times New Roman"/>
                    <w:b w:val="0"/>
                    <w:i w:val="0"/>
                    <w:highlight w:val="none"/>
                  </w:rPr>
                  <m:t>∑H</m:t>
                </m:r>
                <m:ctrlPr>
                  <w:rPr>
                    <w:rFonts w:hint="default" w:ascii="Cambria Math" w:hAnsi="Cambria Math" w:eastAsia="宋体" w:cs="Times New Roman"/>
                    <w:highlight w:val="none"/>
                  </w:rPr>
                </m:ctrlPr>
              </m:e>
            </m:d>
            <m:r>
              <m:rPr>
                <m:nor/>
                <m:sty m:val="p"/>
              </m:rPr>
              <w:rPr>
                <w:rFonts w:hint="default" w:ascii="Times New Roman" w:hAnsi="Times New Roman" w:eastAsia="宋体" w:cs="Times New Roman"/>
                <w:b w:val="0"/>
                <w:i w:val="0"/>
                <w:highlight w:val="none"/>
              </w:rPr>
              <m:t>−C(</m:t>
            </m:r>
            <m:sSup>
              <m:sSupPr>
                <m:ctrlPr>
                  <w:rPr>
                    <w:rFonts w:hint="default" w:ascii="Cambria Math" w:hAnsi="Cambria Math" w:eastAsia="宋体" w:cs="Times New Roman"/>
                    <w:highlight w:val="none"/>
                  </w:rPr>
                </m:ctrlPr>
              </m:sSupPr>
              <m:e>
                <m:r>
                  <m:rPr>
                    <m:nor/>
                    <m:sty m:val="p"/>
                  </m:rPr>
                  <w:rPr>
                    <w:rFonts w:hint="default" w:ascii="Times New Roman" w:hAnsi="Times New Roman" w:eastAsia="宋体" w:cs="Times New Roman"/>
                    <w:b w:val="0"/>
                    <w:i w:val="0"/>
                    <w:highlight w:val="none"/>
                  </w:rPr>
                  <m:t>Cl</m:t>
                </m:r>
                <m:ctrlPr>
                  <w:rPr>
                    <w:rFonts w:hint="default" w:ascii="Cambria Math" w:hAnsi="Cambria Math" w:eastAsia="宋体" w:cs="Times New Roman"/>
                    <w:highlight w:val="none"/>
                  </w:rPr>
                </m:ctrlPr>
              </m:e>
              <m:sup>
                <m:r>
                  <m:rPr>
                    <m:nor/>
                    <m:sty m:val="p"/>
                  </m:rPr>
                  <w:rPr>
                    <w:rFonts w:hint="default" w:ascii="Times New Roman" w:hAnsi="Times New Roman" w:eastAsia="宋体" w:cs="Times New Roman"/>
                    <w:b w:val="0"/>
                    <w:i w:val="0"/>
                    <w:highlight w:val="none"/>
                  </w:rPr>
                  <m:t>−</m:t>
                </m:r>
                <m:ctrlPr>
                  <w:rPr>
                    <w:rFonts w:hint="default" w:ascii="Cambria Math" w:hAnsi="Cambria Math" w:eastAsia="宋体" w:cs="Times New Roman"/>
                    <w:highlight w:val="none"/>
                  </w:rPr>
                </m:ctrlPr>
              </m:sup>
            </m:sSup>
            <m:r>
              <m:rPr>
                <m:nor/>
                <m:sty m:val="p"/>
              </m:rPr>
              <w:rPr>
                <w:rFonts w:hint="default" w:ascii="Times New Roman" w:hAnsi="Times New Roman" w:eastAsia="宋体" w:cs="Times New Roman"/>
                <w:b w:val="0"/>
                <w:i w:val="0"/>
                <w:highlight w:val="none"/>
              </w:rPr>
              <m:t>)</m:t>
            </m:r>
            <m:ctrlPr>
              <w:rPr>
                <w:rFonts w:hint="default" w:ascii="Cambria Math" w:hAnsi="Cambria Math" w:eastAsia="宋体" w:cs="Times New Roman"/>
                <w:highlight w:val="none"/>
              </w:rPr>
            </m:ctrlPr>
          </m:num>
          <m:den>
            <m:r>
              <m:rPr>
                <m:nor/>
                <m:sty m:val="p"/>
              </m:rPr>
              <w:rPr>
                <w:rFonts w:hint="default" w:ascii="Times New Roman" w:hAnsi="Times New Roman" w:eastAsia="宋体" w:cs="Times New Roman"/>
                <w:b w:val="0"/>
                <w:i w:val="0"/>
                <w:highlight w:val="none"/>
              </w:rPr>
              <m:t>C(∑A)</m:t>
            </m:r>
            <m:ctrlPr>
              <w:rPr>
                <w:rFonts w:hint="default" w:ascii="Cambria Math" w:hAnsi="Cambria Math" w:eastAsia="宋体" w:cs="Times New Roman"/>
                <w:highlight w:val="none"/>
              </w:rPr>
            </m:ctrlPr>
          </m:den>
        </m:f>
      </m:oMath>
    </w:p>
    <w:p w14:paraId="21F43D9F">
      <w:pPr>
        <w:pStyle w:val="71"/>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HCB=</w:t>
      </w:r>
      <m:oMath>
        <m:r>
          <m:rPr>
            <m:nor/>
            <m:sty m:val="p"/>
          </m:rPr>
          <w:rPr>
            <w:rFonts w:hint="default" w:ascii="Times New Roman" w:hAnsi="Times New Roman" w:eastAsia="宋体" w:cs="Times New Roman"/>
            <w:b w:val="0"/>
            <w:i w:val="0"/>
            <w:highlight w:val="none"/>
          </w:rPr>
          <m:t xml:space="preserve"> </m:t>
        </m:r>
        <m:f>
          <m:fPr>
            <m:ctrlPr>
              <w:rPr>
                <w:rFonts w:hint="default" w:ascii="Cambria Math" w:hAnsi="Cambria Math" w:eastAsia="宋体" w:cs="Times New Roman"/>
                <w:highlight w:val="none"/>
              </w:rPr>
            </m:ctrlPr>
          </m:fPr>
          <m:num>
            <m:r>
              <m:rPr>
                <m:nor/>
                <m:sty m:val="p"/>
              </m:rPr>
              <w:rPr>
                <w:rFonts w:hint="default" w:ascii="Times New Roman" w:hAnsi="Times New Roman" w:eastAsia="宋体" w:cs="Times New Roman"/>
                <w:b w:val="0"/>
                <w:i w:val="0"/>
                <w:highlight w:val="none"/>
              </w:rPr>
              <m:t>C(</m:t>
            </m:r>
            <m:sSubSup>
              <m:sSubSupPr>
                <m:ctrlPr>
                  <w:rPr>
                    <w:rFonts w:hint="default" w:ascii="Cambria Math" w:hAnsi="Cambria Math" w:eastAsia="宋体" w:cs="Times New Roman"/>
                    <w:highlight w:val="none"/>
                  </w:rPr>
                </m:ctrlPr>
              </m:sSubSupPr>
              <m:e>
                <m:r>
                  <m:rPr>
                    <m:nor/>
                    <m:sty m:val="p"/>
                  </m:rPr>
                  <w:rPr>
                    <w:rFonts w:hint="default" w:ascii="Times New Roman" w:hAnsi="Times New Roman" w:eastAsia="宋体" w:cs="Times New Roman"/>
                    <w:b w:val="0"/>
                    <w:i w:val="0"/>
                    <w:highlight w:val="none"/>
                  </w:rPr>
                  <m:t>HCO</m:t>
                </m:r>
                <m:ctrlPr>
                  <w:rPr>
                    <w:rFonts w:hint="default" w:ascii="Cambria Math" w:hAnsi="Cambria Math" w:eastAsia="宋体" w:cs="Times New Roman"/>
                    <w:highlight w:val="none"/>
                  </w:rPr>
                </m:ctrlPr>
              </m:e>
              <m:sub>
                <m:r>
                  <m:rPr>
                    <m:nor/>
                    <m:sty m:val="p"/>
                  </m:rPr>
                  <w:rPr>
                    <w:rFonts w:hint="default" w:ascii="Times New Roman" w:hAnsi="Times New Roman" w:eastAsia="宋体" w:cs="Times New Roman"/>
                    <w:b w:val="0"/>
                    <w:i w:val="0"/>
                    <w:highlight w:val="none"/>
                  </w:rPr>
                  <m:t>3</m:t>
                </m:r>
                <m:ctrlPr>
                  <w:rPr>
                    <w:rFonts w:hint="default" w:ascii="Cambria Math" w:hAnsi="Cambria Math" w:eastAsia="宋体" w:cs="Times New Roman"/>
                    <w:highlight w:val="none"/>
                  </w:rPr>
                </m:ctrlPr>
              </m:sub>
              <m:sup>
                <m:r>
                  <m:rPr>
                    <m:nor/>
                    <m:sty m:val="p"/>
                  </m:rPr>
                  <w:rPr>
                    <w:rFonts w:hint="default" w:ascii="Times New Roman" w:hAnsi="Times New Roman" w:eastAsia="宋体" w:cs="Times New Roman"/>
                    <w:b w:val="0"/>
                    <w:i w:val="0"/>
                    <w:highlight w:val="none"/>
                  </w:rPr>
                  <m:t>−</m:t>
                </m:r>
                <m:ctrlPr>
                  <w:rPr>
                    <w:rFonts w:hint="default" w:ascii="Cambria Math" w:hAnsi="Cambria Math" w:eastAsia="宋体" w:cs="Times New Roman"/>
                    <w:highlight w:val="none"/>
                  </w:rPr>
                </m:ctrlPr>
              </m:sup>
            </m:sSubSup>
            <m:r>
              <m:rPr>
                <m:nor/>
                <m:sty m:val="p"/>
              </m:rPr>
              <w:rPr>
                <w:rFonts w:hint="default" w:ascii="Times New Roman" w:hAnsi="Times New Roman" w:eastAsia="宋体" w:cs="Times New Roman"/>
                <w:b w:val="0"/>
                <w:i w:val="0"/>
                <w:highlight w:val="none"/>
              </w:rPr>
              <m:t>)</m:t>
            </m:r>
            <m:ctrlPr>
              <w:rPr>
                <w:rFonts w:hint="default" w:ascii="Cambria Math" w:hAnsi="Cambria Math" w:eastAsia="宋体" w:cs="Times New Roman"/>
                <w:highlight w:val="none"/>
              </w:rPr>
            </m:ctrlPr>
          </m:num>
          <m:den>
            <m:r>
              <m:rPr>
                <m:nor/>
                <m:sty m:val="p"/>
              </m:rPr>
              <w:rPr>
                <w:rFonts w:hint="default" w:ascii="Times New Roman" w:hAnsi="Times New Roman" w:eastAsia="宋体" w:cs="Times New Roman"/>
                <w:b w:val="0"/>
                <w:i w:val="0"/>
                <w:highlight w:val="none"/>
              </w:rPr>
              <m:t>C</m:t>
            </m:r>
            <m:d>
              <m:dPr>
                <m:ctrlPr>
                  <w:rPr>
                    <w:rFonts w:hint="default" w:ascii="Cambria Math" w:hAnsi="Cambria Math" w:eastAsia="宋体" w:cs="Times New Roman"/>
                    <w:highlight w:val="none"/>
                  </w:rPr>
                </m:ctrlPr>
              </m:dPr>
              <m:e>
                <m:f>
                  <m:fPr>
                    <m:type m:val="skw"/>
                    <m:ctrlPr>
                      <w:rPr>
                        <w:rFonts w:hint="default" w:ascii="Cambria Math" w:hAnsi="Cambria Math" w:eastAsia="宋体" w:cs="Times New Roman"/>
                        <w:highlight w:val="none"/>
                      </w:rPr>
                    </m:ctrlPr>
                  </m:fPr>
                  <m:num>
                    <m:r>
                      <m:rPr>
                        <m:nor/>
                        <m:sty m:val="p"/>
                      </m:rPr>
                      <w:rPr>
                        <w:rFonts w:hint="default" w:ascii="Times New Roman" w:hAnsi="Times New Roman" w:eastAsia="宋体" w:cs="Times New Roman"/>
                        <w:b w:val="0"/>
                        <w:i w:val="0"/>
                        <w:highlight w:val="none"/>
                      </w:rPr>
                      <m:t>1</m:t>
                    </m:r>
                    <m:ctrlPr>
                      <w:rPr>
                        <w:rFonts w:hint="default" w:ascii="Cambria Math" w:hAnsi="Cambria Math" w:eastAsia="宋体" w:cs="Times New Roman"/>
                        <w:highlight w:val="none"/>
                      </w:rPr>
                    </m:ctrlPr>
                  </m:num>
                  <m:den>
                    <m:r>
                      <m:rPr>
                        <m:nor/>
                        <m:sty m:val="p"/>
                      </m:rPr>
                      <w:rPr>
                        <w:rFonts w:hint="default" w:ascii="Times New Roman" w:hAnsi="Times New Roman" w:eastAsia="宋体" w:cs="Times New Roman"/>
                        <w:b w:val="0"/>
                        <w:i w:val="0"/>
                        <w:highlight w:val="none"/>
                      </w:rPr>
                      <m:t>2</m:t>
                    </m:r>
                    <m:ctrlPr>
                      <w:rPr>
                        <w:rFonts w:hint="default" w:ascii="Cambria Math" w:hAnsi="Cambria Math" w:eastAsia="宋体" w:cs="Times New Roman"/>
                        <w:highlight w:val="none"/>
                      </w:rPr>
                    </m:ctrlPr>
                  </m:den>
                </m:f>
                <m:sSubSup>
                  <m:sSubSupPr>
                    <m:ctrlPr>
                      <w:rPr>
                        <w:rFonts w:hint="default" w:ascii="Cambria Math" w:hAnsi="Cambria Math" w:eastAsia="宋体" w:cs="Times New Roman"/>
                        <w:highlight w:val="none"/>
                      </w:rPr>
                    </m:ctrlPr>
                  </m:sSubSupPr>
                  <m:e>
                    <m:r>
                      <m:rPr>
                        <m:nor/>
                        <m:sty m:val="p"/>
                      </m:rPr>
                      <w:rPr>
                        <w:rFonts w:hint="default" w:ascii="Times New Roman" w:hAnsi="Times New Roman" w:eastAsia="宋体" w:cs="Times New Roman"/>
                        <w:b w:val="0"/>
                        <w:i w:val="0"/>
                        <w:highlight w:val="none"/>
                      </w:rPr>
                      <m:t>CO</m:t>
                    </m:r>
                    <m:ctrlPr>
                      <w:rPr>
                        <w:rFonts w:hint="default" w:ascii="Cambria Math" w:hAnsi="Cambria Math" w:eastAsia="宋体" w:cs="Times New Roman"/>
                        <w:highlight w:val="none"/>
                      </w:rPr>
                    </m:ctrlPr>
                  </m:e>
                  <m:sub>
                    <m:r>
                      <m:rPr>
                        <m:nor/>
                        <m:sty m:val="p"/>
                      </m:rPr>
                      <w:rPr>
                        <w:rFonts w:hint="default" w:ascii="Times New Roman" w:hAnsi="Times New Roman" w:eastAsia="宋体" w:cs="Times New Roman"/>
                        <w:b w:val="0"/>
                        <w:i w:val="0"/>
                        <w:highlight w:val="none"/>
                      </w:rPr>
                      <m:t>3</m:t>
                    </m:r>
                    <m:ctrlPr>
                      <w:rPr>
                        <w:rFonts w:hint="default" w:ascii="Cambria Math" w:hAnsi="Cambria Math" w:eastAsia="宋体" w:cs="Times New Roman"/>
                        <w:highlight w:val="none"/>
                      </w:rPr>
                    </m:ctrlPr>
                  </m:sub>
                  <m:sup>
                    <m:r>
                      <m:rPr>
                        <m:nor/>
                        <m:sty m:val="p"/>
                      </m:rPr>
                      <w:rPr>
                        <w:rFonts w:hint="default" w:ascii="Times New Roman" w:hAnsi="Times New Roman" w:eastAsia="宋体" w:cs="Times New Roman"/>
                        <w:b w:val="0"/>
                        <w:i w:val="0"/>
                        <w:highlight w:val="none"/>
                      </w:rPr>
                      <m:t>2−</m:t>
                    </m:r>
                    <m:ctrlPr>
                      <w:rPr>
                        <w:rFonts w:hint="default" w:ascii="Cambria Math" w:hAnsi="Cambria Math" w:eastAsia="宋体" w:cs="Times New Roman"/>
                        <w:highlight w:val="none"/>
                      </w:rPr>
                    </m:ctrlPr>
                  </m:sup>
                </m:sSubSup>
                <m:ctrlPr>
                  <w:rPr>
                    <w:rFonts w:hint="default" w:ascii="Cambria Math" w:hAnsi="Cambria Math" w:eastAsia="宋体" w:cs="Times New Roman"/>
                    <w:highlight w:val="none"/>
                  </w:rPr>
                </m:ctrlPr>
              </m:e>
            </m:d>
            <m:r>
              <m:rPr>
                <m:nor/>
                <m:sty m:val="p"/>
              </m:rPr>
              <w:rPr>
                <w:rFonts w:hint="default" w:ascii="Times New Roman" w:hAnsi="Times New Roman" w:eastAsia="宋体" w:cs="Times New Roman"/>
                <w:b w:val="0"/>
                <w:i w:val="0"/>
                <w:highlight w:val="none"/>
              </w:rPr>
              <m:t>+C(</m:t>
            </m:r>
            <m:sSup>
              <m:sSupPr>
                <m:ctrlPr>
                  <w:rPr>
                    <w:rFonts w:hint="default" w:ascii="Cambria Math" w:hAnsi="Cambria Math" w:eastAsia="宋体" w:cs="Times New Roman"/>
                    <w:highlight w:val="none"/>
                  </w:rPr>
                </m:ctrlPr>
              </m:sSupPr>
              <m:e>
                <m:r>
                  <m:rPr>
                    <m:nor/>
                    <m:sty m:val="p"/>
                  </m:rPr>
                  <w:rPr>
                    <w:rFonts w:hint="default" w:ascii="Times New Roman" w:hAnsi="Times New Roman" w:eastAsia="宋体" w:cs="Times New Roman"/>
                    <w:b w:val="0"/>
                    <w:i w:val="0"/>
                    <w:highlight w:val="none"/>
                  </w:rPr>
                  <m:t>Cl</m:t>
                </m:r>
                <m:ctrlPr>
                  <w:rPr>
                    <w:rFonts w:hint="default" w:ascii="Cambria Math" w:hAnsi="Cambria Math" w:eastAsia="宋体" w:cs="Times New Roman"/>
                    <w:highlight w:val="none"/>
                  </w:rPr>
                </m:ctrlPr>
              </m:e>
              <m:sup>
                <m:r>
                  <m:rPr>
                    <m:nor/>
                    <m:sty m:val="p"/>
                  </m:rPr>
                  <w:rPr>
                    <w:rFonts w:hint="default" w:ascii="Times New Roman" w:hAnsi="Times New Roman" w:eastAsia="宋体" w:cs="Times New Roman"/>
                    <w:b w:val="0"/>
                    <w:i w:val="0"/>
                    <w:highlight w:val="none"/>
                  </w:rPr>
                  <m:t>−</m:t>
                </m:r>
                <m:ctrlPr>
                  <w:rPr>
                    <w:rFonts w:hint="default" w:ascii="Cambria Math" w:hAnsi="Cambria Math" w:eastAsia="宋体" w:cs="Times New Roman"/>
                    <w:highlight w:val="none"/>
                  </w:rPr>
                </m:ctrlPr>
              </m:sup>
            </m:sSup>
            <m:r>
              <m:rPr>
                <m:nor/>
                <m:sty m:val="p"/>
              </m:rPr>
              <w:rPr>
                <w:rFonts w:hint="default" w:ascii="Times New Roman" w:hAnsi="Times New Roman" w:eastAsia="宋体" w:cs="Times New Roman"/>
                <w:b w:val="0"/>
                <w:i w:val="0"/>
                <w:highlight w:val="none"/>
              </w:rPr>
              <m:t>)</m:t>
            </m:r>
            <m:ctrlPr>
              <w:rPr>
                <w:rFonts w:hint="default" w:ascii="Cambria Math" w:hAnsi="Cambria Math" w:eastAsia="宋体" w:cs="Times New Roman"/>
                <w:highlight w:val="none"/>
              </w:rPr>
            </m:ctrlPr>
          </m:den>
        </m:f>
      </m:oMath>
    </w:p>
    <w:p w14:paraId="341B5EDE">
      <w:pPr>
        <w:pStyle w:val="71"/>
        <w:bidi w:val="0"/>
        <w:rPr>
          <w:rFonts w:hint="default" w:ascii="Times New Roman" w:hAnsi="Times New Roman" w:eastAsia="宋体" w:cs="Times New Roman"/>
          <w:highlight w:val="none"/>
        </w:rPr>
      </w:pPr>
      <w:r>
        <w:rPr>
          <w:rFonts w:hint="default" w:ascii="Times New Roman" w:hAnsi="Times New Roman" w:eastAsia="宋体" w:cs="Times New Roman"/>
          <w:highlight w:val="none"/>
        </w:rPr>
        <w:t>注：Ms是在计算出SB值和HCB值后查表</w:t>
      </w:r>
      <w:r>
        <w:rPr>
          <w:rFonts w:hint="default" w:ascii="Times New Roman" w:hAnsi="Times New Roman" w:cs="Times New Roman"/>
          <w:lang w:eastAsia="zh-CN"/>
        </w:rPr>
        <w:t>4.</w:t>
      </w:r>
      <w:r>
        <w:rPr>
          <w:rFonts w:hint="eastAsia" w:ascii="Times New Roman" w:hAnsi="Times New Roman" w:cs="Times New Roman"/>
          <w:lang w:val="en-US" w:eastAsia="zh-CN"/>
        </w:rPr>
        <w:t>2</w:t>
      </w:r>
      <w:r>
        <w:rPr>
          <w:rFonts w:hint="default" w:ascii="Times New Roman" w:hAnsi="Times New Roman" w:cs="Times New Roman"/>
          <w:lang w:eastAsia="zh-CN"/>
        </w:rPr>
        <w:t>-</w:t>
      </w:r>
      <w:r>
        <w:rPr>
          <w:rFonts w:hint="default" w:ascii="Times New Roman" w:hAnsi="Times New Roman" w:cs="Times New Roman"/>
          <w:highlight w:val="none"/>
          <w:lang w:val="en-US" w:eastAsia="zh-CN"/>
        </w:rPr>
        <w:t>14</w:t>
      </w:r>
      <w:r>
        <w:rPr>
          <w:rFonts w:hint="default" w:ascii="Times New Roman" w:hAnsi="Times New Roman" w:eastAsia="宋体" w:cs="Times New Roman"/>
          <w:highlight w:val="none"/>
        </w:rPr>
        <w:t>中查得。</w:t>
      </w:r>
    </w:p>
    <w:p w14:paraId="0E76C76B">
      <w:pPr>
        <w:adjustRightInd/>
        <w:snapToGrid/>
        <w:ind w:firstLine="0" w:firstLineChars="0"/>
        <w:jc w:val="center"/>
        <w:rPr>
          <w:rFonts w:hint="default" w:ascii="Times New Roman" w:hAnsi="Times New Roman" w:eastAsia="Arial" w:cs="Times New Roman"/>
          <w:b/>
          <w:bCs/>
          <w:snapToGrid w:val="0"/>
          <w:color w:val="auto"/>
          <w:kern w:val="0"/>
          <w:sz w:val="24"/>
          <w:szCs w:val="24"/>
          <w:highlight w:val="none"/>
          <w:lang w:val="en-US" w:eastAsia="zh-CN" w:bidi="ar-SA"/>
        </w:rPr>
      </w:pPr>
      <w:r>
        <w:rPr>
          <w:rFonts w:hint="default" w:ascii="Times New Roman" w:hAnsi="Times New Roman" w:eastAsia="Arial" w:cs="Times New Roman"/>
          <w:b/>
          <w:bCs/>
          <w:snapToGrid w:val="0"/>
          <w:color w:val="auto"/>
          <w:kern w:val="0"/>
          <w:sz w:val="24"/>
          <w:szCs w:val="24"/>
          <w:highlight w:val="none"/>
          <w:lang w:val="en-US" w:eastAsia="zh-CN" w:bidi="ar-SA"/>
        </w:rPr>
        <w:t>表4.</w:t>
      </w:r>
      <w:r>
        <w:rPr>
          <w:rFonts w:hint="eastAsia" w:ascii="Times New Roman" w:hAnsi="Times New Roman" w:cs="Times New Roman"/>
          <w:b/>
          <w:bCs/>
          <w:snapToGrid w:val="0"/>
          <w:color w:val="auto"/>
          <w:kern w:val="0"/>
          <w:sz w:val="24"/>
          <w:szCs w:val="24"/>
          <w:highlight w:val="none"/>
          <w:lang w:val="en-US" w:eastAsia="zh-CN" w:bidi="ar-SA"/>
        </w:rPr>
        <w:t>2</w:t>
      </w:r>
      <w:r>
        <w:rPr>
          <w:rFonts w:hint="default" w:ascii="Times New Roman" w:hAnsi="Times New Roman" w:eastAsia="Arial" w:cs="Times New Roman"/>
          <w:b/>
          <w:bCs/>
          <w:snapToGrid w:val="0"/>
          <w:color w:val="auto"/>
          <w:kern w:val="0"/>
          <w:sz w:val="24"/>
          <w:szCs w:val="24"/>
          <w:highlight w:val="none"/>
          <w:lang w:val="en-US" w:eastAsia="zh-CN" w:bidi="ar-SA"/>
        </w:rPr>
        <w:t>-14 SB、HCB、Ms关系表</w:t>
      </w:r>
    </w:p>
    <w:p w14:paraId="3B0DE187">
      <w:pPr>
        <w:keepNext w:val="0"/>
        <w:keepLines w:val="0"/>
        <w:pageBreakBefore w:val="0"/>
        <w:widowControl/>
        <w:kinsoku w:val="0"/>
        <w:wordWrap/>
        <w:overflowPunct/>
        <w:topLinePunct w:val="0"/>
        <w:autoSpaceDE w:val="0"/>
        <w:autoSpaceDN w:val="0"/>
        <w:bidi w:val="0"/>
        <w:adjustRightInd w:val="0"/>
        <w:snapToGrid w:val="0"/>
        <w:ind w:firstLine="0" w:firstLineChars="0"/>
        <w:jc w:val="center"/>
        <w:textAlignment w:val="baseline"/>
        <w:rPr>
          <w:rFonts w:hint="default" w:ascii="Times New Roman" w:hAnsi="Times New Roman" w:eastAsia="宋体" w:cs="Times New Roman"/>
          <w:highlight w:val="none"/>
        </w:rPr>
      </w:pPr>
      <w:r>
        <w:rPr>
          <w:rFonts w:hint="default" w:ascii="Times New Roman" w:hAnsi="Times New Roman" w:eastAsia="宋体" w:cs="Times New Roman"/>
          <w:highlight w:val="none"/>
        </w:rPr>
        <w:drawing>
          <wp:inline distT="0" distB="0" distL="0" distR="0">
            <wp:extent cx="4097655" cy="2320925"/>
            <wp:effectExtent l="0" t="0" r="17145" b="3175"/>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4097655" cy="2320925"/>
                    </a:xfrm>
                    <a:prstGeom prst="rect">
                      <a:avLst/>
                    </a:prstGeom>
                    <a:noFill/>
                    <a:ln>
                      <a:noFill/>
                    </a:ln>
                  </pic:spPr>
                </pic:pic>
              </a:graphicData>
            </a:graphic>
          </wp:inline>
        </w:drawing>
      </w:r>
    </w:p>
    <w:p w14:paraId="2E526F93">
      <w:pPr>
        <w:pStyle w:val="71"/>
        <w:bidi w:val="0"/>
        <w:rPr>
          <w:rFonts w:hint="default" w:ascii="Times New Roman" w:hAnsi="Times New Roman" w:cs="Times New Roman"/>
          <w:color w:val="FF0000"/>
          <w:spacing w:val="12"/>
          <w:sz w:val="24"/>
          <w:szCs w:val="24"/>
        </w:rPr>
      </w:pPr>
      <w:r>
        <w:rPr>
          <w:rFonts w:hint="default" w:ascii="Times New Roman" w:hAnsi="Times New Roman" w:eastAsia="宋体" w:cs="Times New Roman"/>
          <w:highlight w:val="none"/>
        </w:rPr>
        <w:t>第三步，将地下水化学类型用阿拉伯数字（1～49）与字母（A、B、C或D）组合在一起的表达式表示。</w:t>
      </w:r>
    </w:p>
    <w:p w14:paraId="2D2D55CA">
      <w:pPr>
        <w:keepNext w:val="0"/>
        <w:keepLines w:val="0"/>
        <w:pageBreakBefore w:val="0"/>
        <w:widowControl/>
        <w:kinsoku w:val="0"/>
        <w:wordWrap/>
        <w:overflowPunct/>
        <w:topLinePunct w:val="0"/>
        <w:autoSpaceDE w:val="0"/>
        <w:autoSpaceDN w:val="0"/>
        <w:bidi w:val="0"/>
        <w:adjustRightInd w:val="0"/>
        <w:snapToGrid w:val="0"/>
        <w:spacing w:line="360" w:lineRule="auto"/>
        <w:ind w:firstLine="528" w:firstLineChars="200"/>
        <w:textAlignment w:val="baseline"/>
        <w:rPr>
          <w:rFonts w:hint="default" w:ascii="Times New Roman" w:hAnsi="Times New Roman" w:cs="Times New Roman"/>
          <w:color w:val="auto"/>
          <w:spacing w:val="12"/>
          <w:sz w:val="24"/>
          <w:szCs w:val="24"/>
        </w:rPr>
      </w:pPr>
      <w:r>
        <w:rPr>
          <w:rFonts w:hint="default" w:ascii="Times New Roman" w:hAnsi="Times New Roman" w:cs="Times New Roman"/>
          <w:color w:val="auto"/>
          <w:spacing w:val="12"/>
          <w:sz w:val="24"/>
          <w:szCs w:val="24"/>
        </w:rPr>
        <w:t>离子毫克当量百分比计算结果见表4</w:t>
      </w:r>
      <w:r>
        <w:rPr>
          <w:rFonts w:hint="eastAsia" w:ascii="Times New Roman" w:hAnsi="Times New Roman" w:eastAsia="宋体" w:cs="Times New Roman"/>
          <w:color w:val="auto"/>
          <w:spacing w:val="12"/>
          <w:sz w:val="24"/>
          <w:szCs w:val="24"/>
          <w:lang w:val="en-US" w:eastAsia="zh-CN"/>
        </w:rPr>
        <w:t>.</w:t>
      </w:r>
      <w:r>
        <w:rPr>
          <w:rFonts w:hint="default" w:ascii="Times New Roman" w:hAnsi="Times New Roman" w:cs="Times New Roman"/>
          <w:color w:val="auto"/>
          <w:spacing w:val="12"/>
          <w:sz w:val="24"/>
          <w:szCs w:val="24"/>
        </w:rPr>
        <w:t>2-1</w:t>
      </w:r>
      <w:r>
        <w:rPr>
          <w:rFonts w:hint="eastAsia" w:ascii="Times New Roman" w:hAnsi="Times New Roman" w:eastAsia="宋体" w:cs="Times New Roman"/>
          <w:color w:val="auto"/>
          <w:spacing w:val="12"/>
          <w:sz w:val="24"/>
          <w:szCs w:val="24"/>
          <w:lang w:val="en-US" w:eastAsia="zh-CN"/>
        </w:rPr>
        <w:t>5</w:t>
      </w:r>
      <w:r>
        <w:rPr>
          <w:rFonts w:hint="default" w:ascii="Times New Roman" w:hAnsi="Times New Roman" w:cs="Times New Roman"/>
          <w:color w:val="auto"/>
          <w:spacing w:val="12"/>
          <w:sz w:val="24"/>
          <w:szCs w:val="24"/>
        </w:rPr>
        <w:t>。</w:t>
      </w:r>
    </w:p>
    <w:p w14:paraId="4794C71F">
      <w:pPr>
        <w:adjustRightInd/>
        <w:snapToGrid/>
        <w:ind w:firstLine="0" w:firstLineChars="0"/>
        <w:jc w:val="center"/>
        <w:rPr>
          <w:b/>
          <w:bCs/>
          <w:color w:val="auto"/>
          <w:sz w:val="21"/>
          <w:szCs w:val="21"/>
          <w:highlight w:val="yellow"/>
        </w:rPr>
      </w:pPr>
      <w:r>
        <w:rPr>
          <w:rFonts w:hint="eastAsia" w:ascii="Times New Roman" w:hAnsi="Times New Roman" w:eastAsia="Arial" w:cs="Times New Roman"/>
          <w:b/>
          <w:bCs/>
          <w:snapToGrid w:val="0"/>
          <w:color w:val="auto"/>
          <w:kern w:val="0"/>
          <w:sz w:val="24"/>
          <w:szCs w:val="24"/>
          <w:highlight w:val="none"/>
          <w:lang w:val="en-US" w:eastAsia="zh-CN" w:bidi="ar-SA"/>
        </w:rPr>
        <w:t>表4</w:t>
      </w:r>
      <w:r>
        <w:rPr>
          <w:rFonts w:hint="eastAsia" w:ascii="Times New Roman" w:hAnsi="Times New Roman" w:cs="Times New Roman"/>
          <w:b/>
          <w:bCs/>
          <w:snapToGrid w:val="0"/>
          <w:color w:val="auto"/>
          <w:kern w:val="0"/>
          <w:sz w:val="24"/>
          <w:szCs w:val="24"/>
          <w:highlight w:val="none"/>
          <w:lang w:val="en-US" w:eastAsia="zh-CN" w:bidi="ar-SA"/>
        </w:rPr>
        <w:t>.</w:t>
      </w:r>
      <w:r>
        <w:rPr>
          <w:rFonts w:hint="eastAsia" w:ascii="Times New Roman" w:hAnsi="Times New Roman" w:eastAsia="Arial" w:cs="Times New Roman"/>
          <w:b/>
          <w:bCs/>
          <w:snapToGrid w:val="0"/>
          <w:color w:val="auto"/>
          <w:kern w:val="0"/>
          <w:sz w:val="24"/>
          <w:szCs w:val="24"/>
          <w:highlight w:val="none"/>
          <w:lang w:val="en-US" w:eastAsia="zh-CN" w:bidi="ar-SA"/>
        </w:rPr>
        <w:t>2-1</w:t>
      </w:r>
      <w:r>
        <w:rPr>
          <w:rFonts w:hint="eastAsia" w:ascii="Times New Roman" w:hAnsi="Times New Roman" w:cs="Times New Roman"/>
          <w:b/>
          <w:bCs/>
          <w:snapToGrid w:val="0"/>
          <w:color w:val="auto"/>
          <w:kern w:val="0"/>
          <w:sz w:val="24"/>
          <w:szCs w:val="24"/>
          <w:highlight w:val="none"/>
          <w:lang w:val="en-US" w:eastAsia="zh-CN" w:bidi="ar-SA"/>
        </w:rPr>
        <w:t>5</w:t>
      </w:r>
      <w:r>
        <w:rPr>
          <w:rFonts w:hint="eastAsia" w:ascii="Times New Roman" w:hAnsi="Times New Roman" w:eastAsia="Arial" w:cs="Times New Roman"/>
          <w:b/>
          <w:bCs/>
          <w:snapToGrid w:val="0"/>
          <w:color w:val="auto"/>
          <w:kern w:val="0"/>
          <w:sz w:val="24"/>
          <w:szCs w:val="24"/>
          <w:highlight w:val="none"/>
          <w:lang w:val="en-US" w:eastAsia="zh-CN" w:bidi="ar-SA"/>
        </w:rPr>
        <w:t xml:space="preserve">  离子毫克当量百分比计算结果</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1"/>
        <w:gridCol w:w="1706"/>
        <w:gridCol w:w="1703"/>
        <w:gridCol w:w="1704"/>
        <w:gridCol w:w="1705"/>
      </w:tblGrid>
      <w:tr w14:paraId="12354E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9" w:type="pct"/>
            <w:gridSpan w:val="2"/>
            <w:tcBorders>
              <w:tl2br w:val="nil"/>
              <w:tr2bl w:val="nil"/>
            </w:tcBorders>
            <w:noWrap w:val="0"/>
            <w:vAlign w:val="center"/>
          </w:tcPr>
          <w:p w14:paraId="7E36FC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kern w:val="0"/>
                <w:sz w:val="21"/>
                <w:szCs w:val="21"/>
                <w:highlight w:val="none"/>
              </w:rPr>
              <w:t>1#</w:t>
            </w:r>
            <w:r>
              <w:rPr>
                <w:rFonts w:ascii="Times New Roman" w:hAnsi="Times New Roman"/>
                <w:color w:val="auto"/>
                <w:sz w:val="21"/>
                <w:szCs w:val="21"/>
                <w:highlight w:val="none"/>
              </w:rPr>
              <w:t>离子</w:t>
            </w:r>
          </w:p>
        </w:tc>
        <w:tc>
          <w:tcPr>
            <w:tcW w:w="999" w:type="pct"/>
            <w:tcBorders>
              <w:tl2br w:val="nil"/>
              <w:tr2bl w:val="nil"/>
            </w:tcBorders>
            <w:noWrap w:val="0"/>
            <w:vAlign w:val="center"/>
          </w:tcPr>
          <w:p w14:paraId="191DFF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mg/L</w:t>
            </w:r>
          </w:p>
        </w:tc>
        <w:tc>
          <w:tcPr>
            <w:tcW w:w="1000" w:type="pct"/>
            <w:tcBorders>
              <w:tl2br w:val="nil"/>
              <w:tr2bl w:val="nil"/>
            </w:tcBorders>
            <w:noWrap w:val="0"/>
            <w:vAlign w:val="center"/>
          </w:tcPr>
          <w:p w14:paraId="02A428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meq/L</w:t>
            </w:r>
          </w:p>
        </w:tc>
        <w:tc>
          <w:tcPr>
            <w:tcW w:w="1000" w:type="pct"/>
            <w:tcBorders>
              <w:tl2br w:val="nil"/>
              <w:tr2bl w:val="nil"/>
            </w:tcBorders>
            <w:noWrap w:val="0"/>
            <w:vAlign w:val="center"/>
          </w:tcPr>
          <w:p w14:paraId="115D55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meq%</w:t>
            </w:r>
          </w:p>
        </w:tc>
      </w:tr>
      <w:tr w14:paraId="4472F3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998" w:type="pct"/>
            <w:vMerge w:val="restart"/>
            <w:tcBorders>
              <w:tl2br w:val="nil"/>
              <w:tr2bl w:val="nil"/>
            </w:tcBorders>
            <w:noWrap w:val="0"/>
            <w:vAlign w:val="center"/>
          </w:tcPr>
          <w:p w14:paraId="2926A7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阳离子</w:t>
            </w:r>
          </w:p>
        </w:tc>
        <w:tc>
          <w:tcPr>
            <w:tcW w:w="1001" w:type="pct"/>
            <w:tcBorders>
              <w:tl2br w:val="nil"/>
              <w:tr2bl w:val="nil"/>
            </w:tcBorders>
            <w:noWrap w:val="0"/>
            <w:vAlign w:val="center"/>
          </w:tcPr>
          <w:p w14:paraId="091B81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K</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center"/>
          </w:tcPr>
          <w:p w14:paraId="69BCED7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20.4</w:t>
            </w:r>
          </w:p>
        </w:tc>
        <w:tc>
          <w:tcPr>
            <w:tcW w:w="1704" w:type="dxa"/>
            <w:tcBorders>
              <w:tl2br w:val="nil"/>
              <w:tr2bl w:val="nil"/>
            </w:tcBorders>
            <w:noWrap w:val="0"/>
            <w:vAlign w:val="center"/>
          </w:tcPr>
          <w:p w14:paraId="6E9D715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0.5</w:t>
            </w:r>
          </w:p>
        </w:tc>
        <w:tc>
          <w:tcPr>
            <w:tcW w:w="1705" w:type="dxa"/>
            <w:tcBorders>
              <w:tl2br w:val="nil"/>
              <w:tr2bl w:val="nil"/>
            </w:tcBorders>
            <w:noWrap w:val="0"/>
            <w:vAlign w:val="center"/>
          </w:tcPr>
          <w:p w14:paraId="5F46698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11.9</w:t>
            </w:r>
          </w:p>
        </w:tc>
      </w:tr>
      <w:tr w14:paraId="0B3780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 w:hRule="atLeast"/>
          <w:jc w:val="center"/>
        </w:trPr>
        <w:tc>
          <w:tcPr>
            <w:tcW w:w="998" w:type="pct"/>
            <w:vMerge w:val="continue"/>
            <w:tcBorders>
              <w:tl2br w:val="nil"/>
              <w:tr2bl w:val="nil"/>
            </w:tcBorders>
            <w:noWrap w:val="0"/>
            <w:vAlign w:val="center"/>
          </w:tcPr>
          <w:p w14:paraId="27B7FF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389D99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Times New Roman" w:cs="Times New Roman"/>
                <w:color w:val="auto"/>
                <w:sz w:val="21"/>
                <w:szCs w:val="21"/>
                <w:highlight w:val="none"/>
                <w:lang w:val="en-US" w:eastAsia="zh-CN" w:bidi="ar-SA"/>
              </w:rPr>
            </w:pPr>
            <w:r>
              <w:rPr>
                <w:rFonts w:ascii="Times New Roman" w:hAnsi="Times New Roman"/>
                <w:color w:val="auto"/>
                <w:sz w:val="21"/>
                <w:szCs w:val="21"/>
                <w:highlight w:val="none"/>
              </w:rPr>
              <w:t>Na</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center"/>
          </w:tcPr>
          <w:p w14:paraId="3BCC910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bidi="ar-SA"/>
              </w:rPr>
              <w:t>32.4</w:t>
            </w:r>
          </w:p>
        </w:tc>
        <w:tc>
          <w:tcPr>
            <w:tcW w:w="1704" w:type="dxa"/>
            <w:tcBorders>
              <w:tl2br w:val="nil"/>
              <w:tr2bl w:val="nil"/>
            </w:tcBorders>
            <w:noWrap w:val="0"/>
            <w:vAlign w:val="center"/>
          </w:tcPr>
          <w:p w14:paraId="39D0370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bidi="ar-SA"/>
              </w:rPr>
              <w:t>1.4</w:t>
            </w:r>
          </w:p>
        </w:tc>
        <w:tc>
          <w:tcPr>
            <w:tcW w:w="1705" w:type="dxa"/>
            <w:tcBorders>
              <w:tl2br w:val="nil"/>
              <w:tr2bl w:val="nil"/>
            </w:tcBorders>
            <w:noWrap w:val="0"/>
            <w:vAlign w:val="center"/>
          </w:tcPr>
          <w:p w14:paraId="15090D1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33.33</w:t>
            </w:r>
          </w:p>
        </w:tc>
      </w:tr>
      <w:tr w14:paraId="12529F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continue"/>
            <w:tcBorders>
              <w:tl2br w:val="nil"/>
              <w:tr2bl w:val="nil"/>
            </w:tcBorders>
            <w:noWrap w:val="0"/>
            <w:vAlign w:val="center"/>
          </w:tcPr>
          <w:p w14:paraId="0590AB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30BC19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Ca</w:t>
            </w:r>
            <w:r>
              <w:rPr>
                <w:rFonts w:ascii="Times New Roman" w:hAnsi="Times New Roman"/>
                <w:color w:val="auto"/>
                <w:sz w:val="21"/>
                <w:szCs w:val="21"/>
                <w:highlight w:val="none"/>
                <w:vertAlign w:val="superscript"/>
              </w:rPr>
              <w:t>2+</w:t>
            </w:r>
          </w:p>
        </w:tc>
        <w:tc>
          <w:tcPr>
            <w:tcW w:w="1703" w:type="dxa"/>
            <w:tcBorders>
              <w:tl2br w:val="nil"/>
              <w:tr2bl w:val="nil"/>
            </w:tcBorders>
            <w:noWrap w:val="0"/>
            <w:vAlign w:val="center"/>
          </w:tcPr>
          <w:p w14:paraId="7234D40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28.1</w:t>
            </w:r>
          </w:p>
        </w:tc>
        <w:tc>
          <w:tcPr>
            <w:tcW w:w="1704" w:type="dxa"/>
            <w:tcBorders>
              <w:tl2br w:val="nil"/>
              <w:tr2bl w:val="nil"/>
            </w:tcBorders>
            <w:noWrap w:val="0"/>
            <w:vAlign w:val="center"/>
          </w:tcPr>
          <w:p w14:paraId="7BEF0D9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0.7</w:t>
            </w:r>
          </w:p>
        </w:tc>
        <w:tc>
          <w:tcPr>
            <w:tcW w:w="1705" w:type="dxa"/>
            <w:tcBorders>
              <w:tl2br w:val="nil"/>
              <w:tr2bl w:val="nil"/>
            </w:tcBorders>
            <w:noWrap w:val="0"/>
            <w:vAlign w:val="center"/>
          </w:tcPr>
          <w:p w14:paraId="53BCA08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16.67</w:t>
            </w:r>
          </w:p>
        </w:tc>
      </w:tr>
      <w:tr w14:paraId="6CAB91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continue"/>
            <w:tcBorders>
              <w:tl2br w:val="nil"/>
              <w:tr2bl w:val="nil"/>
            </w:tcBorders>
            <w:noWrap w:val="0"/>
            <w:vAlign w:val="center"/>
          </w:tcPr>
          <w:p w14:paraId="238802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386BFD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Mg</w:t>
            </w:r>
            <w:r>
              <w:rPr>
                <w:rFonts w:ascii="Times New Roman" w:hAnsi="Times New Roman"/>
                <w:color w:val="auto"/>
                <w:sz w:val="21"/>
                <w:szCs w:val="21"/>
                <w:highlight w:val="none"/>
                <w:vertAlign w:val="superscript"/>
              </w:rPr>
              <w:t>2+</w:t>
            </w:r>
          </w:p>
        </w:tc>
        <w:tc>
          <w:tcPr>
            <w:tcW w:w="1703" w:type="dxa"/>
            <w:tcBorders>
              <w:tl2br w:val="nil"/>
              <w:tr2bl w:val="nil"/>
            </w:tcBorders>
            <w:noWrap w:val="0"/>
            <w:vAlign w:val="center"/>
          </w:tcPr>
          <w:p w14:paraId="640B510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37.2</w:t>
            </w:r>
          </w:p>
        </w:tc>
        <w:tc>
          <w:tcPr>
            <w:tcW w:w="1704" w:type="dxa"/>
            <w:tcBorders>
              <w:tl2br w:val="nil"/>
              <w:tr2bl w:val="nil"/>
            </w:tcBorders>
            <w:noWrap w:val="0"/>
            <w:vAlign w:val="center"/>
          </w:tcPr>
          <w:p w14:paraId="4A69918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1.6</w:t>
            </w:r>
          </w:p>
        </w:tc>
        <w:tc>
          <w:tcPr>
            <w:tcW w:w="1705" w:type="dxa"/>
            <w:tcBorders>
              <w:tl2br w:val="nil"/>
              <w:tr2bl w:val="nil"/>
            </w:tcBorders>
            <w:noWrap w:val="0"/>
            <w:vAlign w:val="center"/>
          </w:tcPr>
          <w:p w14:paraId="2EFFC63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38.1</w:t>
            </w:r>
          </w:p>
        </w:tc>
      </w:tr>
      <w:tr w14:paraId="34063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continue"/>
            <w:tcBorders>
              <w:tl2br w:val="nil"/>
              <w:tr2bl w:val="nil"/>
            </w:tcBorders>
            <w:noWrap w:val="0"/>
            <w:vAlign w:val="center"/>
          </w:tcPr>
          <w:p w14:paraId="5EEF45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5467DE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总计</w:t>
            </w:r>
          </w:p>
        </w:tc>
        <w:tc>
          <w:tcPr>
            <w:tcW w:w="1703" w:type="dxa"/>
            <w:tcBorders>
              <w:tl2br w:val="nil"/>
              <w:tr2bl w:val="nil"/>
            </w:tcBorders>
            <w:noWrap w:val="0"/>
            <w:vAlign w:val="center"/>
          </w:tcPr>
          <w:p w14:paraId="4CFEB1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118.1</w:t>
            </w:r>
          </w:p>
        </w:tc>
        <w:tc>
          <w:tcPr>
            <w:tcW w:w="1704" w:type="dxa"/>
            <w:tcBorders>
              <w:tl2br w:val="nil"/>
              <w:tr2bl w:val="nil"/>
            </w:tcBorders>
            <w:noWrap w:val="0"/>
            <w:vAlign w:val="center"/>
          </w:tcPr>
          <w:p w14:paraId="09ED8F1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4.2</w:t>
            </w:r>
          </w:p>
        </w:tc>
        <w:tc>
          <w:tcPr>
            <w:tcW w:w="1705" w:type="dxa"/>
            <w:tcBorders>
              <w:tl2br w:val="nil"/>
              <w:tr2bl w:val="nil"/>
            </w:tcBorders>
            <w:noWrap w:val="0"/>
            <w:vAlign w:val="center"/>
          </w:tcPr>
          <w:p w14:paraId="5D0E807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100</w:t>
            </w:r>
          </w:p>
        </w:tc>
      </w:tr>
      <w:tr w14:paraId="6E50DF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restart"/>
            <w:tcBorders>
              <w:tl2br w:val="nil"/>
              <w:tr2bl w:val="nil"/>
            </w:tcBorders>
            <w:noWrap w:val="0"/>
            <w:vAlign w:val="center"/>
          </w:tcPr>
          <w:p w14:paraId="42B80C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阴离子</w:t>
            </w:r>
          </w:p>
        </w:tc>
        <w:tc>
          <w:tcPr>
            <w:tcW w:w="1001" w:type="pct"/>
            <w:tcBorders>
              <w:tl2br w:val="nil"/>
              <w:tr2bl w:val="nil"/>
            </w:tcBorders>
            <w:noWrap w:val="0"/>
            <w:vAlign w:val="center"/>
          </w:tcPr>
          <w:p w14:paraId="4B3E37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HCO</w:t>
            </w:r>
            <w:r>
              <w:rPr>
                <w:rFonts w:ascii="Times New Roman" w:hAnsi="Times New Roman"/>
                <w:color w:val="auto"/>
                <w:sz w:val="21"/>
                <w:szCs w:val="21"/>
                <w:highlight w:val="none"/>
                <w:vertAlign w:val="subscript"/>
              </w:rPr>
              <w:t>3</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center"/>
          </w:tcPr>
          <w:p w14:paraId="4E8F283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348.7</w:t>
            </w:r>
          </w:p>
        </w:tc>
        <w:tc>
          <w:tcPr>
            <w:tcW w:w="1704" w:type="dxa"/>
            <w:tcBorders>
              <w:tl2br w:val="nil"/>
              <w:tr2bl w:val="nil"/>
            </w:tcBorders>
            <w:noWrap w:val="0"/>
            <w:vAlign w:val="center"/>
          </w:tcPr>
          <w:p w14:paraId="0C58752A">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5.4</w:t>
            </w:r>
          </w:p>
        </w:tc>
        <w:tc>
          <w:tcPr>
            <w:tcW w:w="1705" w:type="dxa"/>
            <w:tcBorders>
              <w:tl2br w:val="nil"/>
              <w:tr2bl w:val="nil"/>
            </w:tcBorders>
            <w:noWrap w:val="0"/>
            <w:vAlign w:val="center"/>
          </w:tcPr>
          <w:p w14:paraId="4B1A0EC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94.74</w:t>
            </w:r>
          </w:p>
        </w:tc>
      </w:tr>
      <w:tr w14:paraId="5D8F52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continue"/>
            <w:tcBorders>
              <w:tl2br w:val="nil"/>
              <w:tr2bl w:val="nil"/>
            </w:tcBorders>
            <w:noWrap w:val="0"/>
            <w:vAlign w:val="center"/>
          </w:tcPr>
          <w:p w14:paraId="58A34E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1A5977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Cl</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center"/>
          </w:tcPr>
          <w:p w14:paraId="2017772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4.12</w:t>
            </w:r>
          </w:p>
        </w:tc>
        <w:tc>
          <w:tcPr>
            <w:tcW w:w="1704" w:type="dxa"/>
            <w:tcBorders>
              <w:tl2br w:val="nil"/>
              <w:tr2bl w:val="nil"/>
            </w:tcBorders>
            <w:noWrap w:val="0"/>
            <w:vAlign w:val="center"/>
          </w:tcPr>
          <w:p w14:paraId="552BCD75">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0.1</w:t>
            </w:r>
          </w:p>
        </w:tc>
        <w:tc>
          <w:tcPr>
            <w:tcW w:w="1705" w:type="dxa"/>
            <w:tcBorders>
              <w:tl2br w:val="nil"/>
              <w:tr2bl w:val="nil"/>
            </w:tcBorders>
            <w:noWrap w:val="0"/>
            <w:vAlign w:val="center"/>
          </w:tcPr>
          <w:p w14:paraId="12FC154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1.75</w:t>
            </w:r>
          </w:p>
        </w:tc>
      </w:tr>
      <w:tr w14:paraId="01A05D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998" w:type="pct"/>
            <w:vMerge w:val="continue"/>
            <w:tcBorders>
              <w:tl2br w:val="nil"/>
              <w:tr2bl w:val="nil"/>
            </w:tcBorders>
            <w:noWrap w:val="0"/>
            <w:vAlign w:val="center"/>
          </w:tcPr>
          <w:p w14:paraId="535A10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5E2EA9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SO</w:t>
            </w:r>
            <w:r>
              <w:rPr>
                <w:rFonts w:ascii="Times New Roman" w:hAnsi="Times New Roman"/>
                <w:color w:val="auto"/>
                <w:sz w:val="21"/>
                <w:szCs w:val="21"/>
                <w:highlight w:val="none"/>
                <w:vertAlign w:val="subscript"/>
              </w:rPr>
              <w:t>4</w:t>
            </w:r>
            <w:r>
              <w:rPr>
                <w:rFonts w:ascii="Times New Roman" w:hAnsi="Times New Roman"/>
                <w:color w:val="auto"/>
                <w:sz w:val="21"/>
                <w:szCs w:val="21"/>
                <w:highlight w:val="none"/>
                <w:vertAlign w:val="superscript"/>
              </w:rPr>
              <w:t>2-</w:t>
            </w:r>
          </w:p>
        </w:tc>
        <w:tc>
          <w:tcPr>
            <w:tcW w:w="1703" w:type="dxa"/>
            <w:tcBorders>
              <w:tl2br w:val="nil"/>
              <w:tr2bl w:val="nil"/>
            </w:tcBorders>
            <w:noWrap w:val="0"/>
            <w:vAlign w:val="center"/>
          </w:tcPr>
          <w:p w14:paraId="08D0157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17.4</w:t>
            </w:r>
          </w:p>
        </w:tc>
        <w:tc>
          <w:tcPr>
            <w:tcW w:w="1704" w:type="dxa"/>
            <w:tcBorders>
              <w:tl2br w:val="nil"/>
              <w:tr2bl w:val="nil"/>
            </w:tcBorders>
            <w:noWrap w:val="0"/>
            <w:vAlign w:val="center"/>
          </w:tcPr>
          <w:p w14:paraId="1AFFF717">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0.2</w:t>
            </w:r>
          </w:p>
        </w:tc>
        <w:tc>
          <w:tcPr>
            <w:tcW w:w="1705" w:type="dxa"/>
            <w:tcBorders>
              <w:tl2br w:val="nil"/>
              <w:tr2bl w:val="nil"/>
            </w:tcBorders>
            <w:noWrap w:val="0"/>
            <w:vAlign w:val="center"/>
          </w:tcPr>
          <w:p w14:paraId="5E42588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3.51</w:t>
            </w:r>
          </w:p>
        </w:tc>
      </w:tr>
      <w:tr w14:paraId="0D438F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continue"/>
            <w:tcBorders>
              <w:tl2br w:val="nil"/>
              <w:tr2bl w:val="nil"/>
            </w:tcBorders>
            <w:noWrap w:val="0"/>
            <w:vAlign w:val="center"/>
          </w:tcPr>
          <w:p w14:paraId="559F6B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727558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总计</w:t>
            </w:r>
          </w:p>
        </w:tc>
        <w:tc>
          <w:tcPr>
            <w:tcW w:w="1703" w:type="dxa"/>
            <w:tcBorders>
              <w:tl2br w:val="nil"/>
              <w:tr2bl w:val="nil"/>
            </w:tcBorders>
            <w:noWrap w:val="0"/>
            <w:vAlign w:val="center"/>
          </w:tcPr>
          <w:p w14:paraId="712FE8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370.22</w:t>
            </w:r>
          </w:p>
        </w:tc>
        <w:tc>
          <w:tcPr>
            <w:tcW w:w="1704" w:type="dxa"/>
            <w:tcBorders>
              <w:tl2br w:val="nil"/>
              <w:tr2bl w:val="nil"/>
            </w:tcBorders>
            <w:noWrap w:val="0"/>
            <w:vAlign w:val="center"/>
          </w:tcPr>
          <w:p w14:paraId="2E793FB3">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5.7</w:t>
            </w:r>
          </w:p>
        </w:tc>
        <w:tc>
          <w:tcPr>
            <w:tcW w:w="1705" w:type="dxa"/>
            <w:tcBorders>
              <w:tl2br w:val="nil"/>
              <w:tr2bl w:val="nil"/>
            </w:tcBorders>
            <w:noWrap w:val="0"/>
            <w:vAlign w:val="center"/>
          </w:tcPr>
          <w:p w14:paraId="13B8B0C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100</w:t>
            </w:r>
          </w:p>
        </w:tc>
      </w:tr>
      <w:tr w14:paraId="6BD617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9" w:type="pct"/>
            <w:gridSpan w:val="2"/>
            <w:tcBorders>
              <w:tl2br w:val="nil"/>
              <w:tr2bl w:val="nil"/>
            </w:tcBorders>
            <w:noWrap w:val="0"/>
            <w:vAlign w:val="center"/>
          </w:tcPr>
          <w:p w14:paraId="1A06B1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hint="eastAsia" w:ascii="Times New Roman" w:hAnsi="Times New Roman"/>
                <w:color w:val="auto"/>
                <w:kern w:val="0"/>
                <w:sz w:val="21"/>
                <w:szCs w:val="21"/>
                <w:highlight w:val="none"/>
              </w:rPr>
              <w:t>2</w:t>
            </w:r>
            <w:r>
              <w:rPr>
                <w:rFonts w:ascii="Times New Roman" w:hAnsi="Times New Roman"/>
                <w:color w:val="auto"/>
                <w:kern w:val="0"/>
                <w:sz w:val="21"/>
                <w:szCs w:val="21"/>
                <w:highlight w:val="none"/>
              </w:rPr>
              <w:t>#</w:t>
            </w:r>
            <w:r>
              <w:rPr>
                <w:rFonts w:ascii="Times New Roman" w:hAnsi="Times New Roman"/>
                <w:color w:val="auto"/>
                <w:sz w:val="21"/>
                <w:szCs w:val="21"/>
                <w:highlight w:val="none"/>
              </w:rPr>
              <w:t>离子</w:t>
            </w:r>
          </w:p>
        </w:tc>
        <w:tc>
          <w:tcPr>
            <w:tcW w:w="999" w:type="pct"/>
            <w:tcBorders>
              <w:tl2br w:val="nil"/>
              <w:tr2bl w:val="nil"/>
            </w:tcBorders>
            <w:noWrap w:val="0"/>
            <w:vAlign w:val="center"/>
          </w:tcPr>
          <w:p w14:paraId="718647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mg/L</w:t>
            </w:r>
          </w:p>
        </w:tc>
        <w:tc>
          <w:tcPr>
            <w:tcW w:w="1000" w:type="pct"/>
            <w:tcBorders>
              <w:tl2br w:val="nil"/>
              <w:tr2bl w:val="nil"/>
            </w:tcBorders>
            <w:noWrap w:val="0"/>
            <w:vAlign w:val="center"/>
          </w:tcPr>
          <w:p w14:paraId="2A5E64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meq/L</w:t>
            </w:r>
          </w:p>
        </w:tc>
        <w:tc>
          <w:tcPr>
            <w:tcW w:w="1000" w:type="pct"/>
            <w:tcBorders>
              <w:tl2br w:val="nil"/>
              <w:tr2bl w:val="nil"/>
            </w:tcBorders>
            <w:noWrap w:val="0"/>
            <w:vAlign w:val="center"/>
          </w:tcPr>
          <w:p w14:paraId="6BCE1F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meq%</w:t>
            </w:r>
          </w:p>
        </w:tc>
      </w:tr>
      <w:tr w14:paraId="0DBAE2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998" w:type="pct"/>
            <w:vMerge w:val="restart"/>
            <w:tcBorders>
              <w:tl2br w:val="nil"/>
              <w:tr2bl w:val="nil"/>
            </w:tcBorders>
            <w:noWrap w:val="0"/>
            <w:vAlign w:val="center"/>
          </w:tcPr>
          <w:p w14:paraId="1AE84F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阳离子</w:t>
            </w:r>
          </w:p>
        </w:tc>
        <w:tc>
          <w:tcPr>
            <w:tcW w:w="1001" w:type="pct"/>
            <w:tcBorders>
              <w:tl2br w:val="nil"/>
              <w:tr2bl w:val="nil"/>
            </w:tcBorders>
            <w:noWrap w:val="0"/>
            <w:vAlign w:val="center"/>
          </w:tcPr>
          <w:p w14:paraId="702C8A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K</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center"/>
          </w:tcPr>
          <w:p w14:paraId="1DD7878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18.7</w:t>
            </w:r>
          </w:p>
        </w:tc>
        <w:tc>
          <w:tcPr>
            <w:tcW w:w="1704" w:type="dxa"/>
            <w:tcBorders>
              <w:tl2br w:val="nil"/>
              <w:tr2bl w:val="nil"/>
            </w:tcBorders>
            <w:noWrap w:val="0"/>
            <w:vAlign w:val="center"/>
          </w:tcPr>
          <w:p w14:paraId="0358DE50">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0.5</w:t>
            </w:r>
          </w:p>
        </w:tc>
        <w:tc>
          <w:tcPr>
            <w:tcW w:w="1705" w:type="dxa"/>
            <w:tcBorders>
              <w:tl2br w:val="nil"/>
              <w:tr2bl w:val="nil"/>
            </w:tcBorders>
            <w:noWrap w:val="0"/>
            <w:vAlign w:val="center"/>
          </w:tcPr>
          <w:p w14:paraId="52EE397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11.9</w:t>
            </w:r>
          </w:p>
        </w:tc>
      </w:tr>
      <w:tr w14:paraId="777DE6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998" w:type="pct"/>
            <w:vMerge w:val="continue"/>
            <w:tcBorders>
              <w:tl2br w:val="nil"/>
              <w:tr2bl w:val="nil"/>
            </w:tcBorders>
            <w:noWrap w:val="0"/>
            <w:vAlign w:val="center"/>
          </w:tcPr>
          <w:p w14:paraId="5CD67F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01B006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Times New Roman" w:cs="Times New Roman"/>
                <w:color w:val="auto"/>
                <w:sz w:val="21"/>
                <w:szCs w:val="21"/>
                <w:highlight w:val="none"/>
                <w:lang w:val="en-US" w:eastAsia="zh-CN" w:bidi="ar-SA"/>
              </w:rPr>
            </w:pPr>
            <w:r>
              <w:rPr>
                <w:rFonts w:ascii="Times New Roman" w:hAnsi="Times New Roman"/>
                <w:color w:val="auto"/>
                <w:sz w:val="21"/>
                <w:szCs w:val="21"/>
                <w:highlight w:val="none"/>
              </w:rPr>
              <w:t>Na</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center"/>
          </w:tcPr>
          <w:p w14:paraId="502A1AC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bidi="ar-SA"/>
              </w:rPr>
              <w:t>29.4</w:t>
            </w:r>
          </w:p>
        </w:tc>
        <w:tc>
          <w:tcPr>
            <w:tcW w:w="1704" w:type="dxa"/>
            <w:tcBorders>
              <w:tl2br w:val="nil"/>
              <w:tr2bl w:val="nil"/>
            </w:tcBorders>
            <w:noWrap w:val="0"/>
            <w:vAlign w:val="center"/>
          </w:tcPr>
          <w:p w14:paraId="162171B8">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1.3</w:t>
            </w:r>
          </w:p>
        </w:tc>
        <w:tc>
          <w:tcPr>
            <w:tcW w:w="1705" w:type="dxa"/>
            <w:tcBorders>
              <w:tl2br w:val="nil"/>
              <w:tr2bl w:val="nil"/>
            </w:tcBorders>
            <w:noWrap w:val="0"/>
            <w:vAlign w:val="center"/>
          </w:tcPr>
          <w:p w14:paraId="6124B6F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31</w:t>
            </w:r>
          </w:p>
        </w:tc>
      </w:tr>
      <w:tr w14:paraId="0F0C85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continue"/>
            <w:tcBorders>
              <w:tl2br w:val="nil"/>
              <w:tr2bl w:val="nil"/>
            </w:tcBorders>
            <w:noWrap w:val="0"/>
            <w:vAlign w:val="center"/>
          </w:tcPr>
          <w:p w14:paraId="44A213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6CED8A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Ca</w:t>
            </w:r>
            <w:r>
              <w:rPr>
                <w:rFonts w:ascii="Times New Roman" w:hAnsi="Times New Roman"/>
                <w:color w:val="auto"/>
                <w:sz w:val="21"/>
                <w:szCs w:val="21"/>
                <w:highlight w:val="none"/>
                <w:vertAlign w:val="superscript"/>
              </w:rPr>
              <w:t>2+</w:t>
            </w:r>
          </w:p>
        </w:tc>
        <w:tc>
          <w:tcPr>
            <w:tcW w:w="1703" w:type="dxa"/>
            <w:tcBorders>
              <w:tl2br w:val="nil"/>
              <w:tr2bl w:val="nil"/>
            </w:tcBorders>
            <w:noWrap w:val="0"/>
            <w:vAlign w:val="center"/>
          </w:tcPr>
          <w:p w14:paraId="78AE6EB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31.1</w:t>
            </w:r>
          </w:p>
        </w:tc>
        <w:tc>
          <w:tcPr>
            <w:tcW w:w="1704" w:type="dxa"/>
            <w:tcBorders>
              <w:tl2br w:val="nil"/>
              <w:tr2bl w:val="nil"/>
            </w:tcBorders>
            <w:noWrap w:val="0"/>
            <w:vAlign w:val="center"/>
          </w:tcPr>
          <w:p w14:paraId="1D556C92">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0.8</w:t>
            </w:r>
          </w:p>
        </w:tc>
        <w:tc>
          <w:tcPr>
            <w:tcW w:w="1705" w:type="dxa"/>
            <w:tcBorders>
              <w:tl2br w:val="nil"/>
              <w:tr2bl w:val="nil"/>
            </w:tcBorders>
            <w:noWrap w:val="0"/>
            <w:vAlign w:val="center"/>
          </w:tcPr>
          <w:p w14:paraId="634E9ED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19</w:t>
            </w:r>
          </w:p>
        </w:tc>
      </w:tr>
      <w:tr w14:paraId="6B3A68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continue"/>
            <w:tcBorders>
              <w:tl2br w:val="nil"/>
              <w:tr2bl w:val="nil"/>
            </w:tcBorders>
            <w:noWrap w:val="0"/>
            <w:vAlign w:val="center"/>
          </w:tcPr>
          <w:p w14:paraId="5E9F60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7C12A6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Mg</w:t>
            </w:r>
            <w:r>
              <w:rPr>
                <w:rFonts w:ascii="Times New Roman" w:hAnsi="Times New Roman"/>
                <w:color w:val="auto"/>
                <w:sz w:val="21"/>
                <w:szCs w:val="21"/>
                <w:highlight w:val="none"/>
                <w:vertAlign w:val="superscript"/>
              </w:rPr>
              <w:t>2+</w:t>
            </w:r>
          </w:p>
        </w:tc>
        <w:tc>
          <w:tcPr>
            <w:tcW w:w="1703" w:type="dxa"/>
            <w:tcBorders>
              <w:tl2br w:val="nil"/>
              <w:tr2bl w:val="nil"/>
            </w:tcBorders>
            <w:noWrap w:val="0"/>
            <w:vAlign w:val="center"/>
          </w:tcPr>
          <w:p w14:paraId="122233D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39.1</w:t>
            </w:r>
          </w:p>
        </w:tc>
        <w:tc>
          <w:tcPr>
            <w:tcW w:w="1704" w:type="dxa"/>
            <w:tcBorders>
              <w:tl2br w:val="nil"/>
              <w:tr2bl w:val="nil"/>
            </w:tcBorders>
            <w:noWrap w:val="0"/>
            <w:vAlign w:val="center"/>
          </w:tcPr>
          <w:p w14:paraId="0A615BB8">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1.6</w:t>
            </w:r>
          </w:p>
        </w:tc>
        <w:tc>
          <w:tcPr>
            <w:tcW w:w="1705" w:type="dxa"/>
            <w:tcBorders>
              <w:tl2br w:val="nil"/>
              <w:tr2bl w:val="nil"/>
            </w:tcBorders>
            <w:noWrap w:val="0"/>
            <w:vAlign w:val="center"/>
          </w:tcPr>
          <w:p w14:paraId="2E2F099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38.1</w:t>
            </w:r>
          </w:p>
        </w:tc>
      </w:tr>
      <w:tr w14:paraId="5FE6A4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continue"/>
            <w:tcBorders>
              <w:tl2br w:val="nil"/>
              <w:tr2bl w:val="nil"/>
            </w:tcBorders>
            <w:noWrap w:val="0"/>
            <w:vAlign w:val="center"/>
          </w:tcPr>
          <w:p w14:paraId="2BA0E4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03903C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总计</w:t>
            </w:r>
          </w:p>
        </w:tc>
        <w:tc>
          <w:tcPr>
            <w:tcW w:w="1703" w:type="dxa"/>
            <w:tcBorders>
              <w:tl2br w:val="nil"/>
              <w:tr2bl w:val="nil"/>
            </w:tcBorders>
            <w:noWrap w:val="0"/>
            <w:vAlign w:val="center"/>
          </w:tcPr>
          <w:p w14:paraId="332CD7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118.3</w:t>
            </w:r>
          </w:p>
        </w:tc>
        <w:tc>
          <w:tcPr>
            <w:tcW w:w="1704" w:type="dxa"/>
            <w:tcBorders>
              <w:tl2br w:val="nil"/>
              <w:tr2bl w:val="nil"/>
            </w:tcBorders>
            <w:noWrap w:val="0"/>
            <w:vAlign w:val="center"/>
          </w:tcPr>
          <w:p w14:paraId="30C4DCD3">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4.2</w:t>
            </w:r>
          </w:p>
        </w:tc>
        <w:tc>
          <w:tcPr>
            <w:tcW w:w="1705" w:type="dxa"/>
            <w:tcBorders>
              <w:tl2br w:val="nil"/>
              <w:tr2bl w:val="nil"/>
            </w:tcBorders>
            <w:noWrap w:val="0"/>
            <w:vAlign w:val="center"/>
          </w:tcPr>
          <w:p w14:paraId="652A840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100</w:t>
            </w:r>
          </w:p>
        </w:tc>
      </w:tr>
      <w:tr w14:paraId="5B8099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restart"/>
            <w:tcBorders>
              <w:tl2br w:val="nil"/>
              <w:tr2bl w:val="nil"/>
            </w:tcBorders>
            <w:noWrap w:val="0"/>
            <w:vAlign w:val="center"/>
          </w:tcPr>
          <w:p w14:paraId="6100C3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阴离子</w:t>
            </w:r>
          </w:p>
        </w:tc>
        <w:tc>
          <w:tcPr>
            <w:tcW w:w="1001" w:type="pct"/>
            <w:tcBorders>
              <w:tl2br w:val="nil"/>
              <w:tr2bl w:val="nil"/>
            </w:tcBorders>
            <w:noWrap w:val="0"/>
            <w:vAlign w:val="center"/>
          </w:tcPr>
          <w:p w14:paraId="4F952F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HCO</w:t>
            </w:r>
            <w:r>
              <w:rPr>
                <w:rFonts w:ascii="Times New Roman" w:hAnsi="Times New Roman"/>
                <w:color w:val="auto"/>
                <w:sz w:val="21"/>
                <w:szCs w:val="21"/>
                <w:highlight w:val="none"/>
                <w:vertAlign w:val="subscript"/>
              </w:rPr>
              <w:t>3</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center"/>
          </w:tcPr>
          <w:p w14:paraId="35BFF43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336.9</w:t>
            </w:r>
          </w:p>
        </w:tc>
        <w:tc>
          <w:tcPr>
            <w:tcW w:w="1704" w:type="dxa"/>
            <w:tcBorders>
              <w:tl2br w:val="nil"/>
              <w:tr2bl w:val="nil"/>
            </w:tcBorders>
            <w:noWrap w:val="0"/>
            <w:vAlign w:val="center"/>
          </w:tcPr>
          <w:p w14:paraId="48DD1ADB">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5.2</w:t>
            </w:r>
          </w:p>
        </w:tc>
        <w:tc>
          <w:tcPr>
            <w:tcW w:w="1705" w:type="dxa"/>
            <w:tcBorders>
              <w:tl2br w:val="nil"/>
              <w:tr2bl w:val="nil"/>
            </w:tcBorders>
            <w:noWrap w:val="0"/>
            <w:vAlign w:val="center"/>
          </w:tcPr>
          <w:p w14:paraId="420BBC6C">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94.55</w:t>
            </w:r>
          </w:p>
        </w:tc>
      </w:tr>
      <w:tr w14:paraId="6457E6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continue"/>
            <w:tcBorders>
              <w:tl2br w:val="nil"/>
              <w:tr2bl w:val="nil"/>
            </w:tcBorders>
            <w:noWrap w:val="0"/>
            <w:vAlign w:val="center"/>
          </w:tcPr>
          <w:p w14:paraId="7BEB82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2C5CE5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Cl</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center"/>
          </w:tcPr>
          <w:p w14:paraId="7D96CA1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4.89</w:t>
            </w:r>
          </w:p>
        </w:tc>
        <w:tc>
          <w:tcPr>
            <w:tcW w:w="1704" w:type="dxa"/>
            <w:tcBorders>
              <w:tl2br w:val="nil"/>
              <w:tr2bl w:val="nil"/>
            </w:tcBorders>
            <w:noWrap w:val="0"/>
            <w:vAlign w:val="center"/>
          </w:tcPr>
          <w:p w14:paraId="1F3E0792">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0.1</w:t>
            </w:r>
          </w:p>
        </w:tc>
        <w:tc>
          <w:tcPr>
            <w:tcW w:w="1705" w:type="dxa"/>
            <w:tcBorders>
              <w:tl2br w:val="nil"/>
              <w:tr2bl w:val="nil"/>
            </w:tcBorders>
            <w:noWrap w:val="0"/>
            <w:vAlign w:val="center"/>
          </w:tcPr>
          <w:p w14:paraId="01A9B4F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1.82</w:t>
            </w:r>
          </w:p>
        </w:tc>
      </w:tr>
      <w:tr w14:paraId="1EACD4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continue"/>
            <w:tcBorders>
              <w:tl2br w:val="nil"/>
              <w:tr2bl w:val="nil"/>
            </w:tcBorders>
            <w:noWrap w:val="0"/>
            <w:vAlign w:val="center"/>
          </w:tcPr>
          <w:p w14:paraId="5A7AFF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27EE29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SO</w:t>
            </w:r>
            <w:r>
              <w:rPr>
                <w:rFonts w:ascii="Times New Roman" w:hAnsi="Times New Roman"/>
                <w:color w:val="auto"/>
                <w:sz w:val="21"/>
                <w:szCs w:val="21"/>
                <w:highlight w:val="none"/>
                <w:vertAlign w:val="subscript"/>
              </w:rPr>
              <w:t>4</w:t>
            </w:r>
            <w:r>
              <w:rPr>
                <w:rFonts w:ascii="Times New Roman" w:hAnsi="Times New Roman"/>
                <w:color w:val="auto"/>
                <w:sz w:val="21"/>
                <w:szCs w:val="21"/>
                <w:highlight w:val="none"/>
                <w:vertAlign w:val="superscript"/>
              </w:rPr>
              <w:t>2-</w:t>
            </w:r>
          </w:p>
        </w:tc>
        <w:tc>
          <w:tcPr>
            <w:tcW w:w="1703" w:type="dxa"/>
            <w:tcBorders>
              <w:tl2br w:val="nil"/>
              <w:tr2bl w:val="nil"/>
            </w:tcBorders>
            <w:noWrap w:val="0"/>
            <w:vAlign w:val="center"/>
          </w:tcPr>
          <w:p w14:paraId="1E58FB7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15.9</w:t>
            </w:r>
          </w:p>
        </w:tc>
        <w:tc>
          <w:tcPr>
            <w:tcW w:w="1704" w:type="dxa"/>
            <w:tcBorders>
              <w:tl2br w:val="nil"/>
              <w:tr2bl w:val="nil"/>
            </w:tcBorders>
            <w:noWrap w:val="0"/>
            <w:vAlign w:val="center"/>
          </w:tcPr>
          <w:p w14:paraId="1DD5DACF">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0.2</w:t>
            </w:r>
          </w:p>
        </w:tc>
        <w:tc>
          <w:tcPr>
            <w:tcW w:w="1705" w:type="dxa"/>
            <w:tcBorders>
              <w:tl2br w:val="nil"/>
              <w:tr2bl w:val="nil"/>
            </w:tcBorders>
            <w:noWrap w:val="0"/>
            <w:vAlign w:val="center"/>
          </w:tcPr>
          <w:p w14:paraId="5371A6D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3.63</w:t>
            </w:r>
          </w:p>
        </w:tc>
      </w:tr>
      <w:tr w14:paraId="02EC36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continue"/>
            <w:tcBorders>
              <w:tl2br w:val="nil"/>
              <w:tr2bl w:val="nil"/>
            </w:tcBorders>
            <w:noWrap w:val="0"/>
            <w:vAlign w:val="center"/>
          </w:tcPr>
          <w:p w14:paraId="1600B1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17DEF6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总计</w:t>
            </w:r>
          </w:p>
        </w:tc>
        <w:tc>
          <w:tcPr>
            <w:tcW w:w="1703" w:type="dxa"/>
            <w:tcBorders>
              <w:tl2br w:val="nil"/>
              <w:tr2bl w:val="nil"/>
            </w:tcBorders>
            <w:noWrap w:val="0"/>
            <w:vAlign w:val="center"/>
          </w:tcPr>
          <w:p w14:paraId="35C609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357.69</w:t>
            </w:r>
          </w:p>
        </w:tc>
        <w:tc>
          <w:tcPr>
            <w:tcW w:w="1704" w:type="dxa"/>
            <w:tcBorders>
              <w:tl2br w:val="nil"/>
              <w:tr2bl w:val="nil"/>
            </w:tcBorders>
            <w:noWrap w:val="0"/>
            <w:vAlign w:val="center"/>
          </w:tcPr>
          <w:p w14:paraId="03F0E4F3">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5.5</w:t>
            </w:r>
          </w:p>
        </w:tc>
        <w:tc>
          <w:tcPr>
            <w:tcW w:w="1705" w:type="dxa"/>
            <w:tcBorders>
              <w:tl2br w:val="nil"/>
              <w:tr2bl w:val="nil"/>
            </w:tcBorders>
            <w:noWrap w:val="0"/>
            <w:vAlign w:val="center"/>
          </w:tcPr>
          <w:p w14:paraId="42C6048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100</w:t>
            </w:r>
          </w:p>
        </w:tc>
      </w:tr>
      <w:tr w14:paraId="1D5684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9" w:type="pct"/>
            <w:gridSpan w:val="2"/>
            <w:tcBorders>
              <w:tl2br w:val="nil"/>
              <w:tr2bl w:val="nil"/>
            </w:tcBorders>
            <w:noWrap w:val="0"/>
            <w:vAlign w:val="center"/>
          </w:tcPr>
          <w:p w14:paraId="169AB5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hint="eastAsia" w:ascii="Times New Roman" w:hAnsi="Times New Roman"/>
                <w:color w:val="auto"/>
                <w:kern w:val="0"/>
                <w:sz w:val="21"/>
                <w:szCs w:val="21"/>
                <w:highlight w:val="none"/>
              </w:rPr>
              <w:t>3</w:t>
            </w:r>
            <w:r>
              <w:rPr>
                <w:rFonts w:ascii="Times New Roman" w:hAnsi="Times New Roman"/>
                <w:color w:val="auto"/>
                <w:kern w:val="0"/>
                <w:sz w:val="21"/>
                <w:szCs w:val="21"/>
                <w:highlight w:val="none"/>
              </w:rPr>
              <w:t>#</w:t>
            </w:r>
            <w:r>
              <w:rPr>
                <w:rFonts w:ascii="Times New Roman" w:hAnsi="Times New Roman"/>
                <w:color w:val="auto"/>
                <w:sz w:val="21"/>
                <w:szCs w:val="21"/>
                <w:highlight w:val="none"/>
              </w:rPr>
              <w:t>离子</w:t>
            </w:r>
          </w:p>
        </w:tc>
        <w:tc>
          <w:tcPr>
            <w:tcW w:w="999" w:type="pct"/>
            <w:tcBorders>
              <w:tl2br w:val="nil"/>
              <w:tr2bl w:val="nil"/>
            </w:tcBorders>
            <w:noWrap w:val="0"/>
            <w:vAlign w:val="center"/>
          </w:tcPr>
          <w:p w14:paraId="0F807F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mg/L</w:t>
            </w:r>
          </w:p>
        </w:tc>
        <w:tc>
          <w:tcPr>
            <w:tcW w:w="1000" w:type="pct"/>
            <w:tcBorders>
              <w:tl2br w:val="nil"/>
              <w:tr2bl w:val="nil"/>
            </w:tcBorders>
            <w:noWrap w:val="0"/>
            <w:vAlign w:val="center"/>
          </w:tcPr>
          <w:p w14:paraId="660434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meq/L</w:t>
            </w:r>
          </w:p>
        </w:tc>
        <w:tc>
          <w:tcPr>
            <w:tcW w:w="1000" w:type="pct"/>
            <w:tcBorders>
              <w:tl2br w:val="nil"/>
              <w:tr2bl w:val="nil"/>
            </w:tcBorders>
            <w:noWrap w:val="0"/>
            <w:vAlign w:val="center"/>
          </w:tcPr>
          <w:p w14:paraId="3D311A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meq%</w:t>
            </w:r>
          </w:p>
        </w:tc>
      </w:tr>
      <w:tr w14:paraId="296DDC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998" w:type="pct"/>
            <w:vMerge w:val="restart"/>
            <w:tcBorders>
              <w:tl2br w:val="nil"/>
              <w:tr2bl w:val="nil"/>
            </w:tcBorders>
            <w:noWrap w:val="0"/>
            <w:vAlign w:val="center"/>
          </w:tcPr>
          <w:p w14:paraId="221AB9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阳离子</w:t>
            </w:r>
          </w:p>
        </w:tc>
        <w:tc>
          <w:tcPr>
            <w:tcW w:w="1001" w:type="pct"/>
            <w:tcBorders>
              <w:tl2br w:val="nil"/>
              <w:tr2bl w:val="nil"/>
            </w:tcBorders>
            <w:noWrap w:val="0"/>
            <w:vAlign w:val="center"/>
          </w:tcPr>
          <w:p w14:paraId="17E97B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K</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center"/>
          </w:tcPr>
          <w:p w14:paraId="0341475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22.8</w:t>
            </w:r>
          </w:p>
        </w:tc>
        <w:tc>
          <w:tcPr>
            <w:tcW w:w="1704" w:type="dxa"/>
            <w:tcBorders>
              <w:tl2br w:val="nil"/>
              <w:tr2bl w:val="nil"/>
            </w:tcBorders>
            <w:noWrap w:val="0"/>
            <w:vAlign w:val="center"/>
          </w:tcPr>
          <w:p w14:paraId="2E71A63B">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0.6</w:t>
            </w:r>
          </w:p>
        </w:tc>
        <w:tc>
          <w:tcPr>
            <w:tcW w:w="1705" w:type="dxa"/>
            <w:tcBorders>
              <w:tl2br w:val="nil"/>
              <w:tr2bl w:val="nil"/>
            </w:tcBorders>
            <w:noWrap w:val="0"/>
            <w:vAlign w:val="center"/>
          </w:tcPr>
          <w:p w14:paraId="07AA9E2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15</w:t>
            </w:r>
          </w:p>
        </w:tc>
      </w:tr>
      <w:tr w14:paraId="186E4F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998" w:type="pct"/>
            <w:vMerge w:val="continue"/>
            <w:tcBorders>
              <w:tl2br w:val="nil"/>
              <w:tr2bl w:val="nil"/>
            </w:tcBorders>
            <w:noWrap w:val="0"/>
            <w:vAlign w:val="center"/>
          </w:tcPr>
          <w:p w14:paraId="6687C1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6EA050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Times New Roman" w:cs="Times New Roman"/>
                <w:color w:val="auto"/>
                <w:sz w:val="21"/>
                <w:szCs w:val="21"/>
                <w:highlight w:val="none"/>
                <w:lang w:val="en-US" w:eastAsia="zh-CN" w:bidi="ar-SA"/>
              </w:rPr>
            </w:pPr>
            <w:r>
              <w:rPr>
                <w:rFonts w:ascii="Times New Roman" w:hAnsi="Times New Roman"/>
                <w:color w:val="auto"/>
                <w:sz w:val="21"/>
                <w:szCs w:val="21"/>
                <w:highlight w:val="none"/>
              </w:rPr>
              <w:t>Na</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center"/>
          </w:tcPr>
          <w:p w14:paraId="6F95137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bidi="ar-SA"/>
              </w:rPr>
              <w:t>29.7</w:t>
            </w:r>
          </w:p>
        </w:tc>
        <w:tc>
          <w:tcPr>
            <w:tcW w:w="1704" w:type="dxa"/>
            <w:tcBorders>
              <w:tl2br w:val="nil"/>
              <w:tr2bl w:val="nil"/>
            </w:tcBorders>
            <w:noWrap w:val="0"/>
            <w:vAlign w:val="center"/>
          </w:tcPr>
          <w:p w14:paraId="2B2B7C19">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1.3</w:t>
            </w:r>
          </w:p>
        </w:tc>
        <w:tc>
          <w:tcPr>
            <w:tcW w:w="1705" w:type="dxa"/>
            <w:tcBorders>
              <w:tl2br w:val="nil"/>
              <w:tr2bl w:val="nil"/>
            </w:tcBorders>
            <w:noWrap w:val="0"/>
            <w:vAlign w:val="center"/>
          </w:tcPr>
          <w:p w14:paraId="0D2D2A1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32.5</w:t>
            </w:r>
          </w:p>
        </w:tc>
      </w:tr>
      <w:tr w14:paraId="2714BE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continue"/>
            <w:tcBorders>
              <w:tl2br w:val="nil"/>
              <w:tr2bl w:val="nil"/>
            </w:tcBorders>
            <w:noWrap w:val="0"/>
            <w:vAlign w:val="center"/>
          </w:tcPr>
          <w:p w14:paraId="7A313A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706" w:type="dxa"/>
            <w:tcBorders>
              <w:tl2br w:val="nil"/>
              <w:tr2bl w:val="nil"/>
            </w:tcBorders>
            <w:noWrap w:val="0"/>
            <w:vAlign w:val="center"/>
          </w:tcPr>
          <w:p w14:paraId="14B173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Ca</w:t>
            </w:r>
            <w:r>
              <w:rPr>
                <w:rFonts w:ascii="Times New Roman" w:hAnsi="Times New Roman"/>
                <w:color w:val="auto"/>
                <w:sz w:val="21"/>
                <w:szCs w:val="21"/>
                <w:highlight w:val="none"/>
                <w:vertAlign w:val="superscript"/>
              </w:rPr>
              <w:t>2+</w:t>
            </w:r>
          </w:p>
        </w:tc>
        <w:tc>
          <w:tcPr>
            <w:tcW w:w="1703" w:type="dxa"/>
            <w:tcBorders>
              <w:tl2br w:val="nil"/>
              <w:tr2bl w:val="nil"/>
            </w:tcBorders>
            <w:noWrap w:val="0"/>
            <w:vAlign w:val="center"/>
          </w:tcPr>
          <w:p w14:paraId="5764192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33.3</w:t>
            </w:r>
          </w:p>
        </w:tc>
        <w:tc>
          <w:tcPr>
            <w:tcW w:w="1704" w:type="dxa"/>
            <w:tcBorders>
              <w:tl2br w:val="nil"/>
              <w:tr2bl w:val="nil"/>
            </w:tcBorders>
            <w:noWrap w:val="0"/>
            <w:vAlign w:val="center"/>
          </w:tcPr>
          <w:p w14:paraId="7C9E892F">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0.8</w:t>
            </w:r>
          </w:p>
        </w:tc>
        <w:tc>
          <w:tcPr>
            <w:tcW w:w="1705" w:type="dxa"/>
            <w:tcBorders>
              <w:tl2br w:val="nil"/>
              <w:tr2bl w:val="nil"/>
            </w:tcBorders>
            <w:noWrap w:val="0"/>
            <w:vAlign w:val="center"/>
          </w:tcPr>
          <w:p w14:paraId="3F078AE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20</w:t>
            </w:r>
          </w:p>
        </w:tc>
      </w:tr>
      <w:tr w14:paraId="3FDE23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continue"/>
            <w:tcBorders>
              <w:tl2br w:val="nil"/>
              <w:tr2bl w:val="nil"/>
            </w:tcBorders>
            <w:noWrap w:val="0"/>
            <w:vAlign w:val="center"/>
          </w:tcPr>
          <w:p w14:paraId="2C6841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01455B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Mg</w:t>
            </w:r>
            <w:r>
              <w:rPr>
                <w:rFonts w:ascii="Times New Roman" w:hAnsi="Times New Roman"/>
                <w:color w:val="auto"/>
                <w:sz w:val="21"/>
                <w:szCs w:val="21"/>
                <w:highlight w:val="none"/>
                <w:vertAlign w:val="superscript"/>
              </w:rPr>
              <w:t>2+</w:t>
            </w:r>
          </w:p>
        </w:tc>
        <w:tc>
          <w:tcPr>
            <w:tcW w:w="1703" w:type="dxa"/>
            <w:tcBorders>
              <w:tl2br w:val="nil"/>
              <w:tr2bl w:val="nil"/>
            </w:tcBorders>
            <w:noWrap w:val="0"/>
            <w:vAlign w:val="center"/>
          </w:tcPr>
          <w:p w14:paraId="1A4E69A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30.8</w:t>
            </w:r>
          </w:p>
        </w:tc>
        <w:tc>
          <w:tcPr>
            <w:tcW w:w="1704" w:type="dxa"/>
            <w:tcBorders>
              <w:tl2br w:val="nil"/>
              <w:tr2bl w:val="nil"/>
            </w:tcBorders>
            <w:noWrap w:val="0"/>
            <w:vAlign w:val="center"/>
          </w:tcPr>
          <w:p w14:paraId="4D04A42D">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1.3</w:t>
            </w:r>
          </w:p>
        </w:tc>
        <w:tc>
          <w:tcPr>
            <w:tcW w:w="1705" w:type="dxa"/>
            <w:tcBorders>
              <w:tl2br w:val="nil"/>
              <w:tr2bl w:val="nil"/>
            </w:tcBorders>
            <w:noWrap w:val="0"/>
            <w:vAlign w:val="center"/>
          </w:tcPr>
          <w:p w14:paraId="0296DF0C">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32.5</w:t>
            </w:r>
          </w:p>
        </w:tc>
      </w:tr>
      <w:tr w14:paraId="03A08F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continue"/>
            <w:tcBorders>
              <w:tl2br w:val="nil"/>
              <w:tr2bl w:val="nil"/>
            </w:tcBorders>
            <w:noWrap w:val="0"/>
            <w:vAlign w:val="center"/>
          </w:tcPr>
          <w:p w14:paraId="744994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113130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总计</w:t>
            </w:r>
          </w:p>
        </w:tc>
        <w:tc>
          <w:tcPr>
            <w:tcW w:w="1703" w:type="dxa"/>
            <w:tcBorders>
              <w:tl2br w:val="nil"/>
              <w:tr2bl w:val="nil"/>
            </w:tcBorders>
            <w:noWrap w:val="0"/>
            <w:vAlign w:val="center"/>
          </w:tcPr>
          <w:p w14:paraId="568356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116.6</w:t>
            </w:r>
          </w:p>
        </w:tc>
        <w:tc>
          <w:tcPr>
            <w:tcW w:w="1704" w:type="dxa"/>
            <w:tcBorders>
              <w:tl2br w:val="nil"/>
              <w:tr2bl w:val="nil"/>
            </w:tcBorders>
            <w:noWrap w:val="0"/>
            <w:vAlign w:val="center"/>
          </w:tcPr>
          <w:p w14:paraId="521D10C3">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4</w:t>
            </w:r>
          </w:p>
        </w:tc>
        <w:tc>
          <w:tcPr>
            <w:tcW w:w="1705" w:type="dxa"/>
            <w:tcBorders>
              <w:tl2br w:val="nil"/>
              <w:tr2bl w:val="nil"/>
            </w:tcBorders>
            <w:noWrap w:val="0"/>
            <w:vAlign w:val="center"/>
          </w:tcPr>
          <w:p w14:paraId="7DA84AB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100</w:t>
            </w:r>
          </w:p>
        </w:tc>
      </w:tr>
      <w:tr w14:paraId="31B79C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restart"/>
            <w:tcBorders>
              <w:tl2br w:val="nil"/>
              <w:tr2bl w:val="nil"/>
            </w:tcBorders>
            <w:noWrap w:val="0"/>
            <w:vAlign w:val="center"/>
          </w:tcPr>
          <w:p w14:paraId="3C6AE5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阴离子</w:t>
            </w:r>
          </w:p>
        </w:tc>
        <w:tc>
          <w:tcPr>
            <w:tcW w:w="1001" w:type="pct"/>
            <w:tcBorders>
              <w:tl2br w:val="nil"/>
              <w:tr2bl w:val="nil"/>
            </w:tcBorders>
            <w:noWrap w:val="0"/>
            <w:vAlign w:val="center"/>
          </w:tcPr>
          <w:p w14:paraId="26D78B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HCO</w:t>
            </w:r>
            <w:r>
              <w:rPr>
                <w:rFonts w:ascii="Times New Roman" w:hAnsi="Times New Roman"/>
                <w:color w:val="auto"/>
                <w:sz w:val="21"/>
                <w:szCs w:val="21"/>
                <w:highlight w:val="none"/>
                <w:vertAlign w:val="subscript"/>
              </w:rPr>
              <w:t>3</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center"/>
          </w:tcPr>
          <w:p w14:paraId="65CC225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324.1</w:t>
            </w:r>
          </w:p>
        </w:tc>
        <w:tc>
          <w:tcPr>
            <w:tcW w:w="1704" w:type="dxa"/>
            <w:tcBorders>
              <w:tl2br w:val="nil"/>
              <w:tr2bl w:val="nil"/>
            </w:tcBorders>
            <w:noWrap w:val="0"/>
            <w:vAlign w:val="center"/>
          </w:tcPr>
          <w:p w14:paraId="283DF6A8">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5</w:t>
            </w:r>
          </w:p>
        </w:tc>
        <w:tc>
          <w:tcPr>
            <w:tcW w:w="1705" w:type="dxa"/>
            <w:tcBorders>
              <w:tl2br w:val="nil"/>
              <w:tr2bl w:val="nil"/>
            </w:tcBorders>
            <w:noWrap w:val="0"/>
            <w:vAlign w:val="center"/>
          </w:tcPr>
          <w:p w14:paraId="63D7263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96</w:t>
            </w:r>
          </w:p>
        </w:tc>
      </w:tr>
      <w:tr w14:paraId="0CF2B6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continue"/>
            <w:tcBorders>
              <w:tl2br w:val="nil"/>
              <w:tr2bl w:val="nil"/>
            </w:tcBorders>
            <w:noWrap w:val="0"/>
            <w:vAlign w:val="center"/>
          </w:tcPr>
          <w:p w14:paraId="038BC7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6EBA96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Cl</w:t>
            </w:r>
            <w:r>
              <w:rPr>
                <w:rFonts w:ascii="Times New Roman" w:hAnsi="Times New Roman"/>
                <w:color w:val="auto"/>
                <w:sz w:val="21"/>
                <w:szCs w:val="21"/>
                <w:highlight w:val="none"/>
                <w:vertAlign w:val="superscript"/>
              </w:rPr>
              <w:t>-</w:t>
            </w:r>
          </w:p>
        </w:tc>
        <w:tc>
          <w:tcPr>
            <w:tcW w:w="1703" w:type="dxa"/>
            <w:tcBorders>
              <w:tl2br w:val="nil"/>
              <w:tr2bl w:val="nil"/>
            </w:tcBorders>
            <w:noWrap w:val="0"/>
            <w:vAlign w:val="center"/>
          </w:tcPr>
          <w:p w14:paraId="79DD6C7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4.66</w:t>
            </w:r>
          </w:p>
        </w:tc>
        <w:tc>
          <w:tcPr>
            <w:tcW w:w="1704" w:type="dxa"/>
            <w:tcBorders>
              <w:tl2br w:val="nil"/>
              <w:tr2bl w:val="nil"/>
            </w:tcBorders>
            <w:noWrap w:val="0"/>
            <w:vAlign w:val="center"/>
          </w:tcPr>
          <w:p w14:paraId="3ED54298">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0.1</w:t>
            </w:r>
          </w:p>
        </w:tc>
        <w:tc>
          <w:tcPr>
            <w:tcW w:w="1705" w:type="dxa"/>
            <w:tcBorders>
              <w:tl2br w:val="nil"/>
              <w:tr2bl w:val="nil"/>
            </w:tcBorders>
            <w:noWrap w:val="0"/>
            <w:vAlign w:val="center"/>
          </w:tcPr>
          <w:p w14:paraId="5610C2D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2</w:t>
            </w:r>
          </w:p>
        </w:tc>
      </w:tr>
      <w:tr w14:paraId="564BD4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continue"/>
            <w:tcBorders>
              <w:tl2br w:val="nil"/>
              <w:tr2bl w:val="nil"/>
            </w:tcBorders>
            <w:noWrap w:val="0"/>
            <w:vAlign w:val="center"/>
          </w:tcPr>
          <w:p w14:paraId="55B719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011C40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SO</w:t>
            </w:r>
            <w:r>
              <w:rPr>
                <w:rFonts w:ascii="Times New Roman" w:hAnsi="Times New Roman"/>
                <w:color w:val="auto"/>
                <w:sz w:val="21"/>
                <w:szCs w:val="21"/>
                <w:highlight w:val="none"/>
                <w:vertAlign w:val="subscript"/>
              </w:rPr>
              <w:t>4</w:t>
            </w:r>
            <w:r>
              <w:rPr>
                <w:rFonts w:ascii="Times New Roman" w:hAnsi="Times New Roman"/>
                <w:color w:val="auto"/>
                <w:sz w:val="21"/>
                <w:szCs w:val="21"/>
                <w:highlight w:val="none"/>
                <w:vertAlign w:val="superscript"/>
              </w:rPr>
              <w:t>2-</w:t>
            </w:r>
          </w:p>
        </w:tc>
        <w:tc>
          <w:tcPr>
            <w:tcW w:w="1703" w:type="dxa"/>
            <w:tcBorders>
              <w:tl2br w:val="nil"/>
              <w:tr2bl w:val="nil"/>
            </w:tcBorders>
            <w:noWrap w:val="0"/>
            <w:vAlign w:val="center"/>
          </w:tcPr>
          <w:p w14:paraId="0392C4C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13.8</w:t>
            </w:r>
          </w:p>
        </w:tc>
        <w:tc>
          <w:tcPr>
            <w:tcW w:w="1704" w:type="dxa"/>
            <w:tcBorders>
              <w:tl2br w:val="nil"/>
              <w:tr2bl w:val="nil"/>
            </w:tcBorders>
            <w:noWrap w:val="0"/>
            <w:vAlign w:val="center"/>
          </w:tcPr>
          <w:p w14:paraId="2EB9F1A1">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0.1</w:t>
            </w:r>
          </w:p>
        </w:tc>
        <w:tc>
          <w:tcPr>
            <w:tcW w:w="1705" w:type="dxa"/>
            <w:tcBorders>
              <w:tl2br w:val="nil"/>
              <w:tr2bl w:val="nil"/>
            </w:tcBorders>
            <w:noWrap w:val="0"/>
            <w:vAlign w:val="center"/>
          </w:tcPr>
          <w:p w14:paraId="7608540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2</w:t>
            </w:r>
          </w:p>
        </w:tc>
      </w:tr>
      <w:tr w14:paraId="7A12C4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8" w:type="pct"/>
            <w:vMerge w:val="continue"/>
            <w:tcBorders>
              <w:tl2br w:val="nil"/>
              <w:tr2bl w:val="nil"/>
            </w:tcBorders>
            <w:noWrap w:val="0"/>
            <w:vAlign w:val="center"/>
          </w:tcPr>
          <w:p w14:paraId="6AC9C1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p>
        </w:tc>
        <w:tc>
          <w:tcPr>
            <w:tcW w:w="1001" w:type="pct"/>
            <w:tcBorders>
              <w:tl2br w:val="nil"/>
              <w:tr2bl w:val="nil"/>
            </w:tcBorders>
            <w:noWrap w:val="0"/>
            <w:vAlign w:val="center"/>
          </w:tcPr>
          <w:p w14:paraId="4AC976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总计</w:t>
            </w:r>
          </w:p>
        </w:tc>
        <w:tc>
          <w:tcPr>
            <w:tcW w:w="1703" w:type="dxa"/>
            <w:tcBorders>
              <w:tl2br w:val="nil"/>
              <w:tr2bl w:val="nil"/>
            </w:tcBorders>
            <w:noWrap w:val="0"/>
            <w:vAlign w:val="center"/>
          </w:tcPr>
          <w:p w14:paraId="3AEA01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342.56</w:t>
            </w:r>
          </w:p>
        </w:tc>
        <w:tc>
          <w:tcPr>
            <w:tcW w:w="1704" w:type="dxa"/>
            <w:tcBorders>
              <w:tl2br w:val="nil"/>
              <w:tr2bl w:val="nil"/>
            </w:tcBorders>
            <w:noWrap w:val="0"/>
            <w:vAlign w:val="center"/>
          </w:tcPr>
          <w:p w14:paraId="6419F1EC">
            <w:pPr>
              <w:keepNext w:val="0"/>
              <w:keepLines w:val="0"/>
              <w:widowControl/>
              <w:suppressLineNumbers w:val="0"/>
              <w:jc w:val="center"/>
              <w:textAlignment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5.2</w:t>
            </w:r>
          </w:p>
        </w:tc>
        <w:tc>
          <w:tcPr>
            <w:tcW w:w="1705" w:type="dxa"/>
            <w:tcBorders>
              <w:tl2br w:val="nil"/>
              <w:tr2bl w:val="nil"/>
            </w:tcBorders>
            <w:noWrap w:val="0"/>
            <w:vAlign w:val="center"/>
          </w:tcPr>
          <w:p w14:paraId="26E7E11C">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2"/>
                <w:szCs w:val="22"/>
                <w:u w:val="none"/>
                <w:lang w:val="en-US" w:eastAsia="zh-CN" w:bidi="ar"/>
              </w:rPr>
              <w:t>100</w:t>
            </w:r>
          </w:p>
        </w:tc>
      </w:tr>
    </w:tbl>
    <w:p w14:paraId="5FFBC0DA">
      <w:pPr>
        <w:pStyle w:val="71"/>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然后计算水质矿化度M。</w:t>
      </w:r>
    </w:p>
    <w:p w14:paraId="11B66F82">
      <w:pPr>
        <w:pStyle w:val="71"/>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水质矿化度计算过程：</w:t>
      </w:r>
    </w:p>
    <w:p w14:paraId="3D871813">
      <w:pPr>
        <w:pStyle w:val="71"/>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anchor distT="0" distB="0" distL="114300" distR="114300" simplePos="0" relativeHeight="251667456" behindDoc="0" locked="0" layoutInCell="1" allowOverlap="1">
            <wp:simplePos x="0" y="0"/>
            <wp:positionH relativeFrom="column">
              <wp:posOffset>3470275</wp:posOffset>
            </wp:positionH>
            <wp:positionV relativeFrom="paragraph">
              <wp:posOffset>173355</wp:posOffset>
            </wp:positionV>
            <wp:extent cx="532765" cy="323215"/>
            <wp:effectExtent l="0" t="0" r="635" b="635"/>
            <wp:wrapNone/>
            <wp:docPr id="489" name="图片 4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descr="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532765" cy="323215"/>
                    </a:xfrm>
                    <a:prstGeom prst="rect">
                      <a:avLst/>
                    </a:prstGeom>
                    <a:noFill/>
                    <a:ln>
                      <a:noFill/>
                    </a:ln>
                  </pic:spPr>
                </pic:pic>
              </a:graphicData>
            </a:graphic>
          </wp:anchor>
        </w:drawing>
      </w:r>
      <w:r>
        <w:rPr>
          <w:rFonts w:hint="default" w:ascii="Times New Roman" w:hAnsi="Times New Roman" w:eastAsia="宋体" w:cs="Times New Roman"/>
          <w:color w:val="auto"/>
          <w:highlight w:val="none"/>
        </w:rPr>
        <w:t>应先将</w:t>
      </w:r>
      <w:r>
        <w:rPr>
          <w:rFonts w:hint="eastAsia" w:ascii="Times New Roman" w:hAnsi="Times New Roman" w:cs="Times New Roman"/>
          <w:color w:val="auto"/>
          <w:highlight w:val="none"/>
          <w:lang w:eastAsia="zh-CN"/>
        </w:rPr>
        <w:t>上</w:t>
      </w:r>
      <w:r>
        <w:rPr>
          <w:rFonts w:hint="default" w:ascii="Times New Roman" w:hAnsi="Times New Roman" w:eastAsia="宋体" w:cs="Times New Roman"/>
          <w:color w:val="auto"/>
          <w:highlight w:val="none"/>
        </w:rPr>
        <w:t>表中1#的阴离子的mg/L数换算成mmol/L数。它们的摩尔质量mg/mmol数分别采用：M（HC</w:t>
      </w:r>
      <w:r>
        <w:rPr>
          <w:rFonts w:hint="eastAsia" w:ascii="Times New Roman" w:hAnsi="Times New Roman" w:eastAsia="宋体" w:cs="Times New Roman"/>
          <w:color w:val="auto"/>
          <w:highlight w:val="none"/>
          <w:lang w:eastAsia="zh-CN"/>
        </w:rPr>
        <w:t>O</w:t>
      </w:r>
      <w:r>
        <w:rPr>
          <w:rFonts w:hint="eastAsia" w:ascii="Times New Roman" w:hAnsi="Times New Roman" w:eastAsia="宋体" w:cs="Times New Roman"/>
          <w:color w:val="auto"/>
          <w:highlight w:val="none"/>
          <w:vertAlign w:val="subscript"/>
          <w:lang w:eastAsia="zh-CN"/>
        </w:rPr>
        <w:t>3</w:t>
      </w:r>
      <w:r>
        <w:rPr>
          <w:rFonts w:hint="default" w:ascii="Times New Roman" w:hAnsi="Times New Roman" w:eastAsia="宋体" w:cs="Times New Roman"/>
          <w:color w:val="auto"/>
          <w:highlight w:val="none"/>
          <w:vertAlign w:val="superscript"/>
        </w:rPr>
        <w:t>-</w:t>
      </w:r>
      <w:r>
        <w:rPr>
          <w:rFonts w:hint="default" w:ascii="Times New Roman" w:hAnsi="Times New Roman" w:eastAsia="宋体" w:cs="Times New Roman"/>
          <w:color w:val="auto"/>
          <w:highlight w:val="none"/>
        </w:rPr>
        <w:t>）是61，M（Cl</w:t>
      </w:r>
      <w:r>
        <w:rPr>
          <w:rFonts w:hint="default" w:ascii="Times New Roman" w:hAnsi="Times New Roman" w:eastAsia="宋体" w:cs="Times New Roman"/>
          <w:color w:val="auto"/>
          <w:highlight w:val="none"/>
          <w:vertAlign w:val="superscript"/>
        </w:rPr>
        <w:t>-</w:t>
      </w:r>
      <w:r>
        <w:rPr>
          <w:rFonts w:hint="default" w:ascii="Times New Roman" w:hAnsi="Times New Roman" w:eastAsia="宋体" w:cs="Times New Roman"/>
          <w:color w:val="auto"/>
          <w:highlight w:val="none"/>
        </w:rPr>
        <w:t>）是35.5，M（        ）是48。</w:t>
      </w:r>
    </w:p>
    <w:p w14:paraId="5349DAC5">
      <w:pPr>
        <w:pStyle w:val="71"/>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所以，C（HC</w:t>
      </w:r>
      <w:r>
        <w:rPr>
          <w:rFonts w:hint="eastAsia" w:ascii="Times New Roman" w:hAnsi="Times New Roman" w:eastAsia="宋体" w:cs="Times New Roman"/>
          <w:color w:val="auto"/>
          <w:highlight w:val="none"/>
          <w:lang w:eastAsia="zh-CN"/>
        </w:rPr>
        <w:t>O</w:t>
      </w:r>
      <w:r>
        <w:rPr>
          <w:rFonts w:hint="eastAsia" w:ascii="Times New Roman" w:hAnsi="Times New Roman" w:eastAsia="宋体" w:cs="Times New Roman"/>
          <w:color w:val="auto"/>
          <w:highlight w:val="none"/>
          <w:vertAlign w:val="subscript"/>
          <w:lang w:eastAsia="zh-CN"/>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348.7</w:t>
      </w:r>
      <w:r>
        <w:rPr>
          <w:rFonts w:hint="default" w:ascii="Times New Roman" w:hAnsi="Times New Roman" w:eastAsia="宋体" w:cs="Times New Roman"/>
          <w:color w:val="auto"/>
          <w:highlight w:val="none"/>
        </w:rPr>
        <w:t>/61=</w:t>
      </w:r>
      <w:r>
        <w:rPr>
          <w:rFonts w:hint="eastAsia" w:ascii="Times New Roman" w:hAnsi="Times New Roman" w:cs="Times New Roman"/>
          <w:color w:val="auto"/>
          <w:highlight w:val="none"/>
          <w:lang w:val="en-US" w:eastAsia="zh-CN"/>
        </w:rPr>
        <w:t>5.716</w:t>
      </w:r>
    </w:p>
    <w:p w14:paraId="08678033">
      <w:pPr>
        <w:pStyle w:val="71"/>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 xml:space="preserve">      C（Cl-）=</w:t>
      </w:r>
      <w:r>
        <w:rPr>
          <w:rFonts w:hint="default" w:ascii="Times New Roman" w:hAnsi="Times New Roman" w:eastAsia="宋体" w:cs="Times New Roman"/>
          <w:color w:val="auto"/>
          <w:highlight w:val="none"/>
          <w:lang w:val="en-US" w:eastAsia="zh-CN"/>
        </w:rPr>
        <w:t>4.12</w:t>
      </w:r>
      <w:r>
        <w:rPr>
          <w:rFonts w:hint="default" w:ascii="Times New Roman" w:hAnsi="Times New Roman" w:eastAsia="宋体" w:cs="Times New Roman"/>
          <w:color w:val="auto"/>
          <w:highlight w:val="none"/>
        </w:rPr>
        <w:t>/35.5=</w:t>
      </w:r>
      <w:r>
        <w:rPr>
          <w:rFonts w:hint="eastAsia" w:ascii="Times New Roman" w:hAnsi="Times New Roman" w:cs="Times New Roman"/>
          <w:color w:val="auto"/>
          <w:highlight w:val="none"/>
          <w:lang w:val="en-US" w:eastAsia="zh-CN"/>
        </w:rPr>
        <w:t>0.116</w:t>
      </w:r>
    </w:p>
    <w:p w14:paraId="458A181A">
      <w:pPr>
        <w:pStyle w:val="71"/>
        <w:bidi w:val="0"/>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rPr>
        <w:t xml:space="preserve">  </w:t>
      </w:r>
      <w:r>
        <w:rPr>
          <w:rFonts w:hint="default" w:ascii="Times New Roman" w:hAnsi="Times New Roman" w:eastAsia="宋体" w:cs="Times New Roman"/>
          <w:color w:val="auto"/>
          <w:highlight w:val="none"/>
        </w:rPr>
        <w:t xml:space="preserve">    C（</w:t>
      </w:r>
      <w:r>
        <w:rPr>
          <w:rFonts w:hint="default" w:ascii="Times New Roman" w:hAnsi="Times New Roman" w:eastAsia="宋体" w:cs="Times New Roman"/>
          <w:color w:val="auto"/>
          <w:highlight w:val="none"/>
        </w:rPr>
        <w:drawing>
          <wp:inline distT="0" distB="0" distL="0" distR="0">
            <wp:extent cx="544830" cy="330200"/>
            <wp:effectExtent l="0" t="0" r="7620" b="12700"/>
            <wp:docPr id="488" name="图片 4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descr="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544830" cy="330200"/>
                    </a:xfrm>
                    <a:prstGeom prst="rect">
                      <a:avLst/>
                    </a:prstGeom>
                    <a:noFill/>
                    <a:ln>
                      <a:noFill/>
                    </a:ln>
                  </pic:spPr>
                </pic:pic>
              </a:graphicData>
            </a:graphic>
          </wp:inline>
        </w:drawing>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17.4</w:t>
      </w:r>
      <w:r>
        <w:rPr>
          <w:rFonts w:hint="default" w:ascii="Times New Roman" w:hAnsi="Times New Roman" w:eastAsia="宋体" w:cs="Times New Roman"/>
          <w:color w:val="auto"/>
          <w:highlight w:val="none"/>
        </w:rPr>
        <w:t>/48=</w:t>
      </w:r>
      <w:r>
        <w:rPr>
          <w:rFonts w:hint="eastAsia" w:ascii="Times New Roman" w:hAnsi="Times New Roman" w:cs="Times New Roman"/>
          <w:color w:val="auto"/>
          <w:highlight w:val="none"/>
          <w:lang w:val="en-US" w:eastAsia="zh-CN"/>
        </w:rPr>
        <w:t>0.363</w:t>
      </w:r>
    </w:p>
    <w:p w14:paraId="50F88778">
      <w:pPr>
        <w:pStyle w:val="71"/>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则：C（∑A）=</w:t>
      </w:r>
      <w:r>
        <w:rPr>
          <w:rFonts w:hint="eastAsia" w:ascii="Times New Roman" w:hAnsi="Times New Roman" w:cs="Times New Roman"/>
          <w:color w:val="auto"/>
          <w:highlight w:val="none"/>
          <w:lang w:val="en-US" w:eastAsia="zh-CN"/>
        </w:rPr>
        <w:t>5.716</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0.116</w:t>
      </w:r>
      <w:r>
        <w:rPr>
          <w:rFonts w:hint="default" w:ascii="Times New Roman" w:hAnsi="Times New Roman" w:eastAsia="宋体" w:cs="Times New Roman"/>
          <w:color w:val="auto"/>
          <w:highlight w:val="none"/>
        </w:rPr>
        <w:t>+0.</w:t>
      </w:r>
      <w:r>
        <w:rPr>
          <w:rFonts w:hint="eastAsia" w:ascii="Times New Roman" w:hAnsi="Times New Roman" w:eastAsia="宋体" w:cs="Times New Roman"/>
          <w:color w:val="auto"/>
          <w:highlight w:val="none"/>
          <w:lang w:val="en-US" w:eastAsia="zh-CN"/>
        </w:rPr>
        <w:t>363</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6.195</w:t>
      </w:r>
    </w:p>
    <w:p w14:paraId="059C1A45">
      <w:pPr>
        <w:pStyle w:val="71"/>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SB=</w:t>
      </w:r>
      <w:r>
        <w:rPr>
          <w:rFonts w:hint="eastAsia" w:ascii="Times New Roman" w:hAnsi="Times New Roman" w:cs="Times New Roman"/>
          <w:color w:val="auto"/>
          <w:highlight w:val="none"/>
          <w:lang w:val="en-US" w:eastAsia="zh-CN"/>
        </w:rPr>
        <w:t>0.363</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6.195</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0.059</w:t>
      </w:r>
    </w:p>
    <w:p w14:paraId="3C7000B6">
      <w:pPr>
        <w:pStyle w:val="71"/>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HCB=</w:t>
      </w:r>
      <w:r>
        <w:rPr>
          <w:rFonts w:hint="eastAsia" w:ascii="Times New Roman" w:hAnsi="Times New Roman" w:cs="Times New Roman"/>
          <w:color w:val="auto"/>
          <w:highlight w:val="none"/>
          <w:lang w:val="en-US" w:eastAsia="zh-CN"/>
        </w:rPr>
        <w:t>5.716</w:t>
      </w:r>
      <w:r>
        <w:rPr>
          <w:rFonts w:hint="default" w:ascii="Times New Roman" w:hAnsi="Times New Roman" w:eastAsia="宋体" w:cs="Times New Roman"/>
          <w:color w:val="auto"/>
          <w:highlight w:val="none"/>
        </w:rPr>
        <w:t>/0.</w:t>
      </w:r>
      <w:r>
        <w:rPr>
          <w:rFonts w:hint="eastAsia" w:ascii="Times New Roman" w:hAnsi="Times New Roman" w:cs="Times New Roman"/>
          <w:color w:val="auto"/>
          <w:highlight w:val="none"/>
          <w:lang w:val="en-US" w:eastAsia="zh-CN"/>
        </w:rPr>
        <w:t>116</w:t>
      </w:r>
      <w:r>
        <w:rPr>
          <w:rFonts w:hint="default" w:ascii="Times New Roman" w:hAnsi="Times New Roman" w:eastAsia="宋体" w:cs="Times New Roman"/>
          <w:color w:val="auto"/>
          <w:highlight w:val="none"/>
          <w:lang w:val="en-US" w:eastAsia="zh-CN"/>
        </w:rPr>
        <w:t>=</w:t>
      </w:r>
      <w:r>
        <w:rPr>
          <w:rFonts w:hint="eastAsia" w:ascii="Times New Roman" w:hAnsi="Times New Roman" w:cs="Times New Roman"/>
          <w:color w:val="auto"/>
          <w:highlight w:val="none"/>
          <w:lang w:val="en-US" w:eastAsia="zh-CN"/>
        </w:rPr>
        <w:t>49.276</w:t>
      </w:r>
    </w:p>
    <w:p w14:paraId="01CA3056">
      <w:pPr>
        <w:pStyle w:val="71"/>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经查表得Ms为</w:t>
      </w:r>
      <w:r>
        <w:rPr>
          <w:rFonts w:hint="eastAsia" w:ascii="Times New Roman" w:hAnsi="Times New Roman" w:eastAsia="宋体" w:cs="Times New Roman"/>
          <w:color w:val="auto"/>
          <w:highlight w:val="none"/>
          <w:lang w:val="en-US" w:eastAsia="zh-CN"/>
        </w:rPr>
        <w:t>0.079</w:t>
      </w:r>
      <w:r>
        <w:rPr>
          <w:rFonts w:hint="default" w:ascii="Times New Roman" w:hAnsi="Times New Roman" w:eastAsia="宋体" w:cs="Times New Roman"/>
          <w:color w:val="auto"/>
          <w:highlight w:val="none"/>
        </w:rPr>
        <w:t>。</w:t>
      </w:r>
    </w:p>
    <w:p w14:paraId="1180A6D1">
      <w:pPr>
        <w:pStyle w:val="71"/>
        <w:bidi w:val="0"/>
        <w:rPr>
          <w:rFonts w:hint="default" w:ascii="Times New Roman" w:hAnsi="Times New Roman" w:eastAsia="宋体" w:cs="Times New Roman"/>
          <w:color w:val="FF0000"/>
          <w:highlight w:val="none"/>
        </w:rPr>
      </w:pPr>
      <w:r>
        <w:rPr>
          <w:rFonts w:hint="default" w:ascii="Times New Roman" w:hAnsi="Times New Roman" w:eastAsia="宋体" w:cs="Times New Roman"/>
          <w:color w:val="auto"/>
          <w:highlight w:val="none"/>
        </w:rPr>
        <w:t>矿化度（g/L）=</w:t>
      </w:r>
      <w:r>
        <w:rPr>
          <w:rFonts w:hint="eastAsia" w:ascii="Times New Roman" w:hAnsi="Times New Roman" w:eastAsia="宋体" w:cs="Times New Roman"/>
          <w:color w:val="auto"/>
          <w:highlight w:val="none"/>
          <w:lang w:val="en-US" w:eastAsia="zh-CN"/>
        </w:rPr>
        <w:t>6.195</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0.079</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0.489</w:t>
      </w:r>
      <w:r>
        <w:rPr>
          <w:rFonts w:hint="default" w:ascii="Times New Roman" w:hAnsi="Times New Roman" w:eastAsia="宋体" w:cs="Times New Roman"/>
          <w:color w:val="auto"/>
          <w:highlight w:val="none"/>
        </w:rPr>
        <w:t>，所以</w:t>
      </w:r>
      <w:r>
        <w:rPr>
          <w:rFonts w:hint="eastAsia"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矿化度处于A组</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其它点位计算过程同上。水质矿化度计算结果见表</w:t>
      </w:r>
      <w:r>
        <w:rPr>
          <w:rFonts w:hint="default" w:ascii="Times New Roman" w:hAnsi="Times New Roman" w:cs="Times New Roman"/>
          <w:color w:val="auto"/>
          <w:lang w:eastAsia="zh-CN"/>
        </w:rPr>
        <w:t>4.</w:t>
      </w:r>
      <w:r>
        <w:rPr>
          <w:rFonts w:hint="eastAsia" w:ascii="Times New Roman" w:hAnsi="Times New Roman" w:cs="Times New Roman"/>
          <w:color w:val="auto"/>
          <w:lang w:val="en-US" w:eastAsia="zh-CN"/>
        </w:rPr>
        <w:t>2</w:t>
      </w:r>
      <w:r>
        <w:rPr>
          <w:rFonts w:hint="default" w:ascii="Times New Roman" w:hAnsi="Times New Roman" w:cs="Times New Roman"/>
          <w:color w:val="auto"/>
          <w:lang w:eastAsia="zh-CN"/>
        </w:rPr>
        <w:t>-</w:t>
      </w:r>
      <w:r>
        <w:rPr>
          <w:rFonts w:hint="default" w:ascii="Times New Roman" w:hAnsi="Times New Roman" w:cs="Times New Roman"/>
          <w:color w:val="auto"/>
          <w:highlight w:val="none"/>
          <w:lang w:val="en-US" w:eastAsia="zh-CN"/>
        </w:rPr>
        <w:t>16</w:t>
      </w:r>
      <w:r>
        <w:rPr>
          <w:rFonts w:hint="default" w:ascii="Times New Roman" w:hAnsi="Times New Roman" w:eastAsia="宋体" w:cs="Times New Roman"/>
          <w:color w:val="auto"/>
          <w:highlight w:val="none"/>
        </w:rPr>
        <w:t>。</w:t>
      </w:r>
    </w:p>
    <w:p w14:paraId="17F60F82">
      <w:pPr>
        <w:adjustRightInd/>
        <w:snapToGrid/>
        <w:ind w:firstLine="0" w:firstLineChars="0"/>
        <w:jc w:val="center"/>
        <w:rPr>
          <w:rFonts w:hint="default" w:ascii="Times New Roman" w:hAnsi="Times New Roman" w:eastAsia="Arial" w:cs="Times New Roman"/>
          <w:b/>
          <w:bCs/>
          <w:snapToGrid w:val="0"/>
          <w:color w:val="auto"/>
          <w:kern w:val="0"/>
          <w:sz w:val="24"/>
          <w:szCs w:val="24"/>
          <w:highlight w:val="none"/>
          <w:lang w:val="en-US" w:eastAsia="zh-CN" w:bidi="ar-SA"/>
        </w:rPr>
      </w:pPr>
      <w:r>
        <w:rPr>
          <w:rFonts w:hint="default" w:ascii="Times New Roman" w:hAnsi="Times New Roman" w:eastAsia="Arial" w:cs="Times New Roman"/>
          <w:b/>
          <w:bCs/>
          <w:snapToGrid w:val="0"/>
          <w:color w:val="auto"/>
          <w:kern w:val="0"/>
          <w:sz w:val="24"/>
          <w:szCs w:val="24"/>
          <w:highlight w:val="none"/>
          <w:lang w:val="en-US" w:eastAsia="zh-CN" w:bidi="ar-SA"/>
        </w:rPr>
        <w:t>表4.</w:t>
      </w:r>
      <w:r>
        <w:rPr>
          <w:rFonts w:hint="eastAsia" w:ascii="Times New Roman" w:hAnsi="Times New Roman" w:cs="Times New Roman"/>
          <w:b/>
          <w:bCs/>
          <w:snapToGrid w:val="0"/>
          <w:color w:val="auto"/>
          <w:kern w:val="0"/>
          <w:sz w:val="24"/>
          <w:szCs w:val="24"/>
          <w:highlight w:val="none"/>
          <w:lang w:val="en-US" w:eastAsia="zh-CN" w:bidi="ar-SA"/>
        </w:rPr>
        <w:t>2</w:t>
      </w:r>
      <w:r>
        <w:rPr>
          <w:rFonts w:hint="default" w:ascii="Times New Roman" w:hAnsi="Times New Roman" w:eastAsia="Arial" w:cs="Times New Roman"/>
          <w:b/>
          <w:bCs/>
          <w:snapToGrid w:val="0"/>
          <w:color w:val="auto"/>
          <w:kern w:val="0"/>
          <w:sz w:val="24"/>
          <w:szCs w:val="24"/>
          <w:highlight w:val="none"/>
          <w:lang w:val="en-US" w:eastAsia="zh-CN" w:bidi="ar-SA"/>
        </w:rPr>
        <w:t>-16 水质矿化度</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07"/>
        <w:gridCol w:w="2069"/>
        <w:gridCol w:w="2073"/>
        <w:gridCol w:w="2073"/>
      </w:tblGrid>
      <w:tr w14:paraId="467361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1354" w:type="pct"/>
            <w:shd w:val="clear" w:color="auto" w:fill="auto"/>
            <w:vAlign w:val="center"/>
          </w:tcPr>
          <w:p w14:paraId="574A40B7">
            <w:pPr>
              <w:pStyle w:val="3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rPr>
              <mc:AlternateContent>
                <mc:Choice Requires="wps">
                  <w:drawing>
                    <wp:anchor distT="0" distB="0" distL="114300" distR="114300" simplePos="0" relativeHeight="251666432" behindDoc="0" locked="0" layoutInCell="1" allowOverlap="1">
                      <wp:simplePos x="0" y="0"/>
                      <wp:positionH relativeFrom="column">
                        <wp:posOffset>-18415</wp:posOffset>
                      </wp:positionH>
                      <wp:positionV relativeFrom="paragraph">
                        <wp:posOffset>-7620</wp:posOffset>
                      </wp:positionV>
                      <wp:extent cx="1407160" cy="323850"/>
                      <wp:effectExtent l="1270" t="6350" r="1270" b="12700"/>
                      <wp:wrapNone/>
                      <wp:docPr id="491" name="直接连接符 491"/>
                      <wp:cNvGraphicFramePr/>
                      <a:graphic xmlns:a="http://schemas.openxmlformats.org/drawingml/2006/main">
                        <a:graphicData uri="http://schemas.microsoft.com/office/word/2010/wordprocessingShape">
                          <wps:wsp>
                            <wps:cNvCnPr/>
                            <wps:spPr>
                              <a:xfrm>
                                <a:off x="0" y="0"/>
                                <a:ext cx="1407160" cy="3238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45pt;margin-top:-0.6pt;height:25.5pt;width:110.8pt;z-index:251666432;mso-width-relative:page;mso-height-relative:page;" filled="f" stroked="t" coordsize="21600,21600" o:gfxdata="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prfhVNkAAAAIAQAADwAAAAAAAAABACAAAAAiAAAAZHJzL2Rvd25yZXYueG1sUEsBAhQAFAAAAAgA&#10;h07iQGOHlYLrAQAAuwMAAA4AAAAAAAAAAQAgAAAAKAEAAGRycy9lMm9Eb2MueG1sUEsFBgAAAAAG&#10;AAYAWQEAAIUFAAAAAA==&#10;">
                      <v:fill on="f" focussize="0,0"/>
                      <v:stroke weight="1pt" color="#000000 [3200]" miterlimit="8" joinstyle="miter"/>
                      <v:imagedata o:title=""/>
                      <o:lock v:ext="edit" aspectratio="f"/>
                    </v:line>
                  </w:pict>
                </mc:Fallback>
              </mc:AlternateContent>
            </w:r>
            <w:r>
              <w:rPr>
                <w:rFonts w:hint="default" w:ascii="Times New Roman" w:hAnsi="Times New Roman" w:eastAsia="宋体" w:cs="Times New Roman"/>
                <w:color w:val="auto"/>
                <w:highlight w:val="none"/>
              </w:rPr>
              <w:t>编号</w:t>
            </w:r>
          </w:p>
          <w:p w14:paraId="075F8362">
            <w:pPr>
              <w:pStyle w:val="3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p>
        </w:tc>
        <w:tc>
          <w:tcPr>
            <w:tcW w:w="1214" w:type="pct"/>
            <w:shd w:val="clear" w:color="auto" w:fill="auto"/>
            <w:vAlign w:val="center"/>
          </w:tcPr>
          <w:p w14:paraId="024E20CC">
            <w:pPr>
              <w:pStyle w:val="34"/>
              <w:bidi w:val="0"/>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rPr>
              <w:t>1#</w:t>
            </w:r>
          </w:p>
        </w:tc>
        <w:tc>
          <w:tcPr>
            <w:tcW w:w="1216" w:type="pct"/>
            <w:shd w:val="clear" w:color="auto" w:fill="auto"/>
            <w:vAlign w:val="center"/>
          </w:tcPr>
          <w:p w14:paraId="3809B7D2">
            <w:pPr>
              <w:pStyle w:val="3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rPr>
              <w:t>2#</w:t>
            </w:r>
          </w:p>
        </w:tc>
        <w:tc>
          <w:tcPr>
            <w:tcW w:w="1216" w:type="pct"/>
            <w:shd w:val="clear" w:color="auto" w:fill="auto"/>
            <w:vAlign w:val="center"/>
          </w:tcPr>
          <w:p w14:paraId="3F717021">
            <w:pPr>
              <w:pStyle w:val="3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rPr>
              <w:t>3#</w:t>
            </w:r>
          </w:p>
        </w:tc>
      </w:tr>
      <w:tr w14:paraId="778062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54" w:type="pct"/>
            <w:shd w:val="clear" w:color="auto" w:fill="auto"/>
            <w:vAlign w:val="center"/>
          </w:tcPr>
          <w:p w14:paraId="7DDA00B0">
            <w:pPr>
              <w:pStyle w:val="3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矿化度（M）</w:t>
            </w:r>
          </w:p>
        </w:tc>
        <w:tc>
          <w:tcPr>
            <w:tcW w:w="1214" w:type="pct"/>
            <w:shd w:val="clear" w:color="auto" w:fill="auto"/>
            <w:vAlign w:val="center"/>
          </w:tcPr>
          <w:p w14:paraId="65497E4A">
            <w:pPr>
              <w:pStyle w:val="34"/>
              <w:bidi w:val="0"/>
              <w:rPr>
                <w:rFonts w:hint="default" w:ascii="Times New Roman" w:hAnsi="Times New Roman" w:eastAsia="宋体" w:cs="Times New Roman"/>
                <w:color w:val="auto"/>
                <w:highlight w:val="none"/>
                <w:lang w:val="en-US"/>
              </w:rPr>
            </w:pPr>
            <w:r>
              <w:rPr>
                <w:rFonts w:hint="eastAsia" w:ascii="Times New Roman" w:hAnsi="Times New Roman" w:cs="Times New Roman"/>
                <w:color w:val="auto"/>
                <w:highlight w:val="none"/>
                <w:lang w:val="en-US" w:eastAsia="zh-CN"/>
              </w:rPr>
              <w:t>0.489</w:t>
            </w:r>
          </w:p>
        </w:tc>
        <w:tc>
          <w:tcPr>
            <w:tcW w:w="1216" w:type="pct"/>
            <w:shd w:val="clear" w:color="auto" w:fill="auto"/>
            <w:vAlign w:val="center"/>
          </w:tcPr>
          <w:p w14:paraId="1081871A">
            <w:pPr>
              <w:pStyle w:val="3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0.473</w:t>
            </w:r>
          </w:p>
        </w:tc>
        <w:tc>
          <w:tcPr>
            <w:tcW w:w="1216" w:type="pct"/>
            <w:shd w:val="clear" w:color="auto" w:fill="auto"/>
            <w:vAlign w:val="center"/>
          </w:tcPr>
          <w:p w14:paraId="737DF456">
            <w:pPr>
              <w:pStyle w:val="3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0.453</w:t>
            </w:r>
          </w:p>
        </w:tc>
      </w:tr>
      <w:tr w14:paraId="44D91C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54" w:type="pct"/>
            <w:shd w:val="clear" w:color="auto" w:fill="auto"/>
            <w:vAlign w:val="center"/>
          </w:tcPr>
          <w:p w14:paraId="601C7BF4">
            <w:pPr>
              <w:pStyle w:val="3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矿化度分组</w:t>
            </w:r>
          </w:p>
        </w:tc>
        <w:tc>
          <w:tcPr>
            <w:tcW w:w="1214" w:type="pct"/>
            <w:shd w:val="clear" w:color="auto" w:fill="auto"/>
            <w:vAlign w:val="center"/>
          </w:tcPr>
          <w:p w14:paraId="4BD37CB8">
            <w:pPr>
              <w:pStyle w:val="3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w:t>
            </w:r>
          </w:p>
        </w:tc>
        <w:tc>
          <w:tcPr>
            <w:tcW w:w="1216" w:type="pct"/>
            <w:shd w:val="clear" w:color="auto" w:fill="auto"/>
            <w:vAlign w:val="center"/>
          </w:tcPr>
          <w:p w14:paraId="4C6DE2BD">
            <w:pPr>
              <w:pStyle w:val="3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w:t>
            </w:r>
          </w:p>
        </w:tc>
        <w:tc>
          <w:tcPr>
            <w:tcW w:w="1216" w:type="pct"/>
            <w:shd w:val="clear" w:color="auto" w:fill="auto"/>
            <w:vAlign w:val="center"/>
          </w:tcPr>
          <w:p w14:paraId="46B27E2A">
            <w:pPr>
              <w:pStyle w:val="3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w:t>
            </w:r>
          </w:p>
        </w:tc>
      </w:tr>
    </w:tbl>
    <w:p w14:paraId="0FBBD48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kern w:val="0"/>
          <w:sz w:val="24"/>
          <w:szCs w:val="24"/>
          <w:lang w:val="zh-CN"/>
        </w:rPr>
      </w:pPr>
      <w:r>
        <w:rPr>
          <w:rFonts w:hint="default" w:ascii="Times New Roman" w:hAnsi="Times New Roman" w:cs="Times New Roman"/>
          <w:color w:val="auto"/>
          <w:kern w:val="0"/>
          <w:sz w:val="24"/>
          <w:szCs w:val="24"/>
          <w:lang w:val="zh-CN" w:eastAsia="zh-CN"/>
        </w:rPr>
        <w:t>综上所述，项目区矿化度小于1.5g/L。</w:t>
      </w:r>
    </w:p>
    <w:p w14:paraId="18E68BB9">
      <w:pPr>
        <w:keepNext w:val="0"/>
        <w:keepLines w:val="0"/>
        <w:pageBreakBefore w:val="0"/>
        <w:widowControl/>
        <w:numPr>
          <w:ilvl w:val="0"/>
          <w:numId w:val="28"/>
        </w:numPr>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地下水现状评价结论</w:t>
      </w:r>
    </w:p>
    <w:p w14:paraId="7E17157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FF0000"/>
          <w:sz w:val="24"/>
          <w:szCs w:val="24"/>
          <w:lang w:val="en-US" w:eastAsia="zh-CN"/>
        </w:rPr>
      </w:pPr>
      <w:r>
        <w:rPr>
          <w:rFonts w:hint="eastAsia" w:ascii="Times New Roman" w:hAnsi="Times New Roman" w:cs="Times New Roman"/>
          <w:color w:val="auto"/>
          <w:kern w:val="0"/>
          <w:sz w:val="24"/>
          <w:szCs w:val="24"/>
          <w:lang w:val="en-US" w:eastAsia="zh-CN"/>
        </w:rPr>
        <w:t>监测点</w:t>
      </w:r>
      <w:r>
        <w:rPr>
          <w:rFonts w:hint="default" w:ascii="Times New Roman" w:hAnsi="Times New Roman" w:cs="Times New Roman"/>
          <w:color w:val="auto"/>
          <w:kern w:val="0"/>
          <w:sz w:val="24"/>
          <w:szCs w:val="24"/>
          <w:lang w:val="zh-CN" w:eastAsia="zh-CN"/>
        </w:rPr>
        <w:t>锰超标</w:t>
      </w:r>
      <w:r>
        <w:rPr>
          <w:rFonts w:hint="eastAsia" w:ascii="Times New Roman" w:hAnsi="Times New Roman" w:cs="Times New Roman"/>
          <w:color w:val="auto"/>
          <w:kern w:val="0"/>
          <w:sz w:val="24"/>
          <w:szCs w:val="24"/>
          <w:lang w:val="zh-CN" w:eastAsia="zh-CN"/>
        </w:rPr>
        <w:t>，</w:t>
      </w:r>
      <w:r>
        <w:rPr>
          <w:rFonts w:hint="default" w:ascii="Times New Roman" w:hAnsi="Times New Roman" w:cs="Times New Roman"/>
          <w:color w:val="auto"/>
          <w:kern w:val="0"/>
          <w:sz w:val="24"/>
          <w:szCs w:val="24"/>
          <w:lang w:val="zh-CN" w:eastAsia="zh-CN"/>
        </w:rPr>
        <w:t>其他监测因子指标均满足《地下水质量标准》（GB/T14848-2017）中的Ⅲ类标准限值要求。超标原因为受原生地质环境影响所致。</w:t>
      </w:r>
      <w:r>
        <w:rPr>
          <w:rFonts w:hint="eastAsia" w:ascii="Times New Roman" w:hAnsi="Times New Roman" w:cs="Times New Roman"/>
          <w:color w:val="auto"/>
          <w:kern w:val="0"/>
          <w:sz w:val="24"/>
          <w:szCs w:val="24"/>
          <w:lang w:val="en-US" w:eastAsia="zh-CN"/>
        </w:rPr>
        <w:t>1#、2#、3#监测点的地下水均为6-A型，</w:t>
      </w:r>
      <w:r>
        <w:rPr>
          <w:rFonts w:hint="default" w:ascii="Times New Roman" w:hAnsi="Times New Roman" w:cs="Times New Roman"/>
          <w:color w:val="auto"/>
          <w:sz w:val="24"/>
          <w:highlight w:val="none"/>
        </w:rPr>
        <w:t>表示矿化度小于1.5g/L的HCO</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vertAlign w:val="superscript"/>
        </w:rPr>
        <w:t>-</w:t>
      </w:r>
      <w:r>
        <w:rPr>
          <w:rFonts w:hint="default" w:ascii="Times New Roman" w:hAnsi="Times New Roman" w:cs="Times New Roman"/>
          <w:color w:val="auto"/>
          <w:sz w:val="24"/>
          <w:highlight w:val="none"/>
        </w:rPr>
        <w:t>-</w:t>
      </w:r>
      <w:r>
        <w:rPr>
          <w:rFonts w:hint="default" w:ascii="Times New Roman" w:hAnsi="Times New Roman" w:cs="Times New Roman"/>
          <w:snapToGrid w:val="0"/>
          <w:color w:val="auto"/>
          <w:spacing w:val="16"/>
          <w:sz w:val="21"/>
          <w:szCs w:val="21"/>
        </w:rPr>
        <w:t>Na</w:t>
      </w:r>
      <w:r>
        <w:rPr>
          <w:rFonts w:hint="default" w:ascii="Times New Roman" w:hAnsi="Times New Roman" w:cs="Times New Roman"/>
          <w:snapToGrid w:val="0"/>
          <w:color w:val="auto"/>
          <w:spacing w:val="16"/>
          <w:sz w:val="21"/>
          <w:szCs w:val="21"/>
          <w:vertAlign w:val="superscript"/>
        </w:rPr>
        <w:t>+</w:t>
      </w:r>
      <w:r>
        <w:rPr>
          <w:rFonts w:hint="default" w:ascii="Times New Roman" w:hAnsi="Times New Roman" w:cs="Times New Roman"/>
          <w:snapToGrid w:val="0"/>
          <w:color w:val="auto"/>
          <w:spacing w:val="16"/>
          <w:sz w:val="21"/>
          <w:szCs w:val="21"/>
        </w:rPr>
        <w:t>-Mg</w:t>
      </w:r>
      <w:r>
        <w:rPr>
          <w:rFonts w:hint="default" w:ascii="Times New Roman" w:hAnsi="Times New Roman" w:cs="Times New Roman"/>
          <w:snapToGrid w:val="0"/>
          <w:color w:val="auto"/>
          <w:spacing w:val="16"/>
          <w:sz w:val="21"/>
          <w:szCs w:val="21"/>
          <w:vertAlign w:val="superscript"/>
        </w:rPr>
        <w:t>2+</w:t>
      </w:r>
      <w:r>
        <w:rPr>
          <w:rFonts w:hint="default" w:ascii="Times New Roman" w:hAnsi="Times New Roman" w:cs="Times New Roman"/>
          <w:color w:val="auto"/>
          <w:sz w:val="24"/>
          <w:highlight w:val="none"/>
        </w:rPr>
        <w:t>型水</w:t>
      </w:r>
      <w:r>
        <w:rPr>
          <w:rFonts w:hint="eastAsia" w:ascii="Times New Roman" w:hAnsi="Times New Roman" w:eastAsia="宋体" w:cs="Times New Roman"/>
          <w:color w:val="auto"/>
          <w:sz w:val="24"/>
          <w:highlight w:val="none"/>
          <w:lang w:eastAsia="zh-CN"/>
        </w:rPr>
        <w:t>。</w:t>
      </w:r>
    </w:p>
    <w:p w14:paraId="1D964A8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4</w:t>
      </w:r>
      <w:r>
        <w:rPr>
          <w:rFonts w:hint="default" w:ascii="Times New Roman" w:hAnsi="Times New Roman" w:eastAsia="宋体" w:cs="Times New Roman"/>
          <w:b/>
          <w:bCs/>
          <w:snapToGrid w:val="0"/>
          <w:color w:val="auto"/>
          <w:spacing w:val="0"/>
          <w:kern w:val="0"/>
          <w:position w:val="0"/>
          <w:sz w:val="30"/>
          <w:szCs w:val="30"/>
          <w:lang w:val="en-US" w:eastAsia="zh-CN" w:bidi="ar-SA"/>
        </w:rPr>
        <w:t>.</w:t>
      </w:r>
      <w:r>
        <w:rPr>
          <w:rFonts w:hint="eastAsia" w:ascii="Times New Roman" w:hAnsi="Times New Roman" w:eastAsia="宋体" w:cs="Times New Roman"/>
          <w:b/>
          <w:bCs/>
          <w:snapToGrid w:val="0"/>
          <w:color w:val="auto"/>
          <w:spacing w:val="0"/>
          <w:kern w:val="0"/>
          <w:position w:val="0"/>
          <w:sz w:val="30"/>
          <w:szCs w:val="30"/>
          <w:lang w:val="en-US" w:eastAsia="zh-CN" w:bidi="ar-SA"/>
        </w:rPr>
        <w:t>2</w:t>
      </w:r>
      <w:r>
        <w:rPr>
          <w:rFonts w:hint="default" w:ascii="Times New Roman" w:hAnsi="Times New Roman" w:eastAsia="宋体" w:cs="Times New Roman"/>
          <w:b/>
          <w:bCs/>
          <w:snapToGrid w:val="0"/>
          <w:color w:val="auto"/>
          <w:spacing w:val="0"/>
          <w:kern w:val="0"/>
          <w:position w:val="0"/>
          <w:sz w:val="30"/>
          <w:szCs w:val="30"/>
          <w:lang w:val="en-US" w:eastAsia="zh-CN" w:bidi="ar-SA"/>
        </w:rPr>
        <w:t>.</w:t>
      </w:r>
      <w:r>
        <w:rPr>
          <w:rFonts w:hint="eastAsia" w:ascii="Times New Roman" w:hAnsi="Times New Roman" w:eastAsia="宋体" w:cs="Times New Roman"/>
          <w:b/>
          <w:bCs/>
          <w:snapToGrid w:val="0"/>
          <w:color w:val="auto"/>
          <w:spacing w:val="0"/>
          <w:kern w:val="0"/>
          <w:position w:val="0"/>
          <w:sz w:val="30"/>
          <w:szCs w:val="30"/>
          <w:lang w:val="en-US" w:eastAsia="zh-CN" w:bidi="ar-SA"/>
        </w:rPr>
        <w:t>4</w:t>
      </w:r>
      <w:r>
        <w:rPr>
          <w:rFonts w:hint="default" w:ascii="Times New Roman" w:hAnsi="Times New Roman" w:eastAsia="宋体" w:cs="Times New Roman"/>
          <w:b/>
          <w:bCs/>
          <w:snapToGrid w:val="0"/>
          <w:color w:val="auto"/>
          <w:spacing w:val="0"/>
          <w:kern w:val="0"/>
          <w:position w:val="0"/>
          <w:sz w:val="30"/>
          <w:szCs w:val="30"/>
          <w:lang w:val="en-US" w:eastAsia="zh-CN" w:bidi="ar-SA"/>
        </w:rPr>
        <w:t>声环境质量现状调查与评价</w:t>
      </w:r>
    </w:p>
    <w:p w14:paraId="5B2F8C2F">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4.2.4.1</w:t>
      </w:r>
      <w:r>
        <w:rPr>
          <w:rFonts w:hint="default" w:ascii="Times New Roman" w:hAnsi="Times New Roman" w:eastAsia="宋体" w:cs="Times New Roman"/>
          <w:b/>
          <w:bCs/>
          <w:color w:val="auto"/>
          <w:sz w:val="28"/>
          <w:szCs w:val="28"/>
          <w:lang w:val="en-US" w:eastAsia="zh-CN"/>
        </w:rPr>
        <w:t>监测布点</w:t>
      </w:r>
    </w:p>
    <w:p w14:paraId="188F39F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0" w:firstLine="480" w:firstLineChars="200"/>
        <w:jc w:val="both"/>
        <w:textAlignment w:val="baseline"/>
        <w:rPr>
          <w:rFonts w:hint="eastAsia"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rPr>
        <w:t>本项目声环境质量现状监测</w:t>
      </w:r>
      <w:r>
        <w:rPr>
          <w:rFonts w:hint="default" w:ascii="Times New Roman" w:hAnsi="Times New Roman" w:cs="Times New Roman"/>
          <w:color w:val="auto"/>
          <w:sz w:val="24"/>
          <w:szCs w:val="24"/>
          <w:highlight w:val="none"/>
          <w:lang w:val="en-US" w:eastAsia="zh-CN"/>
        </w:rPr>
        <w:t>拟在厂界四周</w:t>
      </w:r>
      <w:r>
        <w:rPr>
          <w:rFonts w:hint="eastAsia" w:ascii="Times New Roman" w:hAnsi="Times New Roman" w:cs="Times New Roman"/>
          <w:color w:val="auto"/>
          <w:sz w:val="24"/>
          <w:szCs w:val="24"/>
          <w:highlight w:val="none"/>
          <w:lang w:val="en-US" w:eastAsia="zh-CN"/>
        </w:rPr>
        <w:t>及敏感目标布设监测点。检测时间为</w:t>
      </w:r>
      <w:r>
        <w:rPr>
          <w:rFonts w:hint="default" w:ascii="Times New Roman" w:hAnsi="Times New Roman" w:cs="Times New Roman"/>
          <w:color w:val="auto"/>
          <w:sz w:val="24"/>
          <w:szCs w:val="24"/>
          <w:highlight w:val="none"/>
          <w:lang w:val="en-US" w:eastAsia="zh-CN"/>
        </w:rPr>
        <w:t>202</w:t>
      </w: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11</w:t>
      </w:r>
      <w:r>
        <w:rPr>
          <w:rFonts w:hint="default" w:ascii="Times New Roman" w:hAnsi="Times New Roman" w:cs="Times New Roman"/>
          <w:color w:val="auto"/>
          <w:sz w:val="24"/>
          <w:szCs w:val="24"/>
          <w:highlight w:val="none"/>
        </w:rPr>
        <w:t>月</w:t>
      </w:r>
      <w:r>
        <w:rPr>
          <w:rFonts w:hint="eastAsia" w:ascii="Times New Roman" w:hAnsi="Times New Roman" w:cs="Times New Roman"/>
          <w:color w:val="auto"/>
          <w:sz w:val="24"/>
          <w:szCs w:val="24"/>
          <w:highlight w:val="none"/>
          <w:lang w:val="en-US" w:eastAsia="zh-CN"/>
        </w:rPr>
        <w:t>05</w:t>
      </w:r>
      <w:r>
        <w:rPr>
          <w:rFonts w:hint="default" w:ascii="Times New Roman" w:hAnsi="Times New Roman" w:cs="Times New Roman"/>
          <w:color w:val="auto"/>
          <w:sz w:val="24"/>
          <w:szCs w:val="24"/>
          <w:highlight w:val="none"/>
        </w:rPr>
        <w:t>日</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11</w:t>
      </w:r>
      <w:r>
        <w:rPr>
          <w:rFonts w:hint="default" w:ascii="Times New Roman" w:hAnsi="Times New Roman" w:cs="Times New Roman"/>
          <w:color w:val="auto"/>
          <w:sz w:val="24"/>
          <w:szCs w:val="24"/>
          <w:highlight w:val="none"/>
        </w:rPr>
        <w:t>月</w:t>
      </w:r>
      <w:r>
        <w:rPr>
          <w:rFonts w:hint="eastAsia" w:ascii="Times New Roman" w:hAnsi="Times New Roman" w:cs="Times New Roman"/>
          <w:color w:val="auto"/>
          <w:sz w:val="24"/>
          <w:szCs w:val="24"/>
          <w:highlight w:val="none"/>
          <w:lang w:val="en-US" w:eastAsia="zh-CN"/>
        </w:rPr>
        <w:t>06</w:t>
      </w:r>
      <w:r>
        <w:rPr>
          <w:rFonts w:hint="default" w:ascii="Times New Roman" w:hAnsi="Times New Roman" w:cs="Times New Roman"/>
          <w:color w:val="auto"/>
          <w:sz w:val="24"/>
          <w:szCs w:val="24"/>
          <w:highlight w:val="none"/>
        </w:rPr>
        <w:t>日</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highlight w:val="none"/>
        </w:rPr>
        <w:t>声环境监测点位见表</w:t>
      </w:r>
      <w:r>
        <w:rPr>
          <w:rFonts w:hint="default" w:ascii="Times New Roman" w:hAnsi="Times New Roman" w:cs="Times New Roman"/>
          <w:color w:val="auto"/>
          <w:sz w:val="24"/>
          <w:highlight w:val="none"/>
          <w:lang w:eastAsia="zh-CN"/>
        </w:rPr>
        <w:t>4</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eastAsia="zh-CN"/>
        </w:rPr>
        <w:t>2-</w:t>
      </w:r>
      <w:r>
        <w:rPr>
          <w:rFonts w:hint="eastAsia" w:ascii="Times New Roman" w:hAnsi="Times New Roman" w:cs="Times New Roman"/>
          <w:color w:val="auto"/>
          <w:sz w:val="24"/>
          <w:highlight w:val="none"/>
          <w:lang w:val="en-US" w:eastAsia="zh-CN"/>
        </w:rPr>
        <w:t>17</w:t>
      </w:r>
      <w:r>
        <w:rPr>
          <w:rFonts w:hint="default" w:ascii="Times New Roman" w:hAnsi="Times New Roman" w:cs="Times New Roman"/>
          <w:color w:val="auto"/>
          <w:sz w:val="24"/>
          <w:highlight w:val="none"/>
        </w:rPr>
        <w:t>及图</w:t>
      </w:r>
      <w:r>
        <w:rPr>
          <w:rFonts w:hint="default" w:ascii="Times New Roman" w:hAnsi="Times New Roman" w:cs="Times New Roman"/>
          <w:color w:val="auto"/>
          <w:sz w:val="24"/>
          <w:highlight w:val="none"/>
          <w:lang w:eastAsia="zh-CN"/>
        </w:rPr>
        <w:t>4</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eastAsia="zh-CN"/>
        </w:rPr>
        <w:t>2-</w:t>
      </w:r>
      <w:r>
        <w:rPr>
          <w:rFonts w:hint="eastAsia"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lang w:val="en-US" w:eastAsia="zh-CN"/>
        </w:rPr>
        <w:t>。</w:t>
      </w:r>
    </w:p>
    <w:p w14:paraId="3C5EA9B1">
      <w:pPr>
        <w:jc w:val="center"/>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表</w:t>
      </w:r>
      <w:r>
        <w:rPr>
          <w:rFonts w:hint="eastAsia" w:ascii="Times New Roman" w:hAnsi="Times New Roman" w:cs="Times New Roman"/>
          <w:b/>
          <w:bCs/>
          <w:color w:val="auto"/>
          <w:sz w:val="24"/>
          <w:szCs w:val="24"/>
          <w:highlight w:val="none"/>
          <w:lang w:val="en-US" w:eastAsia="zh-CN"/>
        </w:rPr>
        <w:t>4.2-17</w:t>
      </w:r>
      <w:r>
        <w:rPr>
          <w:rFonts w:hint="default" w:ascii="Times New Roman" w:hAnsi="Times New Roman" w:cs="Times New Roman"/>
          <w:b/>
          <w:bCs/>
          <w:color w:val="auto"/>
          <w:sz w:val="24"/>
          <w:szCs w:val="24"/>
          <w:highlight w:val="none"/>
          <w:lang w:val="en-US" w:eastAsia="zh-CN"/>
        </w:rPr>
        <w:t xml:space="preserve">  噪声监测点位一览表</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9"/>
        <w:gridCol w:w="3389"/>
        <w:gridCol w:w="1295"/>
        <w:gridCol w:w="1004"/>
        <w:gridCol w:w="1950"/>
      </w:tblGrid>
      <w:tr w14:paraId="09AB35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tcBorders>
              <w:tl2br w:val="nil"/>
              <w:tr2bl w:val="nil"/>
            </w:tcBorders>
            <w:noWrap w:val="0"/>
            <w:vAlign w:val="center"/>
          </w:tcPr>
          <w:p w14:paraId="5E5FAC84">
            <w:pPr>
              <w:keepNext w:val="0"/>
              <w:keepLines w:val="0"/>
              <w:pageBreakBefore w:val="0"/>
              <w:wordWrap/>
              <w:overflowPunct/>
              <w:topLinePunct w:val="0"/>
              <w:autoSpaceDE w:val="0"/>
              <w:bidi w:val="0"/>
              <w:spacing w:line="240" w:lineRule="auto"/>
              <w:jc w:val="center"/>
              <w:rPr>
                <w:rFonts w:hint="default" w:ascii="Times New Roman" w:hAnsi="Times New Roman" w:eastAsia="宋体" w:cs="Times New Roman"/>
                <w:b/>
                <w:color w:val="auto"/>
                <w:sz w:val="21"/>
                <w:szCs w:val="21"/>
                <w:lang w:eastAsia="zh-CN"/>
              </w:rPr>
            </w:pPr>
            <w:r>
              <w:rPr>
                <w:rFonts w:hint="default" w:ascii="Times New Roman" w:hAnsi="Times New Roman" w:cs="Times New Roman"/>
                <w:b/>
                <w:color w:val="auto"/>
                <w:sz w:val="21"/>
                <w:szCs w:val="21"/>
                <w:lang w:eastAsia="zh-CN"/>
              </w:rPr>
              <w:t>序号</w:t>
            </w:r>
          </w:p>
        </w:tc>
        <w:tc>
          <w:tcPr>
            <w:tcW w:w="1989" w:type="pct"/>
            <w:tcBorders>
              <w:tl2br w:val="nil"/>
              <w:tr2bl w:val="nil"/>
            </w:tcBorders>
            <w:noWrap w:val="0"/>
            <w:vAlign w:val="center"/>
          </w:tcPr>
          <w:p w14:paraId="4683114C">
            <w:pPr>
              <w:keepNext w:val="0"/>
              <w:keepLines w:val="0"/>
              <w:pageBreakBefore w:val="0"/>
              <w:wordWrap/>
              <w:overflowPunct/>
              <w:topLinePunct w:val="0"/>
              <w:autoSpaceDE w:val="0"/>
              <w:bidi w:val="0"/>
              <w:spacing w:line="24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监测点位</w:t>
            </w:r>
          </w:p>
        </w:tc>
        <w:tc>
          <w:tcPr>
            <w:tcW w:w="760" w:type="pct"/>
            <w:tcBorders>
              <w:tl2br w:val="nil"/>
              <w:tr2bl w:val="nil"/>
            </w:tcBorders>
            <w:noWrap w:val="0"/>
            <w:vAlign w:val="center"/>
          </w:tcPr>
          <w:p w14:paraId="66F17699">
            <w:pPr>
              <w:keepNext w:val="0"/>
              <w:keepLines w:val="0"/>
              <w:pageBreakBefore w:val="0"/>
              <w:wordWrap/>
              <w:overflowPunct/>
              <w:topLinePunct w:val="0"/>
              <w:autoSpaceDE w:val="0"/>
              <w:bidi w:val="0"/>
              <w:spacing w:line="24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监测项目</w:t>
            </w:r>
          </w:p>
        </w:tc>
        <w:tc>
          <w:tcPr>
            <w:tcW w:w="589" w:type="pct"/>
            <w:tcBorders>
              <w:tl2br w:val="nil"/>
              <w:tr2bl w:val="nil"/>
            </w:tcBorders>
            <w:noWrap w:val="0"/>
            <w:vAlign w:val="center"/>
          </w:tcPr>
          <w:p w14:paraId="613EAADA">
            <w:pPr>
              <w:keepNext w:val="0"/>
              <w:keepLines w:val="0"/>
              <w:pageBreakBefore w:val="0"/>
              <w:wordWrap/>
              <w:overflowPunct/>
              <w:topLinePunct w:val="0"/>
              <w:autoSpaceDE w:val="0"/>
              <w:bidi w:val="0"/>
              <w:spacing w:line="24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频次</w:t>
            </w:r>
          </w:p>
        </w:tc>
        <w:tc>
          <w:tcPr>
            <w:tcW w:w="1144" w:type="pct"/>
            <w:tcBorders>
              <w:tl2br w:val="nil"/>
              <w:tr2bl w:val="nil"/>
            </w:tcBorders>
            <w:noWrap w:val="0"/>
            <w:vAlign w:val="center"/>
          </w:tcPr>
          <w:p w14:paraId="1C8C9B71">
            <w:pPr>
              <w:keepNext w:val="0"/>
              <w:keepLines w:val="0"/>
              <w:pageBreakBefore w:val="0"/>
              <w:wordWrap/>
              <w:overflowPunct/>
              <w:topLinePunct w:val="0"/>
              <w:autoSpaceDE w:val="0"/>
              <w:bidi w:val="0"/>
              <w:spacing w:line="24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执行标准</w:t>
            </w:r>
          </w:p>
        </w:tc>
      </w:tr>
      <w:tr w14:paraId="708B8C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dxa"/>
            <w:tcBorders>
              <w:tl2br w:val="nil"/>
              <w:tr2bl w:val="nil"/>
            </w:tcBorders>
            <w:noWrap w:val="0"/>
            <w:vAlign w:val="center"/>
          </w:tcPr>
          <w:p w14:paraId="0FC0496A">
            <w:pPr>
              <w:numPr>
                <w:ilvl w:val="0"/>
                <w:numId w:val="0"/>
              </w:numPr>
              <w:ind w:left="0" w:leftChars="0" w:firstLine="0" w:firstLineChars="0"/>
              <w:jc w:val="center"/>
              <w:rPr>
                <w:rFonts w:hint="default" w:ascii="Times New Roman" w:hAnsi="Times New Roman" w:cs="Times New Roman"/>
                <w:color w:val="auto"/>
                <w:kern w:val="0"/>
                <w:sz w:val="21"/>
                <w:szCs w:val="21"/>
                <w:lang w:val="en-US" w:eastAsia="zh-CN" w:bidi="ar"/>
              </w:rPr>
            </w:pPr>
            <w:r>
              <w:rPr>
                <w:rFonts w:hint="eastAsia" w:ascii="Times New Roman" w:hAnsi="Times New Roman" w:eastAsia="宋体" w:cs="Times New Roman"/>
                <w:b w:val="0"/>
                <w:bCs w:val="0"/>
                <w:color w:val="auto"/>
                <w:sz w:val="21"/>
                <w:szCs w:val="21"/>
                <w:highlight w:val="none"/>
                <w:vertAlign w:val="baseline"/>
                <w:lang w:val="en-US" w:eastAsia="zh-CN"/>
              </w:rPr>
              <w:t>1△</w:t>
            </w:r>
          </w:p>
        </w:tc>
        <w:tc>
          <w:tcPr>
            <w:tcW w:w="3694" w:type="dxa"/>
            <w:tcBorders>
              <w:tl2br w:val="nil"/>
              <w:tr2bl w:val="nil"/>
            </w:tcBorders>
            <w:noWrap w:val="0"/>
            <w:vAlign w:val="center"/>
          </w:tcPr>
          <w:p w14:paraId="3E2EC646">
            <w:pPr>
              <w:numPr>
                <w:ilvl w:val="0"/>
                <w:numId w:val="0"/>
              </w:numPr>
              <w:ind w:left="0" w:leftChars="0" w:firstLine="0" w:firstLineChars="0"/>
              <w:jc w:val="center"/>
              <w:rPr>
                <w:rFonts w:hint="default" w:ascii="Times New Roman" w:hAnsi="Times New Roman" w:cs="Times New Roman"/>
                <w:color w:val="auto"/>
                <w:sz w:val="21"/>
                <w:szCs w:val="21"/>
              </w:rPr>
            </w:pPr>
            <w:r>
              <w:rPr>
                <w:rFonts w:hint="eastAsia" w:hAnsi="宋体"/>
                <w:color w:val="auto"/>
                <w:sz w:val="21"/>
                <w:szCs w:val="21"/>
                <w:highlight w:val="none"/>
                <w:lang w:val="en-US" w:eastAsia="zh-CN"/>
              </w:rPr>
              <w:t>东北侧厂界</w:t>
            </w:r>
          </w:p>
        </w:tc>
        <w:tc>
          <w:tcPr>
            <w:tcW w:w="760" w:type="pct"/>
            <w:vMerge w:val="restart"/>
            <w:tcBorders>
              <w:tl2br w:val="nil"/>
              <w:tr2bl w:val="nil"/>
            </w:tcBorders>
            <w:noWrap w:val="0"/>
            <w:vAlign w:val="center"/>
          </w:tcPr>
          <w:p w14:paraId="59052A1A">
            <w:pPr>
              <w:keepNext w:val="0"/>
              <w:keepLines w:val="0"/>
              <w:pageBreakBefore w:val="0"/>
              <w:widowControl w:val="0"/>
              <w:kinsoku/>
              <w:wordWrap/>
              <w:overflowPunct/>
              <w:topLinePunct w:val="0"/>
              <w:autoSpaceDE w:val="0"/>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rPr>
              <w:t>等效连续A声级(L</w:t>
            </w:r>
            <w:r>
              <w:rPr>
                <w:rFonts w:hint="default" w:ascii="Times New Roman" w:hAnsi="Times New Roman" w:cs="Times New Roman"/>
                <w:color w:val="auto"/>
                <w:kern w:val="0"/>
                <w:sz w:val="21"/>
                <w:szCs w:val="21"/>
                <w:vertAlign w:val="subscript"/>
              </w:rPr>
              <w:t>eq</w:t>
            </w:r>
            <w:r>
              <w:rPr>
                <w:rFonts w:hint="default" w:ascii="Times New Roman" w:hAnsi="Times New Roman" w:cs="Times New Roman"/>
                <w:color w:val="auto"/>
                <w:kern w:val="0"/>
                <w:sz w:val="21"/>
                <w:szCs w:val="21"/>
              </w:rPr>
              <w:t>)</w:t>
            </w:r>
          </w:p>
        </w:tc>
        <w:tc>
          <w:tcPr>
            <w:tcW w:w="589" w:type="pct"/>
            <w:vMerge w:val="restart"/>
            <w:tcBorders>
              <w:tl2br w:val="nil"/>
              <w:tr2bl w:val="nil"/>
            </w:tcBorders>
            <w:noWrap w:val="0"/>
            <w:vAlign w:val="center"/>
          </w:tcPr>
          <w:p w14:paraId="1F2AE307">
            <w:pPr>
              <w:keepNext w:val="0"/>
              <w:keepLines w:val="0"/>
              <w:pageBreakBefore w:val="0"/>
              <w:widowControl w:val="0"/>
              <w:kinsoku/>
              <w:wordWrap/>
              <w:overflowPunct/>
              <w:topLinePunct w:val="0"/>
              <w:autoSpaceDE w:val="0"/>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b w:val="0"/>
                <w:bCs w:val="0"/>
                <w:color w:val="auto"/>
                <w:sz w:val="21"/>
                <w:szCs w:val="21"/>
                <w:lang w:val="en-US" w:eastAsia="zh-CN"/>
              </w:rPr>
              <w:t>2天，昼夜各1次</w:t>
            </w:r>
          </w:p>
        </w:tc>
        <w:tc>
          <w:tcPr>
            <w:tcW w:w="1144" w:type="pct"/>
            <w:vMerge w:val="restart"/>
            <w:tcBorders>
              <w:tl2br w:val="nil"/>
              <w:tr2bl w:val="nil"/>
            </w:tcBorders>
            <w:noWrap w:val="0"/>
            <w:vAlign w:val="center"/>
          </w:tcPr>
          <w:p w14:paraId="2B7582CF">
            <w:pPr>
              <w:keepNext w:val="0"/>
              <w:keepLines w:val="0"/>
              <w:pageBreakBefore w:val="0"/>
              <w:widowControl w:val="0"/>
              <w:kinsoku/>
              <w:wordWrap/>
              <w:overflowPunct/>
              <w:topLinePunct w:val="0"/>
              <w:autoSpaceDE w:val="0"/>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《声环境质量标准》（GB3096-2008）</w:t>
            </w:r>
          </w:p>
          <w:p w14:paraId="218A8F6A">
            <w:pPr>
              <w:keepNext w:val="0"/>
              <w:keepLines w:val="0"/>
              <w:pageBreakBefore w:val="0"/>
              <w:widowControl w:val="0"/>
              <w:kinsoku/>
              <w:wordWrap/>
              <w:overflowPunct/>
              <w:topLinePunct w:val="0"/>
              <w:autoSpaceDE w:val="0"/>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2类</w:t>
            </w:r>
          </w:p>
        </w:tc>
      </w:tr>
      <w:tr w14:paraId="66CB6F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dxa"/>
            <w:tcBorders>
              <w:tl2br w:val="nil"/>
              <w:tr2bl w:val="nil"/>
            </w:tcBorders>
            <w:noWrap w:val="0"/>
            <w:vAlign w:val="center"/>
          </w:tcPr>
          <w:p w14:paraId="69B1D5FC">
            <w:pPr>
              <w:numPr>
                <w:ilvl w:val="0"/>
                <w:numId w:val="0"/>
              </w:numPr>
              <w:ind w:left="0" w:leftChars="0" w:firstLine="0" w:firstLineChars="0"/>
              <w:jc w:val="center"/>
              <w:rPr>
                <w:rFonts w:hint="default" w:ascii="Times New Roman" w:hAnsi="Times New Roman" w:cs="Times New Roman"/>
                <w:color w:val="FF0000"/>
                <w:kern w:val="0"/>
                <w:sz w:val="21"/>
                <w:szCs w:val="21"/>
                <w:lang w:val="en-US" w:eastAsia="zh-CN" w:bidi="ar"/>
              </w:rPr>
            </w:pPr>
            <w:r>
              <w:rPr>
                <w:rFonts w:hint="eastAsia" w:ascii="Times New Roman" w:hAnsi="Times New Roman" w:eastAsia="宋体" w:cs="Times New Roman"/>
                <w:b w:val="0"/>
                <w:bCs w:val="0"/>
                <w:sz w:val="21"/>
                <w:szCs w:val="21"/>
                <w:highlight w:val="none"/>
                <w:vertAlign w:val="baseline"/>
                <w:lang w:val="en-US" w:eastAsia="zh-CN"/>
              </w:rPr>
              <w:t>2</w:t>
            </w:r>
            <w:r>
              <w:rPr>
                <w:rFonts w:hint="default" w:ascii="Times New Roman" w:hAnsi="Times New Roman" w:eastAsia="宋体" w:cs="Times New Roman"/>
                <w:b w:val="0"/>
                <w:bCs w:val="0"/>
                <w:sz w:val="21"/>
                <w:szCs w:val="21"/>
                <w:highlight w:val="none"/>
                <w:vertAlign w:val="baseline"/>
                <w:lang w:val="en-US" w:eastAsia="zh-CN"/>
              </w:rPr>
              <w:t>△</w:t>
            </w:r>
          </w:p>
        </w:tc>
        <w:tc>
          <w:tcPr>
            <w:tcW w:w="3694" w:type="dxa"/>
            <w:tcBorders>
              <w:tl2br w:val="nil"/>
              <w:tr2bl w:val="nil"/>
            </w:tcBorders>
            <w:noWrap w:val="0"/>
            <w:vAlign w:val="center"/>
          </w:tcPr>
          <w:p w14:paraId="7F51FAF8">
            <w:pPr>
              <w:numPr>
                <w:ilvl w:val="0"/>
                <w:numId w:val="0"/>
              </w:numPr>
              <w:ind w:left="0" w:leftChars="0" w:firstLine="0" w:firstLineChars="0"/>
              <w:jc w:val="center"/>
              <w:rPr>
                <w:rFonts w:hint="default" w:ascii="Times New Roman" w:hAnsi="Times New Roman" w:eastAsia="宋体" w:cs="Times New Roman"/>
                <w:color w:val="FF0000"/>
                <w:kern w:val="0"/>
                <w:sz w:val="21"/>
                <w:szCs w:val="21"/>
                <w:lang w:val="en-US" w:eastAsia="zh-CN" w:bidi="ar"/>
              </w:rPr>
            </w:pPr>
            <w:r>
              <w:rPr>
                <w:rFonts w:hint="eastAsia" w:hAnsi="宋体"/>
                <w:sz w:val="21"/>
                <w:szCs w:val="21"/>
                <w:highlight w:val="none"/>
                <w:lang w:val="en-US" w:eastAsia="zh-CN"/>
              </w:rPr>
              <w:t>东南侧厂界</w:t>
            </w:r>
          </w:p>
        </w:tc>
        <w:tc>
          <w:tcPr>
            <w:tcW w:w="760" w:type="pct"/>
            <w:vMerge w:val="continue"/>
            <w:tcBorders>
              <w:tl2br w:val="nil"/>
              <w:tr2bl w:val="nil"/>
            </w:tcBorders>
            <w:noWrap w:val="0"/>
            <w:vAlign w:val="center"/>
          </w:tcPr>
          <w:p w14:paraId="589457F4">
            <w:pPr>
              <w:keepNext w:val="0"/>
              <w:keepLines w:val="0"/>
              <w:pageBreakBefore w:val="0"/>
              <w:wordWrap/>
              <w:overflowPunct/>
              <w:topLinePunct w:val="0"/>
              <w:autoSpaceDE w:val="0"/>
              <w:bidi w:val="0"/>
              <w:spacing w:line="240" w:lineRule="auto"/>
              <w:jc w:val="center"/>
              <w:rPr>
                <w:rFonts w:hint="default" w:ascii="Times New Roman" w:hAnsi="Times New Roman" w:cs="Times New Roman"/>
                <w:color w:val="FF0000"/>
                <w:sz w:val="21"/>
                <w:szCs w:val="21"/>
                <w:lang w:val="en-US" w:eastAsia="zh-CN"/>
              </w:rPr>
            </w:pPr>
          </w:p>
        </w:tc>
        <w:tc>
          <w:tcPr>
            <w:tcW w:w="589" w:type="pct"/>
            <w:vMerge w:val="continue"/>
            <w:tcBorders>
              <w:tl2br w:val="nil"/>
              <w:tr2bl w:val="nil"/>
            </w:tcBorders>
            <w:noWrap w:val="0"/>
            <w:vAlign w:val="center"/>
          </w:tcPr>
          <w:p w14:paraId="1C83BBA4">
            <w:pPr>
              <w:keepNext w:val="0"/>
              <w:keepLines w:val="0"/>
              <w:pageBreakBefore w:val="0"/>
              <w:wordWrap/>
              <w:overflowPunct/>
              <w:topLinePunct w:val="0"/>
              <w:autoSpaceDE w:val="0"/>
              <w:bidi w:val="0"/>
              <w:spacing w:line="240" w:lineRule="auto"/>
              <w:jc w:val="center"/>
              <w:rPr>
                <w:rFonts w:hint="default" w:ascii="Times New Roman" w:hAnsi="Times New Roman" w:cs="Times New Roman"/>
                <w:color w:val="FF0000"/>
                <w:sz w:val="21"/>
                <w:szCs w:val="21"/>
                <w:lang w:val="en-US" w:eastAsia="zh-CN"/>
              </w:rPr>
            </w:pPr>
          </w:p>
        </w:tc>
        <w:tc>
          <w:tcPr>
            <w:tcW w:w="1144" w:type="pct"/>
            <w:vMerge w:val="continue"/>
            <w:tcBorders>
              <w:tl2br w:val="nil"/>
              <w:tr2bl w:val="nil"/>
            </w:tcBorders>
            <w:noWrap w:val="0"/>
            <w:vAlign w:val="center"/>
          </w:tcPr>
          <w:p w14:paraId="709E0949">
            <w:pPr>
              <w:keepNext w:val="0"/>
              <w:keepLines w:val="0"/>
              <w:pageBreakBefore w:val="0"/>
              <w:wordWrap/>
              <w:overflowPunct/>
              <w:topLinePunct w:val="0"/>
              <w:autoSpaceDE w:val="0"/>
              <w:bidi w:val="0"/>
              <w:spacing w:line="240" w:lineRule="auto"/>
              <w:jc w:val="center"/>
              <w:rPr>
                <w:rFonts w:hint="default" w:ascii="Times New Roman" w:hAnsi="Times New Roman" w:cs="Times New Roman"/>
                <w:color w:val="FF0000"/>
                <w:sz w:val="21"/>
                <w:szCs w:val="21"/>
                <w:lang w:val="en-US" w:eastAsia="zh-CN"/>
              </w:rPr>
            </w:pPr>
          </w:p>
        </w:tc>
      </w:tr>
      <w:tr w14:paraId="5A24B0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dxa"/>
            <w:tcBorders>
              <w:tl2br w:val="nil"/>
              <w:tr2bl w:val="nil"/>
            </w:tcBorders>
            <w:noWrap w:val="0"/>
            <w:vAlign w:val="center"/>
          </w:tcPr>
          <w:p w14:paraId="1805405C">
            <w:pPr>
              <w:numPr>
                <w:ilvl w:val="0"/>
                <w:numId w:val="0"/>
              </w:numPr>
              <w:ind w:left="0" w:leftChars="0" w:firstLine="0" w:firstLineChars="0"/>
              <w:jc w:val="center"/>
              <w:rPr>
                <w:rFonts w:hint="default" w:ascii="Times New Roman" w:hAnsi="Times New Roman" w:cs="Times New Roman"/>
                <w:color w:val="FF0000"/>
                <w:kern w:val="0"/>
                <w:sz w:val="21"/>
                <w:szCs w:val="21"/>
                <w:lang w:val="en-US" w:eastAsia="zh-CN" w:bidi="ar"/>
              </w:rPr>
            </w:pPr>
            <w:r>
              <w:rPr>
                <w:rFonts w:hint="eastAsia" w:ascii="Times New Roman" w:hAnsi="Times New Roman" w:eastAsia="宋体" w:cs="Times New Roman"/>
                <w:b w:val="0"/>
                <w:bCs w:val="0"/>
                <w:sz w:val="21"/>
                <w:szCs w:val="21"/>
                <w:highlight w:val="none"/>
                <w:vertAlign w:val="baseline"/>
                <w:lang w:val="en-US" w:eastAsia="zh-CN"/>
              </w:rPr>
              <w:t>3</w:t>
            </w:r>
            <w:r>
              <w:rPr>
                <w:rFonts w:hint="default" w:ascii="Times New Roman" w:hAnsi="Times New Roman" w:eastAsia="宋体" w:cs="Times New Roman"/>
                <w:b w:val="0"/>
                <w:bCs w:val="0"/>
                <w:sz w:val="21"/>
                <w:szCs w:val="21"/>
                <w:highlight w:val="none"/>
                <w:vertAlign w:val="baseline"/>
                <w:lang w:val="en-US" w:eastAsia="zh-CN"/>
              </w:rPr>
              <w:t>△</w:t>
            </w:r>
          </w:p>
        </w:tc>
        <w:tc>
          <w:tcPr>
            <w:tcW w:w="3694" w:type="dxa"/>
            <w:tcBorders>
              <w:tl2br w:val="nil"/>
              <w:tr2bl w:val="nil"/>
            </w:tcBorders>
            <w:noWrap w:val="0"/>
            <w:vAlign w:val="center"/>
          </w:tcPr>
          <w:p w14:paraId="26E2EC5B">
            <w:pPr>
              <w:numPr>
                <w:ilvl w:val="0"/>
                <w:numId w:val="0"/>
              </w:numPr>
              <w:ind w:left="0" w:leftChars="0" w:firstLine="0" w:firstLineChars="0"/>
              <w:jc w:val="center"/>
              <w:rPr>
                <w:rFonts w:hint="default" w:ascii="Times New Roman" w:hAnsi="Times New Roman" w:eastAsia="宋体" w:cs="Times New Roman"/>
                <w:color w:val="FF0000"/>
                <w:kern w:val="0"/>
                <w:sz w:val="21"/>
                <w:szCs w:val="21"/>
                <w:lang w:val="en-US" w:eastAsia="zh-CN" w:bidi="ar"/>
              </w:rPr>
            </w:pPr>
            <w:r>
              <w:rPr>
                <w:rFonts w:hint="eastAsia" w:hAnsi="宋体"/>
                <w:sz w:val="21"/>
                <w:szCs w:val="21"/>
                <w:highlight w:val="none"/>
                <w:lang w:val="en-US" w:eastAsia="zh-CN"/>
              </w:rPr>
              <w:t>西南侧厂界</w:t>
            </w:r>
          </w:p>
        </w:tc>
        <w:tc>
          <w:tcPr>
            <w:tcW w:w="760" w:type="pct"/>
            <w:vMerge w:val="continue"/>
            <w:tcBorders>
              <w:tl2br w:val="nil"/>
              <w:tr2bl w:val="nil"/>
            </w:tcBorders>
            <w:noWrap w:val="0"/>
            <w:vAlign w:val="center"/>
          </w:tcPr>
          <w:p w14:paraId="41D4444E">
            <w:pPr>
              <w:keepNext w:val="0"/>
              <w:keepLines w:val="0"/>
              <w:pageBreakBefore w:val="0"/>
              <w:wordWrap/>
              <w:overflowPunct/>
              <w:topLinePunct w:val="0"/>
              <w:autoSpaceDE w:val="0"/>
              <w:bidi w:val="0"/>
              <w:spacing w:line="240" w:lineRule="auto"/>
              <w:jc w:val="center"/>
              <w:rPr>
                <w:rFonts w:hint="default" w:ascii="Times New Roman" w:hAnsi="Times New Roman" w:cs="Times New Roman"/>
                <w:color w:val="FF0000"/>
                <w:sz w:val="21"/>
                <w:szCs w:val="21"/>
                <w:lang w:val="en-US" w:eastAsia="zh-CN"/>
              </w:rPr>
            </w:pPr>
          </w:p>
        </w:tc>
        <w:tc>
          <w:tcPr>
            <w:tcW w:w="589" w:type="pct"/>
            <w:vMerge w:val="continue"/>
            <w:tcBorders>
              <w:tl2br w:val="nil"/>
              <w:tr2bl w:val="nil"/>
            </w:tcBorders>
            <w:noWrap w:val="0"/>
            <w:vAlign w:val="center"/>
          </w:tcPr>
          <w:p w14:paraId="6CFD3EE5">
            <w:pPr>
              <w:keepNext w:val="0"/>
              <w:keepLines w:val="0"/>
              <w:pageBreakBefore w:val="0"/>
              <w:wordWrap/>
              <w:overflowPunct/>
              <w:topLinePunct w:val="0"/>
              <w:autoSpaceDE w:val="0"/>
              <w:bidi w:val="0"/>
              <w:spacing w:line="240" w:lineRule="auto"/>
              <w:jc w:val="center"/>
              <w:rPr>
                <w:rFonts w:hint="default" w:ascii="Times New Roman" w:hAnsi="Times New Roman" w:cs="Times New Roman"/>
                <w:color w:val="FF0000"/>
                <w:sz w:val="21"/>
                <w:szCs w:val="21"/>
                <w:lang w:val="en-US" w:eastAsia="zh-CN"/>
              </w:rPr>
            </w:pPr>
          </w:p>
        </w:tc>
        <w:tc>
          <w:tcPr>
            <w:tcW w:w="1144" w:type="pct"/>
            <w:vMerge w:val="continue"/>
            <w:tcBorders>
              <w:tl2br w:val="nil"/>
              <w:tr2bl w:val="nil"/>
            </w:tcBorders>
            <w:noWrap w:val="0"/>
            <w:vAlign w:val="center"/>
          </w:tcPr>
          <w:p w14:paraId="28D543A6">
            <w:pPr>
              <w:keepNext w:val="0"/>
              <w:keepLines w:val="0"/>
              <w:pageBreakBefore w:val="0"/>
              <w:wordWrap/>
              <w:overflowPunct/>
              <w:topLinePunct w:val="0"/>
              <w:autoSpaceDE w:val="0"/>
              <w:bidi w:val="0"/>
              <w:spacing w:line="240" w:lineRule="auto"/>
              <w:jc w:val="center"/>
              <w:rPr>
                <w:rFonts w:hint="default" w:ascii="Times New Roman" w:hAnsi="Times New Roman" w:cs="Times New Roman"/>
                <w:color w:val="FF0000"/>
                <w:sz w:val="21"/>
                <w:szCs w:val="21"/>
                <w:lang w:val="en-US" w:eastAsia="zh-CN"/>
              </w:rPr>
            </w:pPr>
          </w:p>
        </w:tc>
      </w:tr>
      <w:tr w14:paraId="476502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dxa"/>
            <w:tcBorders>
              <w:tl2br w:val="nil"/>
              <w:tr2bl w:val="nil"/>
            </w:tcBorders>
            <w:noWrap w:val="0"/>
            <w:vAlign w:val="center"/>
          </w:tcPr>
          <w:p w14:paraId="1A6AE2A2">
            <w:pPr>
              <w:numPr>
                <w:ilvl w:val="0"/>
                <w:numId w:val="0"/>
              </w:numPr>
              <w:ind w:left="0" w:leftChars="0" w:firstLine="0" w:firstLineChars="0"/>
              <w:jc w:val="center"/>
              <w:rPr>
                <w:rFonts w:hint="default" w:ascii="Times New Roman" w:hAnsi="Times New Roman" w:cs="Times New Roman"/>
                <w:color w:val="FF0000"/>
                <w:kern w:val="0"/>
                <w:sz w:val="21"/>
                <w:szCs w:val="21"/>
                <w:lang w:val="en-US" w:eastAsia="zh-CN" w:bidi="ar"/>
              </w:rPr>
            </w:pPr>
            <w:r>
              <w:rPr>
                <w:rFonts w:hint="eastAsia" w:ascii="Times New Roman" w:hAnsi="Times New Roman" w:eastAsia="宋体" w:cs="Times New Roman"/>
                <w:b w:val="0"/>
                <w:bCs w:val="0"/>
                <w:sz w:val="21"/>
                <w:szCs w:val="21"/>
                <w:highlight w:val="none"/>
                <w:vertAlign w:val="baseline"/>
                <w:lang w:val="en-US" w:eastAsia="zh-CN"/>
              </w:rPr>
              <w:t>4</w:t>
            </w:r>
            <w:r>
              <w:rPr>
                <w:rFonts w:hint="default" w:ascii="Times New Roman" w:hAnsi="Times New Roman" w:eastAsia="宋体" w:cs="Times New Roman"/>
                <w:b w:val="0"/>
                <w:bCs w:val="0"/>
                <w:sz w:val="21"/>
                <w:szCs w:val="21"/>
                <w:highlight w:val="none"/>
                <w:vertAlign w:val="baseline"/>
                <w:lang w:val="en-US" w:eastAsia="zh-CN"/>
              </w:rPr>
              <w:t>△</w:t>
            </w:r>
          </w:p>
        </w:tc>
        <w:tc>
          <w:tcPr>
            <w:tcW w:w="3694" w:type="dxa"/>
            <w:tcBorders>
              <w:tl2br w:val="nil"/>
              <w:tr2bl w:val="nil"/>
            </w:tcBorders>
            <w:noWrap w:val="0"/>
            <w:vAlign w:val="center"/>
          </w:tcPr>
          <w:p w14:paraId="1A3F67E2">
            <w:pPr>
              <w:numPr>
                <w:ilvl w:val="0"/>
                <w:numId w:val="0"/>
              </w:numPr>
              <w:ind w:left="0" w:leftChars="0" w:firstLine="0" w:firstLineChars="0"/>
              <w:jc w:val="center"/>
              <w:rPr>
                <w:rFonts w:hint="default" w:ascii="Times New Roman" w:hAnsi="Times New Roman" w:cs="Times New Roman"/>
                <w:color w:val="FF0000"/>
                <w:kern w:val="0"/>
                <w:sz w:val="21"/>
                <w:szCs w:val="21"/>
                <w:lang w:val="en-US" w:eastAsia="zh-CN" w:bidi="ar"/>
              </w:rPr>
            </w:pPr>
            <w:r>
              <w:rPr>
                <w:rFonts w:hint="eastAsia" w:hAnsi="宋体"/>
                <w:sz w:val="21"/>
                <w:szCs w:val="21"/>
                <w:highlight w:val="none"/>
                <w:lang w:val="en-US" w:eastAsia="zh-CN"/>
              </w:rPr>
              <w:t>西北侧厂界</w:t>
            </w:r>
          </w:p>
        </w:tc>
        <w:tc>
          <w:tcPr>
            <w:tcW w:w="760" w:type="pct"/>
            <w:vMerge w:val="continue"/>
            <w:tcBorders>
              <w:tl2br w:val="nil"/>
              <w:tr2bl w:val="nil"/>
            </w:tcBorders>
            <w:noWrap w:val="0"/>
            <w:vAlign w:val="center"/>
          </w:tcPr>
          <w:p w14:paraId="01B7AD10">
            <w:pPr>
              <w:keepNext w:val="0"/>
              <w:keepLines w:val="0"/>
              <w:pageBreakBefore w:val="0"/>
              <w:wordWrap/>
              <w:overflowPunct/>
              <w:topLinePunct w:val="0"/>
              <w:autoSpaceDE w:val="0"/>
              <w:bidi w:val="0"/>
              <w:spacing w:line="240" w:lineRule="auto"/>
              <w:jc w:val="center"/>
              <w:rPr>
                <w:rFonts w:hint="default" w:ascii="Times New Roman" w:hAnsi="Times New Roman" w:cs="Times New Roman"/>
                <w:color w:val="FF0000"/>
                <w:sz w:val="21"/>
                <w:szCs w:val="21"/>
                <w:lang w:val="en-US" w:eastAsia="zh-CN"/>
              </w:rPr>
            </w:pPr>
          </w:p>
        </w:tc>
        <w:tc>
          <w:tcPr>
            <w:tcW w:w="589" w:type="pct"/>
            <w:vMerge w:val="continue"/>
            <w:tcBorders>
              <w:tl2br w:val="nil"/>
              <w:tr2bl w:val="nil"/>
            </w:tcBorders>
            <w:noWrap w:val="0"/>
            <w:vAlign w:val="center"/>
          </w:tcPr>
          <w:p w14:paraId="4C92EB23">
            <w:pPr>
              <w:keepNext w:val="0"/>
              <w:keepLines w:val="0"/>
              <w:pageBreakBefore w:val="0"/>
              <w:wordWrap/>
              <w:overflowPunct/>
              <w:topLinePunct w:val="0"/>
              <w:autoSpaceDE w:val="0"/>
              <w:bidi w:val="0"/>
              <w:spacing w:line="240" w:lineRule="auto"/>
              <w:jc w:val="center"/>
              <w:rPr>
                <w:rFonts w:hint="default" w:ascii="Times New Roman" w:hAnsi="Times New Roman" w:cs="Times New Roman"/>
                <w:color w:val="FF0000"/>
                <w:sz w:val="21"/>
                <w:szCs w:val="21"/>
                <w:lang w:val="en-US" w:eastAsia="zh-CN"/>
              </w:rPr>
            </w:pPr>
          </w:p>
        </w:tc>
        <w:tc>
          <w:tcPr>
            <w:tcW w:w="1144" w:type="pct"/>
            <w:vMerge w:val="continue"/>
            <w:tcBorders>
              <w:tl2br w:val="nil"/>
              <w:tr2bl w:val="nil"/>
            </w:tcBorders>
            <w:noWrap w:val="0"/>
            <w:vAlign w:val="center"/>
          </w:tcPr>
          <w:p w14:paraId="565A30EB">
            <w:pPr>
              <w:keepNext w:val="0"/>
              <w:keepLines w:val="0"/>
              <w:pageBreakBefore w:val="0"/>
              <w:wordWrap/>
              <w:overflowPunct/>
              <w:topLinePunct w:val="0"/>
              <w:autoSpaceDE w:val="0"/>
              <w:bidi w:val="0"/>
              <w:spacing w:line="240" w:lineRule="auto"/>
              <w:jc w:val="center"/>
              <w:rPr>
                <w:rFonts w:hint="default" w:ascii="Times New Roman" w:hAnsi="Times New Roman" w:cs="Times New Roman"/>
                <w:color w:val="FF0000"/>
                <w:sz w:val="21"/>
                <w:szCs w:val="21"/>
                <w:lang w:val="en-US" w:eastAsia="zh-CN"/>
              </w:rPr>
            </w:pPr>
          </w:p>
        </w:tc>
      </w:tr>
      <w:tr w14:paraId="2549C9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8" w:type="dxa"/>
            <w:tcBorders>
              <w:tl2br w:val="nil"/>
              <w:tr2bl w:val="nil"/>
            </w:tcBorders>
            <w:noWrap w:val="0"/>
            <w:vAlign w:val="center"/>
          </w:tcPr>
          <w:p w14:paraId="370FC7E9">
            <w:pPr>
              <w:numPr>
                <w:ilvl w:val="0"/>
                <w:numId w:val="0"/>
              </w:numPr>
              <w:ind w:left="0" w:leftChars="0" w:firstLine="0" w:firstLineChars="0"/>
              <w:jc w:val="center"/>
              <w:rPr>
                <w:rFonts w:hint="default" w:ascii="Times New Roman" w:hAnsi="Times New Roman" w:cs="Times New Roman"/>
                <w:color w:val="FF0000"/>
                <w:kern w:val="0"/>
                <w:sz w:val="21"/>
                <w:szCs w:val="21"/>
                <w:lang w:val="en-US" w:eastAsia="zh-CN" w:bidi="ar"/>
              </w:rPr>
            </w:pPr>
            <w:r>
              <w:rPr>
                <w:rFonts w:hint="eastAsia" w:ascii="Times New Roman" w:hAnsi="Times New Roman" w:eastAsia="宋体" w:cs="Times New Roman"/>
                <w:b w:val="0"/>
                <w:bCs w:val="0"/>
                <w:sz w:val="21"/>
                <w:szCs w:val="21"/>
                <w:highlight w:val="none"/>
                <w:vertAlign w:val="baseline"/>
                <w:lang w:val="en-US" w:eastAsia="zh-CN"/>
              </w:rPr>
              <w:t>5</w:t>
            </w:r>
            <w:r>
              <w:rPr>
                <w:rFonts w:hint="default" w:ascii="Times New Roman" w:hAnsi="Times New Roman" w:eastAsia="宋体" w:cs="Times New Roman"/>
                <w:b w:val="0"/>
                <w:bCs w:val="0"/>
                <w:sz w:val="21"/>
                <w:szCs w:val="21"/>
                <w:highlight w:val="none"/>
                <w:vertAlign w:val="baseline"/>
                <w:lang w:val="en-US" w:eastAsia="zh-CN"/>
              </w:rPr>
              <w:t>△</w:t>
            </w:r>
          </w:p>
        </w:tc>
        <w:tc>
          <w:tcPr>
            <w:tcW w:w="3694" w:type="dxa"/>
            <w:tcBorders>
              <w:tl2br w:val="nil"/>
              <w:tr2bl w:val="nil"/>
            </w:tcBorders>
            <w:noWrap w:val="0"/>
            <w:vAlign w:val="center"/>
          </w:tcPr>
          <w:p w14:paraId="3A2A2D32">
            <w:pPr>
              <w:numPr>
                <w:ilvl w:val="0"/>
                <w:numId w:val="0"/>
              </w:numPr>
              <w:ind w:left="0" w:leftChars="0" w:firstLine="0" w:firstLineChars="0"/>
              <w:jc w:val="center"/>
              <w:rPr>
                <w:rFonts w:hint="default" w:ascii="Times New Roman" w:hAnsi="Times New Roman" w:cs="Times New Roman"/>
                <w:color w:val="FF0000"/>
                <w:kern w:val="0"/>
                <w:sz w:val="21"/>
                <w:szCs w:val="21"/>
                <w:lang w:val="en-US" w:eastAsia="zh-CN" w:bidi="ar"/>
              </w:rPr>
            </w:pPr>
            <w:r>
              <w:rPr>
                <w:rFonts w:hint="eastAsia" w:ascii="Times New Roman" w:hAnsi="Times New Roman" w:eastAsia="宋体" w:cs="Times New Roman"/>
                <w:spacing w:val="0"/>
                <w:kern w:val="0"/>
                <w:sz w:val="21"/>
                <w:szCs w:val="21"/>
                <w:lang w:val="en-US" w:eastAsia="zh-CN"/>
              </w:rPr>
              <w:t>张达屯</w:t>
            </w:r>
          </w:p>
        </w:tc>
        <w:tc>
          <w:tcPr>
            <w:tcW w:w="760" w:type="pct"/>
            <w:vMerge w:val="continue"/>
            <w:tcBorders>
              <w:tl2br w:val="nil"/>
              <w:tr2bl w:val="nil"/>
            </w:tcBorders>
            <w:noWrap w:val="0"/>
            <w:vAlign w:val="center"/>
          </w:tcPr>
          <w:p w14:paraId="6A4100AA">
            <w:pPr>
              <w:keepNext w:val="0"/>
              <w:keepLines w:val="0"/>
              <w:pageBreakBefore w:val="0"/>
              <w:wordWrap/>
              <w:overflowPunct/>
              <w:topLinePunct w:val="0"/>
              <w:autoSpaceDE w:val="0"/>
              <w:bidi w:val="0"/>
              <w:spacing w:line="240" w:lineRule="auto"/>
              <w:jc w:val="center"/>
              <w:rPr>
                <w:rFonts w:hint="default" w:ascii="Times New Roman" w:hAnsi="Times New Roman" w:cs="Times New Roman"/>
                <w:color w:val="FF0000"/>
                <w:sz w:val="21"/>
                <w:szCs w:val="21"/>
                <w:lang w:val="en-US" w:eastAsia="zh-CN"/>
              </w:rPr>
            </w:pPr>
          </w:p>
        </w:tc>
        <w:tc>
          <w:tcPr>
            <w:tcW w:w="589" w:type="pct"/>
            <w:vMerge w:val="continue"/>
            <w:tcBorders>
              <w:tl2br w:val="nil"/>
              <w:tr2bl w:val="nil"/>
            </w:tcBorders>
            <w:noWrap w:val="0"/>
            <w:vAlign w:val="center"/>
          </w:tcPr>
          <w:p w14:paraId="6ECEB127">
            <w:pPr>
              <w:keepNext w:val="0"/>
              <w:keepLines w:val="0"/>
              <w:pageBreakBefore w:val="0"/>
              <w:wordWrap/>
              <w:overflowPunct/>
              <w:topLinePunct w:val="0"/>
              <w:autoSpaceDE w:val="0"/>
              <w:bidi w:val="0"/>
              <w:spacing w:line="240" w:lineRule="auto"/>
              <w:jc w:val="center"/>
              <w:rPr>
                <w:rFonts w:hint="default" w:ascii="Times New Roman" w:hAnsi="Times New Roman" w:cs="Times New Roman"/>
                <w:color w:val="FF0000"/>
                <w:sz w:val="21"/>
                <w:szCs w:val="21"/>
                <w:lang w:val="en-US" w:eastAsia="zh-CN"/>
              </w:rPr>
            </w:pPr>
          </w:p>
        </w:tc>
        <w:tc>
          <w:tcPr>
            <w:tcW w:w="1144" w:type="pct"/>
            <w:vMerge w:val="continue"/>
            <w:tcBorders>
              <w:tl2br w:val="nil"/>
              <w:tr2bl w:val="nil"/>
            </w:tcBorders>
            <w:noWrap w:val="0"/>
            <w:vAlign w:val="center"/>
          </w:tcPr>
          <w:p w14:paraId="345C781E">
            <w:pPr>
              <w:keepNext w:val="0"/>
              <w:keepLines w:val="0"/>
              <w:pageBreakBefore w:val="0"/>
              <w:wordWrap/>
              <w:overflowPunct/>
              <w:topLinePunct w:val="0"/>
              <w:autoSpaceDE w:val="0"/>
              <w:bidi w:val="0"/>
              <w:spacing w:line="240" w:lineRule="auto"/>
              <w:jc w:val="center"/>
              <w:rPr>
                <w:rFonts w:hint="default" w:ascii="Times New Roman" w:hAnsi="Times New Roman" w:cs="Times New Roman"/>
                <w:color w:val="FF0000"/>
                <w:sz w:val="21"/>
                <w:szCs w:val="21"/>
                <w:lang w:val="en-US" w:eastAsia="zh-CN"/>
              </w:rPr>
            </w:pPr>
          </w:p>
        </w:tc>
      </w:tr>
    </w:tbl>
    <w:p w14:paraId="1DB8E762">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jc w:val="center"/>
        <w:textAlignment w:val="baseline"/>
        <w:rPr>
          <w:rFonts w:hint="default" w:ascii="Times New Roman" w:hAnsi="Times New Roman" w:cs="Times New Roman"/>
          <w:color w:val="FF0000"/>
        </w:rPr>
      </w:pPr>
      <w:r>
        <w:rPr>
          <w:vertAlign w:val="baseline"/>
        </w:rPr>
        <w:drawing>
          <wp:inline distT="0" distB="0" distL="114300" distR="114300">
            <wp:extent cx="2679065" cy="2125980"/>
            <wp:effectExtent l="0" t="0" r="6985" b="7620"/>
            <wp:docPr id="1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6"/>
                    <pic:cNvPicPr>
                      <a:picLocks noChangeAspect="1"/>
                    </pic:cNvPicPr>
                  </pic:nvPicPr>
                  <pic:blipFill>
                    <a:blip r:embed="rId92"/>
                    <a:stretch>
                      <a:fillRect/>
                    </a:stretch>
                  </pic:blipFill>
                  <pic:spPr>
                    <a:xfrm>
                      <a:off x="0" y="0"/>
                      <a:ext cx="2679065" cy="2125980"/>
                    </a:xfrm>
                    <a:prstGeom prst="rect">
                      <a:avLst/>
                    </a:prstGeom>
                    <a:noFill/>
                    <a:ln>
                      <a:noFill/>
                    </a:ln>
                  </pic:spPr>
                </pic:pic>
              </a:graphicData>
            </a:graphic>
          </wp:inline>
        </w:drawing>
      </w:r>
    </w:p>
    <w:p w14:paraId="653E420C">
      <w:pPr>
        <w:jc w:val="center"/>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eastAsia="zh-CN"/>
        </w:rPr>
        <w:t>图</w:t>
      </w:r>
      <w:r>
        <w:rPr>
          <w:rFonts w:hint="eastAsia" w:ascii="Times New Roman" w:hAnsi="Times New Roman" w:cs="Times New Roman"/>
          <w:b/>
          <w:bCs/>
          <w:color w:val="auto"/>
          <w:sz w:val="24"/>
          <w:szCs w:val="24"/>
          <w:lang w:val="en-US" w:eastAsia="zh-CN"/>
        </w:rPr>
        <w:t>4.2</w:t>
      </w:r>
      <w:r>
        <w:rPr>
          <w:rFonts w:hint="default" w:ascii="Times New Roman" w:hAnsi="Times New Roman" w:cs="Times New Roman"/>
          <w:b/>
          <w:bCs/>
          <w:color w:val="auto"/>
          <w:sz w:val="24"/>
          <w:szCs w:val="24"/>
          <w:lang w:val="en-US" w:eastAsia="zh-CN"/>
        </w:rPr>
        <w:t>-</w:t>
      </w:r>
      <w:r>
        <w:rPr>
          <w:rFonts w:hint="eastAsia" w:ascii="Times New Roman" w:hAnsi="Times New Roman" w:cs="Times New Roman"/>
          <w:b/>
          <w:bCs/>
          <w:color w:val="auto"/>
          <w:sz w:val="24"/>
          <w:szCs w:val="24"/>
          <w:lang w:val="en-US" w:eastAsia="zh-CN"/>
        </w:rPr>
        <w:t>3</w:t>
      </w:r>
      <w:r>
        <w:rPr>
          <w:rFonts w:hint="default" w:ascii="Times New Roman" w:hAnsi="Times New Roman" w:cs="Times New Roman"/>
          <w:b/>
          <w:bCs/>
          <w:color w:val="auto"/>
          <w:sz w:val="24"/>
          <w:szCs w:val="24"/>
          <w:lang w:val="en-US" w:eastAsia="zh-CN"/>
        </w:rPr>
        <w:t xml:space="preserve">  声环境监测布点图</w:t>
      </w:r>
    </w:p>
    <w:p w14:paraId="44167A75">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4.2.4.2</w:t>
      </w:r>
      <w:r>
        <w:rPr>
          <w:rFonts w:hint="default" w:ascii="Times New Roman" w:hAnsi="Times New Roman" w:eastAsia="宋体" w:cs="Times New Roman"/>
          <w:b/>
          <w:bCs/>
          <w:color w:val="auto"/>
          <w:sz w:val="28"/>
          <w:szCs w:val="28"/>
          <w:lang w:val="en-US" w:eastAsia="zh-CN"/>
        </w:rPr>
        <w:t>监测因子及监测方法</w:t>
      </w:r>
    </w:p>
    <w:p w14:paraId="615DDBD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0" w:firstLine="480" w:firstLineChars="200"/>
        <w:jc w:val="both"/>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监测因子：等效连续A声级Leq，dB（A）；</w:t>
      </w:r>
    </w:p>
    <w:p w14:paraId="4A36D360">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0" w:firstLine="480" w:firstLineChars="200"/>
        <w:jc w:val="both"/>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监测时间：每个监测点位监测2天，昼间和夜间各测一次，昼间（06:00～22:00）和夜间（22:00～06:00）进行；</w:t>
      </w:r>
    </w:p>
    <w:p w14:paraId="40528F6A">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0" w:firstLine="480" w:firstLineChars="200"/>
        <w:jc w:val="both"/>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监测方法：按《声环境质量标准》（GB3096-2008）附录中的要求进行。</w:t>
      </w:r>
    </w:p>
    <w:p w14:paraId="07202793">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4.2.4.3</w:t>
      </w:r>
      <w:r>
        <w:rPr>
          <w:rFonts w:hint="default" w:ascii="Times New Roman" w:hAnsi="Times New Roman" w:eastAsia="宋体" w:cs="Times New Roman"/>
          <w:b/>
          <w:bCs/>
          <w:color w:val="auto"/>
          <w:sz w:val="28"/>
          <w:szCs w:val="28"/>
          <w:lang w:val="en-US" w:eastAsia="zh-CN"/>
        </w:rPr>
        <w:t>监测结果</w:t>
      </w:r>
    </w:p>
    <w:p w14:paraId="5E57208B">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0" w:firstLine="480" w:firstLineChars="200"/>
        <w:jc w:val="both"/>
        <w:textAlignment w:val="baseline"/>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color w:val="auto"/>
          <w:sz w:val="24"/>
          <w:lang w:val="en-US" w:eastAsia="zh-CN"/>
        </w:rPr>
        <w:t>声环境质量现状监测结果见表4</w:t>
      </w:r>
      <w:r>
        <w:rPr>
          <w:rFonts w:hint="eastAsia" w:ascii="Times New Roman" w:hAnsi="Times New Roman" w:cs="Times New Roman"/>
          <w:color w:val="auto"/>
          <w:sz w:val="24"/>
          <w:lang w:val="en-US" w:eastAsia="zh-CN"/>
        </w:rPr>
        <w:t>.</w:t>
      </w:r>
      <w:r>
        <w:rPr>
          <w:rFonts w:hint="default" w:ascii="Times New Roman" w:hAnsi="Times New Roman" w:cs="Times New Roman"/>
          <w:color w:val="auto"/>
          <w:sz w:val="24"/>
          <w:lang w:val="en-US" w:eastAsia="zh-CN"/>
        </w:rPr>
        <w:t>2-</w:t>
      </w:r>
      <w:r>
        <w:rPr>
          <w:rFonts w:hint="eastAsia" w:ascii="Times New Roman" w:hAnsi="Times New Roman" w:cs="Times New Roman"/>
          <w:color w:val="auto"/>
          <w:sz w:val="24"/>
          <w:lang w:val="en-US" w:eastAsia="zh-CN"/>
        </w:rPr>
        <w:t>18</w:t>
      </w:r>
      <w:r>
        <w:rPr>
          <w:rFonts w:hint="default" w:ascii="Times New Roman" w:hAnsi="Times New Roman" w:cs="Times New Roman"/>
          <w:color w:val="auto"/>
          <w:sz w:val="24"/>
          <w:lang w:val="en-US" w:eastAsia="zh-CN"/>
        </w:rPr>
        <w:t>。</w:t>
      </w:r>
    </w:p>
    <w:p w14:paraId="1980997D">
      <w:pPr>
        <w:jc w:val="center"/>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表</w:t>
      </w:r>
      <w:r>
        <w:rPr>
          <w:rFonts w:hint="eastAsia" w:ascii="Times New Roman" w:hAnsi="Times New Roman" w:cs="Times New Roman"/>
          <w:b/>
          <w:bCs/>
          <w:color w:val="auto"/>
          <w:sz w:val="24"/>
          <w:szCs w:val="24"/>
          <w:highlight w:val="none"/>
          <w:lang w:val="en-US" w:eastAsia="zh-CN"/>
        </w:rPr>
        <w:t>4.2-18</w:t>
      </w:r>
      <w:r>
        <w:rPr>
          <w:rFonts w:hint="default" w:ascii="Times New Roman" w:hAnsi="Times New Roman" w:cs="Times New Roman"/>
          <w:b/>
          <w:bCs/>
          <w:color w:val="auto"/>
          <w:sz w:val="24"/>
          <w:szCs w:val="24"/>
          <w:highlight w:val="none"/>
          <w:lang w:val="en-US" w:eastAsia="zh-CN"/>
        </w:rPr>
        <w:t xml:space="preserve">  噪声监测结果一览表     单位：dB（A）</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1"/>
        <w:gridCol w:w="1004"/>
        <w:gridCol w:w="1316"/>
        <w:gridCol w:w="1411"/>
        <w:gridCol w:w="1411"/>
        <w:gridCol w:w="1411"/>
        <w:gridCol w:w="1415"/>
      </w:tblGrid>
      <w:tr w14:paraId="3C6C89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23" w:type="pct"/>
            <w:vMerge w:val="restart"/>
            <w:tcBorders>
              <w:tl2br w:val="nil"/>
              <w:tr2bl w:val="nil"/>
            </w:tcBorders>
            <w:noWrap w:val="0"/>
            <w:vAlign w:val="center"/>
          </w:tcPr>
          <w:p w14:paraId="647C7B98">
            <w:pPr>
              <w:widowControl w:val="0"/>
              <w:numPr>
                <w:ilvl w:val="0"/>
                <w:numId w:val="0"/>
              </w:numPr>
              <w:jc w:val="center"/>
              <w:rPr>
                <w:rFonts w:hint="default" w:ascii="Times New Roman" w:hAnsi="Times New Roman" w:eastAsia="宋体" w:cs="Times New Roman"/>
                <w:b w:val="0"/>
                <w:bCs w:val="0"/>
                <w:sz w:val="21"/>
                <w:szCs w:val="21"/>
                <w:highlight w:val="none"/>
                <w:vertAlign w:val="baseline"/>
                <w:lang w:eastAsia="zh-CN"/>
              </w:rPr>
            </w:pPr>
            <w:r>
              <w:rPr>
                <w:rFonts w:hint="default" w:ascii="Times New Roman" w:hAnsi="Times New Roman" w:eastAsia="宋体" w:cs="Times New Roman"/>
                <w:b w:val="0"/>
                <w:bCs w:val="0"/>
                <w:sz w:val="21"/>
                <w:szCs w:val="21"/>
                <w:highlight w:val="none"/>
                <w:vertAlign w:val="baseline"/>
                <w:lang w:eastAsia="zh-CN"/>
              </w:rPr>
              <w:t>序号</w:t>
            </w:r>
          </w:p>
        </w:tc>
        <w:tc>
          <w:tcPr>
            <w:tcW w:w="1361" w:type="pct"/>
            <w:gridSpan w:val="2"/>
            <w:vMerge w:val="restart"/>
            <w:tcBorders>
              <w:tl2br w:val="nil"/>
              <w:tr2bl w:val="nil"/>
            </w:tcBorders>
            <w:noWrap w:val="0"/>
            <w:vAlign w:val="center"/>
          </w:tcPr>
          <w:p w14:paraId="1B063735">
            <w:pPr>
              <w:widowControl w:val="0"/>
              <w:numPr>
                <w:ilvl w:val="0"/>
                <w:numId w:val="0"/>
              </w:numPr>
              <w:jc w:val="center"/>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eastAsia="zh-CN"/>
              </w:rPr>
              <w:t>检测点位</w:t>
            </w:r>
          </w:p>
        </w:tc>
        <w:tc>
          <w:tcPr>
            <w:tcW w:w="1656" w:type="pct"/>
            <w:gridSpan w:val="2"/>
            <w:tcBorders>
              <w:tl2br w:val="nil"/>
              <w:tr2bl w:val="nil"/>
            </w:tcBorders>
            <w:noWrap w:val="0"/>
            <w:vAlign w:val="center"/>
          </w:tcPr>
          <w:p w14:paraId="4A70B081">
            <w:pPr>
              <w:widowControl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202</w:t>
            </w:r>
            <w:r>
              <w:rPr>
                <w:rFonts w:hint="eastAsia" w:ascii="Times New Roman" w:hAnsi="Times New Roman" w:eastAsia="宋体" w:cs="Times New Roman"/>
                <w:color w:val="000000"/>
                <w:sz w:val="21"/>
                <w:szCs w:val="21"/>
                <w:highlight w:val="none"/>
                <w:lang w:val="en-US" w:eastAsia="zh-CN"/>
              </w:rPr>
              <w:t>5.11.05</w:t>
            </w:r>
          </w:p>
        </w:tc>
        <w:tc>
          <w:tcPr>
            <w:tcW w:w="1658" w:type="pct"/>
            <w:gridSpan w:val="2"/>
            <w:tcBorders>
              <w:tl2br w:val="nil"/>
              <w:tr2bl w:val="nil"/>
            </w:tcBorders>
            <w:noWrap w:val="0"/>
            <w:vAlign w:val="center"/>
          </w:tcPr>
          <w:p w14:paraId="39E443FB">
            <w:pPr>
              <w:widowControl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202</w:t>
            </w:r>
            <w:r>
              <w:rPr>
                <w:rFonts w:hint="eastAsia" w:ascii="Times New Roman" w:hAnsi="Times New Roman" w:eastAsia="宋体" w:cs="Times New Roman"/>
                <w:color w:val="000000"/>
                <w:sz w:val="21"/>
                <w:szCs w:val="21"/>
                <w:highlight w:val="none"/>
                <w:lang w:val="en-US" w:eastAsia="zh-CN"/>
              </w:rPr>
              <w:t>5.11.06</w:t>
            </w:r>
          </w:p>
        </w:tc>
      </w:tr>
      <w:tr w14:paraId="3A29F2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23" w:type="pct"/>
            <w:vMerge w:val="continue"/>
            <w:tcBorders>
              <w:tl2br w:val="nil"/>
              <w:tr2bl w:val="nil"/>
            </w:tcBorders>
            <w:noWrap w:val="0"/>
            <w:vAlign w:val="center"/>
          </w:tcPr>
          <w:p w14:paraId="26994F76">
            <w:pPr>
              <w:widowControl w:val="0"/>
              <w:numPr>
                <w:ilvl w:val="0"/>
                <w:numId w:val="0"/>
              </w:numPr>
              <w:jc w:val="center"/>
              <w:rPr>
                <w:rFonts w:hint="default" w:ascii="Times New Roman" w:hAnsi="Times New Roman" w:eastAsia="宋体" w:cs="Times New Roman"/>
                <w:b w:val="0"/>
                <w:bCs w:val="0"/>
                <w:sz w:val="21"/>
                <w:szCs w:val="21"/>
                <w:highlight w:val="none"/>
                <w:vertAlign w:val="baseline"/>
                <w:lang w:eastAsia="zh-CN"/>
              </w:rPr>
            </w:pPr>
          </w:p>
        </w:tc>
        <w:tc>
          <w:tcPr>
            <w:tcW w:w="1361" w:type="pct"/>
            <w:gridSpan w:val="2"/>
            <w:vMerge w:val="continue"/>
            <w:tcBorders>
              <w:tl2br w:val="nil"/>
              <w:tr2bl w:val="nil"/>
            </w:tcBorders>
            <w:noWrap w:val="0"/>
            <w:vAlign w:val="center"/>
          </w:tcPr>
          <w:p w14:paraId="440FC8D4">
            <w:pPr>
              <w:widowControl w:val="0"/>
              <w:numPr>
                <w:ilvl w:val="0"/>
                <w:numId w:val="0"/>
              </w:numPr>
              <w:jc w:val="center"/>
              <w:rPr>
                <w:rFonts w:hint="default" w:ascii="Times New Roman" w:hAnsi="Times New Roman" w:eastAsia="宋体" w:cs="Times New Roman"/>
                <w:b w:val="0"/>
                <w:bCs w:val="0"/>
                <w:sz w:val="21"/>
                <w:szCs w:val="21"/>
                <w:highlight w:val="none"/>
                <w:vertAlign w:val="baseline"/>
                <w:lang w:eastAsia="zh-CN"/>
              </w:rPr>
            </w:pPr>
          </w:p>
        </w:tc>
        <w:tc>
          <w:tcPr>
            <w:tcW w:w="828" w:type="pct"/>
            <w:tcBorders>
              <w:tl2br w:val="nil"/>
              <w:tr2bl w:val="nil"/>
            </w:tcBorders>
            <w:noWrap w:val="0"/>
            <w:vAlign w:val="center"/>
          </w:tcPr>
          <w:p w14:paraId="18721668">
            <w:pPr>
              <w:widowControl w:val="0"/>
              <w:jc w:val="center"/>
              <w:rPr>
                <w:rFonts w:hint="default" w:ascii="Times New Roman" w:hAnsi="Times New Roman" w:eastAsia="宋体" w:cs="Times New Roman"/>
                <w:b w:val="0"/>
                <w:bCs w:val="0"/>
                <w:sz w:val="21"/>
                <w:szCs w:val="21"/>
                <w:highlight w:val="none"/>
                <w:vertAlign w:val="baseline"/>
                <w:lang w:eastAsia="zh-CN"/>
              </w:rPr>
            </w:pPr>
            <w:r>
              <w:rPr>
                <w:rFonts w:hint="default" w:ascii="Times New Roman" w:hAnsi="Times New Roman" w:eastAsia="宋体" w:cs="Times New Roman"/>
                <w:color w:val="000000"/>
                <w:sz w:val="21"/>
                <w:szCs w:val="21"/>
                <w:highlight w:val="none"/>
                <w:lang w:val="en-US" w:eastAsia="zh-CN"/>
              </w:rPr>
              <w:t>昼间</w:t>
            </w:r>
          </w:p>
        </w:tc>
        <w:tc>
          <w:tcPr>
            <w:tcW w:w="828" w:type="pct"/>
            <w:tcBorders>
              <w:tl2br w:val="nil"/>
              <w:tr2bl w:val="nil"/>
            </w:tcBorders>
            <w:noWrap w:val="0"/>
            <w:vAlign w:val="center"/>
          </w:tcPr>
          <w:p w14:paraId="63CD6517">
            <w:pPr>
              <w:widowControl w:val="0"/>
              <w:jc w:val="center"/>
              <w:rPr>
                <w:rFonts w:hint="default" w:ascii="Times New Roman" w:hAnsi="Times New Roman" w:eastAsia="宋体" w:cs="Times New Roman"/>
                <w:b w:val="0"/>
                <w:bCs w:val="0"/>
                <w:sz w:val="21"/>
                <w:szCs w:val="21"/>
                <w:highlight w:val="none"/>
                <w:vertAlign w:val="baseline"/>
                <w:lang w:eastAsia="zh-CN"/>
              </w:rPr>
            </w:pPr>
            <w:r>
              <w:rPr>
                <w:rFonts w:hint="default" w:ascii="Times New Roman" w:hAnsi="Times New Roman" w:eastAsia="宋体" w:cs="Times New Roman"/>
                <w:color w:val="000000"/>
                <w:sz w:val="21"/>
                <w:szCs w:val="21"/>
                <w:highlight w:val="none"/>
                <w:lang w:val="en-US" w:eastAsia="zh-CN"/>
              </w:rPr>
              <w:t>夜间</w:t>
            </w:r>
          </w:p>
        </w:tc>
        <w:tc>
          <w:tcPr>
            <w:tcW w:w="828" w:type="pct"/>
            <w:tcBorders>
              <w:tl2br w:val="nil"/>
              <w:tr2bl w:val="nil"/>
            </w:tcBorders>
            <w:noWrap w:val="0"/>
            <w:vAlign w:val="center"/>
          </w:tcPr>
          <w:p w14:paraId="3F9AB98E">
            <w:pPr>
              <w:widowControl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昼间</w:t>
            </w:r>
          </w:p>
        </w:tc>
        <w:tc>
          <w:tcPr>
            <w:tcW w:w="830" w:type="pct"/>
            <w:tcBorders>
              <w:tl2br w:val="nil"/>
              <w:tr2bl w:val="nil"/>
            </w:tcBorders>
            <w:noWrap w:val="0"/>
            <w:vAlign w:val="center"/>
          </w:tcPr>
          <w:p w14:paraId="37981347">
            <w:pPr>
              <w:widowControl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夜间</w:t>
            </w:r>
          </w:p>
        </w:tc>
      </w:tr>
      <w:tr w14:paraId="25BF21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tcBorders>
              <w:tl2br w:val="nil"/>
              <w:tr2bl w:val="nil"/>
            </w:tcBorders>
            <w:noWrap w:val="0"/>
            <w:vAlign w:val="center"/>
          </w:tcPr>
          <w:p w14:paraId="09D0891F">
            <w:pPr>
              <w:widowControl w:val="0"/>
              <w:numPr>
                <w:ilvl w:val="0"/>
                <w:numId w:val="29"/>
              </w:numPr>
              <w:ind w:left="425" w:leftChars="0" w:hanging="425" w:firstLineChars="0"/>
              <w:jc w:val="center"/>
              <w:rPr>
                <w:rFonts w:hint="default" w:ascii="Times New Roman" w:hAnsi="Times New Roman" w:eastAsia="宋体" w:cs="Times New Roman"/>
                <w:b w:val="0"/>
                <w:bCs w:val="0"/>
                <w:sz w:val="21"/>
                <w:szCs w:val="21"/>
                <w:highlight w:val="none"/>
                <w:vertAlign w:val="baseline"/>
                <w:lang w:eastAsia="zh-CN"/>
              </w:rPr>
            </w:pPr>
          </w:p>
        </w:tc>
        <w:tc>
          <w:tcPr>
            <w:tcW w:w="589" w:type="pct"/>
            <w:tcBorders>
              <w:tl2br w:val="nil"/>
              <w:tr2bl w:val="nil"/>
            </w:tcBorders>
            <w:noWrap w:val="0"/>
            <w:vAlign w:val="center"/>
          </w:tcPr>
          <w:p w14:paraId="54045F1C">
            <w:pPr>
              <w:widowControl w:val="0"/>
              <w:numPr>
                <w:ilvl w:val="0"/>
                <w:numId w:val="0"/>
              </w:numPr>
              <w:ind w:left="0" w:leftChars="0" w:firstLine="0" w:firstLineChars="0"/>
              <w:jc w:val="center"/>
              <w:rPr>
                <w:rFonts w:hint="eastAsia"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eastAsia="宋体" w:cs="Times New Roman"/>
                <w:b w:val="0"/>
                <w:bCs w:val="0"/>
                <w:sz w:val="21"/>
                <w:szCs w:val="21"/>
                <w:highlight w:val="none"/>
                <w:vertAlign w:val="baseline"/>
                <w:lang w:val="en-US" w:eastAsia="zh-CN"/>
              </w:rPr>
              <w:t>1△</w:t>
            </w:r>
          </w:p>
        </w:tc>
        <w:tc>
          <w:tcPr>
            <w:tcW w:w="1316" w:type="dxa"/>
            <w:tcBorders>
              <w:tl2br w:val="nil"/>
              <w:tr2bl w:val="nil"/>
            </w:tcBorders>
            <w:noWrap w:val="0"/>
            <w:vAlign w:val="center"/>
          </w:tcPr>
          <w:p w14:paraId="33C6DA8F">
            <w:pPr>
              <w:widowControl w:val="0"/>
              <w:numPr>
                <w:ilvl w:val="0"/>
                <w:numId w:val="0"/>
              </w:numPr>
              <w:ind w:left="0" w:leftChars="0" w:firstLine="0" w:firstLineChars="0"/>
              <w:jc w:val="center"/>
              <w:rPr>
                <w:rFonts w:hint="default" w:ascii="Times New Roman" w:hAnsi="Times New Roman" w:eastAsia="宋体" w:cs="Times New Roman"/>
                <w:b w:val="0"/>
                <w:bCs w:val="0"/>
                <w:sz w:val="21"/>
                <w:szCs w:val="21"/>
                <w:highlight w:val="magenta"/>
                <w:vertAlign w:val="baseline"/>
                <w:lang w:eastAsia="zh-CN"/>
              </w:rPr>
            </w:pPr>
            <w:r>
              <w:rPr>
                <w:rFonts w:hint="eastAsia" w:hAnsi="宋体"/>
                <w:color w:val="auto"/>
                <w:sz w:val="21"/>
                <w:szCs w:val="21"/>
                <w:highlight w:val="none"/>
                <w:lang w:val="en-US" w:eastAsia="zh-CN"/>
              </w:rPr>
              <w:t>东北侧厂界</w:t>
            </w:r>
          </w:p>
        </w:tc>
        <w:tc>
          <w:tcPr>
            <w:tcW w:w="828" w:type="pct"/>
            <w:tcBorders>
              <w:tl2br w:val="nil"/>
              <w:tr2bl w:val="nil"/>
            </w:tcBorders>
            <w:noWrap w:val="0"/>
            <w:vAlign w:val="center"/>
          </w:tcPr>
          <w:p w14:paraId="5B2C49A8">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52</w:t>
            </w:r>
          </w:p>
        </w:tc>
        <w:tc>
          <w:tcPr>
            <w:tcW w:w="828" w:type="pct"/>
            <w:tcBorders>
              <w:tl2br w:val="nil"/>
              <w:tr2bl w:val="nil"/>
            </w:tcBorders>
            <w:noWrap w:val="0"/>
            <w:vAlign w:val="center"/>
          </w:tcPr>
          <w:p w14:paraId="696BC497">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kern w:val="2"/>
                <w:sz w:val="21"/>
                <w:szCs w:val="21"/>
                <w:highlight w:val="none"/>
                <w:lang w:val="en-US" w:eastAsia="zh-CN" w:bidi="ar-SA"/>
              </w:rPr>
              <w:t>41</w:t>
            </w:r>
          </w:p>
        </w:tc>
        <w:tc>
          <w:tcPr>
            <w:tcW w:w="828" w:type="pct"/>
            <w:tcBorders>
              <w:tl2br w:val="nil"/>
              <w:tr2bl w:val="nil"/>
            </w:tcBorders>
            <w:noWrap w:val="0"/>
            <w:vAlign w:val="center"/>
          </w:tcPr>
          <w:p w14:paraId="11667A06">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51</w:t>
            </w:r>
          </w:p>
        </w:tc>
        <w:tc>
          <w:tcPr>
            <w:tcW w:w="830" w:type="pct"/>
            <w:tcBorders>
              <w:tl2br w:val="nil"/>
              <w:tr2bl w:val="nil"/>
            </w:tcBorders>
            <w:noWrap w:val="0"/>
            <w:vAlign w:val="center"/>
          </w:tcPr>
          <w:p w14:paraId="4E86EA89">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40</w:t>
            </w:r>
          </w:p>
        </w:tc>
      </w:tr>
      <w:tr w14:paraId="623D94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tcBorders>
              <w:tl2br w:val="nil"/>
              <w:tr2bl w:val="nil"/>
            </w:tcBorders>
            <w:noWrap w:val="0"/>
            <w:vAlign w:val="center"/>
          </w:tcPr>
          <w:p w14:paraId="176023B5">
            <w:pPr>
              <w:widowControl w:val="0"/>
              <w:numPr>
                <w:ilvl w:val="0"/>
                <w:numId w:val="29"/>
              </w:numPr>
              <w:ind w:left="425" w:leftChars="0" w:hanging="425" w:firstLineChars="0"/>
              <w:jc w:val="center"/>
              <w:rPr>
                <w:rFonts w:hint="default" w:ascii="Times New Roman" w:hAnsi="Times New Roman" w:eastAsia="宋体" w:cs="Times New Roman"/>
                <w:b w:val="0"/>
                <w:bCs w:val="0"/>
                <w:sz w:val="21"/>
                <w:szCs w:val="21"/>
                <w:highlight w:val="none"/>
                <w:vertAlign w:val="baseline"/>
                <w:lang w:eastAsia="zh-CN"/>
              </w:rPr>
            </w:pPr>
          </w:p>
        </w:tc>
        <w:tc>
          <w:tcPr>
            <w:tcW w:w="589" w:type="pct"/>
            <w:tcBorders>
              <w:tl2br w:val="nil"/>
              <w:tr2bl w:val="nil"/>
            </w:tcBorders>
            <w:noWrap w:val="0"/>
            <w:vAlign w:val="center"/>
          </w:tcPr>
          <w:p w14:paraId="3215404A">
            <w:pPr>
              <w:widowControl w:val="0"/>
              <w:numPr>
                <w:ilvl w:val="0"/>
                <w:numId w:val="0"/>
              </w:numPr>
              <w:ind w:left="0" w:leftChars="0" w:firstLine="0" w:firstLineChars="0"/>
              <w:jc w:val="center"/>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eastAsia="宋体" w:cs="Times New Roman"/>
                <w:b w:val="0"/>
                <w:bCs w:val="0"/>
                <w:sz w:val="21"/>
                <w:szCs w:val="21"/>
                <w:highlight w:val="none"/>
                <w:vertAlign w:val="baseline"/>
                <w:lang w:val="en-US" w:eastAsia="zh-CN"/>
              </w:rPr>
              <w:t>2</w:t>
            </w:r>
            <w:r>
              <w:rPr>
                <w:rFonts w:hint="default" w:ascii="Times New Roman" w:hAnsi="Times New Roman" w:eastAsia="宋体" w:cs="Times New Roman"/>
                <w:b w:val="0"/>
                <w:bCs w:val="0"/>
                <w:sz w:val="21"/>
                <w:szCs w:val="21"/>
                <w:highlight w:val="none"/>
                <w:vertAlign w:val="baseline"/>
                <w:lang w:val="en-US" w:eastAsia="zh-CN"/>
              </w:rPr>
              <w:t>△</w:t>
            </w:r>
          </w:p>
        </w:tc>
        <w:tc>
          <w:tcPr>
            <w:tcW w:w="1316" w:type="dxa"/>
            <w:tcBorders>
              <w:tl2br w:val="nil"/>
              <w:tr2bl w:val="nil"/>
            </w:tcBorders>
            <w:noWrap w:val="0"/>
            <w:vAlign w:val="center"/>
          </w:tcPr>
          <w:p w14:paraId="2F99D194">
            <w:pPr>
              <w:widowControl w:val="0"/>
              <w:numPr>
                <w:ilvl w:val="0"/>
                <w:numId w:val="0"/>
              </w:numPr>
              <w:ind w:left="0" w:leftChars="0" w:firstLine="0" w:firstLineChars="0"/>
              <w:jc w:val="center"/>
              <w:rPr>
                <w:rFonts w:hint="default" w:ascii="Times New Roman" w:hAnsi="Times New Roman" w:eastAsia="宋体" w:cs="Times New Roman"/>
                <w:b w:val="0"/>
                <w:bCs w:val="0"/>
                <w:sz w:val="21"/>
                <w:szCs w:val="21"/>
                <w:highlight w:val="magenta"/>
                <w:vertAlign w:val="baseline"/>
                <w:lang w:eastAsia="zh-CN"/>
              </w:rPr>
            </w:pPr>
            <w:r>
              <w:rPr>
                <w:rFonts w:hint="eastAsia" w:hAnsi="宋体"/>
                <w:sz w:val="21"/>
                <w:szCs w:val="21"/>
                <w:highlight w:val="none"/>
                <w:lang w:val="en-US" w:eastAsia="zh-CN"/>
              </w:rPr>
              <w:t>东南侧厂界</w:t>
            </w:r>
          </w:p>
        </w:tc>
        <w:tc>
          <w:tcPr>
            <w:tcW w:w="828" w:type="pct"/>
            <w:tcBorders>
              <w:tl2br w:val="nil"/>
              <w:tr2bl w:val="nil"/>
            </w:tcBorders>
            <w:noWrap w:val="0"/>
            <w:vAlign w:val="center"/>
          </w:tcPr>
          <w:p w14:paraId="262FE7B2">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57</w:t>
            </w:r>
          </w:p>
        </w:tc>
        <w:tc>
          <w:tcPr>
            <w:tcW w:w="828" w:type="pct"/>
            <w:tcBorders>
              <w:tl2br w:val="nil"/>
              <w:tr2bl w:val="nil"/>
            </w:tcBorders>
            <w:noWrap w:val="0"/>
            <w:vAlign w:val="center"/>
          </w:tcPr>
          <w:p w14:paraId="29FFC28F">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kern w:val="2"/>
                <w:sz w:val="21"/>
                <w:szCs w:val="21"/>
                <w:highlight w:val="none"/>
                <w:lang w:val="en-US" w:eastAsia="zh-CN" w:bidi="ar-SA"/>
              </w:rPr>
              <w:t>44</w:t>
            </w:r>
          </w:p>
        </w:tc>
        <w:tc>
          <w:tcPr>
            <w:tcW w:w="828" w:type="pct"/>
            <w:tcBorders>
              <w:tl2br w:val="nil"/>
              <w:tr2bl w:val="nil"/>
            </w:tcBorders>
            <w:noWrap w:val="0"/>
            <w:vAlign w:val="center"/>
          </w:tcPr>
          <w:p w14:paraId="7B8461B5">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56</w:t>
            </w:r>
          </w:p>
        </w:tc>
        <w:tc>
          <w:tcPr>
            <w:tcW w:w="830" w:type="pct"/>
            <w:tcBorders>
              <w:tl2br w:val="nil"/>
              <w:tr2bl w:val="nil"/>
            </w:tcBorders>
            <w:noWrap w:val="0"/>
            <w:vAlign w:val="center"/>
          </w:tcPr>
          <w:p w14:paraId="789D70CE">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43</w:t>
            </w:r>
          </w:p>
        </w:tc>
      </w:tr>
      <w:tr w14:paraId="7996D8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tcBorders>
              <w:tl2br w:val="nil"/>
              <w:tr2bl w:val="nil"/>
            </w:tcBorders>
            <w:noWrap w:val="0"/>
            <w:vAlign w:val="center"/>
          </w:tcPr>
          <w:p w14:paraId="3284CDEB">
            <w:pPr>
              <w:widowControl w:val="0"/>
              <w:numPr>
                <w:ilvl w:val="0"/>
                <w:numId w:val="29"/>
              </w:numPr>
              <w:ind w:left="425" w:leftChars="0" w:hanging="425" w:firstLineChars="0"/>
              <w:jc w:val="center"/>
              <w:rPr>
                <w:rFonts w:hint="default" w:ascii="Times New Roman" w:hAnsi="Times New Roman" w:eastAsia="宋体" w:cs="Times New Roman"/>
                <w:b w:val="0"/>
                <w:bCs w:val="0"/>
                <w:sz w:val="21"/>
                <w:szCs w:val="21"/>
                <w:highlight w:val="none"/>
                <w:vertAlign w:val="baseline"/>
                <w:lang w:eastAsia="zh-CN"/>
              </w:rPr>
            </w:pPr>
          </w:p>
        </w:tc>
        <w:tc>
          <w:tcPr>
            <w:tcW w:w="589" w:type="pct"/>
            <w:tcBorders>
              <w:tl2br w:val="nil"/>
              <w:tr2bl w:val="nil"/>
            </w:tcBorders>
            <w:noWrap w:val="0"/>
            <w:vAlign w:val="center"/>
          </w:tcPr>
          <w:p w14:paraId="1EA6A0B7">
            <w:pPr>
              <w:widowControl w:val="0"/>
              <w:numPr>
                <w:ilvl w:val="0"/>
                <w:numId w:val="0"/>
              </w:numPr>
              <w:ind w:left="0" w:leftChars="0" w:firstLine="0" w:firstLineChars="0"/>
              <w:jc w:val="center"/>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eastAsia="宋体" w:cs="Times New Roman"/>
                <w:b w:val="0"/>
                <w:bCs w:val="0"/>
                <w:sz w:val="21"/>
                <w:szCs w:val="21"/>
                <w:highlight w:val="none"/>
                <w:vertAlign w:val="baseline"/>
                <w:lang w:val="en-US" w:eastAsia="zh-CN"/>
              </w:rPr>
              <w:t>3</w:t>
            </w:r>
            <w:r>
              <w:rPr>
                <w:rFonts w:hint="default" w:ascii="Times New Roman" w:hAnsi="Times New Roman" w:eastAsia="宋体" w:cs="Times New Roman"/>
                <w:b w:val="0"/>
                <w:bCs w:val="0"/>
                <w:sz w:val="21"/>
                <w:szCs w:val="21"/>
                <w:highlight w:val="none"/>
                <w:vertAlign w:val="baseline"/>
                <w:lang w:val="en-US" w:eastAsia="zh-CN"/>
              </w:rPr>
              <w:t>△</w:t>
            </w:r>
          </w:p>
        </w:tc>
        <w:tc>
          <w:tcPr>
            <w:tcW w:w="1316" w:type="dxa"/>
            <w:tcBorders>
              <w:tl2br w:val="nil"/>
              <w:tr2bl w:val="nil"/>
            </w:tcBorders>
            <w:noWrap w:val="0"/>
            <w:vAlign w:val="center"/>
          </w:tcPr>
          <w:p w14:paraId="77C15CC6">
            <w:pPr>
              <w:widowControl w:val="0"/>
              <w:numPr>
                <w:ilvl w:val="0"/>
                <w:numId w:val="0"/>
              </w:numPr>
              <w:ind w:left="0" w:leftChars="0" w:firstLine="0" w:firstLineChars="0"/>
              <w:jc w:val="center"/>
              <w:rPr>
                <w:rFonts w:hint="default" w:ascii="Times New Roman" w:hAnsi="Times New Roman" w:eastAsia="宋体" w:cs="Times New Roman"/>
                <w:b w:val="0"/>
                <w:bCs w:val="0"/>
                <w:sz w:val="21"/>
                <w:szCs w:val="21"/>
                <w:highlight w:val="magenta"/>
                <w:vertAlign w:val="baseline"/>
                <w:lang w:eastAsia="zh-CN"/>
              </w:rPr>
            </w:pPr>
            <w:r>
              <w:rPr>
                <w:rFonts w:hint="eastAsia" w:hAnsi="宋体"/>
                <w:sz w:val="21"/>
                <w:szCs w:val="21"/>
                <w:highlight w:val="none"/>
                <w:lang w:val="en-US" w:eastAsia="zh-CN"/>
              </w:rPr>
              <w:t>西南侧厂界</w:t>
            </w:r>
          </w:p>
        </w:tc>
        <w:tc>
          <w:tcPr>
            <w:tcW w:w="828" w:type="pct"/>
            <w:tcBorders>
              <w:tl2br w:val="nil"/>
              <w:tr2bl w:val="nil"/>
            </w:tcBorders>
            <w:noWrap w:val="0"/>
            <w:vAlign w:val="center"/>
          </w:tcPr>
          <w:p w14:paraId="631F46F6">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55</w:t>
            </w:r>
          </w:p>
        </w:tc>
        <w:tc>
          <w:tcPr>
            <w:tcW w:w="828" w:type="pct"/>
            <w:tcBorders>
              <w:tl2br w:val="nil"/>
              <w:tr2bl w:val="nil"/>
            </w:tcBorders>
            <w:noWrap w:val="0"/>
            <w:vAlign w:val="center"/>
          </w:tcPr>
          <w:p w14:paraId="2F574D18">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kern w:val="2"/>
                <w:sz w:val="21"/>
                <w:szCs w:val="21"/>
                <w:highlight w:val="none"/>
                <w:lang w:val="en-US" w:eastAsia="zh-CN" w:bidi="ar-SA"/>
              </w:rPr>
              <w:t>43</w:t>
            </w:r>
          </w:p>
        </w:tc>
        <w:tc>
          <w:tcPr>
            <w:tcW w:w="828" w:type="pct"/>
            <w:tcBorders>
              <w:tl2br w:val="nil"/>
              <w:tr2bl w:val="nil"/>
            </w:tcBorders>
            <w:noWrap w:val="0"/>
            <w:vAlign w:val="center"/>
          </w:tcPr>
          <w:p w14:paraId="50F3FA41">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54</w:t>
            </w:r>
          </w:p>
        </w:tc>
        <w:tc>
          <w:tcPr>
            <w:tcW w:w="830" w:type="pct"/>
            <w:tcBorders>
              <w:tl2br w:val="nil"/>
              <w:tr2bl w:val="nil"/>
            </w:tcBorders>
            <w:noWrap w:val="0"/>
            <w:vAlign w:val="center"/>
          </w:tcPr>
          <w:p w14:paraId="283FAA07">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42</w:t>
            </w:r>
          </w:p>
        </w:tc>
      </w:tr>
      <w:tr w14:paraId="13747C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tcBorders>
              <w:tl2br w:val="nil"/>
              <w:tr2bl w:val="nil"/>
            </w:tcBorders>
            <w:noWrap w:val="0"/>
            <w:vAlign w:val="center"/>
          </w:tcPr>
          <w:p w14:paraId="6A958BB3">
            <w:pPr>
              <w:widowControl w:val="0"/>
              <w:numPr>
                <w:ilvl w:val="0"/>
                <w:numId w:val="29"/>
              </w:numPr>
              <w:ind w:left="425" w:leftChars="0" w:hanging="425" w:firstLineChars="0"/>
              <w:jc w:val="center"/>
              <w:rPr>
                <w:rFonts w:hint="default" w:ascii="Times New Roman" w:hAnsi="Times New Roman" w:eastAsia="宋体" w:cs="Times New Roman"/>
                <w:b w:val="0"/>
                <w:bCs w:val="0"/>
                <w:sz w:val="21"/>
                <w:szCs w:val="21"/>
                <w:highlight w:val="none"/>
                <w:vertAlign w:val="baseline"/>
                <w:lang w:eastAsia="zh-CN"/>
              </w:rPr>
            </w:pPr>
          </w:p>
        </w:tc>
        <w:tc>
          <w:tcPr>
            <w:tcW w:w="589" w:type="pct"/>
            <w:tcBorders>
              <w:tl2br w:val="nil"/>
              <w:tr2bl w:val="nil"/>
            </w:tcBorders>
            <w:noWrap w:val="0"/>
            <w:vAlign w:val="center"/>
          </w:tcPr>
          <w:p w14:paraId="63968B29">
            <w:pPr>
              <w:widowControl w:val="0"/>
              <w:numPr>
                <w:ilvl w:val="0"/>
                <w:numId w:val="0"/>
              </w:numPr>
              <w:ind w:left="0" w:leftChars="0" w:firstLine="0" w:firstLineChars="0"/>
              <w:jc w:val="center"/>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eastAsia="宋体" w:cs="Times New Roman"/>
                <w:b w:val="0"/>
                <w:bCs w:val="0"/>
                <w:sz w:val="21"/>
                <w:szCs w:val="21"/>
                <w:highlight w:val="none"/>
                <w:vertAlign w:val="baseline"/>
                <w:lang w:val="en-US" w:eastAsia="zh-CN"/>
              </w:rPr>
              <w:t>4</w:t>
            </w:r>
            <w:r>
              <w:rPr>
                <w:rFonts w:hint="default" w:ascii="Times New Roman" w:hAnsi="Times New Roman" w:eastAsia="宋体" w:cs="Times New Roman"/>
                <w:b w:val="0"/>
                <w:bCs w:val="0"/>
                <w:sz w:val="21"/>
                <w:szCs w:val="21"/>
                <w:highlight w:val="none"/>
                <w:vertAlign w:val="baseline"/>
                <w:lang w:val="en-US" w:eastAsia="zh-CN"/>
              </w:rPr>
              <w:t>△</w:t>
            </w:r>
          </w:p>
        </w:tc>
        <w:tc>
          <w:tcPr>
            <w:tcW w:w="1316" w:type="dxa"/>
            <w:tcBorders>
              <w:tl2br w:val="nil"/>
              <w:tr2bl w:val="nil"/>
            </w:tcBorders>
            <w:noWrap w:val="0"/>
            <w:vAlign w:val="center"/>
          </w:tcPr>
          <w:p w14:paraId="10A0CD57">
            <w:pPr>
              <w:widowControl w:val="0"/>
              <w:numPr>
                <w:ilvl w:val="0"/>
                <w:numId w:val="0"/>
              </w:numPr>
              <w:ind w:left="0" w:leftChars="0" w:firstLine="0" w:firstLineChars="0"/>
              <w:jc w:val="center"/>
              <w:rPr>
                <w:rFonts w:hint="default" w:ascii="Times New Roman" w:hAnsi="Times New Roman" w:eastAsia="宋体" w:cs="Times New Roman"/>
                <w:b w:val="0"/>
                <w:bCs w:val="0"/>
                <w:sz w:val="21"/>
                <w:szCs w:val="21"/>
                <w:highlight w:val="magenta"/>
                <w:vertAlign w:val="baseline"/>
                <w:lang w:eastAsia="zh-CN"/>
              </w:rPr>
            </w:pPr>
            <w:r>
              <w:rPr>
                <w:rFonts w:hint="eastAsia" w:hAnsi="宋体"/>
                <w:sz w:val="21"/>
                <w:szCs w:val="21"/>
                <w:highlight w:val="none"/>
                <w:lang w:val="en-US" w:eastAsia="zh-CN"/>
              </w:rPr>
              <w:t>西北侧厂界</w:t>
            </w:r>
          </w:p>
        </w:tc>
        <w:tc>
          <w:tcPr>
            <w:tcW w:w="828" w:type="pct"/>
            <w:tcBorders>
              <w:tl2br w:val="nil"/>
              <w:tr2bl w:val="nil"/>
            </w:tcBorders>
            <w:noWrap w:val="0"/>
            <w:vAlign w:val="center"/>
          </w:tcPr>
          <w:p w14:paraId="3E771093">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53</w:t>
            </w:r>
          </w:p>
        </w:tc>
        <w:tc>
          <w:tcPr>
            <w:tcW w:w="828" w:type="pct"/>
            <w:tcBorders>
              <w:tl2br w:val="nil"/>
              <w:tr2bl w:val="nil"/>
            </w:tcBorders>
            <w:noWrap w:val="0"/>
            <w:vAlign w:val="center"/>
          </w:tcPr>
          <w:p w14:paraId="0D3C36B4">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kern w:val="2"/>
                <w:sz w:val="21"/>
                <w:szCs w:val="21"/>
                <w:highlight w:val="none"/>
                <w:lang w:val="en-US" w:eastAsia="zh-CN" w:bidi="ar-SA"/>
              </w:rPr>
              <w:t>40</w:t>
            </w:r>
          </w:p>
        </w:tc>
        <w:tc>
          <w:tcPr>
            <w:tcW w:w="828" w:type="pct"/>
            <w:tcBorders>
              <w:tl2br w:val="nil"/>
              <w:tr2bl w:val="nil"/>
            </w:tcBorders>
            <w:noWrap w:val="0"/>
            <w:vAlign w:val="center"/>
          </w:tcPr>
          <w:p w14:paraId="06FE5DD2">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50</w:t>
            </w:r>
          </w:p>
        </w:tc>
        <w:tc>
          <w:tcPr>
            <w:tcW w:w="830" w:type="pct"/>
            <w:tcBorders>
              <w:tl2br w:val="nil"/>
              <w:tr2bl w:val="nil"/>
            </w:tcBorders>
            <w:noWrap w:val="0"/>
            <w:vAlign w:val="center"/>
          </w:tcPr>
          <w:p w14:paraId="5E344249">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41</w:t>
            </w:r>
          </w:p>
        </w:tc>
      </w:tr>
      <w:tr w14:paraId="07BC52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3" w:type="pct"/>
            <w:tcBorders>
              <w:tl2br w:val="nil"/>
              <w:tr2bl w:val="nil"/>
            </w:tcBorders>
            <w:noWrap w:val="0"/>
            <w:vAlign w:val="center"/>
          </w:tcPr>
          <w:p w14:paraId="0FEBB999">
            <w:pPr>
              <w:widowControl w:val="0"/>
              <w:numPr>
                <w:ilvl w:val="0"/>
                <w:numId w:val="29"/>
              </w:numPr>
              <w:ind w:left="425" w:leftChars="0" w:hanging="425" w:firstLineChars="0"/>
              <w:jc w:val="center"/>
              <w:rPr>
                <w:rFonts w:hint="default" w:ascii="Times New Roman" w:hAnsi="Times New Roman" w:eastAsia="宋体" w:cs="Times New Roman"/>
                <w:b w:val="0"/>
                <w:bCs w:val="0"/>
                <w:sz w:val="21"/>
                <w:szCs w:val="21"/>
                <w:highlight w:val="none"/>
                <w:vertAlign w:val="baseline"/>
                <w:lang w:eastAsia="zh-CN"/>
              </w:rPr>
            </w:pPr>
          </w:p>
        </w:tc>
        <w:tc>
          <w:tcPr>
            <w:tcW w:w="589" w:type="pct"/>
            <w:tcBorders>
              <w:tl2br w:val="nil"/>
              <w:tr2bl w:val="nil"/>
            </w:tcBorders>
            <w:noWrap w:val="0"/>
            <w:vAlign w:val="center"/>
          </w:tcPr>
          <w:p w14:paraId="43016111">
            <w:pPr>
              <w:widowControl w:val="0"/>
              <w:numPr>
                <w:ilvl w:val="0"/>
                <w:numId w:val="0"/>
              </w:numPr>
              <w:ind w:left="0" w:leftChars="0" w:firstLine="0" w:firstLineChars="0"/>
              <w:jc w:val="center"/>
              <w:rPr>
                <w:rFonts w:hint="eastAsia" w:ascii="Times New Roman" w:hAnsi="Times New Roman" w:eastAsia="宋体" w:cs="Times New Roman"/>
                <w:b w:val="0"/>
                <w:bCs w:val="0"/>
                <w:kern w:val="2"/>
                <w:sz w:val="21"/>
                <w:szCs w:val="21"/>
                <w:highlight w:val="none"/>
                <w:vertAlign w:val="baseline"/>
                <w:lang w:val="en-US" w:eastAsia="zh-CN" w:bidi="ar-SA"/>
              </w:rPr>
            </w:pPr>
            <w:r>
              <w:rPr>
                <w:rFonts w:hint="eastAsia" w:ascii="Times New Roman" w:hAnsi="Times New Roman" w:eastAsia="宋体" w:cs="Times New Roman"/>
                <w:b w:val="0"/>
                <w:bCs w:val="0"/>
                <w:sz w:val="21"/>
                <w:szCs w:val="21"/>
                <w:highlight w:val="none"/>
                <w:vertAlign w:val="baseline"/>
                <w:lang w:val="en-US" w:eastAsia="zh-CN"/>
              </w:rPr>
              <w:t>5</w:t>
            </w:r>
            <w:r>
              <w:rPr>
                <w:rFonts w:hint="default" w:ascii="Times New Roman" w:hAnsi="Times New Roman" w:eastAsia="宋体" w:cs="Times New Roman"/>
                <w:b w:val="0"/>
                <w:bCs w:val="0"/>
                <w:sz w:val="21"/>
                <w:szCs w:val="21"/>
                <w:highlight w:val="none"/>
                <w:vertAlign w:val="baseline"/>
                <w:lang w:val="en-US" w:eastAsia="zh-CN"/>
              </w:rPr>
              <w:t>△</w:t>
            </w:r>
          </w:p>
        </w:tc>
        <w:tc>
          <w:tcPr>
            <w:tcW w:w="771" w:type="pct"/>
            <w:tcBorders>
              <w:tl2br w:val="nil"/>
              <w:tr2bl w:val="nil"/>
            </w:tcBorders>
            <w:noWrap w:val="0"/>
            <w:vAlign w:val="center"/>
          </w:tcPr>
          <w:p w14:paraId="000C4692">
            <w:pPr>
              <w:widowControl w:val="0"/>
              <w:numPr>
                <w:ilvl w:val="0"/>
                <w:numId w:val="0"/>
              </w:numPr>
              <w:ind w:left="0" w:leftChars="0" w:firstLine="0" w:firstLineChars="0"/>
              <w:jc w:val="center"/>
              <w:rPr>
                <w:rFonts w:hint="eastAsia" w:ascii="Times New Roman" w:hAnsi="宋体" w:eastAsia="宋体" w:cs="Times New Roman"/>
                <w:kern w:val="2"/>
                <w:sz w:val="21"/>
                <w:szCs w:val="21"/>
                <w:highlight w:val="none"/>
                <w:lang w:val="en-US" w:eastAsia="zh-CN" w:bidi="ar-SA"/>
              </w:rPr>
            </w:pPr>
            <w:r>
              <w:rPr>
                <w:rFonts w:hint="eastAsia" w:ascii="Times New Roman" w:hAnsi="Times New Roman" w:eastAsia="宋体" w:cs="Times New Roman"/>
                <w:spacing w:val="0"/>
                <w:kern w:val="0"/>
                <w:sz w:val="21"/>
                <w:szCs w:val="21"/>
                <w:lang w:val="en-US" w:eastAsia="zh-CN"/>
              </w:rPr>
              <w:t>张达屯</w:t>
            </w:r>
          </w:p>
        </w:tc>
        <w:tc>
          <w:tcPr>
            <w:tcW w:w="828" w:type="pct"/>
            <w:tcBorders>
              <w:tl2br w:val="nil"/>
              <w:tr2bl w:val="nil"/>
            </w:tcBorders>
            <w:noWrap w:val="0"/>
            <w:vAlign w:val="center"/>
          </w:tcPr>
          <w:p w14:paraId="3C1B0A77">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51</w:t>
            </w:r>
          </w:p>
        </w:tc>
        <w:tc>
          <w:tcPr>
            <w:tcW w:w="828" w:type="pct"/>
            <w:tcBorders>
              <w:tl2br w:val="nil"/>
              <w:tr2bl w:val="nil"/>
            </w:tcBorders>
            <w:noWrap w:val="0"/>
            <w:vAlign w:val="center"/>
          </w:tcPr>
          <w:p w14:paraId="5CB627C9">
            <w:pPr>
              <w:keepNext w:val="0"/>
              <w:keepLines w:val="0"/>
              <w:widowControl/>
              <w:suppressLineNumbers w:val="0"/>
              <w:jc w:val="center"/>
              <w:textAlignment w:val="center"/>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38</w:t>
            </w:r>
          </w:p>
        </w:tc>
        <w:tc>
          <w:tcPr>
            <w:tcW w:w="828" w:type="pct"/>
            <w:tcBorders>
              <w:tl2br w:val="nil"/>
              <w:tr2bl w:val="nil"/>
            </w:tcBorders>
            <w:noWrap w:val="0"/>
            <w:vAlign w:val="center"/>
          </w:tcPr>
          <w:p w14:paraId="0246B14C">
            <w:pPr>
              <w:keepNext w:val="0"/>
              <w:keepLines w:val="0"/>
              <w:widowControl/>
              <w:suppressLineNumbers w:val="0"/>
              <w:jc w:val="center"/>
              <w:textAlignment w:val="center"/>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49</w:t>
            </w:r>
          </w:p>
        </w:tc>
        <w:tc>
          <w:tcPr>
            <w:tcW w:w="830" w:type="pct"/>
            <w:tcBorders>
              <w:tl2br w:val="nil"/>
              <w:tr2bl w:val="nil"/>
            </w:tcBorders>
            <w:noWrap w:val="0"/>
            <w:vAlign w:val="center"/>
          </w:tcPr>
          <w:p w14:paraId="7F7E8DD2">
            <w:pPr>
              <w:keepNext w:val="0"/>
              <w:keepLines w:val="0"/>
              <w:widowControl/>
              <w:suppressLineNumbers w:val="0"/>
              <w:jc w:val="center"/>
              <w:textAlignment w:val="center"/>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39</w:t>
            </w:r>
          </w:p>
        </w:tc>
      </w:tr>
    </w:tbl>
    <w:p w14:paraId="7053BC68">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4.3.4.</w:t>
      </w:r>
      <w:r>
        <w:rPr>
          <w:rFonts w:hint="eastAsia" w:ascii="Times New Roman" w:hAnsi="Times New Roman" w:eastAsia="宋体" w:cs="Times New Roman"/>
          <w:b/>
          <w:bCs/>
          <w:color w:val="auto"/>
          <w:sz w:val="28"/>
          <w:szCs w:val="28"/>
          <w:lang w:val="en-US" w:eastAsia="zh-CN"/>
        </w:rPr>
        <w:t>4</w:t>
      </w:r>
      <w:r>
        <w:rPr>
          <w:rFonts w:hint="default" w:ascii="Times New Roman" w:hAnsi="Times New Roman" w:eastAsia="宋体" w:cs="Times New Roman"/>
          <w:b/>
          <w:bCs/>
          <w:color w:val="auto"/>
          <w:sz w:val="28"/>
          <w:szCs w:val="28"/>
          <w:lang w:val="en-US" w:eastAsia="zh-CN"/>
        </w:rPr>
        <w:t>声环境质量现状评价</w:t>
      </w:r>
    </w:p>
    <w:p w14:paraId="4EE20E2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0" w:firstLine="480" w:firstLineChars="200"/>
        <w:jc w:val="both"/>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（1）评价因子</w:t>
      </w:r>
    </w:p>
    <w:p w14:paraId="5409A0C5">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0" w:firstLine="480" w:firstLineChars="200"/>
        <w:jc w:val="both"/>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选择等效连续A声级Leq（A）为本建设项目环境噪声的评价因子。</w:t>
      </w:r>
    </w:p>
    <w:p w14:paraId="5753E86C">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0" w:firstLine="480" w:firstLineChars="200"/>
        <w:jc w:val="both"/>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（2）评价方法</w:t>
      </w:r>
    </w:p>
    <w:p w14:paraId="2ACF4790">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0" w:firstLine="480" w:firstLineChars="200"/>
        <w:jc w:val="both"/>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直接比较法。</w:t>
      </w:r>
    </w:p>
    <w:p w14:paraId="005935A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0" w:firstLine="480" w:firstLineChars="200"/>
        <w:jc w:val="both"/>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（3）评价标准</w:t>
      </w:r>
    </w:p>
    <w:p w14:paraId="70C766E5">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0" w:firstLine="480" w:firstLineChars="200"/>
        <w:jc w:val="both"/>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厂址</w:t>
      </w:r>
      <w:r>
        <w:rPr>
          <w:rFonts w:hint="eastAsia" w:ascii="Times New Roman" w:hAnsi="Times New Roman" w:cs="Times New Roman"/>
          <w:color w:val="auto"/>
          <w:sz w:val="24"/>
          <w:lang w:val="en-US" w:eastAsia="zh-CN"/>
        </w:rPr>
        <w:t>及敏感点</w:t>
      </w:r>
      <w:r>
        <w:rPr>
          <w:rFonts w:hint="default" w:ascii="Times New Roman" w:hAnsi="Times New Roman" w:cs="Times New Roman"/>
          <w:color w:val="auto"/>
          <w:sz w:val="24"/>
          <w:lang w:val="en-US" w:eastAsia="zh-CN"/>
        </w:rPr>
        <w:t>区域为《声环境质量标准》（GB3096-2008）中的2类区，因此，评价标准采用《声环境质量标准》（GB3096-2008）中的2类标准，即：昼间60dB(A)，夜间50dB(A)。</w:t>
      </w:r>
    </w:p>
    <w:p w14:paraId="0065DA8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0" w:firstLine="480" w:firstLineChars="200"/>
        <w:jc w:val="both"/>
        <w:textAlignment w:val="baseline"/>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（4）评价结论</w:t>
      </w:r>
    </w:p>
    <w:p w14:paraId="3593D967">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0" w:firstLine="480" w:firstLineChars="200"/>
        <w:jc w:val="both"/>
        <w:textAlignment w:val="baseline"/>
        <w:rPr>
          <w:rFonts w:hint="eastAsia"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将环境噪声现状监测结果与标准比较，监测点环境噪声昼夜值满足《声环境质量标准》（GB3096-2008）中的2类标准。</w:t>
      </w:r>
    </w:p>
    <w:p w14:paraId="77D63045">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4</w:t>
      </w:r>
      <w:r>
        <w:rPr>
          <w:rFonts w:hint="default" w:ascii="Times New Roman" w:hAnsi="Times New Roman" w:eastAsia="宋体" w:cs="Times New Roman"/>
          <w:b/>
          <w:bCs/>
          <w:snapToGrid w:val="0"/>
          <w:color w:val="auto"/>
          <w:spacing w:val="0"/>
          <w:kern w:val="0"/>
          <w:position w:val="0"/>
          <w:sz w:val="30"/>
          <w:szCs w:val="30"/>
          <w:lang w:val="en-US" w:eastAsia="zh-CN" w:bidi="ar-SA"/>
        </w:rPr>
        <w:t>.</w:t>
      </w:r>
      <w:r>
        <w:rPr>
          <w:rFonts w:hint="eastAsia" w:ascii="Times New Roman" w:hAnsi="Times New Roman" w:eastAsia="宋体" w:cs="Times New Roman"/>
          <w:b/>
          <w:bCs/>
          <w:snapToGrid w:val="0"/>
          <w:color w:val="auto"/>
          <w:spacing w:val="0"/>
          <w:kern w:val="0"/>
          <w:position w:val="0"/>
          <w:sz w:val="30"/>
          <w:szCs w:val="30"/>
          <w:lang w:val="en-US" w:eastAsia="zh-CN" w:bidi="ar-SA"/>
        </w:rPr>
        <w:t>2</w:t>
      </w:r>
      <w:r>
        <w:rPr>
          <w:rFonts w:hint="default" w:ascii="Times New Roman" w:hAnsi="Times New Roman" w:eastAsia="宋体" w:cs="Times New Roman"/>
          <w:b/>
          <w:bCs/>
          <w:snapToGrid w:val="0"/>
          <w:color w:val="auto"/>
          <w:spacing w:val="0"/>
          <w:kern w:val="0"/>
          <w:position w:val="0"/>
          <w:sz w:val="30"/>
          <w:szCs w:val="30"/>
          <w:lang w:val="en-US" w:eastAsia="zh-CN" w:bidi="ar-SA"/>
        </w:rPr>
        <w:t>.</w:t>
      </w:r>
      <w:r>
        <w:rPr>
          <w:rFonts w:hint="eastAsia" w:ascii="Times New Roman" w:hAnsi="Times New Roman" w:eastAsia="宋体" w:cs="Times New Roman"/>
          <w:b/>
          <w:bCs/>
          <w:snapToGrid w:val="0"/>
          <w:color w:val="auto"/>
          <w:spacing w:val="0"/>
          <w:kern w:val="0"/>
          <w:position w:val="0"/>
          <w:sz w:val="30"/>
          <w:szCs w:val="30"/>
          <w:lang w:val="en-US" w:eastAsia="zh-CN" w:bidi="ar-SA"/>
        </w:rPr>
        <w:t>5</w:t>
      </w:r>
      <w:r>
        <w:rPr>
          <w:rFonts w:hint="default" w:ascii="Times New Roman" w:hAnsi="Times New Roman" w:eastAsia="宋体" w:cs="Times New Roman"/>
          <w:b/>
          <w:bCs/>
          <w:snapToGrid w:val="0"/>
          <w:color w:val="auto"/>
          <w:spacing w:val="0"/>
          <w:kern w:val="0"/>
          <w:position w:val="0"/>
          <w:sz w:val="30"/>
          <w:szCs w:val="30"/>
          <w:lang w:val="en-US" w:eastAsia="zh-CN" w:bidi="ar-SA"/>
        </w:rPr>
        <w:t>土壤现状调查与评价</w:t>
      </w:r>
    </w:p>
    <w:p w14:paraId="5A2EA4B3">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4.2.</w:t>
      </w:r>
      <w:r>
        <w:rPr>
          <w:rFonts w:hint="eastAsia" w:ascii="Times New Roman" w:hAnsi="Times New Roman" w:eastAsia="宋体" w:cs="Times New Roman"/>
          <w:b/>
          <w:bCs/>
          <w:color w:val="auto"/>
          <w:sz w:val="28"/>
          <w:szCs w:val="28"/>
          <w:lang w:val="en-US" w:eastAsia="zh-CN"/>
        </w:rPr>
        <w:t>5</w:t>
      </w:r>
      <w:r>
        <w:rPr>
          <w:rFonts w:hint="default" w:ascii="Times New Roman" w:hAnsi="Times New Roman" w:eastAsia="宋体" w:cs="Times New Roman"/>
          <w:b/>
          <w:bCs/>
          <w:color w:val="auto"/>
          <w:sz w:val="28"/>
          <w:szCs w:val="28"/>
          <w:lang w:val="en-US" w:eastAsia="zh-CN"/>
        </w:rPr>
        <w:t>.1</w:t>
      </w:r>
      <w:r>
        <w:rPr>
          <w:rFonts w:hint="eastAsia" w:ascii="Times New Roman" w:hAnsi="Times New Roman" w:eastAsia="宋体" w:cs="Times New Roman"/>
          <w:b/>
          <w:bCs/>
          <w:color w:val="auto"/>
          <w:sz w:val="28"/>
          <w:szCs w:val="28"/>
          <w:lang w:val="en-US" w:eastAsia="zh-CN"/>
        </w:rPr>
        <w:t>土壤类型</w:t>
      </w:r>
    </w:p>
    <w:p w14:paraId="3948C129">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0" w:firstLine="480" w:firstLineChars="200"/>
        <w:jc w:val="both"/>
        <w:textAlignment w:val="baseline"/>
        <w:rPr>
          <w:rFonts w:hint="default" w:ascii="Times New Roman" w:hAnsi="Times New Roman" w:eastAsia="宋体" w:cs="Times New Roman"/>
          <w:b/>
          <w:bCs/>
          <w:color w:val="auto"/>
          <w:sz w:val="28"/>
          <w:szCs w:val="28"/>
          <w:lang w:val="en-US" w:eastAsia="zh-CN"/>
        </w:rPr>
      </w:pPr>
      <w:r>
        <w:rPr>
          <w:rFonts w:hint="eastAsia" w:ascii="Times New Roman" w:hAnsi="Times New Roman" w:cs="Times New Roman"/>
          <w:color w:val="auto"/>
          <w:sz w:val="24"/>
          <w:lang w:val="en-US" w:eastAsia="zh-CN"/>
        </w:rPr>
        <w:t>本项目</w:t>
      </w:r>
      <w:r>
        <w:rPr>
          <w:rFonts w:hint="default" w:ascii="Times New Roman" w:hAnsi="Times New Roman" w:cs="Times New Roman"/>
          <w:color w:val="auto"/>
          <w:sz w:val="24"/>
          <w:lang w:val="en-US" w:eastAsia="zh-CN"/>
        </w:rPr>
        <w:t>所在区域地处松嫩平原，根据现场踏勘及资料显示，项目区用地性质</w:t>
      </w:r>
      <w:r>
        <w:rPr>
          <w:rFonts w:hint="eastAsia" w:ascii="Times New Roman" w:hAnsi="Times New Roman" w:cs="Times New Roman"/>
          <w:color w:val="auto"/>
          <w:sz w:val="24"/>
          <w:lang w:val="en-US" w:eastAsia="zh-CN"/>
        </w:rPr>
        <w:t>为工业</w:t>
      </w:r>
      <w:r>
        <w:rPr>
          <w:rFonts w:hint="default" w:ascii="Times New Roman" w:hAnsi="Times New Roman" w:cs="Times New Roman"/>
          <w:color w:val="auto"/>
          <w:sz w:val="24"/>
          <w:lang w:val="en-US" w:eastAsia="zh-CN"/>
        </w:rPr>
        <w:t>用地</w:t>
      </w:r>
      <w:r>
        <w:rPr>
          <w:rFonts w:hint="eastAsia" w:ascii="Times New Roman" w:hAnsi="Times New Roman" w:cs="Times New Roman"/>
          <w:color w:val="auto"/>
          <w:sz w:val="24"/>
          <w:lang w:val="en-US" w:eastAsia="zh-CN"/>
        </w:rPr>
        <w:t>，根据土壤信息服务平台查询显示，</w:t>
      </w:r>
      <w:r>
        <w:rPr>
          <w:rFonts w:hint="default" w:ascii="Times New Roman" w:hAnsi="Times New Roman" w:cs="Times New Roman"/>
          <w:color w:val="auto"/>
          <w:sz w:val="24"/>
          <w:lang w:val="en-US" w:eastAsia="zh-CN"/>
        </w:rPr>
        <w:t>工程所在区域内主要土壤类型为</w:t>
      </w:r>
      <w:r>
        <w:rPr>
          <w:rFonts w:hint="eastAsia" w:ascii="Times New Roman" w:hAnsi="Times New Roman" w:cs="Times New Roman"/>
          <w:color w:val="auto"/>
          <w:sz w:val="24"/>
          <w:lang w:val="en-US" w:eastAsia="zh-CN"/>
        </w:rPr>
        <w:t>熟黑土</w:t>
      </w:r>
      <w:r>
        <w:rPr>
          <w:rFonts w:hint="default" w:ascii="Times New Roman" w:hAnsi="Times New Roman" w:cs="Times New Roman"/>
          <w:color w:val="auto"/>
          <w:sz w:val="24"/>
          <w:lang w:val="en-US" w:eastAsia="zh-CN"/>
        </w:rPr>
        <w:t>。熟黑土中腐殖质有机质含量极高，且含有大量植物生长所必须的氮、磷、钾、镁等矿物质元素，肥力极高，且土壤保水性好，有利于植物吸收。</w:t>
      </w:r>
      <w:r>
        <w:rPr>
          <w:rFonts w:hint="eastAsia" w:ascii="Times New Roman" w:hAnsi="Times New Roman" w:cs="Times New Roman"/>
          <w:color w:val="auto"/>
          <w:sz w:val="24"/>
          <w:lang w:val="en-US" w:eastAsia="zh-CN"/>
        </w:rPr>
        <w:t>区域土壤类型分布见图4.2-4。</w:t>
      </w:r>
    </w:p>
    <w:p w14:paraId="60D76BD8">
      <w:pPr>
        <w:pStyle w:val="12"/>
        <w:keepNext w:val="0"/>
        <w:keepLines w:val="0"/>
        <w:pageBreakBefore w:val="0"/>
        <w:widowControl/>
        <w:kinsoku w:val="0"/>
        <w:wordWrap/>
        <w:overflowPunct/>
        <w:topLinePunct w:val="0"/>
        <w:autoSpaceDE w:val="0"/>
        <w:autoSpaceDN w:val="0"/>
        <w:bidi w:val="0"/>
        <w:adjustRightInd w:val="0"/>
        <w:snapToGrid w:val="0"/>
        <w:spacing w:after="0"/>
        <w:ind w:left="0" w:leftChars="0" w:firstLine="0"/>
        <w:jc w:val="center"/>
        <w:textAlignment w:val="baseline"/>
        <w:rPr>
          <w:rFonts w:hint="default" w:ascii="Times New Roman" w:hAnsi="Times New Roman" w:eastAsia="宋体" w:cs="Times New Roman"/>
          <w:b/>
          <w:bCs/>
          <w:color w:val="auto"/>
          <w:sz w:val="28"/>
          <w:szCs w:val="28"/>
          <w:lang w:val="en-US" w:eastAsia="zh-CN"/>
        </w:rPr>
      </w:pPr>
      <w:r>
        <w:drawing>
          <wp:inline distT="0" distB="0" distL="114300" distR="114300">
            <wp:extent cx="5755005" cy="3827145"/>
            <wp:effectExtent l="0" t="0" r="17145" b="1905"/>
            <wp:docPr id="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9"/>
                    <pic:cNvPicPr>
                      <a:picLocks noChangeAspect="1"/>
                    </pic:cNvPicPr>
                  </pic:nvPicPr>
                  <pic:blipFill>
                    <a:blip r:embed="rId93"/>
                    <a:stretch>
                      <a:fillRect/>
                    </a:stretch>
                  </pic:blipFill>
                  <pic:spPr>
                    <a:xfrm>
                      <a:off x="0" y="0"/>
                      <a:ext cx="5755005" cy="3827145"/>
                    </a:xfrm>
                    <a:prstGeom prst="rect">
                      <a:avLst/>
                    </a:prstGeom>
                    <a:noFill/>
                    <a:ln>
                      <a:noFill/>
                    </a:ln>
                  </pic:spPr>
                </pic:pic>
              </a:graphicData>
            </a:graphic>
          </wp:inline>
        </w:drawing>
      </w:r>
    </w:p>
    <w:p w14:paraId="30D07F01">
      <w:pPr>
        <w:jc w:val="center"/>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图</w:t>
      </w:r>
      <w:r>
        <w:rPr>
          <w:rFonts w:hint="eastAsia" w:ascii="Times New Roman" w:hAnsi="Times New Roman" w:cs="Times New Roman"/>
          <w:b/>
          <w:bCs/>
          <w:color w:val="auto"/>
          <w:sz w:val="24"/>
          <w:szCs w:val="24"/>
          <w:lang w:val="en-US" w:eastAsia="zh-CN"/>
        </w:rPr>
        <w:t>4.2-4</w:t>
      </w:r>
      <w:r>
        <w:rPr>
          <w:rFonts w:hint="default" w:ascii="Times New Roman" w:hAnsi="Times New Roman" w:cs="Times New Roman"/>
          <w:b/>
          <w:bCs/>
          <w:color w:val="auto"/>
          <w:sz w:val="24"/>
          <w:szCs w:val="24"/>
          <w:lang w:val="en-US" w:eastAsia="zh-CN"/>
        </w:rPr>
        <w:t xml:space="preserve">  本项目土壤类型图</w:t>
      </w:r>
    </w:p>
    <w:p w14:paraId="0926526D">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4.2.5.2土壤环境质量现状监测</w:t>
      </w:r>
    </w:p>
    <w:p w14:paraId="5F8A85BF">
      <w:pPr>
        <w:pStyle w:val="12"/>
        <w:keepNext w:val="0"/>
        <w:keepLines w:val="0"/>
        <w:pageBreakBefore w:val="0"/>
        <w:widowControl/>
        <w:kinsoku w:val="0"/>
        <w:wordWrap/>
        <w:overflowPunct/>
        <w:topLinePunct w:val="0"/>
        <w:autoSpaceDE w:val="0"/>
        <w:autoSpaceDN w:val="0"/>
        <w:bidi w:val="0"/>
        <w:adjustRightInd w:val="0"/>
        <w:snapToGrid w:val="0"/>
        <w:spacing w:after="0" w:line="360" w:lineRule="auto"/>
        <w:ind w:left="0" w:leftChars="0" w:firstLine="480" w:firstLineChars="200"/>
        <w:textAlignment w:val="baseline"/>
        <w:rPr>
          <w:rFonts w:hint="default" w:ascii="Times New Roman" w:hAnsi="Times New Roman" w:eastAsia="Arial" w:cs="Times New Roman"/>
          <w:snapToGrid w:val="0"/>
          <w:color w:val="auto"/>
          <w:spacing w:val="0"/>
          <w:kern w:val="0"/>
          <w:sz w:val="24"/>
          <w:szCs w:val="22"/>
          <w:highlight w:val="none"/>
          <w:lang w:val="en-US" w:eastAsia="zh-CN" w:bidi="ar-SA"/>
        </w:rPr>
      </w:pPr>
      <w:r>
        <w:rPr>
          <w:rFonts w:hint="eastAsia" w:ascii="Times New Roman" w:hAnsi="Times New Roman" w:eastAsia="Arial" w:cs="Times New Roman"/>
          <w:snapToGrid w:val="0"/>
          <w:color w:val="auto"/>
          <w:spacing w:val="0"/>
          <w:kern w:val="0"/>
          <w:sz w:val="24"/>
          <w:szCs w:val="22"/>
          <w:highlight w:val="none"/>
          <w:lang w:val="en-US" w:eastAsia="zh-CN" w:bidi="ar-SA"/>
        </w:rPr>
        <w:t>1、</w:t>
      </w:r>
      <w:r>
        <w:rPr>
          <w:rFonts w:hint="default" w:ascii="Times New Roman" w:hAnsi="Times New Roman" w:eastAsia="Arial" w:cs="Times New Roman"/>
          <w:snapToGrid w:val="0"/>
          <w:color w:val="auto"/>
          <w:spacing w:val="0"/>
          <w:kern w:val="0"/>
          <w:sz w:val="24"/>
          <w:szCs w:val="22"/>
          <w:highlight w:val="none"/>
          <w:lang w:val="en-US" w:eastAsia="zh-CN" w:bidi="ar-SA"/>
        </w:rPr>
        <w:t>监测点位</w:t>
      </w:r>
      <w:r>
        <w:rPr>
          <w:rFonts w:hint="eastAsia" w:ascii="Times New Roman" w:hAnsi="Times New Roman" w:cs="Times New Roman"/>
          <w:snapToGrid w:val="0"/>
          <w:color w:val="auto"/>
          <w:spacing w:val="0"/>
          <w:kern w:val="0"/>
          <w:sz w:val="24"/>
          <w:szCs w:val="22"/>
          <w:highlight w:val="none"/>
          <w:lang w:val="en-US" w:eastAsia="zh-CN" w:bidi="ar-SA"/>
        </w:rPr>
        <w:t>及监测项目</w:t>
      </w:r>
    </w:p>
    <w:p w14:paraId="5176874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pacing w:val="0"/>
          <w:sz w:val="24"/>
          <w:highlight w:val="magenta"/>
          <w:lang w:val="en-US" w:eastAsia="zh-CN"/>
        </w:rPr>
      </w:pPr>
      <w:r>
        <w:rPr>
          <w:rFonts w:hint="default" w:ascii="Times New Roman" w:hAnsi="Times New Roman" w:cs="Times New Roman"/>
          <w:color w:val="auto"/>
          <w:spacing w:val="0"/>
          <w:sz w:val="24"/>
          <w:szCs w:val="22"/>
          <w:highlight w:val="none"/>
          <w:lang w:eastAsia="zh-CN"/>
        </w:rPr>
        <w:t>为了解建设项目所在区域以及周边地区土壤环境质量，根据《环境影响评价技术导则 土壤环境(试行)》(HJ964-2018)，本项目土壤评价工作等级为一级，需在厂区内设5个柱状样、2个表层样，在厂区外设4个表层样进行采样调查。</w:t>
      </w:r>
      <w:r>
        <w:rPr>
          <w:rFonts w:hint="default" w:ascii="Times New Roman" w:hAnsi="Times New Roman" w:cs="Times New Roman"/>
          <w:color w:val="auto"/>
          <w:spacing w:val="0"/>
          <w:sz w:val="24"/>
          <w:highlight w:val="none"/>
          <w:lang w:val="en-US" w:eastAsia="zh-CN"/>
        </w:rPr>
        <w:t>监测点位情况见表4</w:t>
      </w:r>
      <w:r>
        <w:rPr>
          <w:rFonts w:hint="eastAsia" w:ascii="Times New Roman" w:hAnsi="Times New Roman" w:cs="Times New Roman"/>
          <w:color w:val="auto"/>
          <w:spacing w:val="0"/>
          <w:sz w:val="24"/>
          <w:highlight w:val="none"/>
          <w:lang w:val="en-US" w:eastAsia="zh-CN"/>
        </w:rPr>
        <w:t>.</w:t>
      </w:r>
      <w:r>
        <w:rPr>
          <w:rFonts w:hint="default" w:ascii="Times New Roman" w:hAnsi="Times New Roman" w:cs="Times New Roman"/>
          <w:color w:val="auto"/>
          <w:spacing w:val="0"/>
          <w:sz w:val="24"/>
          <w:highlight w:val="none"/>
          <w:lang w:val="en-US" w:eastAsia="zh-CN"/>
        </w:rPr>
        <w:t>2-</w:t>
      </w:r>
      <w:r>
        <w:rPr>
          <w:rFonts w:hint="eastAsia" w:ascii="Times New Roman" w:hAnsi="Times New Roman" w:cs="Times New Roman"/>
          <w:color w:val="auto"/>
          <w:spacing w:val="0"/>
          <w:sz w:val="24"/>
          <w:highlight w:val="none"/>
          <w:lang w:val="en-US" w:eastAsia="zh-CN"/>
        </w:rPr>
        <w:t>19</w:t>
      </w:r>
      <w:r>
        <w:rPr>
          <w:rFonts w:hint="default" w:ascii="Times New Roman" w:hAnsi="Times New Roman" w:cs="Times New Roman"/>
          <w:color w:val="auto"/>
          <w:spacing w:val="0"/>
          <w:sz w:val="24"/>
          <w:highlight w:val="none"/>
          <w:lang w:val="en-US" w:eastAsia="zh-CN"/>
        </w:rPr>
        <w:t>及图4</w:t>
      </w:r>
      <w:r>
        <w:rPr>
          <w:rFonts w:hint="eastAsia" w:ascii="Times New Roman" w:hAnsi="Times New Roman" w:cs="Times New Roman"/>
          <w:color w:val="auto"/>
          <w:spacing w:val="0"/>
          <w:sz w:val="24"/>
          <w:highlight w:val="none"/>
          <w:lang w:val="en-US" w:eastAsia="zh-CN"/>
        </w:rPr>
        <w:t>.</w:t>
      </w:r>
      <w:r>
        <w:rPr>
          <w:rFonts w:hint="default" w:ascii="Times New Roman" w:hAnsi="Times New Roman" w:cs="Times New Roman"/>
          <w:color w:val="auto"/>
          <w:spacing w:val="0"/>
          <w:sz w:val="24"/>
          <w:highlight w:val="none"/>
          <w:lang w:val="en-US" w:eastAsia="zh-CN"/>
        </w:rPr>
        <w:t>2-</w:t>
      </w:r>
      <w:r>
        <w:rPr>
          <w:rFonts w:hint="eastAsia" w:ascii="Times New Roman" w:hAnsi="Times New Roman" w:cs="Times New Roman"/>
          <w:color w:val="auto"/>
          <w:spacing w:val="0"/>
          <w:sz w:val="24"/>
          <w:highlight w:val="none"/>
          <w:lang w:val="en-US" w:eastAsia="zh-CN"/>
        </w:rPr>
        <w:t>5、图4.2-6</w:t>
      </w:r>
      <w:r>
        <w:rPr>
          <w:rFonts w:hint="default" w:ascii="Times New Roman" w:hAnsi="Times New Roman" w:cs="Times New Roman"/>
          <w:color w:val="auto"/>
          <w:spacing w:val="0"/>
          <w:sz w:val="24"/>
          <w:highlight w:val="none"/>
          <w:lang w:val="en-US" w:eastAsia="zh-CN"/>
        </w:rPr>
        <w:t>。</w:t>
      </w:r>
    </w:p>
    <w:p w14:paraId="2C7EAED0">
      <w:pPr>
        <w:jc w:val="center"/>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表4</w:t>
      </w:r>
      <w:r>
        <w:rPr>
          <w:rFonts w:hint="eastAsia" w:ascii="Times New Roman" w:hAnsi="Times New Roman" w:cs="Times New Roman"/>
          <w:b/>
          <w:bCs/>
          <w:color w:val="auto"/>
          <w:sz w:val="24"/>
          <w:szCs w:val="24"/>
          <w:highlight w:val="none"/>
          <w:lang w:val="en-US" w:eastAsia="zh-CN"/>
        </w:rPr>
        <w:t>.</w:t>
      </w:r>
      <w:r>
        <w:rPr>
          <w:rFonts w:hint="default" w:ascii="Times New Roman" w:hAnsi="Times New Roman" w:cs="Times New Roman"/>
          <w:b/>
          <w:bCs/>
          <w:color w:val="auto"/>
          <w:sz w:val="24"/>
          <w:szCs w:val="24"/>
          <w:highlight w:val="none"/>
          <w:lang w:val="en-US" w:eastAsia="zh-CN"/>
        </w:rPr>
        <w:t>2-</w:t>
      </w:r>
      <w:r>
        <w:rPr>
          <w:rFonts w:hint="eastAsia" w:ascii="Times New Roman" w:hAnsi="Times New Roman" w:cs="Times New Roman"/>
          <w:b/>
          <w:bCs/>
          <w:color w:val="auto"/>
          <w:sz w:val="24"/>
          <w:szCs w:val="24"/>
          <w:highlight w:val="none"/>
          <w:lang w:val="en-US" w:eastAsia="zh-CN"/>
        </w:rPr>
        <w:t>19</w:t>
      </w:r>
      <w:r>
        <w:rPr>
          <w:rFonts w:hint="default" w:ascii="Times New Roman" w:hAnsi="Times New Roman" w:cs="Times New Roman"/>
          <w:b/>
          <w:bCs/>
          <w:color w:val="auto"/>
          <w:sz w:val="24"/>
          <w:szCs w:val="24"/>
          <w:highlight w:val="none"/>
          <w:lang w:val="en-US" w:eastAsia="zh-CN"/>
        </w:rPr>
        <w:t xml:space="preserve">  土壤环境质量现状监测布点</w:t>
      </w:r>
    </w:p>
    <w:tbl>
      <w:tblPr>
        <w:tblStyle w:val="22"/>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640"/>
        <w:gridCol w:w="976"/>
        <w:gridCol w:w="1983"/>
        <w:gridCol w:w="991"/>
        <w:gridCol w:w="2836"/>
        <w:gridCol w:w="1646"/>
      </w:tblGrid>
      <w:tr w14:paraId="63D8D0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353" w:type="pct"/>
            <w:tcBorders>
              <w:tl2br w:val="nil"/>
              <w:tr2bl w:val="nil"/>
            </w:tcBorders>
            <w:vAlign w:val="center"/>
          </w:tcPr>
          <w:p w14:paraId="48BB2E67">
            <w:pPr>
              <w:pStyle w:val="59"/>
              <w:rPr>
                <w:b/>
                <w:color w:val="auto"/>
              </w:rPr>
            </w:pPr>
            <w:r>
              <w:rPr>
                <w:b/>
                <w:color w:val="auto"/>
              </w:rPr>
              <w:t>位置</w:t>
            </w:r>
          </w:p>
        </w:tc>
        <w:tc>
          <w:tcPr>
            <w:tcW w:w="538" w:type="pct"/>
            <w:tcBorders>
              <w:tl2br w:val="nil"/>
              <w:tr2bl w:val="nil"/>
            </w:tcBorders>
            <w:vAlign w:val="center"/>
          </w:tcPr>
          <w:p w14:paraId="7695CE5E">
            <w:pPr>
              <w:pStyle w:val="59"/>
              <w:rPr>
                <w:b/>
                <w:color w:val="auto"/>
              </w:rPr>
            </w:pPr>
            <w:r>
              <w:rPr>
                <w:b/>
                <w:color w:val="auto"/>
              </w:rPr>
              <w:t>监测点位</w:t>
            </w:r>
          </w:p>
        </w:tc>
        <w:tc>
          <w:tcPr>
            <w:tcW w:w="1093" w:type="pct"/>
            <w:tcBorders>
              <w:tl2br w:val="nil"/>
              <w:tr2bl w:val="nil"/>
            </w:tcBorders>
            <w:vAlign w:val="center"/>
          </w:tcPr>
          <w:p w14:paraId="284E8272">
            <w:pPr>
              <w:pStyle w:val="59"/>
              <w:rPr>
                <w:b/>
                <w:color w:val="auto"/>
              </w:rPr>
            </w:pPr>
            <w:r>
              <w:rPr>
                <w:b/>
                <w:color w:val="auto"/>
              </w:rPr>
              <w:t>深度</w:t>
            </w:r>
          </w:p>
        </w:tc>
        <w:tc>
          <w:tcPr>
            <w:tcW w:w="546" w:type="pct"/>
            <w:tcBorders>
              <w:tl2br w:val="nil"/>
              <w:tr2bl w:val="nil"/>
            </w:tcBorders>
            <w:vAlign w:val="center"/>
          </w:tcPr>
          <w:p w14:paraId="18571869">
            <w:pPr>
              <w:pStyle w:val="59"/>
              <w:rPr>
                <w:b/>
                <w:color w:val="auto"/>
              </w:rPr>
            </w:pPr>
            <w:r>
              <w:rPr>
                <w:b/>
                <w:color w:val="auto"/>
              </w:rPr>
              <w:t>取样方式</w:t>
            </w:r>
          </w:p>
        </w:tc>
        <w:tc>
          <w:tcPr>
            <w:tcW w:w="1563" w:type="pct"/>
            <w:tcBorders>
              <w:tl2br w:val="nil"/>
              <w:tr2bl w:val="nil"/>
            </w:tcBorders>
            <w:vAlign w:val="center"/>
          </w:tcPr>
          <w:p w14:paraId="6A201F77">
            <w:pPr>
              <w:pStyle w:val="59"/>
              <w:rPr>
                <w:b/>
                <w:color w:val="auto"/>
              </w:rPr>
            </w:pPr>
            <w:r>
              <w:rPr>
                <w:b/>
                <w:color w:val="auto"/>
              </w:rPr>
              <w:t>监测因子</w:t>
            </w:r>
          </w:p>
        </w:tc>
        <w:tc>
          <w:tcPr>
            <w:tcW w:w="906" w:type="pct"/>
            <w:tcBorders>
              <w:tl2br w:val="nil"/>
              <w:tr2bl w:val="nil"/>
            </w:tcBorders>
            <w:vAlign w:val="center"/>
          </w:tcPr>
          <w:p w14:paraId="42047CD6">
            <w:pPr>
              <w:pStyle w:val="59"/>
              <w:rPr>
                <w:b/>
                <w:color w:val="auto"/>
              </w:rPr>
            </w:pPr>
            <w:r>
              <w:rPr>
                <w:rFonts w:hint="eastAsia"/>
                <w:b/>
                <w:color w:val="auto"/>
              </w:rPr>
              <w:t>位置备注</w:t>
            </w:r>
          </w:p>
        </w:tc>
      </w:tr>
      <w:tr w14:paraId="114357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53" w:type="pct"/>
            <w:vMerge w:val="restart"/>
            <w:tcBorders>
              <w:tl2br w:val="nil"/>
              <w:tr2bl w:val="nil"/>
            </w:tcBorders>
            <w:vAlign w:val="center"/>
          </w:tcPr>
          <w:p w14:paraId="38161F8A">
            <w:pPr>
              <w:pStyle w:val="59"/>
              <w:rPr>
                <w:color w:val="auto"/>
              </w:rPr>
            </w:pPr>
            <w:r>
              <w:rPr>
                <w:color w:val="auto"/>
              </w:rPr>
              <w:t>厂</w:t>
            </w:r>
          </w:p>
          <w:p w14:paraId="67EA3AF7">
            <w:pPr>
              <w:pStyle w:val="59"/>
              <w:rPr>
                <w:color w:val="auto"/>
              </w:rPr>
            </w:pPr>
            <w:r>
              <w:rPr>
                <w:color w:val="auto"/>
              </w:rPr>
              <w:t>界</w:t>
            </w:r>
          </w:p>
          <w:p w14:paraId="0F3695E0">
            <w:pPr>
              <w:pStyle w:val="59"/>
              <w:rPr>
                <w:color w:val="auto"/>
              </w:rPr>
            </w:pPr>
            <w:r>
              <w:rPr>
                <w:color w:val="auto"/>
              </w:rPr>
              <w:t>内</w:t>
            </w:r>
          </w:p>
        </w:tc>
        <w:tc>
          <w:tcPr>
            <w:tcW w:w="538" w:type="pct"/>
            <w:tcBorders>
              <w:tl2br w:val="nil"/>
              <w:tr2bl w:val="nil"/>
            </w:tcBorders>
            <w:vAlign w:val="center"/>
          </w:tcPr>
          <w:p w14:paraId="5DD50F99">
            <w:pPr>
              <w:pStyle w:val="59"/>
              <w:rPr>
                <w:color w:val="auto"/>
              </w:rPr>
            </w:pPr>
            <w:r>
              <w:rPr>
                <w:color w:val="auto"/>
              </w:rPr>
              <w:t>1#</w:t>
            </w:r>
          </w:p>
        </w:tc>
        <w:tc>
          <w:tcPr>
            <w:tcW w:w="1093" w:type="pct"/>
            <w:tcBorders>
              <w:tl2br w:val="nil"/>
              <w:tr2bl w:val="nil"/>
            </w:tcBorders>
            <w:vAlign w:val="center"/>
          </w:tcPr>
          <w:p w14:paraId="2AB150DC">
            <w:pPr>
              <w:pStyle w:val="59"/>
              <w:rPr>
                <w:color w:val="auto"/>
              </w:rPr>
            </w:pPr>
            <w:r>
              <w:rPr>
                <w:color w:val="auto"/>
              </w:rPr>
              <w:t>0~0.5m、0.5~1.5m、</w:t>
            </w:r>
            <w:r>
              <w:rPr>
                <w:rFonts w:hint="eastAsia"/>
                <w:color w:val="auto"/>
              </w:rPr>
              <w:t>1.5~3m</w:t>
            </w:r>
          </w:p>
        </w:tc>
        <w:tc>
          <w:tcPr>
            <w:tcW w:w="546" w:type="pct"/>
            <w:tcBorders>
              <w:tl2br w:val="nil"/>
              <w:tr2bl w:val="nil"/>
            </w:tcBorders>
            <w:vAlign w:val="center"/>
          </w:tcPr>
          <w:p w14:paraId="410956E1">
            <w:pPr>
              <w:jc w:val="center"/>
              <w:rPr>
                <w:color w:val="auto"/>
              </w:rPr>
            </w:pPr>
            <w:r>
              <w:rPr>
                <w:rFonts w:hint="eastAsia"/>
                <w:color w:val="auto"/>
              </w:rPr>
              <w:t>柱状样</w:t>
            </w:r>
          </w:p>
        </w:tc>
        <w:tc>
          <w:tcPr>
            <w:tcW w:w="1563" w:type="pct"/>
            <w:tcBorders>
              <w:tl2br w:val="nil"/>
              <w:tr2bl w:val="nil"/>
            </w:tcBorders>
            <w:vAlign w:val="center"/>
          </w:tcPr>
          <w:p w14:paraId="1A00219B">
            <w:pPr>
              <w:pStyle w:val="59"/>
              <w:rPr>
                <w:color w:val="auto"/>
              </w:rPr>
            </w:pPr>
            <w:r>
              <w:rPr>
                <w:rFonts w:ascii="Times New Roman" w:eastAsia="宋体"/>
                <w:b w:val="0"/>
                <w:bCs w:val="0"/>
                <w:color w:val="auto"/>
                <w:sz w:val="21"/>
                <w:szCs w:val="21"/>
              </w:rPr>
              <w:t>砷、镉、铬</w:t>
            </w:r>
            <w:r>
              <w:rPr>
                <w:rFonts w:hint="eastAsia"/>
                <w:b w:val="0"/>
                <w:bCs w:val="0"/>
                <w:color w:val="auto"/>
                <w:sz w:val="21"/>
                <w:szCs w:val="21"/>
                <w:lang w:eastAsia="zh-CN"/>
              </w:rPr>
              <w:t>（</w:t>
            </w:r>
            <w:r>
              <w:rPr>
                <w:rFonts w:hint="eastAsia"/>
                <w:b w:val="0"/>
                <w:bCs w:val="0"/>
                <w:color w:val="auto"/>
                <w:sz w:val="21"/>
                <w:szCs w:val="21"/>
                <w:lang w:val="en-US" w:eastAsia="zh-CN"/>
              </w:rPr>
              <w:t>六价</w:t>
            </w:r>
            <w:r>
              <w:rPr>
                <w:rFonts w:hint="eastAsia"/>
                <w:b w:val="0"/>
                <w:bCs w:val="0"/>
                <w:color w:val="auto"/>
                <w:sz w:val="21"/>
                <w:szCs w:val="21"/>
                <w:lang w:eastAsia="zh-CN"/>
              </w:rPr>
              <w:t>）</w:t>
            </w:r>
            <w:r>
              <w:rPr>
                <w:rFonts w:ascii="Times New Roman" w:eastAsia="宋体"/>
                <w:b w:val="0"/>
                <w:bCs w:val="0"/>
                <w:color w:val="auto"/>
                <w:sz w:val="21"/>
                <w:szCs w:val="21"/>
              </w:rPr>
              <w:t>、铜、铅、汞、镍</w:t>
            </w:r>
            <w:r>
              <w:rPr>
                <w:rFonts w:hint="eastAsia"/>
                <w:b w:val="0"/>
                <w:bCs w:val="0"/>
                <w:color w:val="auto"/>
                <w:sz w:val="21"/>
                <w:szCs w:val="21"/>
                <w:lang w:eastAsia="zh-CN"/>
              </w:rPr>
              <w:t>、</w:t>
            </w:r>
            <w:r>
              <w:rPr>
                <w:rFonts w:ascii="Times New Roman" w:hAnsi="Times New Roman" w:cs="Times New Roman"/>
                <w:sz w:val="21"/>
                <w:szCs w:val="21"/>
              </w:rPr>
              <w:t>石油烃(C</w:t>
            </w:r>
            <w:r>
              <w:rPr>
                <w:rFonts w:ascii="Times New Roman" w:hAnsi="Times New Roman" w:cs="Times New Roman"/>
                <w:sz w:val="21"/>
                <w:szCs w:val="21"/>
                <w:vertAlign w:val="subscript"/>
              </w:rPr>
              <w:t>10</w:t>
            </w:r>
            <w:r>
              <w:rPr>
                <w:rFonts w:ascii="Times New Roman" w:hAnsi="Times New Roman" w:cs="Times New Roman"/>
                <w:sz w:val="21"/>
                <w:szCs w:val="21"/>
              </w:rPr>
              <w:t>-C</w:t>
            </w:r>
            <w:r>
              <w:rPr>
                <w:rFonts w:ascii="Times New Roman" w:hAnsi="Times New Roman" w:cs="Times New Roman"/>
                <w:sz w:val="21"/>
                <w:szCs w:val="21"/>
                <w:vertAlign w:val="subscript"/>
              </w:rPr>
              <w:t>40</w:t>
            </w:r>
            <w:r>
              <w:rPr>
                <w:rFonts w:ascii="Times New Roman" w:hAnsi="Times New Roman" w:cs="Times New Roman"/>
                <w:sz w:val="21"/>
                <w:szCs w:val="21"/>
              </w:rPr>
              <w:t>)</w:t>
            </w:r>
          </w:p>
        </w:tc>
        <w:tc>
          <w:tcPr>
            <w:tcW w:w="906" w:type="pct"/>
            <w:tcBorders>
              <w:tl2br w:val="nil"/>
              <w:tr2bl w:val="nil"/>
            </w:tcBorders>
            <w:vAlign w:val="center"/>
          </w:tcPr>
          <w:p w14:paraId="1B20D0B6">
            <w:pPr>
              <w:pStyle w:val="59"/>
              <w:rPr>
                <w:rFonts w:hint="default" w:eastAsia="宋体"/>
                <w:color w:val="auto"/>
                <w:lang w:val="en-US" w:eastAsia="zh-CN"/>
              </w:rPr>
            </w:pPr>
            <w:r>
              <w:rPr>
                <w:rFonts w:hint="eastAsia"/>
                <w:color w:val="auto"/>
                <w:lang w:val="en-US" w:eastAsia="zh-CN"/>
              </w:rPr>
              <w:t>办公楼西南侧</w:t>
            </w:r>
          </w:p>
        </w:tc>
      </w:tr>
      <w:tr w14:paraId="33EE38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53" w:type="pct"/>
            <w:vMerge w:val="continue"/>
            <w:tcBorders>
              <w:tl2br w:val="nil"/>
              <w:tr2bl w:val="nil"/>
            </w:tcBorders>
            <w:vAlign w:val="center"/>
          </w:tcPr>
          <w:p w14:paraId="67CF6330">
            <w:pPr>
              <w:pStyle w:val="59"/>
              <w:rPr>
                <w:color w:val="auto"/>
              </w:rPr>
            </w:pPr>
          </w:p>
        </w:tc>
        <w:tc>
          <w:tcPr>
            <w:tcW w:w="538" w:type="pct"/>
            <w:tcBorders>
              <w:tl2br w:val="nil"/>
              <w:tr2bl w:val="nil"/>
            </w:tcBorders>
            <w:vAlign w:val="center"/>
          </w:tcPr>
          <w:p w14:paraId="06040E7B">
            <w:pPr>
              <w:pStyle w:val="59"/>
              <w:rPr>
                <w:color w:val="auto"/>
              </w:rPr>
            </w:pPr>
            <w:r>
              <w:rPr>
                <w:color w:val="auto"/>
              </w:rPr>
              <w:t>2#</w:t>
            </w:r>
          </w:p>
        </w:tc>
        <w:tc>
          <w:tcPr>
            <w:tcW w:w="1093" w:type="pct"/>
            <w:tcBorders>
              <w:tl2br w:val="nil"/>
              <w:tr2bl w:val="nil"/>
            </w:tcBorders>
            <w:vAlign w:val="center"/>
          </w:tcPr>
          <w:p w14:paraId="4AFC2662">
            <w:pPr>
              <w:pStyle w:val="59"/>
              <w:rPr>
                <w:color w:val="auto"/>
              </w:rPr>
            </w:pPr>
            <w:r>
              <w:rPr>
                <w:color w:val="auto"/>
              </w:rPr>
              <w:t>0~0.5m、0.5~1.5m、</w:t>
            </w:r>
            <w:r>
              <w:rPr>
                <w:rFonts w:hint="eastAsia"/>
                <w:color w:val="auto"/>
              </w:rPr>
              <w:t>1.5~3m</w:t>
            </w:r>
          </w:p>
        </w:tc>
        <w:tc>
          <w:tcPr>
            <w:tcW w:w="546" w:type="pct"/>
            <w:tcBorders>
              <w:tl2br w:val="nil"/>
              <w:tr2bl w:val="nil"/>
            </w:tcBorders>
            <w:vAlign w:val="center"/>
          </w:tcPr>
          <w:p w14:paraId="16F522AD">
            <w:pPr>
              <w:jc w:val="center"/>
              <w:rPr>
                <w:color w:val="auto"/>
              </w:rPr>
            </w:pPr>
            <w:r>
              <w:rPr>
                <w:rFonts w:hint="eastAsia"/>
                <w:color w:val="auto"/>
              </w:rPr>
              <w:t>柱状样</w:t>
            </w:r>
          </w:p>
        </w:tc>
        <w:tc>
          <w:tcPr>
            <w:tcW w:w="1563" w:type="pct"/>
            <w:tcBorders>
              <w:tl2br w:val="nil"/>
              <w:tr2bl w:val="nil"/>
            </w:tcBorders>
            <w:vAlign w:val="center"/>
          </w:tcPr>
          <w:p w14:paraId="1AC8A962">
            <w:pPr>
              <w:pStyle w:val="59"/>
              <w:rPr>
                <w:color w:val="auto"/>
              </w:rPr>
            </w:pPr>
            <w:r>
              <w:rPr>
                <w:rFonts w:ascii="Times New Roman" w:eastAsia="宋体"/>
                <w:b w:val="0"/>
                <w:bCs w:val="0"/>
                <w:color w:val="auto"/>
                <w:sz w:val="21"/>
                <w:szCs w:val="21"/>
              </w:rPr>
              <w:t>砷、镉、铬</w:t>
            </w:r>
            <w:r>
              <w:rPr>
                <w:rFonts w:hint="eastAsia"/>
                <w:b w:val="0"/>
                <w:bCs w:val="0"/>
                <w:color w:val="auto"/>
                <w:sz w:val="21"/>
                <w:szCs w:val="21"/>
                <w:lang w:eastAsia="zh-CN"/>
              </w:rPr>
              <w:t>（</w:t>
            </w:r>
            <w:r>
              <w:rPr>
                <w:rFonts w:hint="eastAsia"/>
                <w:b w:val="0"/>
                <w:bCs w:val="0"/>
                <w:color w:val="auto"/>
                <w:sz w:val="21"/>
                <w:szCs w:val="21"/>
                <w:lang w:val="en-US" w:eastAsia="zh-CN"/>
              </w:rPr>
              <w:t>六价</w:t>
            </w:r>
            <w:r>
              <w:rPr>
                <w:rFonts w:hint="eastAsia"/>
                <w:b w:val="0"/>
                <w:bCs w:val="0"/>
                <w:color w:val="auto"/>
                <w:sz w:val="21"/>
                <w:szCs w:val="21"/>
                <w:lang w:eastAsia="zh-CN"/>
              </w:rPr>
              <w:t>）</w:t>
            </w:r>
            <w:r>
              <w:rPr>
                <w:rFonts w:ascii="Times New Roman" w:eastAsia="宋体"/>
                <w:b w:val="0"/>
                <w:bCs w:val="0"/>
                <w:color w:val="auto"/>
                <w:sz w:val="21"/>
                <w:szCs w:val="21"/>
              </w:rPr>
              <w:t>、铜、铅、汞、镍</w:t>
            </w:r>
            <w:r>
              <w:rPr>
                <w:rFonts w:hint="eastAsia"/>
                <w:b w:val="0"/>
                <w:bCs w:val="0"/>
                <w:color w:val="auto"/>
                <w:sz w:val="21"/>
                <w:szCs w:val="21"/>
                <w:lang w:eastAsia="zh-CN"/>
              </w:rPr>
              <w:t>、</w:t>
            </w:r>
            <w:r>
              <w:rPr>
                <w:rFonts w:ascii="Times New Roman" w:hAnsi="Times New Roman" w:cs="Times New Roman"/>
                <w:sz w:val="21"/>
                <w:szCs w:val="21"/>
              </w:rPr>
              <w:t>石油烃(C</w:t>
            </w:r>
            <w:r>
              <w:rPr>
                <w:rFonts w:ascii="Times New Roman" w:hAnsi="Times New Roman" w:cs="Times New Roman"/>
                <w:sz w:val="21"/>
                <w:szCs w:val="21"/>
                <w:vertAlign w:val="subscript"/>
              </w:rPr>
              <w:t>10</w:t>
            </w:r>
            <w:r>
              <w:rPr>
                <w:rFonts w:ascii="Times New Roman" w:hAnsi="Times New Roman" w:cs="Times New Roman"/>
                <w:sz w:val="21"/>
                <w:szCs w:val="21"/>
              </w:rPr>
              <w:t>-C</w:t>
            </w:r>
            <w:r>
              <w:rPr>
                <w:rFonts w:ascii="Times New Roman" w:hAnsi="Times New Roman" w:cs="Times New Roman"/>
                <w:sz w:val="21"/>
                <w:szCs w:val="21"/>
                <w:vertAlign w:val="subscript"/>
              </w:rPr>
              <w:t>40</w:t>
            </w:r>
            <w:r>
              <w:rPr>
                <w:rFonts w:ascii="Times New Roman" w:hAnsi="Times New Roman" w:cs="Times New Roman"/>
                <w:sz w:val="21"/>
                <w:szCs w:val="21"/>
              </w:rPr>
              <w:t>)</w:t>
            </w:r>
          </w:p>
        </w:tc>
        <w:tc>
          <w:tcPr>
            <w:tcW w:w="906" w:type="pct"/>
            <w:tcBorders>
              <w:tl2br w:val="nil"/>
              <w:tr2bl w:val="nil"/>
            </w:tcBorders>
            <w:vAlign w:val="center"/>
          </w:tcPr>
          <w:p w14:paraId="081CECBE">
            <w:pPr>
              <w:pStyle w:val="59"/>
              <w:rPr>
                <w:color w:val="auto"/>
              </w:rPr>
            </w:pPr>
            <w:r>
              <w:rPr>
                <w:rFonts w:hint="eastAsia"/>
                <w:color w:val="auto"/>
                <w:lang w:val="en-US" w:eastAsia="zh-CN"/>
              </w:rPr>
              <w:t>办公楼西南侧</w:t>
            </w:r>
          </w:p>
        </w:tc>
      </w:tr>
      <w:tr w14:paraId="0B26D5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53" w:type="pct"/>
            <w:vMerge w:val="continue"/>
            <w:tcBorders>
              <w:tl2br w:val="nil"/>
              <w:tr2bl w:val="nil"/>
            </w:tcBorders>
            <w:vAlign w:val="center"/>
          </w:tcPr>
          <w:p w14:paraId="717BC415">
            <w:pPr>
              <w:pStyle w:val="59"/>
              <w:rPr>
                <w:color w:val="auto"/>
              </w:rPr>
            </w:pPr>
          </w:p>
        </w:tc>
        <w:tc>
          <w:tcPr>
            <w:tcW w:w="538" w:type="pct"/>
            <w:tcBorders>
              <w:tl2br w:val="nil"/>
              <w:tr2bl w:val="nil"/>
            </w:tcBorders>
            <w:vAlign w:val="center"/>
          </w:tcPr>
          <w:p w14:paraId="20F2EA47">
            <w:pPr>
              <w:pStyle w:val="59"/>
              <w:rPr>
                <w:color w:val="auto"/>
              </w:rPr>
            </w:pPr>
            <w:r>
              <w:rPr>
                <w:color w:val="auto"/>
              </w:rPr>
              <w:t>3#</w:t>
            </w:r>
          </w:p>
        </w:tc>
        <w:tc>
          <w:tcPr>
            <w:tcW w:w="1093" w:type="pct"/>
            <w:tcBorders>
              <w:tl2br w:val="nil"/>
              <w:tr2bl w:val="nil"/>
            </w:tcBorders>
            <w:vAlign w:val="center"/>
          </w:tcPr>
          <w:p w14:paraId="280A2D6E">
            <w:pPr>
              <w:pStyle w:val="59"/>
              <w:rPr>
                <w:color w:val="auto"/>
              </w:rPr>
            </w:pPr>
            <w:r>
              <w:rPr>
                <w:color w:val="auto"/>
              </w:rPr>
              <w:t>0~0.5m、0.5~1.5m、</w:t>
            </w:r>
            <w:r>
              <w:rPr>
                <w:rFonts w:hint="eastAsia"/>
                <w:color w:val="auto"/>
              </w:rPr>
              <w:t>1.5~3m</w:t>
            </w:r>
          </w:p>
        </w:tc>
        <w:tc>
          <w:tcPr>
            <w:tcW w:w="546" w:type="pct"/>
            <w:tcBorders>
              <w:tl2br w:val="nil"/>
              <w:tr2bl w:val="nil"/>
            </w:tcBorders>
            <w:vAlign w:val="center"/>
          </w:tcPr>
          <w:p w14:paraId="31BF0C4A">
            <w:pPr>
              <w:jc w:val="center"/>
              <w:rPr>
                <w:color w:val="auto"/>
              </w:rPr>
            </w:pPr>
            <w:r>
              <w:rPr>
                <w:rFonts w:hint="eastAsia"/>
                <w:color w:val="auto"/>
              </w:rPr>
              <w:t>柱状样</w:t>
            </w:r>
          </w:p>
        </w:tc>
        <w:tc>
          <w:tcPr>
            <w:tcW w:w="1563" w:type="pct"/>
            <w:tcBorders>
              <w:tl2br w:val="nil"/>
              <w:tr2bl w:val="nil"/>
            </w:tcBorders>
            <w:vAlign w:val="center"/>
          </w:tcPr>
          <w:p w14:paraId="37582D74">
            <w:pPr>
              <w:pStyle w:val="59"/>
              <w:rPr>
                <w:color w:val="auto"/>
              </w:rPr>
            </w:pPr>
            <w:r>
              <w:rPr>
                <w:rFonts w:ascii="Times New Roman" w:eastAsia="宋体"/>
                <w:b w:val="0"/>
                <w:bCs w:val="0"/>
                <w:color w:val="auto"/>
                <w:sz w:val="21"/>
                <w:szCs w:val="21"/>
              </w:rPr>
              <w:t>砷、镉、铬</w:t>
            </w:r>
            <w:r>
              <w:rPr>
                <w:rFonts w:hint="eastAsia"/>
                <w:b w:val="0"/>
                <w:bCs w:val="0"/>
                <w:color w:val="auto"/>
                <w:sz w:val="21"/>
                <w:szCs w:val="21"/>
                <w:lang w:eastAsia="zh-CN"/>
              </w:rPr>
              <w:t>（</w:t>
            </w:r>
            <w:r>
              <w:rPr>
                <w:rFonts w:hint="eastAsia"/>
                <w:b w:val="0"/>
                <w:bCs w:val="0"/>
                <w:color w:val="auto"/>
                <w:sz w:val="21"/>
                <w:szCs w:val="21"/>
                <w:lang w:val="en-US" w:eastAsia="zh-CN"/>
              </w:rPr>
              <w:t>六价</w:t>
            </w:r>
            <w:r>
              <w:rPr>
                <w:rFonts w:hint="eastAsia"/>
                <w:b w:val="0"/>
                <w:bCs w:val="0"/>
                <w:color w:val="auto"/>
                <w:sz w:val="21"/>
                <w:szCs w:val="21"/>
                <w:lang w:eastAsia="zh-CN"/>
              </w:rPr>
              <w:t>）</w:t>
            </w:r>
            <w:r>
              <w:rPr>
                <w:rFonts w:ascii="Times New Roman" w:eastAsia="宋体"/>
                <w:b w:val="0"/>
                <w:bCs w:val="0"/>
                <w:color w:val="auto"/>
                <w:sz w:val="21"/>
                <w:szCs w:val="21"/>
              </w:rPr>
              <w:t>、铜、铅、汞、镍</w:t>
            </w:r>
            <w:r>
              <w:rPr>
                <w:rFonts w:hint="eastAsia"/>
                <w:b w:val="0"/>
                <w:bCs w:val="0"/>
                <w:color w:val="auto"/>
                <w:sz w:val="21"/>
                <w:szCs w:val="21"/>
                <w:lang w:eastAsia="zh-CN"/>
              </w:rPr>
              <w:t>、</w:t>
            </w:r>
            <w:r>
              <w:rPr>
                <w:rFonts w:ascii="Times New Roman" w:hAnsi="Times New Roman" w:cs="Times New Roman"/>
                <w:sz w:val="21"/>
                <w:szCs w:val="21"/>
              </w:rPr>
              <w:t>石油烃(C</w:t>
            </w:r>
            <w:r>
              <w:rPr>
                <w:rFonts w:ascii="Times New Roman" w:hAnsi="Times New Roman" w:cs="Times New Roman"/>
                <w:sz w:val="21"/>
                <w:szCs w:val="21"/>
                <w:vertAlign w:val="subscript"/>
              </w:rPr>
              <w:t>10</w:t>
            </w:r>
            <w:r>
              <w:rPr>
                <w:rFonts w:ascii="Times New Roman" w:hAnsi="Times New Roman" w:cs="Times New Roman"/>
                <w:sz w:val="21"/>
                <w:szCs w:val="21"/>
              </w:rPr>
              <w:t>-C</w:t>
            </w:r>
            <w:r>
              <w:rPr>
                <w:rFonts w:ascii="Times New Roman" w:hAnsi="Times New Roman" w:cs="Times New Roman"/>
                <w:sz w:val="21"/>
                <w:szCs w:val="21"/>
                <w:vertAlign w:val="subscript"/>
              </w:rPr>
              <w:t>40</w:t>
            </w:r>
            <w:r>
              <w:rPr>
                <w:rFonts w:ascii="Times New Roman" w:hAnsi="Times New Roman" w:cs="Times New Roman"/>
                <w:sz w:val="21"/>
                <w:szCs w:val="21"/>
              </w:rPr>
              <w:t>)</w:t>
            </w:r>
          </w:p>
        </w:tc>
        <w:tc>
          <w:tcPr>
            <w:tcW w:w="906" w:type="pct"/>
            <w:tcBorders>
              <w:tl2br w:val="nil"/>
              <w:tr2bl w:val="nil"/>
            </w:tcBorders>
            <w:vAlign w:val="center"/>
          </w:tcPr>
          <w:p w14:paraId="20615547">
            <w:pPr>
              <w:pStyle w:val="59"/>
              <w:rPr>
                <w:rFonts w:hint="eastAsia" w:eastAsia="宋体"/>
                <w:color w:val="auto"/>
                <w:lang w:eastAsia="zh-CN"/>
              </w:rPr>
            </w:pPr>
            <w:r>
              <w:rPr>
                <w:rFonts w:hint="eastAsia"/>
                <w:color w:val="auto"/>
                <w:lang w:val="en-US" w:eastAsia="zh-CN"/>
              </w:rPr>
              <w:t>1</w:t>
            </w:r>
            <w:r>
              <w:rPr>
                <w:rFonts w:hint="eastAsia"/>
                <w:color w:val="auto"/>
              </w:rPr>
              <w:t>#车间</w:t>
            </w:r>
            <w:r>
              <w:rPr>
                <w:rFonts w:hint="eastAsia"/>
                <w:color w:val="auto"/>
                <w:lang w:val="en-US" w:eastAsia="zh-CN"/>
              </w:rPr>
              <w:t>东侧</w:t>
            </w:r>
          </w:p>
        </w:tc>
      </w:tr>
      <w:tr w14:paraId="6B42B7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53" w:type="pct"/>
            <w:vMerge w:val="continue"/>
            <w:tcBorders>
              <w:tl2br w:val="nil"/>
              <w:tr2bl w:val="nil"/>
            </w:tcBorders>
            <w:vAlign w:val="center"/>
          </w:tcPr>
          <w:p w14:paraId="471F0124">
            <w:pPr>
              <w:pStyle w:val="59"/>
              <w:rPr>
                <w:color w:val="auto"/>
              </w:rPr>
            </w:pPr>
          </w:p>
        </w:tc>
        <w:tc>
          <w:tcPr>
            <w:tcW w:w="538" w:type="pct"/>
            <w:tcBorders>
              <w:tl2br w:val="nil"/>
              <w:tr2bl w:val="nil"/>
            </w:tcBorders>
            <w:vAlign w:val="center"/>
          </w:tcPr>
          <w:p w14:paraId="1563894F">
            <w:pPr>
              <w:pStyle w:val="59"/>
              <w:rPr>
                <w:color w:val="auto"/>
              </w:rPr>
            </w:pPr>
            <w:r>
              <w:rPr>
                <w:rFonts w:hint="eastAsia"/>
                <w:color w:val="auto"/>
              </w:rPr>
              <w:t>4</w:t>
            </w:r>
            <w:r>
              <w:rPr>
                <w:color w:val="auto"/>
              </w:rPr>
              <w:t>#</w:t>
            </w:r>
          </w:p>
        </w:tc>
        <w:tc>
          <w:tcPr>
            <w:tcW w:w="1093" w:type="pct"/>
            <w:tcBorders>
              <w:tl2br w:val="nil"/>
              <w:tr2bl w:val="nil"/>
            </w:tcBorders>
            <w:vAlign w:val="center"/>
          </w:tcPr>
          <w:p w14:paraId="02C68E1E">
            <w:pPr>
              <w:pStyle w:val="59"/>
              <w:rPr>
                <w:color w:val="auto"/>
              </w:rPr>
            </w:pPr>
            <w:r>
              <w:rPr>
                <w:color w:val="auto"/>
              </w:rPr>
              <w:t>0~0.5m、0.5~1.5m、</w:t>
            </w:r>
            <w:r>
              <w:rPr>
                <w:rFonts w:hint="eastAsia"/>
                <w:color w:val="auto"/>
              </w:rPr>
              <w:t>1.5~3m</w:t>
            </w:r>
          </w:p>
        </w:tc>
        <w:tc>
          <w:tcPr>
            <w:tcW w:w="546" w:type="pct"/>
            <w:tcBorders>
              <w:tl2br w:val="nil"/>
              <w:tr2bl w:val="nil"/>
            </w:tcBorders>
            <w:vAlign w:val="center"/>
          </w:tcPr>
          <w:p w14:paraId="34DB13EF">
            <w:pPr>
              <w:jc w:val="center"/>
              <w:rPr>
                <w:color w:val="auto"/>
              </w:rPr>
            </w:pPr>
            <w:r>
              <w:rPr>
                <w:rFonts w:hint="eastAsia"/>
                <w:color w:val="auto"/>
              </w:rPr>
              <w:t>柱状样</w:t>
            </w:r>
          </w:p>
        </w:tc>
        <w:tc>
          <w:tcPr>
            <w:tcW w:w="1563" w:type="pct"/>
            <w:tcBorders>
              <w:tl2br w:val="nil"/>
              <w:tr2bl w:val="nil"/>
            </w:tcBorders>
            <w:vAlign w:val="center"/>
          </w:tcPr>
          <w:p w14:paraId="60615FF0">
            <w:pPr>
              <w:pStyle w:val="59"/>
              <w:rPr>
                <w:color w:val="auto"/>
              </w:rPr>
            </w:pPr>
            <w:r>
              <w:rPr>
                <w:rFonts w:ascii="Times New Roman" w:eastAsia="宋体"/>
                <w:b w:val="0"/>
                <w:bCs w:val="0"/>
                <w:color w:val="auto"/>
                <w:sz w:val="21"/>
                <w:szCs w:val="21"/>
              </w:rPr>
              <w:t>砷、镉、铬</w:t>
            </w:r>
            <w:r>
              <w:rPr>
                <w:rFonts w:hint="eastAsia"/>
                <w:b w:val="0"/>
                <w:bCs w:val="0"/>
                <w:color w:val="auto"/>
                <w:sz w:val="21"/>
                <w:szCs w:val="21"/>
                <w:lang w:eastAsia="zh-CN"/>
              </w:rPr>
              <w:t>（</w:t>
            </w:r>
            <w:r>
              <w:rPr>
                <w:rFonts w:hint="eastAsia"/>
                <w:b w:val="0"/>
                <w:bCs w:val="0"/>
                <w:color w:val="auto"/>
                <w:sz w:val="21"/>
                <w:szCs w:val="21"/>
                <w:lang w:val="en-US" w:eastAsia="zh-CN"/>
              </w:rPr>
              <w:t>六价</w:t>
            </w:r>
            <w:r>
              <w:rPr>
                <w:rFonts w:hint="eastAsia"/>
                <w:b w:val="0"/>
                <w:bCs w:val="0"/>
                <w:color w:val="auto"/>
                <w:sz w:val="21"/>
                <w:szCs w:val="21"/>
                <w:lang w:eastAsia="zh-CN"/>
              </w:rPr>
              <w:t>）</w:t>
            </w:r>
            <w:r>
              <w:rPr>
                <w:rFonts w:ascii="Times New Roman" w:eastAsia="宋体"/>
                <w:b w:val="0"/>
                <w:bCs w:val="0"/>
                <w:color w:val="auto"/>
                <w:sz w:val="21"/>
                <w:szCs w:val="21"/>
              </w:rPr>
              <w:t>、铜、铅、汞、镍</w:t>
            </w:r>
            <w:r>
              <w:rPr>
                <w:rFonts w:hint="eastAsia"/>
                <w:b w:val="0"/>
                <w:bCs w:val="0"/>
                <w:color w:val="auto"/>
                <w:sz w:val="21"/>
                <w:szCs w:val="21"/>
                <w:lang w:eastAsia="zh-CN"/>
              </w:rPr>
              <w:t>、</w:t>
            </w:r>
            <w:r>
              <w:rPr>
                <w:rFonts w:ascii="Times New Roman" w:hAnsi="Times New Roman" w:cs="Times New Roman"/>
                <w:sz w:val="21"/>
                <w:szCs w:val="21"/>
              </w:rPr>
              <w:t>石油烃(C</w:t>
            </w:r>
            <w:r>
              <w:rPr>
                <w:rFonts w:ascii="Times New Roman" w:hAnsi="Times New Roman" w:cs="Times New Roman"/>
                <w:sz w:val="21"/>
                <w:szCs w:val="21"/>
                <w:vertAlign w:val="subscript"/>
              </w:rPr>
              <w:t>10</w:t>
            </w:r>
            <w:r>
              <w:rPr>
                <w:rFonts w:ascii="Times New Roman" w:hAnsi="Times New Roman" w:cs="Times New Roman"/>
                <w:sz w:val="21"/>
                <w:szCs w:val="21"/>
              </w:rPr>
              <w:t>-C</w:t>
            </w:r>
            <w:r>
              <w:rPr>
                <w:rFonts w:ascii="Times New Roman" w:hAnsi="Times New Roman" w:cs="Times New Roman"/>
                <w:sz w:val="21"/>
                <w:szCs w:val="21"/>
                <w:vertAlign w:val="subscript"/>
              </w:rPr>
              <w:t>40</w:t>
            </w:r>
            <w:r>
              <w:rPr>
                <w:rFonts w:ascii="Times New Roman" w:hAnsi="Times New Roman" w:cs="Times New Roman"/>
                <w:sz w:val="21"/>
                <w:szCs w:val="21"/>
              </w:rPr>
              <w:t>)</w:t>
            </w:r>
          </w:p>
        </w:tc>
        <w:tc>
          <w:tcPr>
            <w:tcW w:w="906" w:type="pct"/>
            <w:tcBorders>
              <w:tl2br w:val="nil"/>
              <w:tr2bl w:val="nil"/>
            </w:tcBorders>
            <w:vAlign w:val="center"/>
          </w:tcPr>
          <w:p w14:paraId="15BD975E">
            <w:pPr>
              <w:pStyle w:val="59"/>
              <w:rPr>
                <w:color w:val="auto"/>
              </w:rPr>
            </w:pPr>
            <w:r>
              <w:rPr>
                <w:rFonts w:hint="eastAsia"/>
                <w:color w:val="auto"/>
                <w:lang w:val="en-US" w:eastAsia="zh-CN"/>
              </w:rPr>
              <w:t>1</w:t>
            </w:r>
            <w:r>
              <w:rPr>
                <w:rFonts w:hint="eastAsia"/>
                <w:color w:val="auto"/>
              </w:rPr>
              <w:t>#车间</w:t>
            </w:r>
            <w:r>
              <w:rPr>
                <w:rFonts w:hint="eastAsia"/>
                <w:color w:val="auto"/>
                <w:lang w:val="en-US" w:eastAsia="zh-CN"/>
              </w:rPr>
              <w:t>东侧</w:t>
            </w:r>
          </w:p>
        </w:tc>
      </w:tr>
      <w:tr w14:paraId="44D87F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53" w:type="pct"/>
            <w:vMerge w:val="continue"/>
            <w:tcBorders>
              <w:tl2br w:val="nil"/>
              <w:tr2bl w:val="nil"/>
            </w:tcBorders>
            <w:vAlign w:val="center"/>
          </w:tcPr>
          <w:p w14:paraId="787AE678">
            <w:pPr>
              <w:pStyle w:val="59"/>
              <w:rPr>
                <w:color w:val="auto"/>
              </w:rPr>
            </w:pPr>
          </w:p>
        </w:tc>
        <w:tc>
          <w:tcPr>
            <w:tcW w:w="538" w:type="pct"/>
            <w:tcBorders>
              <w:tl2br w:val="nil"/>
              <w:tr2bl w:val="nil"/>
            </w:tcBorders>
            <w:vAlign w:val="center"/>
          </w:tcPr>
          <w:p w14:paraId="1BC83BA1">
            <w:pPr>
              <w:pStyle w:val="59"/>
              <w:rPr>
                <w:color w:val="auto"/>
              </w:rPr>
            </w:pPr>
            <w:r>
              <w:rPr>
                <w:rFonts w:hint="eastAsia"/>
                <w:color w:val="auto"/>
              </w:rPr>
              <w:t>5</w:t>
            </w:r>
            <w:r>
              <w:rPr>
                <w:color w:val="auto"/>
              </w:rPr>
              <w:t>#</w:t>
            </w:r>
          </w:p>
        </w:tc>
        <w:tc>
          <w:tcPr>
            <w:tcW w:w="1093" w:type="pct"/>
            <w:tcBorders>
              <w:tl2br w:val="nil"/>
              <w:tr2bl w:val="nil"/>
            </w:tcBorders>
            <w:vAlign w:val="center"/>
          </w:tcPr>
          <w:p w14:paraId="2A886778">
            <w:pPr>
              <w:pStyle w:val="59"/>
              <w:rPr>
                <w:color w:val="auto"/>
              </w:rPr>
            </w:pPr>
            <w:r>
              <w:rPr>
                <w:color w:val="auto"/>
              </w:rPr>
              <w:t>0~0.5m、0.5~1.5m、</w:t>
            </w:r>
            <w:r>
              <w:rPr>
                <w:rFonts w:hint="eastAsia"/>
                <w:color w:val="auto"/>
              </w:rPr>
              <w:t>1.5~3m</w:t>
            </w:r>
          </w:p>
        </w:tc>
        <w:tc>
          <w:tcPr>
            <w:tcW w:w="546" w:type="pct"/>
            <w:tcBorders>
              <w:tl2br w:val="nil"/>
              <w:tr2bl w:val="nil"/>
            </w:tcBorders>
            <w:vAlign w:val="center"/>
          </w:tcPr>
          <w:p w14:paraId="08B94782">
            <w:pPr>
              <w:pStyle w:val="59"/>
              <w:rPr>
                <w:color w:val="auto"/>
              </w:rPr>
            </w:pPr>
            <w:r>
              <w:rPr>
                <w:rFonts w:hint="eastAsia"/>
                <w:color w:val="auto"/>
              </w:rPr>
              <w:t>柱状样</w:t>
            </w:r>
          </w:p>
        </w:tc>
        <w:tc>
          <w:tcPr>
            <w:tcW w:w="1563" w:type="pct"/>
            <w:tcBorders>
              <w:tl2br w:val="nil"/>
              <w:tr2bl w:val="nil"/>
            </w:tcBorders>
            <w:vAlign w:val="center"/>
          </w:tcPr>
          <w:p w14:paraId="3661C127">
            <w:pPr>
              <w:pStyle w:val="59"/>
              <w:rPr>
                <w:color w:val="auto"/>
              </w:rPr>
            </w:pPr>
            <w:r>
              <w:rPr>
                <w:rFonts w:ascii="Times New Roman" w:eastAsia="宋体"/>
                <w:b w:val="0"/>
                <w:bCs w:val="0"/>
                <w:color w:val="auto"/>
                <w:sz w:val="21"/>
                <w:szCs w:val="21"/>
              </w:rPr>
              <w:t>砷、镉、铬</w:t>
            </w:r>
            <w:r>
              <w:rPr>
                <w:rFonts w:hint="eastAsia"/>
                <w:b w:val="0"/>
                <w:bCs w:val="0"/>
                <w:color w:val="auto"/>
                <w:sz w:val="21"/>
                <w:szCs w:val="21"/>
                <w:lang w:eastAsia="zh-CN"/>
              </w:rPr>
              <w:t>（</w:t>
            </w:r>
            <w:r>
              <w:rPr>
                <w:rFonts w:hint="eastAsia"/>
                <w:b w:val="0"/>
                <w:bCs w:val="0"/>
                <w:color w:val="auto"/>
                <w:sz w:val="21"/>
                <w:szCs w:val="21"/>
                <w:lang w:val="en-US" w:eastAsia="zh-CN"/>
              </w:rPr>
              <w:t>六价</w:t>
            </w:r>
            <w:r>
              <w:rPr>
                <w:rFonts w:hint="eastAsia"/>
                <w:b w:val="0"/>
                <w:bCs w:val="0"/>
                <w:color w:val="auto"/>
                <w:sz w:val="21"/>
                <w:szCs w:val="21"/>
                <w:lang w:eastAsia="zh-CN"/>
              </w:rPr>
              <w:t>）</w:t>
            </w:r>
            <w:r>
              <w:rPr>
                <w:rFonts w:ascii="Times New Roman" w:eastAsia="宋体"/>
                <w:b w:val="0"/>
                <w:bCs w:val="0"/>
                <w:color w:val="auto"/>
                <w:sz w:val="21"/>
                <w:szCs w:val="21"/>
              </w:rPr>
              <w:t>、铜、铅、汞、镍</w:t>
            </w:r>
            <w:r>
              <w:rPr>
                <w:rFonts w:hint="eastAsia"/>
                <w:b w:val="0"/>
                <w:bCs w:val="0"/>
                <w:color w:val="auto"/>
                <w:sz w:val="21"/>
                <w:szCs w:val="21"/>
                <w:lang w:eastAsia="zh-CN"/>
              </w:rPr>
              <w:t>、</w:t>
            </w:r>
            <w:r>
              <w:rPr>
                <w:rFonts w:ascii="Times New Roman" w:hAnsi="Times New Roman" w:cs="Times New Roman"/>
                <w:sz w:val="21"/>
                <w:szCs w:val="21"/>
              </w:rPr>
              <w:t>石油烃(C</w:t>
            </w:r>
            <w:r>
              <w:rPr>
                <w:rFonts w:ascii="Times New Roman" w:hAnsi="Times New Roman" w:cs="Times New Roman"/>
                <w:sz w:val="21"/>
                <w:szCs w:val="21"/>
                <w:vertAlign w:val="subscript"/>
              </w:rPr>
              <w:t>10</w:t>
            </w:r>
            <w:r>
              <w:rPr>
                <w:rFonts w:ascii="Times New Roman" w:hAnsi="Times New Roman" w:cs="Times New Roman"/>
                <w:sz w:val="21"/>
                <w:szCs w:val="21"/>
              </w:rPr>
              <w:t>-C</w:t>
            </w:r>
            <w:r>
              <w:rPr>
                <w:rFonts w:ascii="Times New Roman" w:hAnsi="Times New Roman" w:cs="Times New Roman"/>
                <w:sz w:val="21"/>
                <w:szCs w:val="21"/>
                <w:vertAlign w:val="subscript"/>
              </w:rPr>
              <w:t>40</w:t>
            </w:r>
            <w:r>
              <w:rPr>
                <w:rFonts w:ascii="Times New Roman" w:hAnsi="Times New Roman" w:cs="Times New Roman"/>
                <w:sz w:val="21"/>
                <w:szCs w:val="21"/>
              </w:rPr>
              <w:t>)</w:t>
            </w:r>
          </w:p>
        </w:tc>
        <w:tc>
          <w:tcPr>
            <w:tcW w:w="906" w:type="pct"/>
            <w:tcBorders>
              <w:tl2br w:val="nil"/>
              <w:tr2bl w:val="nil"/>
            </w:tcBorders>
            <w:vAlign w:val="center"/>
          </w:tcPr>
          <w:p w14:paraId="22C54909">
            <w:pPr>
              <w:pStyle w:val="59"/>
              <w:rPr>
                <w:color w:val="auto"/>
              </w:rPr>
            </w:pPr>
            <w:r>
              <w:rPr>
                <w:rFonts w:hint="eastAsia"/>
                <w:color w:val="auto"/>
                <w:lang w:val="en-US" w:eastAsia="zh-CN"/>
              </w:rPr>
              <w:t>1</w:t>
            </w:r>
            <w:r>
              <w:rPr>
                <w:rFonts w:hint="eastAsia"/>
                <w:color w:val="auto"/>
              </w:rPr>
              <w:t>#车间</w:t>
            </w:r>
            <w:r>
              <w:rPr>
                <w:rFonts w:hint="eastAsia"/>
                <w:color w:val="auto"/>
                <w:lang w:val="en-US" w:eastAsia="zh-CN"/>
              </w:rPr>
              <w:t>东南侧</w:t>
            </w:r>
          </w:p>
        </w:tc>
      </w:tr>
      <w:tr w14:paraId="5B9B08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53" w:type="pct"/>
            <w:vMerge w:val="continue"/>
            <w:tcBorders>
              <w:tl2br w:val="nil"/>
              <w:tr2bl w:val="nil"/>
            </w:tcBorders>
            <w:vAlign w:val="center"/>
          </w:tcPr>
          <w:p w14:paraId="7450B344">
            <w:pPr>
              <w:pStyle w:val="59"/>
              <w:rPr>
                <w:color w:val="FF0000"/>
              </w:rPr>
            </w:pPr>
          </w:p>
        </w:tc>
        <w:tc>
          <w:tcPr>
            <w:tcW w:w="538" w:type="pct"/>
            <w:tcBorders>
              <w:tl2br w:val="nil"/>
              <w:tr2bl w:val="nil"/>
            </w:tcBorders>
            <w:vAlign w:val="center"/>
          </w:tcPr>
          <w:p w14:paraId="4BC732CF">
            <w:pPr>
              <w:pStyle w:val="59"/>
              <w:rPr>
                <w:color w:val="auto"/>
              </w:rPr>
            </w:pPr>
            <w:r>
              <w:rPr>
                <w:rFonts w:hint="eastAsia"/>
                <w:color w:val="auto"/>
              </w:rPr>
              <w:t>6#</w:t>
            </w:r>
          </w:p>
        </w:tc>
        <w:tc>
          <w:tcPr>
            <w:tcW w:w="1093" w:type="pct"/>
            <w:tcBorders>
              <w:tl2br w:val="nil"/>
              <w:tr2bl w:val="nil"/>
            </w:tcBorders>
            <w:vAlign w:val="center"/>
          </w:tcPr>
          <w:p w14:paraId="417319C5">
            <w:pPr>
              <w:jc w:val="center"/>
              <w:rPr>
                <w:rFonts w:hint="default" w:ascii="Times New Roman" w:hAnsi="Times New Roman" w:cs="Times New Roman"/>
                <w:color w:val="auto"/>
              </w:rPr>
            </w:pPr>
            <w:r>
              <w:rPr>
                <w:rFonts w:hint="default" w:ascii="Times New Roman" w:hAnsi="Times New Roman" w:cs="Times New Roman"/>
                <w:color w:val="auto"/>
              </w:rPr>
              <w:t>0~0.2m</w:t>
            </w:r>
          </w:p>
        </w:tc>
        <w:tc>
          <w:tcPr>
            <w:tcW w:w="546" w:type="pct"/>
            <w:tcBorders>
              <w:tl2br w:val="nil"/>
              <w:tr2bl w:val="nil"/>
            </w:tcBorders>
            <w:vAlign w:val="center"/>
          </w:tcPr>
          <w:p w14:paraId="5DF5B4FF">
            <w:pPr>
              <w:jc w:val="center"/>
              <w:rPr>
                <w:color w:val="auto"/>
              </w:rPr>
            </w:pPr>
            <w:r>
              <w:rPr>
                <w:rFonts w:hint="eastAsia"/>
                <w:color w:val="auto"/>
              </w:rPr>
              <w:t>表层样</w:t>
            </w:r>
          </w:p>
        </w:tc>
        <w:tc>
          <w:tcPr>
            <w:tcW w:w="1563" w:type="pct"/>
            <w:tcBorders>
              <w:tl2br w:val="nil"/>
              <w:tr2bl w:val="nil"/>
            </w:tcBorders>
            <w:vAlign w:val="center"/>
          </w:tcPr>
          <w:p w14:paraId="60C37746">
            <w:pPr>
              <w:pStyle w:val="59"/>
              <w:rPr>
                <w:color w:val="auto"/>
              </w:rPr>
            </w:pPr>
            <w:r>
              <w:rPr>
                <w:rFonts w:ascii="Times New Roman" w:eastAsia="宋体"/>
                <w:b w:val="0"/>
                <w:bCs w:val="0"/>
                <w:color w:val="auto"/>
                <w:sz w:val="21"/>
                <w:szCs w:val="21"/>
              </w:rPr>
              <w:t>砷、镉、铬</w:t>
            </w:r>
            <w:r>
              <w:rPr>
                <w:rFonts w:hint="eastAsia"/>
                <w:b w:val="0"/>
                <w:bCs w:val="0"/>
                <w:color w:val="auto"/>
                <w:sz w:val="21"/>
                <w:szCs w:val="21"/>
                <w:lang w:eastAsia="zh-CN"/>
              </w:rPr>
              <w:t>（</w:t>
            </w:r>
            <w:r>
              <w:rPr>
                <w:rFonts w:hint="eastAsia"/>
                <w:b w:val="0"/>
                <w:bCs w:val="0"/>
                <w:color w:val="auto"/>
                <w:sz w:val="21"/>
                <w:szCs w:val="21"/>
                <w:lang w:val="en-US" w:eastAsia="zh-CN"/>
              </w:rPr>
              <w:t>六价</w:t>
            </w:r>
            <w:r>
              <w:rPr>
                <w:rFonts w:hint="eastAsia"/>
                <w:b w:val="0"/>
                <w:bCs w:val="0"/>
                <w:color w:val="auto"/>
                <w:sz w:val="21"/>
                <w:szCs w:val="21"/>
                <w:lang w:eastAsia="zh-CN"/>
              </w:rPr>
              <w:t>）</w:t>
            </w:r>
            <w:r>
              <w:rPr>
                <w:rFonts w:ascii="Times New Roman" w:eastAsia="宋体"/>
                <w:b w:val="0"/>
                <w:bCs w:val="0"/>
                <w:color w:val="auto"/>
                <w:sz w:val="21"/>
                <w:szCs w:val="21"/>
              </w:rPr>
              <w:t>、铜、铅、汞、镍</w:t>
            </w:r>
            <w:r>
              <w:rPr>
                <w:rFonts w:hint="eastAsia"/>
                <w:b w:val="0"/>
                <w:bCs w:val="0"/>
                <w:color w:val="auto"/>
                <w:sz w:val="21"/>
                <w:szCs w:val="21"/>
                <w:lang w:eastAsia="zh-CN"/>
              </w:rPr>
              <w:t>、</w:t>
            </w:r>
            <w:r>
              <w:rPr>
                <w:rFonts w:ascii="Times New Roman" w:hAnsi="Times New Roman" w:cs="Times New Roman"/>
                <w:sz w:val="21"/>
                <w:szCs w:val="21"/>
              </w:rPr>
              <w:t>石油烃(C</w:t>
            </w:r>
            <w:r>
              <w:rPr>
                <w:rFonts w:ascii="Times New Roman" w:hAnsi="Times New Roman" w:cs="Times New Roman"/>
                <w:sz w:val="21"/>
                <w:szCs w:val="21"/>
                <w:vertAlign w:val="subscript"/>
              </w:rPr>
              <w:t>10</w:t>
            </w:r>
            <w:r>
              <w:rPr>
                <w:rFonts w:ascii="Times New Roman" w:hAnsi="Times New Roman" w:cs="Times New Roman"/>
                <w:sz w:val="21"/>
                <w:szCs w:val="21"/>
              </w:rPr>
              <w:t>-C</w:t>
            </w:r>
            <w:r>
              <w:rPr>
                <w:rFonts w:ascii="Times New Roman" w:hAnsi="Times New Roman" w:cs="Times New Roman"/>
                <w:sz w:val="21"/>
                <w:szCs w:val="21"/>
                <w:vertAlign w:val="subscript"/>
              </w:rPr>
              <w:t>40</w:t>
            </w:r>
            <w:r>
              <w:rPr>
                <w:rFonts w:ascii="Times New Roman" w:hAnsi="Times New Roman" w:cs="Times New Roman"/>
                <w:sz w:val="21"/>
                <w:szCs w:val="21"/>
              </w:rPr>
              <w:t>)</w:t>
            </w:r>
          </w:p>
        </w:tc>
        <w:tc>
          <w:tcPr>
            <w:tcW w:w="906" w:type="pct"/>
            <w:tcBorders>
              <w:tl2br w:val="nil"/>
              <w:tr2bl w:val="nil"/>
            </w:tcBorders>
            <w:vAlign w:val="center"/>
          </w:tcPr>
          <w:p w14:paraId="3956239F">
            <w:pPr>
              <w:pStyle w:val="59"/>
              <w:rPr>
                <w:color w:val="auto"/>
              </w:rPr>
            </w:pPr>
            <w:r>
              <w:rPr>
                <w:rFonts w:hint="eastAsia"/>
                <w:color w:val="auto"/>
                <w:lang w:val="en-US" w:eastAsia="zh-CN"/>
              </w:rPr>
              <w:t>办公楼西南侧</w:t>
            </w:r>
          </w:p>
        </w:tc>
      </w:tr>
      <w:tr w14:paraId="2228FE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53" w:type="pct"/>
            <w:vMerge w:val="continue"/>
            <w:tcBorders>
              <w:tl2br w:val="nil"/>
              <w:tr2bl w:val="nil"/>
            </w:tcBorders>
            <w:vAlign w:val="center"/>
          </w:tcPr>
          <w:p w14:paraId="3B636469">
            <w:pPr>
              <w:pStyle w:val="59"/>
              <w:rPr>
                <w:color w:val="FF0000"/>
              </w:rPr>
            </w:pPr>
          </w:p>
        </w:tc>
        <w:tc>
          <w:tcPr>
            <w:tcW w:w="538" w:type="pct"/>
            <w:tcBorders>
              <w:tl2br w:val="nil"/>
              <w:tr2bl w:val="nil"/>
            </w:tcBorders>
            <w:vAlign w:val="center"/>
          </w:tcPr>
          <w:p w14:paraId="4467B4C4">
            <w:pPr>
              <w:pStyle w:val="59"/>
              <w:rPr>
                <w:color w:val="auto"/>
              </w:rPr>
            </w:pPr>
            <w:r>
              <w:rPr>
                <w:rFonts w:hint="eastAsia"/>
                <w:color w:val="auto"/>
              </w:rPr>
              <w:t>7#</w:t>
            </w:r>
          </w:p>
        </w:tc>
        <w:tc>
          <w:tcPr>
            <w:tcW w:w="1093" w:type="pct"/>
            <w:tcBorders>
              <w:tl2br w:val="nil"/>
              <w:tr2bl w:val="nil"/>
            </w:tcBorders>
            <w:vAlign w:val="center"/>
          </w:tcPr>
          <w:p w14:paraId="04D87DEF">
            <w:pPr>
              <w:jc w:val="center"/>
              <w:rPr>
                <w:rFonts w:hint="default" w:ascii="Times New Roman" w:hAnsi="Times New Roman" w:cs="Times New Roman"/>
                <w:color w:val="auto"/>
              </w:rPr>
            </w:pPr>
            <w:r>
              <w:rPr>
                <w:rFonts w:hint="default" w:ascii="Times New Roman" w:hAnsi="Times New Roman" w:cs="Times New Roman"/>
                <w:color w:val="auto"/>
              </w:rPr>
              <w:t>0~0.2m</w:t>
            </w:r>
          </w:p>
        </w:tc>
        <w:tc>
          <w:tcPr>
            <w:tcW w:w="546" w:type="pct"/>
            <w:tcBorders>
              <w:tl2br w:val="nil"/>
              <w:tr2bl w:val="nil"/>
            </w:tcBorders>
            <w:vAlign w:val="center"/>
          </w:tcPr>
          <w:p w14:paraId="21F45167">
            <w:pPr>
              <w:jc w:val="center"/>
              <w:rPr>
                <w:color w:val="auto"/>
              </w:rPr>
            </w:pPr>
            <w:r>
              <w:rPr>
                <w:rFonts w:hint="eastAsia"/>
                <w:color w:val="auto"/>
              </w:rPr>
              <w:t>表层样</w:t>
            </w:r>
          </w:p>
        </w:tc>
        <w:tc>
          <w:tcPr>
            <w:tcW w:w="1563" w:type="pct"/>
            <w:tcBorders>
              <w:tl2br w:val="nil"/>
              <w:tr2bl w:val="nil"/>
            </w:tcBorders>
            <w:vAlign w:val="center"/>
          </w:tcPr>
          <w:p w14:paraId="3DEFB446">
            <w:pPr>
              <w:pStyle w:val="59"/>
              <w:rPr>
                <w:rFonts w:hint="default" w:eastAsia="宋体"/>
                <w:color w:val="auto"/>
                <w:lang w:val="en-US" w:eastAsia="zh-CN"/>
              </w:rPr>
            </w:pPr>
            <w:r>
              <w:rPr>
                <w:rFonts w:hint="eastAsia"/>
                <w:color w:val="auto"/>
                <w:lang w:val="en-US" w:eastAsia="zh-CN"/>
              </w:rPr>
              <w:t>测45项及</w:t>
            </w:r>
            <w:r>
              <w:rPr>
                <w:rFonts w:ascii="Times New Roman" w:hAnsi="Times New Roman" w:cs="Times New Roman"/>
                <w:sz w:val="21"/>
                <w:szCs w:val="21"/>
              </w:rPr>
              <w:t>石油烃(C</w:t>
            </w:r>
            <w:r>
              <w:rPr>
                <w:rFonts w:ascii="Times New Roman" w:hAnsi="Times New Roman" w:cs="Times New Roman"/>
                <w:sz w:val="21"/>
                <w:szCs w:val="21"/>
                <w:vertAlign w:val="subscript"/>
              </w:rPr>
              <w:t>10</w:t>
            </w:r>
            <w:r>
              <w:rPr>
                <w:rFonts w:ascii="Times New Roman" w:hAnsi="Times New Roman" w:cs="Times New Roman"/>
                <w:sz w:val="21"/>
                <w:szCs w:val="21"/>
              </w:rPr>
              <w:t>-C</w:t>
            </w:r>
            <w:r>
              <w:rPr>
                <w:rFonts w:ascii="Times New Roman" w:hAnsi="Times New Roman" w:cs="Times New Roman"/>
                <w:sz w:val="21"/>
                <w:szCs w:val="21"/>
                <w:vertAlign w:val="subscript"/>
              </w:rPr>
              <w:t>40</w:t>
            </w:r>
            <w:r>
              <w:rPr>
                <w:rFonts w:ascii="Times New Roman" w:hAnsi="Times New Roman" w:cs="Times New Roman"/>
                <w:sz w:val="21"/>
                <w:szCs w:val="21"/>
              </w:rPr>
              <w:t>)</w:t>
            </w:r>
          </w:p>
        </w:tc>
        <w:tc>
          <w:tcPr>
            <w:tcW w:w="906" w:type="pct"/>
            <w:tcBorders>
              <w:tl2br w:val="nil"/>
              <w:tr2bl w:val="nil"/>
            </w:tcBorders>
            <w:vAlign w:val="center"/>
          </w:tcPr>
          <w:p w14:paraId="420E4C19">
            <w:pPr>
              <w:pStyle w:val="59"/>
              <w:rPr>
                <w:color w:val="auto"/>
              </w:rPr>
            </w:pPr>
            <w:r>
              <w:rPr>
                <w:rFonts w:hint="eastAsia"/>
                <w:color w:val="auto"/>
                <w:lang w:val="en-US" w:eastAsia="zh-CN"/>
              </w:rPr>
              <w:t>1</w:t>
            </w:r>
            <w:r>
              <w:rPr>
                <w:rFonts w:hint="eastAsia"/>
                <w:color w:val="auto"/>
              </w:rPr>
              <w:t>#车间</w:t>
            </w:r>
            <w:r>
              <w:rPr>
                <w:rFonts w:hint="eastAsia"/>
                <w:color w:val="auto"/>
                <w:lang w:val="en-US" w:eastAsia="zh-CN"/>
              </w:rPr>
              <w:t>东侧</w:t>
            </w:r>
          </w:p>
        </w:tc>
      </w:tr>
      <w:tr w14:paraId="74B7B8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53" w:type="pct"/>
            <w:vMerge w:val="restart"/>
            <w:tcBorders>
              <w:tl2br w:val="nil"/>
              <w:tr2bl w:val="nil"/>
            </w:tcBorders>
            <w:vAlign w:val="center"/>
          </w:tcPr>
          <w:p w14:paraId="4A6F924E">
            <w:pPr>
              <w:pStyle w:val="59"/>
              <w:rPr>
                <w:color w:val="auto"/>
              </w:rPr>
            </w:pPr>
            <w:r>
              <w:rPr>
                <w:rFonts w:hint="eastAsia"/>
                <w:color w:val="auto"/>
              </w:rPr>
              <w:t>厂界外</w:t>
            </w:r>
          </w:p>
        </w:tc>
        <w:tc>
          <w:tcPr>
            <w:tcW w:w="538" w:type="pct"/>
            <w:tcBorders>
              <w:tl2br w:val="nil"/>
              <w:tr2bl w:val="nil"/>
            </w:tcBorders>
            <w:vAlign w:val="center"/>
          </w:tcPr>
          <w:p w14:paraId="42965B96">
            <w:pPr>
              <w:pStyle w:val="59"/>
              <w:rPr>
                <w:color w:val="auto"/>
              </w:rPr>
            </w:pPr>
            <w:r>
              <w:rPr>
                <w:rFonts w:hint="eastAsia"/>
                <w:color w:val="auto"/>
              </w:rPr>
              <w:t>8#</w:t>
            </w:r>
          </w:p>
        </w:tc>
        <w:tc>
          <w:tcPr>
            <w:tcW w:w="1093" w:type="pct"/>
            <w:tcBorders>
              <w:tl2br w:val="nil"/>
              <w:tr2bl w:val="nil"/>
            </w:tcBorders>
            <w:vAlign w:val="center"/>
          </w:tcPr>
          <w:p w14:paraId="5E0EB14E">
            <w:pPr>
              <w:pStyle w:val="59"/>
              <w:rPr>
                <w:color w:val="auto"/>
              </w:rPr>
            </w:pPr>
            <w:r>
              <w:rPr>
                <w:color w:val="auto"/>
              </w:rPr>
              <w:t>0~0.2m</w:t>
            </w:r>
          </w:p>
        </w:tc>
        <w:tc>
          <w:tcPr>
            <w:tcW w:w="546" w:type="pct"/>
            <w:tcBorders>
              <w:tl2br w:val="nil"/>
              <w:tr2bl w:val="nil"/>
            </w:tcBorders>
            <w:vAlign w:val="center"/>
          </w:tcPr>
          <w:p w14:paraId="3976998E">
            <w:pPr>
              <w:pStyle w:val="59"/>
              <w:rPr>
                <w:color w:val="auto"/>
              </w:rPr>
            </w:pPr>
            <w:r>
              <w:rPr>
                <w:rFonts w:hint="eastAsia"/>
                <w:color w:val="auto"/>
              </w:rPr>
              <w:t>表层样</w:t>
            </w:r>
          </w:p>
        </w:tc>
        <w:tc>
          <w:tcPr>
            <w:tcW w:w="1563" w:type="pct"/>
            <w:tcBorders>
              <w:tl2br w:val="nil"/>
              <w:tr2bl w:val="nil"/>
            </w:tcBorders>
            <w:vAlign w:val="center"/>
          </w:tcPr>
          <w:p w14:paraId="1F90A20D">
            <w:pPr>
              <w:pStyle w:val="59"/>
              <w:rPr>
                <w:color w:val="FF0000"/>
              </w:rPr>
            </w:pPr>
            <w:r>
              <w:rPr>
                <w:rFonts w:hint="eastAsia" w:ascii="Times New Roman"/>
                <w:b w:val="0"/>
                <w:bCs w:val="0"/>
                <w:color w:val="auto"/>
                <w:sz w:val="21"/>
                <w:szCs w:val="21"/>
                <w:lang w:val="en-US" w:eastAsia="zh-CN"/>
              </w:rPr>
              <w:t>p</w:t>
            </w:r>
            <w:r>
              <w:rPr>
                <w:rFonts w:ascii="Times New Roman"/>
                <w:b w:val="0"/>
                <w:bCs w:val="0"/>
                <w:color w:val="auto"/>
                <w:sz w:val="21"/>
                <w:szCs w:val="21"/>
              </w:rPr>
              <w:t>H</w:t>
            </w:r>
            <w:r>
              <w:rPr>
                <w:rFonts w:ascii="Times New Roman" w:eastAsia="宋体"/>
                <w:b w:val="0"/>
                <w:bCs w:val="0"/>
                <w:color w:val="auto"/>
                <w:sz w:val="21"/>
                <w:szCs w:val="21"/>
              </w:rPr>
              <w:t>、镉、汞、砷、铅、铬、铜、镍、锌</w:t>
            </w:r>
            <w:r>
              <w:rPr>
                <w:rFonts w:hint="eastAsia"/>
                <w:b w:val="0"/>
                <w:bCs w:val="0"/>
                <w:color w:val="auto"/>
                <w:sz w:val="21"/>
                <w:szCs w:val="21"/>
                <w:lang w:eastAsia="zh-CN"/>
              </w:rPr>
              <w:t>、</w:t>
            </w:r>
            <w:r>
              <w:rPr>
                <w:rFonts w:ascii="Times New Roman" w:hAnsi="Times New Roman" w:cs="Times New Roman"/>
                <w:sz w:val="21"/>
                <w:szCs w:val="21"/>
              </w:rPr>
              <w:t>石油烃(C</w:t>
            </w:r>
            <w:r>
              <w:rPr>
                <w:rFonts w:ascii="Times New Roman" w:hAnsi="Times New Roman" w:cs="Times New Roman"/>
                <w:sz w:val="21"/>
                <w:szCs w:val="21"/>
                <w:vertAlign w:val="subscript"/>
              </w:rPr>
              <w:t>10</w:t>
            </w:r>
            <w:r>
              <w:rPr>
                <w:rFonts w:ascii="Times New Roman" w:hAnsi="Times New Roman" w:cs="Times New Roman"/>
                <w:sz w:val="21"/>
                <w:szCs w:val="21"/>
              </w:rPr>
              <w:t>-C</w:t>
            </w:r>
            <w:r>
              <w:rPr>
                <w:rFonts w:ascii="Times New Roman" w:hAnsi="Times New Roman" w:cs="Times New Roman"/>
                <w:sz w:val="21"/>
                <w:szCs w:val="21"/>
                <w:vertAlign w:val="subscript"/>
              </w:rPr>
              <w:t>40</w:t>
            </w:r>
            <w:r>
              <w:rPr>
                <w:rFonts w:ascii="Times New Roman" w:hAnsi="Times New Roman" w:cs="Times New Roman"/>
                <w:sz w:val="21"/>
                <w:szCs w:val="21"/>
              </w:rPr>
              <w:t>)</w:t>
            </w:r>
          </w:p>
        </w:tc>
        <w:tc>
          <w:tcPr>
            <w:tcW w:w="906" w:type="pct"/>
            <w:tcBorders>
              <w:tl2br w:val="nil"/>
              <w:tr2bl w:val="nil"/>
            </w:tcBorders>
            <w:vAlign w:val="center"/>
          </w:tcPr>
          <w:p w14:paraId="09DF5DED">
            <w:pPr>
              <w:pStyle w:val="59"/>
              <w:rPr>
                <w:color w:val="auto"/>
              </w:rPr>
            </w:pPr>
            <w:r>
              <w:rPr>
                <w:color w:val="auto"/>
              </w:rPr>
              <w:t>厂区</w:t>
            </w:r>
            <w:r>
              <w:rPr>
                <w:rFonts w:hint="eastAsia"/>
                <w:color w:val="auto"/>
                <w:lang w:val="en-US" w:eastAsia="zh-CN"/>
              </w:rPr>
              <w:t>外东南侧农田</w:t>
            </w:r>
          </w:p>
        </w:tc>
      </w:tr>
      <w:tr w14:paraId="4EAED2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53" w:type="pct"/>
            <w:vMerge w:val="continue"/>
            <w:tcBorders>
              <w:tl2br w:val="nil"/>
              <w:tr2bl w:val="nil"/>
            </w:tcBorders>
            <w:vAlign w:val="center"/>
          </w:tcPr>
          <w:p w14:paraId="259772D2">
            <w:pPr>
              <w:pStyle w:val="59"/>
              <w:rPr>
                <w:color w:val="auto"/>
              </w:rPr>
            </w:pPr>
          </w:p>
        </w:tc>
        <w:tc>
          <w:tcPr>
            <w:tcW w:w="538" w:type="pct"/>
            <w:tcBorders>
              <w:tl2br w:val="nil"/>
              <w:tr2bl w:val="nil"/>
            </w:tcBorders>
            <w:vAlign w:val="center"/>
          </w:tcPr>
          <w:p w14:paraId="0502113F">
            <w:pPr>
              <w:pStyle w:val="59"/>
              <w:rPr>
                <w:color w:val="auto"/>
              </w:rPr>
            </w:pPr>
            <w:r>
              <w:rPr>
                <w:rFonts w:hint="eastAsia"/>
                <w:color w:val="auto"/>
              </w:rPr>
              <w:t>9#</w:t>
            </w:r>
          </w:p>
        </w:tc>
        <w:tc>
          <w:tcPr>
            <w:tcW w:w="1093" w:type="pct"/>
            <w:tcBorders>
              <w:tl2br w:val="nil"/>
              <w:tr2bl w:val="nil"/>
            </w:tcBorders>
            <w:vAlign w:val="center"/>
          </w:tcPr>
          <w:p w14:paraId="60E57A40">
            <w:pPr>
              <w:pStyle w:val="59"/>
              <w:rPr>
                <w:color w:val="auto"/>
              </w:rPr>
            </w:pPr>
            <w:r>
              <w:rPr>
                <w:color w:val="auto"/>
              </w:rPr>
              <w:t>0~0.2m</w:t>
            </w:r>
          </w:p>
        </w:tc>
        <w:tc>
          <w:tcPr>
            <w:tcW w:w="546" w:type="pct"/>
            <w:tcBorders>
              <w:tl2br w:val="nil"/>
              <w:tr2bl w:val="nil"/>
            </w:tcBorders>
            <w:vAlign w:val="center"/>
          </w:tcPr>
          <w:p w14:paraId="75BB51D6">
            <w:pPr>
              <w:pStyle w:val="59"/>
              <w:rPr>
                <w:color w:val="auto"/>
              </w:rPr>
            </w:pPr>
            <w:r>
              <w:rPr>
                <w:rFonts w:hint="eastAsia"/>
                <w:color w:val="auto"/>
              </w:rPr>
              <w:t>表层样</w:t>
            </w:r>
          </w:p>
        </w:tc>
        <w:tc>
          <w:tcPr>
            <w:tcW w:w="1563" w:type="pct"/>
            <w:tcBorders>
              <w:tl2br w:val="nil"/>
              <w:tr2bl w:val="nil"/>
            </w:tcBorders>
            <w:vAlign w:val="center"/>
          </w:tcPr>
          <w:p w14:paraId="3804116A">
            <w:pPr>
              <w:pStyle w:val="59"/>
              <w:rPr>
                <w:color w:val="FF0000"/>
              </w:rPr>
            </w:pPr>
            <w:r>
              <w:rPr>
                <w:rFonts w:hint="eastAsia"/>
                <w:color w:val="auto"/>
                <w:lang w:val="en-US" w:eastAsia="zh-CN"/>
              </w:rPr>
              <w:t>测45项及</w:t>
            </w:r>
            <w:r>
              <w:rPr>
                <w:rFonts w:ascii="Times New Roman" w:hAnsi="Times New Roman" w:cs="Times New Roman"/>
                <w:sz w:val="21"/>
                <w:szCs w:val="21"/>
              </w:rPr>
              <w:t>石油烃(C</w:t>
            </w:r>
            <w:r>
              <w:rPr>
                <w:rFonts w:ascii="Times New Roman" w:hAnsi="Times New Roman" w:cs="Times New Roman"/>
                <w:sz w:val="21"/>
                <w:szCs w:val="21"/>
                <w:vertAlign w:val="subscript"/>
              </w:rPr>
              <w:t>10</w:t>
            </w:r>
            <w:r>
              <w:rPr>
                <w:rFonts w:ascii="Times New Roman" w:hAnsi="Times New Roman" w:cs="Times New Roman"/>
                <w:sz w:val="21"/>
                <w:szCs w:val="21"/>
              </w:rPr>
              <w:t>-C</w:t>
            </w:r>
            <w:r>
              <w:rPr>
                <w:rFonts w:ascii="Times New Roman" w:hAnsi="Times New Roman" w:cs="Times New Roman"/>
                <w:sz w:val="21"/>
                <w:szCs w:val="21"/>
                <w:vertAlign w:val="subscript"/>
              </w:rPr>
              <w:t>40</w:t>
            </w:r>
            <w:r>
              <w:rPr>
                <w:rFonts w:ascii="Times New Roman" w:hAnsi="Times New Roman" w:cs="Times New Roman"/>
                <w:sz w:val="21"/>
                <w:szCs w:val="21"/>
              </w:rPr>
              <w:t>)</w:t>
            </w:r>
          </w:p>
        </w:tc>
        <w:tc>
          <w:tcPr>
            <w:tcW w:w="906" w:type="pct"/>
            <w:tcBorders>
              <w:tl2br w:val="nil"/>
              <w:tr2bl w:val="nil"/>
            </w:tcBorders>
            <w:vAlign w:val="center"/>
          </w:tcPr>
          <w:p w14:paraId="10B6A48D">
            <w:pPr>
              <w:pStyle w:val="59"/>
              <w:rPr>
                <w:color w:val="auto"/>
              </w:rPr>
            </w:pPr>
            <w:r>
              <w:rPr>
                <w:rFonts w:eastAsia="宋体"/>
                <w:b w:val="0"/>
                <w:bCs w:val="0"/>
                <w:iCs/>
                <w:color w:val="auto"/>
                <w:sz w:val="21"/>
                <w:szCs w:val="21"/>
              </w:rPr>
              <w:t>厂区</w:t>
            </w:r>
            <w:r>
              <w:rPr>
                <w:rFonts w:hint="eastAsia"/>
                <w:b w:val="0"/>
                <w:bCs w:val="0"/>
                <w:iCs/>
                <w:color w:val="auto"/>
                <w:sz w:val="21"/>
                <w:szCs w:val="21"/>
                <w:lang w:val="en-US" w:eastAsia="zh-CN"/>
              </w:rPr>
              <w:t>外东南侧张达屯</w:t>
            </w:r>
          </w:p>
        </w:tc>
      </w:tr>
      <w:tr w14:paraId="760817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53" w:type="pct"/>
            <w:vMerge w:val="continue"/>
            <w:tcBorders>
              <w:tl2br w:val="nil"/>
              <w:tr2bl w:val="nil"/>
            </w:tcBorders>
            <w:vAlign w:val="center"/>
          </w:tcPr>
          <w:p w14:paraId="645E2456">
            <w:pPr>
              <w:pStyle w:val="59"/>
              <w:rPr>
                <w:color w:val="auto"/>
              </w:rPr>
            </w:pPr>
          </w:p>
        </w:tc>
        <w:tc>
          <w:tcPr>
            <w:tcW w:w="538" w:type="pct"/>
            <w:tcBorders>
              <w:tl2br w:val="nil"/>
              <w:tr2bl w:val="nil"/>
            </w:tcBorders>
            <w:vAlign w:val="center"/>
          </w:tcPr>
          <w:p w14:paraId="04BC1687">
            <w:pPr>
              <w:pStyle w:val="59"/>
              <w:rPr>
                <w:color w:val="auto"/>
              </w:rPr>
            </w:pPr>
            <w:r>
              <w:rPr>
                <w:rFonts w:hint="eastAsia"/>
                <w:color w:val="auto"/>
              </w:rPr>
              <w:t>10#</w:t>
            </w:r>
          </w:p>
        </w:tc>
        <w:tc>
          <w:tcPr>
            <w:tcW w:w="1093" w:type="pct"/>
            <w:tcBorders>
              <w:tl2br w:val="nil"/>
              <w:tr2bl w:val="nil"/>
            </w:tcBorders>
            <w:vAlign w:val="center"/>
          </w:tcPr>
          <w:p w14:paraId="0F7BD0C2">
            <w:pPr>
              <w:pStyle w:val="59"/>
              <w:rPr>
                <w:color w:val="auto"/>
              </w:rPr>
            </w:pPr>
            <w:r>
              <w:rPr>
                <w:color w:val="auto"/>
              </w:rPr>
              <w:t>0~0.2m</w:t>
            </w:r>
          </w:p>
        </w:tc>
        <w:tc>
          <w:tcPr>
            <w:tcW w:w="546" w:type="pct"/>
            <w:tcBorders>
              <w:tl2br w:val="nil"/>
              <w:tr2bl w:val="nil"/>
            </w:tcBorders>
            <w:vAlign w:val="center"/>
          </w:tcPr>
          <w:p w14:paraId="0F0DB1B5">
            <w:pPr>
              <w:pStyle w:val="59"/>
              <w:rPr>
                <w:color w:val="auto"/>
              </w:rPr>
            </w:pPr>
            <w:r>
              <w:rPr>
                <w:rFonts w:hint="eastAsia"/>
                <w:color w:val="auto"/>
              </w:rPr>
              <w:t>表层样</w:t>
            </w:r>
          </w:p>
        </w:tc>
        <w:tc>
          <w:tcPr>
            <w:tcW w:w="1563" w:type="pct"/>
            <w:tcBorders>
              <w:tl2br w:val="nil"/>
              <w:tr2bl w:val="nil"/>
            </w:tcBorders>
            <w:vAlign w:val="center"/>
          </w:tcPr>
          <w:p w14:paraId="3DBF4564">
            <w:pPr>
              <w:pStyle w:val="59"/>
              <w:rPr>
                <w:color w:val="FF0000"/>
              </w:rPr>
            </w:pPr>
            <w:r>
              <w:rPr>
                <w:rFonts w:hint="eastAsia" w:ascii="Times New Roman"/>
                <w:b w:val="0"/>
                <w:bCs w:val="0"/>
                <w:color w:val="auto"/>
                <w:sz w:val="21"/>
                <w:szCs w:val="21"/>
                <w:lang w:val="en-US" w:eastAsia="zh-CN"/>
              </w:rPr>
              <w:t>p</w:t>
            </w:r>
            <w:r>
              <w:rPr>
                <w:rFonts w:ascii="Times New Roman"/>
                <w:b w:val="0"/>
                <w:bCs w:val="0"/>
                <w:color w:val="auto"/>
                <w:sz w:val="21"/>
                <w:szCs w:val="21"/>
              </w:rPr>
              <w:t>H</w:t>
            </w:r>
            <w:r>
              <w:rPr>
                <w:rFonts w:ascii="Times New Roman" w:eastAsia="宋体"/>
                <w:b w:val="0"/>
                <w:bCs w:val="0"/>
                <w:color w:val="auto"/>
                <w:sz w:val="21"/>
                <w:szCs w:val="21"/>
              </w:rPr>
              <w:t>、镉、汞、砷、铅、铬、铜、镍、锌</w:t>
            </w:r>
            <w:r>
              <w:rPr>
                <w:rFonts w:hint="eastAsia"/>
                <w:b w:val="0"/>
                <w:bCs w:val="0"/>
                <w:color w:val="auto"/>
                <w:sz w:val="21"/>
                <w:szCs w:val="21"/>
                <w:lang w:eastAsia="zh-CN"/>
              </w:rPr>
              <w:t>、</w:t>
            </w:r>
            <w:r>
              <w:rPr>
                <w:rFonts w:ascii="Times New Roman" w:hAnsi="Times New Roman" w:cs="Times New Roman"/>
                <w:sz w:val="21"/>
                <w:szCs w:val="21"/>
              </w:rPr>
              <w:t>石油烃(C</w:t>
            </w:r>
            <w:r>
              <w:rPr>
                <w:rFonts w:ascii="Times New Roman" w:hAnsi="Times New Roman" w:cs="Times New Roman"/>
                <w:sz w:val="21"/>
                <w:szCs w:val="21"/>
                <w:vertAlign w:val="subscript"/>
              </w:rPr>
              <w:t>10</w:t>
            </w:r>
            <w:r>
              <w:rPr>
                <w:rFonts w:ascii="Times New Roman" w:hAnsi="Times New Roman" w:cs="Times New Roman"/>
                <w:sz w:val="21"/>
                <w:szCs w:val="21"/>
              </w:rPr>
              <w:t>-C</w:t>
            </w:r>
            <w:r>
              <w:rPr>
                <w:rFonts w:ascii="Times New Roman" w:hAnsi="Times New Roman" w:cs="Times New Roman"/>
                <w:sz w:val="21"/>
                <w:szCs w:val="21"/>
                <w:vertAlign w:val="subscript"/>
              </w:rPr>
              <w:t>40</w:t>
            </w:r>
            <w:r>
              <w:rPr>
                <w:rFonts w:ascii="Times New Roman" w:hAnsi="Times New Roman" w:cs="Times New Roman"/>
                <w:sz w:val="21"/>
                <w:szCs w:val="21"/>
              </w:rPr>
              <w:t>)</w:t>
            </w:r>
          </w:p>
        </w:tc>
        <w:tc>
          <w:tcPr>
            <w:tcW w:w="906" w:type="pct"/>
            <w:tcBorders>
              <w:tl2br w:val="nil"/>
              <w:tr2bl w:val="nil"/>
            </w:tcBorders>
            <w:vAlign w:val="center"/>
          </w:tcPr>
          <w:p w14:paraId="2F8DDEA5">
            <w:pPr>
              <w:pStyle w:val="59"/>
              <w:rPr>
                <w:color w:val="auto"/>
              </w:rPr>
            </w:pPr>
            <w:r>
              <w:rPr>
                <w:rFonts w:hint="eastAsia"/>
                <w:b w:val="0"/>
                <w:bCs w:val="0"/>
                <w:color w:val="auto"/>
                <w:sz w:val="21"/>
                <w:szCs w:val="21"/>
                <w:lang w:val="en-US" w:eastAsia="zh-CN"/>
              </w:rPr>
              <w:t>厂区外西北侧农田</w:t>
            </w:r>
          </w:p>
        </w:tc>
      </w:tr>
      <w:tr w14:paraId="408371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53" w:type="pct"/>
            <w:vMerge w:val="continue"/>
            <w:tcBorders>
              <w:tl2br w:val="nil"/>
              <w:tr2bl w:val="nil"/>
            </w:tcBorders>
            <w:vAlign w:val="center"/>
          </w:tcPr>
          <w:p w14:paraId="4B243542">
            <w:pPr>
              <w:pStyle w:val="59"/>
              <w:rPr>
                <w:color w:val="auto"/>
              </w:rPr>
            </w:pPr>
          </w:p>
        </w:tc>
        <w:tc>
          <w:tcPr>
            <w:tcW w:w="538" w:type="pct"/>
            <w:tcBorders>
              <w:tl2br w:val="nil"/>
              <w:tr2bl w:val="nil"/>
            </w:tcBorders>
            <w:vAlign w:val="center"/>
          </w:tcPr>
          <w:p w14:paraId="713D51C5">
            <w:pPr>
              <w:pStyle w:val="59"/>
              <w:rPr>
                <w:color w:val="auto"/>
              </w:rPr>
            </w:pPr>
            <w:r>
              <w:rPr>
                <w:rFonts w:hint="eastAsia"/>
                <w:color w:val="auto"/>
              </w:rPr>
              <w:t>11#</w:t>
            </w:r>
          </w:p>
        </w:tc>
        <w:tc>
          <w:tcPr>
            <w:tcW w:w="1093" w:type="pct"/>
            <w:tcBorders>
              <w:tl2br w:val="nil"/>
              <w:tr2bl w:val="nil"/>
            </w:tcBorders>
            <w:vAlign w:val="center"/>
          </w:tcPr>
          <w:p w14:paraId="1E36FC34">
            <w:pPr>
              <w:pStyle w:val="59"/>
              <w:rPr>
                <w:color w:val="auto"/>
              </w:rPr>
            </w:pPr>
            <w:r>
              <w:rPr>
                <w:color w:val="auto"/>
              </w:rPr>
              <w:t>0~0.2m</w:t>
            </w:r>
          </w:p>
        </w:tc>
        <w:tc>
          <w:tcPr>
            <w:tcW w:w="546" w:type="pct"/>
            <w:tcBorders>
              <w:tl2br w:val="nil"/>
              <w:tr2bl w:val="nil"/>
            </w:tcBorders>
            <w:vAlign w:val="center"/>
          </w:tcPr>
          <w:p w14:paraId="1E1ACEE3">
            <w:pPr>
              <w:pStyle w:val="59"/>
              <w:rPr>
                <w:color w:val="auto"/>
              </w:rPr>
            </w:pPr>
            <w:r>
              <w:rPr>
                <w:rFonts w:hint="eastAsia"/>
                <w:color w:val="auto"/>
              </w:rPr>
              <w:t>表层样</w:t>
            </w:r>
          </w:p>
        </w:tc>
        <w:tc>
          <w:tcPr>
            <w:tcW w:w="1563" w:type="pct"/>
            <w:tcBorders>
              <w:tl2br w:val="nil"/>
              <w:tr2bl w:val="nil"/>
            </w:tcBorders>
            <w:vAlign w:val="center"/>
          </w:tcPr>
          <w:p w14:paraId="4CE07B65">
            <w:pPr>
              <w:pStyle w:val="59"/>
              <w:rPr>
                <w:color w:val="FF0000"/>
              </w:rPr>
            </w:pPr>
            <w:r>
              <w:rPr>
                <w:rFonts w:hint="eastAsia" w:ascii="Times New Roman"/>
                <w:b w:val="0"/>
                <w:bCs w:val="0"/>
                <w:color w:val="auto"/>
                <w:sz w:val="21"/>
                <w:szCs w:val="21"/>
                <w:lang w:val="en-US" w:eastAsia="zh-CN"/>
              </w:rPr>
              <w:t>p</w:t>
            </w:r>
            <w:r>
              <w:rPr>
                <w:rFonts w:ascii="Times New Roman"/>
                <w:b w:val="0"/>
                <w:bCs w:val="0"/>
                <w:color w:val="auto"/>
                <w:sz w:val="21"/>
                <w:szCs w:val="21"/>
              </w:rPr>
              <w:t>H</w:t>
            </w:r>
            <w:r>
              <w:rPr>
                <w:rFonts w:ascii="Times New Roman" w:eastAsia="宋体"/>
                <w:b w:val="0"/>
                <w:bCs w:val="0"/>
                <w:color w:val="auto"/>
                <w:sz w:val="21"/>
                <w:szCs w:val="21"/>
              </w:rPr>
              <w:t>、镉、汞、砷、铅、铬、铜、镍、锌</w:t>
            </w:r>
            <w:r>
              <w:rPr>
                <w:rFonts w:hint="eastAsia"/>
                <w:b w:val="0"/>
                <w:bCs w:val="0"/>
                <w:color w:val="auto"/>
                <w:sz w:val="21"/>
                <w:szCs w:val="21"/>
                <w:lang w:eastAsia="zh-CN"/>
              </w:rPr>
              <w:t>、</w:t>
            </w:r>
            <w:r>
              <w:rPr>
                <w:rFonts w:ascii="Times New Roman" w:hAnsi="Times New Roman" w:cs="Times New Roman"/>
                <w:sz w:val="21"/>
                <w:szCs w:val="21"/>
              </w:rPr>
              <w:t>石油烃(C</w:t>
            </w:r>
            <w:r>
              <w:rPr>
                <w:rFonts w:ascii="Times New Roman" w:hAnsi="Times New Roman" w:cs="Times New Roman"/>
                <w:sz w:val="21"/>
                <w:szCs w:val="21"/>
                <w:vertAlign w:val="subscript"/>
              </w:rPr>
              <w:t>10</w:t>
            </w:r>
            <w:r>
              <w:rPr>
                <w:rFonts w:ascii="Times New Roman" w:hAnsi="Times New Roman" w:cs="Times New Roman"/>
                <w:sz w:val="21"/>
                <w:szCs w:val="21"/>
              </w:rPr>
              <w:t>-C</w:t>
            </w:r>
            <w:r>
              <w:rPr>
                <w:rFonts w:ascii="Times New Roman" w:hAnsi="Times New Roman" w:cs="Times New Roman"/>
                <w:sz w:val="21"/>
                <w:szCs w:val="21"/>
                <w:vertAlign w:val="subscript"/>
              </w:rPr>
              <w:t>40</w:t>
            </w:r>
            <w:r>
              <w:rPr>
                <w:rFonts w:ascii="Times New Roman" w:hAnsi="Times New Roman" w:cs="Times New Roman"/>
                <w:sz w:val="21"/>
                <w:szCs w:val="21"/>
              </w:rPr>
              <w:t>)</w:t>
            </w:r>
          </w:p>
        </w:tc>
        <w:tc>
          <w:tcPr>
            <w:tcW w:w="906" w:type="pct"/>
            <w:tcBorders>
              <w:tl2br w:val="nil"/>
              <w:tr2bl w:val="nil"/>
            </w:tcBorders>
            <w:vAlign w:val="center"/>
          </w:tcPr>
          <w:p w14:paraId="0BADDB51">
            <w:pPr>
              <w:pStyle w:val="59"/>
              <w:rPr>
                <w:color w:val="FF0000"/>
              </w:rPr>
            </w:pPr>
            <w:r>
              <w:rPr>
                <w:rFonts w:hint="eastAsia"/>
                <w:b w:val="0"/>
                <w:bCs w:val="0"/>
                <w:color w:val="auto"/>
                <w:sz w:val="21"/>
                <w:szCs w:val="21"/>
                <w:lang w:val="en-US" w:eastAsia="zh-CN"/>
              </w:rPr>
              <w:t>厂区外西南侧农田</w:t>
            </w:r>
          </w:p>
        </w:tc>
      </w:tr>
      <w:tr w14:paraId="385CC7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000" w:type="pct"/>
            <w:gridSpan w:val="6"/>
            <w:tcBorders>
              <w:tl2br w:val="nil"/>
              <w:tr2bl w:val="nil"/>
            </w:tcBorders>
            <w:vAlign w:val="center"/>
          </w:tcPr>
          <w:p w14:paraId="08DE424E">
            <w:pPr>
              <w:pStyle w:val="59"/>
              <w:rPr>
                <w:rFonts w:hint="eastAsia"/>
                <w:color w:val="auto"/>
              </w:rPr>
            </w:pPr>
            <w:r>
              <w:rPr>
                <w:rFonts w:hint="eastAsia"/>
                <w:color w:val="auto"/>
              </w:rPr>
              <w:t>备注45项包括：砷、镉、铬、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w:t>
            </w:r>
          </w:p>
          <w:p w14:paraId="484C2047">
            <w:pPr>
              <w:pStyle w:val="59"/>
              <w:jc w:val="both"/>
              <w:rPr>
                <w:rFonts w:hint="default" w:eastAsia="宋体"/>
                <w:color w:val="auto"/>
                <w:lang w:val="en-US" w:eastAsia="zh-CN"/>
              </w:rPr>
            </w:pPr>
            <w:r>
              <w:rPr>
                <w:rFonts w:hint="eastAsia"/>
                <w:color w:val="auto"/>
                <w:lang w:val="en-US" w:eastAsia="zh-CN"/>
              </w:rPr>
              <w:t>由于现有厂区内地面基本都为混凝土硬化地面，因此厂区内布点位置选择性较少，布点比较集中。</w:t>
            </w:r>
          </w:p>
        </w:tc>
      </w:tr>
    </w:tbl>
    <w:p w14:paraId="0F279101">
      <w:pPr>
        <w:pStyle w:val="18"/>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cs="Times New Roman"/>
          <w:color w:val="auto"/>
          <w:highlight w:val="none"/>
          <w:lang w:val="en-US" w:eastAsia="zh-CN"/>
        </w:rPr>
      </w:pPr>
      <w:r>
        <w:rPr>
          <w:color w:val="auto"/>
        </w:rPr>
        <w:drawing>
          <wp:inline distT="0" distB="0" distL="114300" distR="114300">
            <wp:extent cx="4811395" cy="4032250"/>
            <wp:effectExtent l="0" t="0" r="8255" b="6350"/>
            <wp:docPr id="2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7"/>
                    <pic:cNvPicPr>
                      <a:picLocks noChangeAspect="1"/>
                    </pic:cNvPicPr>
                  </pic:nvPicPr>
                  <pic:blipFill>
                    <a:blip r:embed="rId94"/>
                    <a:stretch>
                      <a:fillRect/>
                    </a:stretch>
                  </pic:blipFill>
                  <pic:spPr>
                    <a:xfrm>
                      <a:off x="0" y="0"/>
                      <a:ext cx="4811395" cy="4032250"/>
                    </a:xfrm>
                    <a:prstGeom prst="rect">
                      <a:avLst/>
                    </a:prstGeom>
                    <a:noFill/>
                    <a:ln>
                      <a:noFill/>
                    </a:ln>
                  </pic:spPr>
                </pic:pic>
              </a:graphicData>
            </a:graphic>
          </wp:inline>
        </w:drawing>
      </w:r>
    </w:p>
    <w:p w14:paraId="6099BD00">
      <w:pPr>
        <w:pStyle w:val="32"/>
        <w:jc w:val="center"/>
        <w:rPr>
          <w:rFonts w:hint="default" w:ascii="Times New Roman" w:hAnsi="Times New Roman" w:eastAsia="Arial" w:cs="Times New Roman"/>
          <w:b/>
          <w:bCs/>
          <w:snapToGrid w:val="0"/>
          <w:color w:val="auto"/>
          <w:kern w:val="0"/>
          <w:sz w:val="24"/>
          <w:szCs w:val="24"/>
          <w:lang w:val="en-US" w:eastAsia="zh-CN" w:bidi="ar-SA"/>
        </w:rPr>
      </w:pPr>
      <w:r>
        <w:rPr>
          <w:rFonts w:hint="default" w:ascii="Times New Roman" w:hAnsi="Times New Roman" w:eastAsia="Arial" w:cs="Times New Roman"/>
          <w:b/>
          <w:bCs/>
          <w:snapToGrid w:val="0"/>
          <w:color w:val="auto"/>
          <w:kern w:val="0"/>
          <w:sz w:val="24"/>
          <w:szCs w:val="24"/>
          <w:lang w:val="en-US" w:eastAsia="zh-CN" w:bidi="ar-SA"/>
        </w:rPr>
        <w:t>图4</w:t>
      </w:r>
      <w:r>
        <w:rPr>
          <w:rFonts w:hint="eastAsia" w:ascii="Times New Roman" w:hAnsi="Times New Roman" w:eastAsia="Arial" w:cs="Times New Roman"/>
          <w:b/>
          <w:bCs/>
          <w:snapToGrid w:val="0"/>
          <w:color w:val="auto"/>
          <w:kern w:val="0"/>
          <w:sz w:val="24"/>
          <w:szCs w:val="24"/>
          <w:lang w:val="en-US" w:eastAsia="zh-CN" w:bidi="ar-SA"/>
        </w:rPr>
        <w:t>.</w:t>
      </w:r>
      <w:r>
        <w:rPr>
          <w:rFonts w:hint="default" w:ascii="Times New Roman" w:hAnsi="Times New Roman" w:eastAsia="Arial" w:cs="Times New Roman"/>
          <w:b/>
          <w:bCs/>
          <w:snapToGrid w:val="0"/>
          <w:color w:val="auto"/>
          <w:kern w:val="0"/>
          <w:sz w:val="24"/>
          <w:szCs w:val="24"/>
          <w:lang w:val="en-US" w:eastAsia="zh-CN" w:bidi="ar-SA"/>
        </w:rPr>
        <w:t>2-</w:t>
      </w:r>
      <w:r>
        <w:rPr>
          <w:rFonts w:hint="eastAsia" w:ascii="Times New Roman" w:hAnsi="Times New Roman" w:eastAsia="Arial" w:cs="Times New Roman"/>
          <w:b/>
          <w:bCs/>
          <w:snapToGrid w:val="0"/>
          <w:color w:val="auto"/>
          <w:kern w:val="0"/>
          <w:sz w:val="24"/>
          <w:szCs w:val="24"/>
          <w:lang w:val="en-US" w:eastAsia="zh-CN" w:bidi="ar-SA"/>
        </w:rPr>
        <w:t>5</w:t>
      </w:r>
      <w:r>
        <w:rPr>
          <w:rFonts w:hint="default" w:ascii="Times New Roman" w:hAnsi="Times New Roman" w:eastAsia="Arial" w:cs="Times New Roman"/>
          <w:b/>
          <w:bCs/>
          <w:snapToGrid w:val="0"/>
          <w:color w:val="auto"/>
          <w:kern w:val="0"/>
          <w:sz w:val="24"/>
          <w:szCs w:val="24"/>
          <w:lang w:val="en-US" w:eastAsia="zh-CN" w:bidi="ar-SA"/>
        </w:rPr>
        <w:t xml:space="preserve">  本项目</w:t>
      </w:r>
      <w:r>
        <w:rPr>
          <w:rFonts w:hint="eastAsia" w:ascii="Times New Roman" w:hAnsi="Times New Roman" w:eastAsia="Arial" w:cs="Times New Roman"/>
          <w:b/>
          <w:bCs/>
          <w:snapToGrid w:val="0"/>
          <w:color w:val="auto"/>
          <w:kern w:val="0"/>
          <w:sz w:val="24"/>
          <w:szCs w:val="24"/>
          <w:lang w:val="en-US" w:eastAsia="zh-CN" w:bidi="ar-SA"/>
        </w:rPr>
        <w:t>厂区内</w:t>
      </w:r>
      <w:r>
        <w:rPr>
          <w:rFonts w:hint="default" w:ascii="Times New Roman" w:hAnsi="Times New Roman" w:eastAsia="Arial" w:cs="Times New Roman"/>
          <w:b/>
          <w:bCs/>
          <w:snapToGrid w:val="0"/>
          <w:color w:val="auto"/>
          <w:kern w:val="0"/>
          <w:sz w:val="24"/>
          <w:szCs w:val="24"/>
          <w:lang w:val="en-US" w:eastAsia="zh-CN" w:bidi="ar-SA"/>
        </w:rPr>
        <w:t>土壤监测布点图</w:t>
      </w:r>
    </w:p>
    <w:p w14:paraId="66D6CC27">
      <w:pPr>
        <w:pStyle w:val="32"/>
        <w:jc w:val="center"/>
        <w:rPr>
          <w:rFonts w:hint="default" w:ascii="Times New Roman" w:hAnsi="Times New Roman" w:eastAsia="Arial" w:cs="Times New Roman"/>
          <w:b/>
          <w:bCs/>
          <w:snapToGrid w:val="0"/>
          <w:color w:val="auto"/>
          <w:kern w:val="0"/>
          <w:sz w:val="24"/>
          <w:szCs w:val="24"/>
          <w:lang w:val="en-US" w:eastAsia="zh-CN" w:bidi="ar-SA"/>
        </w:rPr>
      </w:pPr>
      <w:r>
        <w:rPr>
          <w:rFonts w:hint="default" w:ascii="Times New Roman" w:hAnsi="Times New Roman" w:eastAsia="Arial" w:cs="Times New Roman"/>
          <w:b/>
          <w:bCs/>
          <w:snapToGrid w:val="0"/>
          <w:color w:val="auto"/>
          <w:kern w:val="0"/>
          <w:sz w:val="24"/>
          <w:szCs w:val="24"/>
          <w:lang w:val="en-US" w:eastAsia="zh-CN" w:bidi="ar-SA"/>
        </w:rPr>
        <w:drawing>
          <wp:inline distT="0" distB="0" distL="114300" distR="114300">
            <wp:extent cx="4902200" cy="3566160"/>
            <wp:effectExtent l="0" t="0" r="12700" b="1524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95"/>
                    <a:stretch>
                      <a:fillRect/>
                    </a:stretch>
                  </pic:blipFill>
                  <pic:spPr>
                    <a:xfrm>
                      <a:off x="0" y="0"/>
                      <a:ext cx="4902200" cy="3566160"/>
                    </a:xfrm>
                    <a:prstGeom prst="rect">
                      <a:avLst/>
                    </a:prstGeom>
                    <a:noFill/>
                    <a:ln>
                      <a:noFill/>
                    </a:ln>
                  </pic:spPr>
                </pic:pic>
              </a:graphicData>
            </a:graphic>
          </wp:inline>
        </w:drawing>
      </w:r>
    </w:p>
    <w:p w14:paraId="08FC6D04">
      <w:pPr>
        <w:pStyle w:val="32"/>
        <w:jc w:val="center"/>
        <w:rPr>
          <w:rFonts w:hint="default" w:ascii="Times New Roman" w:hAnsi="Times New Roman" w:eastAsia="Arial" w:cs="Times New Roman"/>
          <w:b/>
          <w:bCs/>
          <w:snapToGrid w:val="0"/>
          <w:color w:val="auto"/>
          <w:kern w:val="0"/>
          <w:sz w:val="24"/>
          <w:szCs w:val="24"/>
          <w:lang w:val="en-US" w:eastAsia="zh-CN" w:bidi="ar-SA"/>
        </w:rPr>
      </w:pPr>
      <w:r>
        <w:rPr>
          <w:rFonts w:hint="default" w:ascii="Times New Roman" w:hAnsi="Times New Roman" w:eastAsia="Arial" w:cs="Times New Roman"/>
          <w:b/>
          <w:bCs/>
          <w:snapToGrid w:val="0"/>
          <w:color w:val="auto"/>
          <w:kern w:val="0"/>
          <w:sz w:val="24"/>
          <w:szCs w:val="24"/>
          <w:lang w:val="en-US" w:eastAsia="zh-CN" w:bidi="ar-SA"/>
        </w:rPr>
        <w:t>图4</w:t>
      </w:r>
      <w:r>
        <w:rPr>
          <w:rFonts w:hint="eastAsia" w:ascii="Times New Roman" w:hAnsi="Times New Roman" w:eastAsia="Arial" w:cs="Times New Roman"/>
          <w:b/>
          <w:bCs/>
          <w:snapToGrid w:val="0"/>
          <w:color w:val="auto"/>
          <w:kern w:val="0"/>
          <w:sz w:val="24"/>
          <w:szCs w:val="24"/>
          <w:lang w:val="en-US" w:eastAsia="zh-CN" w:bidi="ar-SA"/>
        </w:rPr>
        <w:t>.</w:t>
      </w:r>
      <w:r>
        <w:rPr>
          <w:rFonts w:hint="default" w:ascii="Times New Roman" w:hAnsi="Times New Roman" w:eastAsia="Arial" w:cs="Times New Roman"/>
          <w:b/>
          <w:bCs/>
          <w:snapToGrid w:val="0"/>
          <w:color w:val="auto"/>
          <w:kern w:val="0"/>
          <w:sz w:val="24"/>
          <w:szCs w:val="24"/>
          <w:lang w:val="en-US" w:eastAsia="zh-CN" w:bidi="ar-SA"/>
        </w:rPr>
        <w:t>2-</w:t>
      </w:r>
      <w:r>
        <w:rPr>
          <w:rFonts w:hint="eastAsia" w:ascii="Times New Roman" w:hAnsi="Times New Roman" w:eastAsia="Arial" w:cs="Times New Roman"/>
          <w:b/>
          <w:bCs/>
          <w:snapToGrid w:val="0"/>
          <w:color w:val="auto"/>
          <w:kern w:val="0"/>
          <w:sz w:val="24"/>
          <w:szCs w:val="24"/>
          <w:lang w:val="en-US" w:eastAsia="zh-CN" w:bidi="ar-SA"/>
        </w:rPr>
        <w:t>6</w:t>
      </w:r>
      <w:r>
        <w:rPr>
          <w:rFonts w:hint="default" w:ascii="Times New Roman" w:hAnsi="Times New Roman" w:eastAsia="Arial" w:cs="Times New Roman"/>
          <w:b/>
          <w:bCs/>
          <w:snapToGrid w:val="0"/>
          <w:color w:val="auto"/>
          <w:kern w:val="0"/>
          <w:sz w:val="24"/>
          <w:szCs w:val="24"/>
          <w:lang w:val="en-US" w:eastAsia="zh-CN" w:bidi="ar-SA"/>
        </w:rPr>
        <w:t xml:space="preserve">  本项目</w:t>
      </w:r>
      <w:r>
        <w:rPr>
          <w:rFonts w:hint="eastAsia" w:ascii="Times New Roman" w:hAnsi="Times New Roman" w:eastAsia="Arial" w:cs="Times New Roman"/>
          <w:b/>
          <w:bCs/>
          <w:snapToGrid w:val="0"/>
          <w:color w:val="auto"/>
          <w:kern w:val="0"/>
          <w:sz w:val="24"/>
          <w:szCs w:val="24"/>
          <w:lang w:val="en-US" w:eastAsia="zh-CN" w:bidi="ar-SA"/>
        </w:rPr>
        <w:t>厂区外</w:t>
      </w:r>
      <w:r>
        <w:rPr>
          <w:rFonts w:hint="default" w:ascii="Times New Roman" w:hAnsi="Times New Roman" w:eastAsia="Arial" w:cs="Times New Roman"/>
          <w:b/>
          <w:bCs/>
          <w:snapToGrid w:val="0"/>
          <w:color w:val="auto"/>
          <w:kern w:val="0"/>
          <w:sz w:val="24"/>
          <w:szCs w:val="24"/>
          <w:lang w:val="en-US" w:eastAsia="zh-CN" w:bidi="ar-SA"/>
        </w:rPr>
        <w:t>土壤监测布点图</w:t>
      </w:r>
    </w:p>
    <w:p w14:paraId="07A6FCA8">
      <w:pPr>
        <w:pStyle w:val="12"/>
        <w:keepNext w:val="0"/>
        <w:keepLines w:val="0"/>
        <w:pageBreakBefore w:val="0"/>
        <w:widowControl/>
        <w:kinsoku w:val="0"/>
        <w:wordWrap/>
        <w:overflowPunct/>
        <w:topLinePunct w:val="0"/>
        <w:autoSpaceDE w:val="0"/>
        <w:autoSpaceDN w:val="0"/>
        <w:bidi w:val="0"/>
        <w:adjustRightInd w:val="0"/>
        <w:snapToGrid w:val="0"/>
        <w:spacing w:after="0" w:line="360" w:lineRule="auto"/>
        <w:ind w:left="0" w:leftChars="0" w:firstLine="480" w:firstLineChars="200"/>
        <w:textAlignment w:val="baseline"/>
        <w:rPr>
          <w:rFonts w:hint="default" w:ascii="Times New Roman" w:hAnsi="Times New Roman" w:eastAsia="Arial" w:cs="Times New Roman"/>
          <w:snapToGrid w:val="0"/>
          <w:color w:val="auto"/>
          <w:spacing w:val="0"/>
          <w:kern w:val="0"/>
          <w:sz w:val="24"/>
          <w:szCs w:val="22"/>
          <w:highlight w:val="none"/>
          <w:lang w:val="en-US" w:eastAsia="zh-CN" w:bidi="ar-SA"/>
        </w:rPr>
      </w:pPr>
      <w:r>
        <w:rPr>
          <w:rFonts w:hint="eastAsia" w:ascii="Times New Roman" w:hAnsi="Times New Roman" w:cs="Times New Roman"/>
          <w:snapToGrid w:val="0"/>
          <w:color w:val="auto"/>
          <w:spacing w:val="0"/>
          <w:kern w:val="0"/>
          <w:sz w:val="24"/>
          <w:szCs w:val="22"/>
          <w:highlight w:val="none"/>
          <w:lang w:val="en-US" w:eastAsia="zh-CN" w:bidi="ar-SA"/>
        </w:rPr>
        <w:t>2、</w:t>
      </w:r>
      <w:r>
        <w:rPr>
          <w:rFonts w:hint="default" w:ascii="Times New Roman" w:hAnsi="Times New Roman" w:eastAsia="Arial" w:cs="Times New Roman"/>
          <w:snapToGrid w:val="0"/>
          <w:color w:val="auto"/>
          <w:spacing w:val="0"/>
          <w:kern w:val="0"/>
          <w:sz w:val="24"/>
          <w:szCs w:val="22"/>
          <w:highlight w:val="none"/>
          <w:lang w:val="en-US" w:eastAsia="zh-CN" w:bidi="ar-SA"/>
        </w:rPr>
        <w:t>监测时间</w:t>
      </w:r>
      <w:r>
        <w:rPr>
          <w:rFonts w:hint="eastAsia" w:ascii="Times New Roman" w:hAnsi="Times New Roman" w:eastAsia="Arial" w:cs="Times New Roman"/>
          <w:snapToGrid w:val="0"/>
          <w:color w:val="auto"/>
          <w:spacing w:val="0"/>
          <w:kern w:val="0"/>
          <w:sz w:val="24"/>
          <w:szCs w:val="22"/>
          <w:highlight w:val="none"/>
          <w:lang w:val="en-US" w:eastAsia="zh-CN" w:bidi="ar-SA"/>
        </w:rPr>
        <w:t>和频次</w:t>
      </w:r>
    </w:p>
    <w:p w14:paraId="3E5D6F5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黑体" w:cs="Times New Roman"/>
          <w:b w:val="0"/>
          <w:bCs w:val="0"/>
          <w:color w:val="auto"/>
          <w:sz w:val="24"/>
          <w:szCs w:val="22"/>
          <w:highlight w:val="none"/>
          <w:lang w:val="en-US" w:eastAsia="zh-CN"/>
        </w:rPr>
      </w:pPr>
      <w:r>
        <w:rPr>
          <w:rFonts w:hint="default" w:ascii="Times New Roman" w:hAnsi="Times New Roman" w:eastAsia="宋体" w:cs="Times New Roman"/>
          <w:color w:val="auto"/>
          <w:sz w:val="24"/>
          <w:szCs w:val="24"/>
          <w:highlight w:val="none"/>
          <w:lang w:val="en-US" w:eastAsia="zh-CN"/>
        </w:rPr>
        <w:t>2025.10.31接样，连续监测1天，</w:t>
      </w:r>
      <w:r>
        <w:rPr>
          <w:rFonts w:hint="default" w:ascii="Times New Roman" w:hAnsi="Times New Roman" w:cs="Times New Roman"/>
          <w:color w:val="auto"/>
          <w:spacing w:val="0"/>
          <w:sz w:val="24"/>
          <w:highlight w:val="none"/>
          <w:lang w:val="en-US" w:eastAsia="zh-CN"/>
        </w:rPr>
        <w:t>一天一次。</w:t>
      </w:r>
    </w:p>
    <w:p w14:paraId="61466D81">
      <w:pPr>
        <w:pStyle w:val="12"/>
        <w:keepNext w:val="0"/>
        <w:keepLines w:val="0"/>
        <w:pageBreakBefore w:val="0"/>
        <w:widowControl/>
        <w:kinsoku w:val="0"/>
        <w:wordWrap/>
        <w:overflowPunct/>
        <w:topLinePunct w:val="0"/>
        <w:autoSpaceDE w:val="0"/>
        <w:autoSpaceDN w:val="0"/>
        <w:bidi w:val="0"/>
        <w:adjustRightInd w:val="0"/>
        <w:snapToGrid w:val="0"/>
        <w:spacing w:after="0" w:line="360" w:lineRule="auto"/>
        <w:ind w:left="0" w:leftChars="0" w:firstLine="480" w:firstLineChars="200"/>
        <w:textAlignment w:val="baseline"/>
        <w:rPr>
          <w:rFonts w:hint="default" w:ascii="Times New Roman" w:hAnsi="Times New Roman" w:cs="Times New Roman"/>
          <w:snapToGrid w:val="0"/>
          <w:color w:val="auto"/>
          <w:spacing w:val="0"/>
          <w:kern w:val="0"/>
          <w:sz w:val="24"/>
          <w:szCs w:val="22"/>
          <w:highlight w:val="none"/>
          <w:lang w:val="en-US" w:eastAsia="zh-CN" w:bidi="ar-SA"/>
        </w:rPr>
      </w:pPr>
      <w:r>
        <w:rPr>
          <w:rFonts w:hint="eastAsia" w:ascii="Times New Roman" w:hAnsi="Times New Roman" w:cs="Times New Roman"/>
          <w:snapToGrid w:val="0"/>
          <w:color w:val="auto"/>
          <w:spacing w:val="0"/>
          <w:kern w:val="0"/>
          <w:sz w:val="24"/>
          <w:szCs w:val="22"/>
          <w:highlight w:val="none"/>
          <w:lang w:val="en-US" w:eastAsia="zh-CN" w:bidi="ar-SA"/>
        </w:rPr>
        <w:t>3、监测及分析方法</w:t>
      </w:r>
    </w:p>
    <w:p w14:paraId="7BFBDF8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本项目监测方法见表4.</w:t>
      </w:r>
      <w:r>
        <w:rPr>
          <w:rFonts w:hint="eastAsia" w:ascii="Times New Roman" w:hAnsi="Times New Roman" w:eastAsia="宋体" w:cs="Times New Roman"/>
          <w:color w:val="auto"/>
          <w:sz w:val="24"/>
          <w:szCs w:val="24"/>
          <w:highlight w:val="none"/>
          <w:lang w:val="en-US" w:eastAsia="zh-CN"/>
        </w:rPr>
        <w:t>2-20</w:t>
      </w:r>
      <w:r>
        <w:rPr>
          <w:rFonts w:hint="default" w:ascii="Times New Roman" w:hAnsi="Times New Roman" w:eastAsia="宋体" w:cs="Times New Roman"/>
          <w:color w:val="auto"/>
          <w:sz w:val="24"/>
          <w:szCs w:val="24"/>
          <w:highlight w:val="none"/>
          <w:lang w:val="en-US" w:eastAsia="zh-CN"/>
        </w:rPr>
        <w:t>。</w:t>
      </w:r>
    </w:p>
    <w:p w14:paraId="1F0A94B6">
      <w:pPr>
        <w:pStyle w:val="60"/>
        <w:rPr>
          <w:rFonts w:hint="default" w:ascii="Times New Roman" w:hAnsi="Times New Roman" w:eastAsia="Arial" w:cs="Times New Roman"/>
          <w:b/>
          <w:bCs/>
          <w:snapToGrid w:val="0"/>
          <w:color w:val="auto"/>
          <w:kern w:val="0"/>
          <w:sz w:val="24"/>
          <w:szCs w:val="24"/>
          <w:highlight w:val="none"/>
          <w:lang w:val="en-US" w:eastAsia="zh-CN" w:bidi="ar-SA"/>
        </w:rPr>
      </w:pPr>
      <w:r>
        <w:rPr>
          <w:rFonts w:hint="default" w:ascii="Times New Roman" w:hAnsi="Times New Roman" w:eastAsia="Arial" w:cs="Times New Roman"/>
          <w:b/>
          <w:bCs/>
          <w:snapToGrid w:val="0"/>
          <w:color w:val="auto"/>
          <w:kern w:val="0"/>
          <w:sz w:val="24"/>
          <w:szCs w:val="24"/>
          <w:highlight w:val="none"/>
          <w:lang w:val="en-US" w:eastAsia="zh-CN" w:bidi="ar-SA"/>
        </w:rPr>
        <w:t>表4.</w:t>
      </w:r>
      <w:r>
        <w:rPr>
          <w:rFonts w:hint="eastAsia" w:ascii="Times New Roman" w:hAnsi="Times New Roman" w:eastAsia="Arial" w:cs="Times New Roman"/>
          <w:b/>
          <w:bCs/>
          <w:snapToGrid w:val="0"/>
          <w:color w:val="auto"/>
          <w:kern w:val="0"/>
          <w:sz w:val="24"/>
          <w:szCs w:val="24"/>
          <w:highlight w:val="none"/>
          <w:lang w:val="en-US" w:eastAsia="zh-CN" w:bidi="ar-SA"/>
        </w:rPr>
        <w:t>2-20</w:t>
      </w:r>
      <w:r>
        <w:rPr>
          <w:rFonts w:hint="default" w:ascii="Times New Roman" w:hAnsi="Times New Roman" w:eastAsia="Arial" w:cs="Times New Roman"/>
          <w:b/>
          <w:bCs/>
          <w:snapToGrid w:val="0"/>
          <w:color w:val="auto"/>
          <w:kern w:val="0"/>
          <w:sz w:val="24"/>
          <w:szCs w:val="24"/>
          <w:highlight w:val="none"/>
          <w:lang w:val="en-US" w:eastAsia="zh-CN" w:bidi="ar-SA"/>
        </w:rPr>
        <w:t xml:space="preserve">  检测方法</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1639"/>
        <w:gridCol w:w="2032"/>
        <w:gridCol w:w="2542"/>
        <w:gridCol w:w="1226"/>
      </w:tblGrid>
      <w:tr w14:paraId="28D652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635" w:type="pct"/>
            <w:tcBorders>
              <w:tl2br w:val="nil"/>
              <w:tr2bl w:val="nil"/>
            </w:tcBorders>
            <w:vAlign w:val="center"/>
          </w:tcPr>
          <w:p w14:paraId="397364C8">
            <w:pPr>
              <w:widowControl w:val="0"/>
              <w:spacing w:line="36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类别</w:t>
            </w:r>
          </w:p>
        </w:tc>
        <w:tc>
          <w:tcPr>
            <w:tcW w:w="963" w:type="pct"/>
            <w:tcBorders>
              <w:tl2br w:val="nil"/>
              <w:tr2bl w:val="nil"/>
            </w:tcBorders>
            <w:vAlign w:val="center"/>
          </w:tcPr>
          <w:p w14:paraId="391D8615">
            <w:pPr>
              <w:widowControl w:val="0"/>
              <w:spacing w:line="36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项目名称</w:t>
            </w:r>
          </w:p>
        </w:tc>
        <w:tc>
          <w:tcPr>
            <w:tcW w:w="1194" w:type="pct"/>
            <w:tcBorders>
              <w:tl2br w:val="nil"/>
              <w:tr2bl w:val="nil"/>
            </w:tcBorders>
            <w:vAlign w:val="center"/>
          </w:tcPr>
          <w:p w14:paraId="6A06CF5B">
            <w:pPr>
              <w:widowControl w:val="0"/>
              <w:spacing w:line="36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方法依据</w:t>
            </w:r>
          </w:p>
        </w:tc>
        <w:tc>
          <w:tcPr>
            <w:tcW w:w="1493" w:type="pct"/>
            <w:tcBorders>
              <w:tl2br w:val="nil"/>
              <w:tr2bl w:val="nil"/>
            </w:tcBorders>
            <w:vAlign w:val="center"/>
          </w:tcPr>
          <w:p w14:paraId="5DC18E84">
            <w:pPr>
              <w:widowControl w:val="0"/>
              <w:spacing w:line="36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主要仪器</w:t>
            </w:r>
            <w:r>
              <w:rPr>
                <w:rFonts w:hint="default" w:ascii="Times New Roman" w:hAnsi="Times New Roman" w:eastAsia="宋体" w:cs="Times New Roman"/>
                <w:color w:val="auto"/>
                <w:kern w:val="0"/>
                <w:sz w:val="21"/>
                <w:szCs w:val="21"/>
                <w:highlight w:val="none"/>
              </w:rPr>
              <w:t>、型号</w:t>
            </w:r>
            <w:r>
              <w:rPr>
                <w:rFonts w:hint="default" w:ascii="Times New Roman" w:hAnsi="Times New Roman" w:eastAsia="宋体" w:cs="Times New Roman"/>
                <w:color w:val="auto"/>
                <w:kern w:val="0"/>
                <w:sz w:val="21"/>
                <w:szCs w:val="21"/>
                <w:highlight w:val="none"/>
                <w:lang w:val="en-US" w:eastAsia="zh-CN"/>
              </w:rPr>
              <w:t>及编号</w:t>
            </w:r>
          </w:p>
        </w:tc>
        <w:tc>
          <w:tcPr>
            <w:tcW w:w="713" w:type="pct"/>
            <w:tcBorders>
              <w:tl2br w:val="nil"/>
              <w:tr2bl w:val="nil"/>
            </w:tcBorders>
            <w:vAlign w:val="center"/>
          </w:tcPr>
          <w:p w14:paraId="4A287F60">
            <w:pPr>
              <w:widowControl w:val="0"/>
              <w:spacing w:line="36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检出限</w:t>
            </w:r>
          </w:p>
        </w:tc>
      </w:tr>
      <w:tr w14:paraId="502825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635" w:type="pct"/>
            <w:vMerge w:val="restart"/>
            <w:tcBorders>
              <w:tl2br w:val="nil"/>
              <w:tr2bl w:val="nil"/>
            </w:tcBorders>
            <w:vAlign w:val="center"/>
          </w:tcPr>
          <w:p w14:paraId="162352B3">
            <w:pPr>
              <w:widowControl w:val="0"/>
              <w:spacing w:line="36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color w:val="000000"/>
                <w:kern w:val="0"/>
                <w:sz w:val="21"/>
                <w:szCs w:val="21"/>
                <w:highlight w:val="none"/>
                <w:lang w:val="en-US" w:eastAsia="zh-CN"/>
              </w:rPr>
              <w:t>土壤</w:t>
            </w:r>
          </w:p>
        </w:tc>
        <w:tc>
          <w:tcPr>
            <w:tcW w:w="963" w:type="pct"/>
            <w:tcBorders>
              <w:tl2br w:val="nil"/>
              <w:tr2bl w:val="nil"/>
            </w:tcBorders>
            <w:shd w:val="clear" w:color="auto" w:fill="auto"/>
            <w:vAlign w:val="center"/>
          </w:tcPr>
          <w:p w14:paraId="3060AAB4">
            <w:pPr>
              <w:widowControl/>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color w:val="000000"/>
                <w:sz w:val="21"/>
                <w:szCs w:val="21"/>
                <w:highlight w:val="none"/>
                <w:lang w:val="en-US" w:eastAsia="zh-CN"/>
              </w:rPr>
              <w:t>砷</w:t>
            </w:r>
          </w:p>
        </w:tc>
        <w:tc>
          <w:tcPr>
            <w:tcW w:w="1194" w:type="pct"/>
            <w:vMerge w:val="restart"/>
            <w:tcBorders>
              <w:tl2br w:val="nil"/>
              <w:tr2bl w:val="nil"/>
            </w:tcBorders>
            <w:shd w:val="clear" w:color="auto" w:fill="auto"/>
            <w:vAlign w:val="center"/>
          </w:tcPr>
          <w:p w14:paraId="7EFC32DE">
            <w:pPr>
              <w:keepNext w:val="0"/>
              <w:keepLines w:val="0"/>
              <w:widowControl/>
              <w:suppressLineNumbers w:val="0"/>
              <w:jc w:val="center"/>
              <w:textAlignment w:val="top"/>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HJ 1315-2023电感耦合等离子体质谱法</w:t>
            </w:r>
          </w:p>
        </w:tc>
        <w:tc>
          <w:tcPr>
            <w:tcW w:w="1493" w:type="pct"/>
            <w:vMerge w:val="restart"/>
            <w:tcBorders>
              <w:tl2br w:val="nil"/>
              <w:tr2bl w:val="nil"/>
            </w:tcBorders>
            <w:shd w:val="clear" w:color="auto" w:fill="auto"/>
            <w:vAlign w:val="center"/>
          </w:tcPr>
          <w:p w14:paraId="03AF55F4">
            <w:pPr>
              <w:keepNext w:val="0"/>
              <w:keepLines w:val="0"/>
              <w:widowControl/>
              <w:suppressLineNumbers w:val="0"/>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电感耦合等离子体质谱仪Agilent7500Series</w:t>
            </w:r>
          </w:p>
          <w:p w14:paraId="73FEE0C9">
            <w:pPr>
              <w:keepNext w:val="0"/>
              <w:keepLines w:val="0"/>
              <w:widowControl/>
              <w:suppressLineNumbers w:val="0"/>
              <w:jc w:val="center"/>
              <w:textAlignment w:val="top"/>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sz w:val="21"/>
                <w:szCs w:val="21"/>
                <w:highlight w:val="none"/>
              </w:rPr>
              <w:t>YQ01-</w:t>
            </w:r>
            <w:r>
              <w:rPr>
                <w:rFonts w:hint="default" w:ascii="Times New Roman" w:hAnsi="Times New Roman" w:eastAsia="宋体" w:cs="Times New Roman"/>
                <w:sz w:val="21"/>
                <w:szCs w:val="21"/>
                <w:highlight w:val="none"/>
                <w:lang w:val="en-US" w:eastAsia="zh-CN"/>
              </w:rPr>
              <w:t>008</w:t>
            </w:r>
          </w:p>
        </w:tc>
        <w:tc>
          <w:tcPr>
            <w:tcW w:w="713" w:type="pct"/>
            <w:tcBorders>
              <w:tl2br w:val="nil"/>
              <w:tr2bl w:val="nil"/>
            </w:tcBorders>
            <w:shd w:val="clear" w:color="auto" w:fill="auto"/>
            <w:vAlign w:val="center"/>
          </w:tcPr>
          <w:p w14:paraId="3471E16E">
            <w:pPr>
              <w:widowControl w:val="0"/>
              <w:jc w:val="center"/>
              <w:textAlignment w:val="bottom"/>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bidi="ar"/>
              </w:rPr>
              <w:t>0.2mg/kg</w:t>
            </w:r>
          </w:p>
        </w:tc>
      </w:tr>
      <w:tr w14:paraId="56A089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35" w:type="pct"/>
            <w:vMerge w:val="continue"/>
            <w:tcBorders>
              <w:tl2br w:val="nil"/>
              <w:tr2bl w:val="nil"/>
            </w:tcBorders>
            <w:vAlign w:val="center"/>
          </w:tcPr>
          <w:p w14:paraId="40A71B0F">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auto"/>
            <w:vAlign w:val="center"/>
          </w:tcPr>
          <w:p w14:paraId="4143B9B5">
            <w:pPr>
              <w:widowControl/>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color w:val="000000"/>
                <w:sz w:val="21"/>
                <w:szCs w:val="21"/>
                <w:highlight w:val="none"/>
                <w:lang w:val="en-US" w:eastAsia="zh-CN"/>
              </w:rPr>
              <w:t>镉</w:t>
            </w:r>
          </w:p>
        </w:tc>
        <w:tc>
          <w:tcPr>
            <w:tcW w:w="1194" w:type="pct"/>
            <w:vMerge w:val="continue"/>
            <w:tcBorders>
              <w:tl2br w:val="nil"/>
              <w:tr2bl w:val="nil"/>
            </w:tcBorders>
            <w:shd w:val="clear" w:color="auto" w:fill="auto"/>
            <w:vAlign w:val="center"/>
          </w:tcPr>
          <w:p w14:paraId="179598E2">
            <w:pPr>
              <w:keepNext w:val="0"/>
              <w:keepLines w:val="0"/>
              <w:widowControl/>
              <w:suppressLineNumbers w:val="0"/>
              <w:jc w:val="center"/>
              <w:textAlignment w:val="top"/>
              <w:rPr>
                <w:rFonts w:hint="default" w:ascii="Times New Roman" w:hAnsi="Times New Roman" w:eastAsia="宋体" w:cs="Times New Roman"/>
                <w:color w:val="auto"/>
                <w:kern w:val="0"/>
                <w:sz w:val="21"/>
                <w:szCs w:val="21"/>
                <w:highlight w:val="none"/>
                <w:lang w:val="en-US" w:eastAsia="zh-CN" w:bidi="ar"/>
              </w:rPr>
            </w:pPr>
          </w:p>
        </w:tc>
        <w:tc>
          <w:tcPr>
            <w:tcW w:w="1493" w:type="pct"/>
            <w:vMerge w:val="continue"/>
            <w:tcBorders>
              <w:tl2br w:val="nil"/>
              <w:tr2bl w:val="nil"/>
            </w:tcBorders>
            <w:shd w:val="clear" w:color="auto" w:fill="auto"/>
            <w:vAlign w:val="center"/>
          </w:tcPr>
          <w:p w14:paraId="365CD229">
            <w:pPr>
              <w:keepNext w:val="0"/>
              <w:keepLines w:val="0"/>
              <w:widowControl/>
              <w:suppressLineNumbers w:val="0"/>
              <w:jc w:val="center"/>
              <w:textAlignment w:val="top"/>
              <w:rPr>
                <w:rFonts w:hint="default" w:ascii="Times New Roman" w:hAnsi="Times New Roman" w:eastAsia="宋体" w:cs="Times New Roman"/>
                <w:kern w:val="2"/>
                <w:sz w:val="21"/>
                <w:szCs w:val="21"/>
                <w:highlight w:val="none"/>
                <w:lang w:val="en-US" w:eastAsia="zh-CN" w:bidi="ar-SA"/>
              </w:rPr>
            </w:pPr>
          </w:p>
        </w:tc>
        <w:tc>
          <w:tcPr>
            <w:tcW w:w="713" w:type="pct"/>
            <w:tcBorders>
              <w:tl2br w:val="nil"/>
              <w:tr2bl w:val="nil"/>
            </w:tcBorders>
            <w:shd w:val="clear" w:color="auto" w:fill="auto"/>
            <w:vAlign w:val="center"/>
          </w:tcPr>
          <w:p w14:paraId="7B572D2C">
            <w:pPr>
              <w:widowControl w:val="0"/>
              <w:jc w:val="center"/>
              <w:textAlignment w:val="bottom"/>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bidi="ar"/>
              </w:rPr>
              <w:t>0.03mg/kg</w:t>
            </w:r>
          </w:p>
        </w:tc>
      </w:tr>
      <w:tr w14:paraId="236994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635" w:type="pct"/>
            <w:vMerge w:val="continue"/>
            <w:tcBorders>
              <w:tl2br w:val="nil"/>
              <w:tr2bl w:val="nil"/>
            </w:tcBorders>
            <w:vAlign w:val="center"/>
          </w:tcPr>
          <w:p w14:paraId="3A792320">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auto"/>
            <w:vAlign w:val="center"/>
          </w:tcPr>
          <w:p w14:paraId="1B026B63">
            <w:pPr>
              <w:widowControl/>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color w:val="000000"/>
                <w:sz w:val="21"/>
                <w:szCs w:val="21"/>
                <w:highlight w:val="none"/>
                <w:lang w:val="en-US" w:eastAsia="zh-CN"/>
              </w:rPr>
              <w:t>铜</w:t>
            </w:r>
          </w:p>
        </w:tc>
        <w:tc>
          <w:tcPr>
            <w:tcW w:w="1194" w:type="pct"/>
            <w:vMerge w:val="continue"/>
            <w:tcBorders>
              <w:tl2br w:val="nil"/>
              <w:tr2bl w:val="nil"/>
            </w:tcBorders>
            <w:shd w:val="clear" w:color="auto" w:fill="FFFFFF"/>
            <w:vAlign w:val="center"/>
          </w:tcPr>
          <w:p w14:paraId="0ECE7396">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p>
        </w:tc>
        <w:tc>
          <w:tcPr>
            <w:tcW w:w="1493" w:type="pct"/>
            <w:vMerge w:val="continue"/>
            <w:tcBorders>
              <w:tl2br w:val="nil"/>
              <w:tr2bl w:val="nil"/>
            </w:tcBorders>
            <w:shd w:val="clear" w:color="auto" w:fill="FFFFFF"/>
            <w:vAlign w:val="center"/>
          </w:tcPr>
          <w:p w14:paraId="79DC844D">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p>
        </w:tc>
        <w:tc>
          <w:tcPr>
            <w:tcW w:w="713" w:type="pct"/>
            <w:tcBorders>
              <w:tl2br w:val="nil"/>
              <w:tr2bl w:val="nil"/>
            </w:tcBorders>
            <w:shd w:val="clear" w:color="auto" w:fill="FFFFFF"/>
            <w:vAlign w:val="center"/>
          </w:tcPr>
          <w:p w14:paraId="258481E4">
            <w:pPr>
              <w:widowControl w:val="0"/>
              <w:jc w:val="center"/>
              <w:textAlignment w:val="bottom"/>
              <w:rPr>
                <w:rFonts w:hint="default" w:ascii="Times New Roman" w:hAnsi="Times New Roman" w:eastAsia="宋体" w:cs="Times New Roman"/>
                <w:kern w:val="2"/>
                <w:sz w:val="21"/>
                <w:szCs w:val="21"/>
                <w:highlight w:val="none"/>
                <w:lang w:val="en-US" w:eastAsia="zh-CN" w:bidi="ar"/>
              </w:rPr>
            </w:pPr>
            <w:r>
              <w:rPr>
                <w:rFonts w:hint="default" w:ascii="Times New Roman" w:hAnsi="Times New Roman" w:eastAsia="宋体" w:cs="Times New Roman"/>
                <w:sz w:val="21"/>
                <w:szCs w:val="21"/>
                <w:highlight w:val="none"/>
                <w:lang w:val="en-US" w:eastAsia="zh-CN" w:bidi="ar"/>
              </w:rPr>
              <w:t>0.7mg/kg</w:t>
            </w:r>
          </w:p>
        </w:tc>
      </w:tr>
      <w:tr w14:paraId="531DCD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635" w:type="pct"/>
            <w:vMerge w:val="continue"/>
            <w:tcBorders>
              <w:tl2br w:val="nil"/>
              <w:tr2bl w:val="nil"/>
            </w:tcBorders>
            <w:vAlign w:val="center"/>
          </w:tcPr>
          <w:p w14:paraId="75555888">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auto"/>
            <w:vAlign w:val="center"/>
          </w:tcPr>
          <w:p w14:paraId="0AED6CB3">
            <w:pPr>
              <w:widowControl/>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color w:val="000000"/>
                <w:sz w:val="21"/>
                <w:szCs w:val="21"/>
                <w:highlight w:val="none"/>
                <w:lang w:val="en-US" w:eastAsia="zh-CN"/>
              </w:rPr>
              <w:t>铅</w:t>
            </w:r>
          </w:p>
        </w:tc>
        <w:tc>
          <w:tcPr>
            <w:tcW w:w="1194" w:type="pct"/>
            <w:vMerge w:val="continue"/>
            <w:tcBorders>
              <w:tl2br w:val="nil"/>
              <w:tr2bl w:val="nil"/>
            </w:tcBorders>
            <w:shd w:val="clear" w:color="auto" w:fill="FFFFFF"/>
            <w:vAlign w:val="center"/>
          </w:tcPr>
          <w:p w14:paraId="4F4D7A28">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p>
        </w:tc>
        <w:tc>
          <w:tcPr>
            <w:tcW w:w="1493" w:type="pct"/>
            <w:vMerge w:val="continue"/>
            <w:tcBorders>
              <w:tl2br w:val="nil"/>
              <w:tr2bl w:val="nil"/>
            </w:tcBorders>
            <w:shd w:val="clear" w:color="auto" w:fill="auto"/>
            <w:vAlign w:val="center"/>
          </w:tcPr>
          <w:p w14:paraId="65A64F17">
            <w:pPr>
              <w:keepNext w:val="0"/>
              <w:keepLines w:val="0"/>
              <w:widowControl/>
              <w:suppressLineNumbers w:val="0"/>
              <w:jc w:val="center"/>
              <w:textAlignment w:val="top"/>
              <w:rPr>
                <w:rFonts w:hint="default" w:ascii="Times New Roman" w:hAnsi="Times New Roman" w:eastAsia="宋体" w:cs="Times New Roman"/>
                <w:color w:val="000000"/>
                <w:kern w:val="2"/>
                <w:sz w:val="21"/>
                <w:szCs w:val="21"/>
                <w:highlight w:val="yellow"/>
                <w:lang w:val="en-US" w:eastAsia="zh-CN" w:bidi="ar-SA"/>
              </w:rPr>
            </w:pPr>
          </w:p>
        </w:tc>
        <w:tc>
          <w:tcPr>
            <w:tcW w:w="713" w:type="pct"/>
            <w:tcBorders>
              <w:tl2br w:val="nil"/>
              <w:tr2bl w:val="nil"/>
            </w:tcBorders>
            <w:shd w:val="clear" w:color="auto" w:fill="FFFFFF"/>
            <w:vAlign w:val="center"/>
          </w:tcPr>
          <w:p w14:paraId="34F170C4">
            <w:pPr>
              <w:widowControl w:val="0"/>
              <w:jc w:val="center"/>
              <w:textAlignment w:val="bottom"/>
              <w:rPr>
                <w:rFonts w:hint="default" w:ascii="Times New Roman" w:hAnsi="Times New Roman" w:eastAsia="宋体" w:cs="Times New Roman"/>
                <w:kern w:val="2"/>
                <w:sz w:val="21"/>
                <w:szCs w:val="21"/>
                <w:highlight w:val="none"/>
                <w:lang w:val="en-US" w:eastAsia="zh-CN" w:bidi="ar"/>
              </w:rPr>
            </w:pPr>
            <w:r>
              <w:rPr>
                <w:rFonts w:hint="default" w:ascii="Times New Roman" w:hAnsi="Times New Roman" w:eastAsia="宋体" w:cs="Times New Roman"/>
                <w:sz w:val="21"/>
                <w:szCs w:val="21"/>
                <w:highlight w:val="none"/>
                <w:lang w:val="en-US" w:eastAsia="zh-CN" w:bidi="ar"/>
              </w:rPr>
              <w:t>1mg/kg</w:t>
            </w:r>
          </w:p>
        </w:tc>
      </w:tr>
      <w:tr w14:paraId="77BF02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635" w:type="pct"/>
            <w:vMerge w:val="continue"/>
            <w:tcBorders>
              <w:tl2br w:val="nil"/>
              <w:tr2bl w:val="nil"/>
            </w:tcBorders>
            <w:vAlign w:val="center"/>
          </w:tcPr>
          <w:p w14:paraId="7526F72A">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auto"/>
            <w:vAlign w:val="center"/>
          </w:tcPr>
          <w:p w14:paraId="1B9DA389">
            <w:pPr>
              <w:widowControl/>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color w:val="000000"/>
                <w:sz w:val="21"/>
                <w:szCs w:val="21"/>
                <w:highlight w:val="none"/>
                <w:lang w:val="en-US" w:eastAsia="zh-CN"/>
              </w:rPr>
              <w:t>镍</w:t>
            </w:r>
          </w:p>
        </w:tc>
        <w:tc>
          <w:tcPr>
            <w:tcW w:w="1194" w:type="pct"/>
            <w:vMerge w:val="continue"/>
            <w:tcBorders>
              <w:tl2br w:val="nil"/>
              <w:tr2bl w:val="nil"/>
            </w:tcBorders>
            <w:shd w:val="clear" w:color="auto" w:fill="FFFFFF"/>
            <w:vAlign w:val="center"/>
          </w:tcPr>
          <w:p w14:paraId="6828E75B">
            <w:pPr>
              <w:widowControl w:val="0"/>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p>
        </w:tc>
        <w:tc>
          <w:tcPr>
            <w:tcW w:w="1493" w:type="pct"/>
            <w:vMerge w:val="continue"/>
            <w:tcBorders>
              <w:tl2br w:val="nil"/>
              <w:tr2bl w:val="nil"/>
            </w:tcBorders>
            <w:shd w:val="clear" w:color="auto" w:fill="FFFFFF"/>
            <w:vAlign w:val="center"/>
          </w:tcPr>
          <w:p w14:paraId="0DDE6B1C">
            <w:pPr>
              <w:widowControl w:val="0"/>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p>
        </w:tc>
        <w:tc>
          <w:tcPr>
            <w:tcW w:w="713" w:type="pct"/>
            <w:tcBorders>
              <w:tl2br w:val="nil"/>
              <w:tr2bl w:val="nil"/>
            </w:tcBorders>
            <w:shd w:val="clear" w:color="auto" w:fill="FFFFFF"/>
            <w:vAlign w:val="center"/>
          </w:tcPr>
          <w:p w14:paraId="222C0FFA">
            <w:pPr>
              <w:widowControl w:val="0"/>
              <w:snapToGrid w:val="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rPr>
              <w:t>2mg/kg</w:t>
            </w:r>
          </w:p>
        </w:tc>
      </w:tr>
      <w:tr w14:paraId="6DBEB7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635" w:type="pct"/>
            <w:vMerge w:val="continue"/>
            <w:tcBorders>
              <w:tl2br w:val="nil"/>
              <w:tr2bl w:val="nil"/>
            </w:tcBorders>
            <w:vAlign w:val="center"/>
          </w:tcPr>
          <w:p w14:paraId="2D9D41B5">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auto"/>
            <w:vAlign w:val="center"/>
          </w:tcPr>
          <w:p w14:paraId="10D22D55">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铬</w:t>
            </w:r>
          </w:p>
        </w:tc>
        <w:tc>
          <w:tcPr>
            <w:tcW w:w="1194" w:type="pct"/>
            <w:vMerge w:val="continue"/>
            <w:tcBorders>
              <w:tl2br w:val="nil"/>
              <w:tr2bl w:val="nil"/>
            </w:tcBorders>
            <w:shd w:val="clear" w:color="auto" w:fill="FFFFFF"/>
            <w:vAlign w:val="center"/>
          </w:tcPr>
          <w:p w14:paraId="76655CF2">
            <w:pPr>
              <w:widowControl w:val="0"/>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p>
        </w:tc>
        <w:tc>
          <w:tcPr>
            <w:tcW w:w="1493" w:type="pct"/>
            <w:vMerge w:val="continue"/>
            <w:tcBorders>
              <w:tl2br w:val="nil"/>
              <w:tr2bl w:val="nil"/>
            </w:tcBorders>
            <w:shd w:val="clear" w:color="auto" w:fill="FFFFFF"/>
            <w:vAlign w:val="center"/>
          </w:tcPr>
          <w:p w14:paraId="47DCFE59">
            <w:pPr>
              <w:widowControl w:val="0"/>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p>
        </w:tc>
        <w:tc>
          <w:tcPr>
            <w:tcW w:w="713" w:type="pct"/>
            <w:tcBorders>
              <w:tl2br w:val="nil"/>
              <w:tr2bl w:val="nil"/>
            </w:tcBorders>
            <w:shd w:val="clear" w:color="auto" w:fill="FFFFFF"/>
            <w:vAlign w:val="center"/>
          </w:tcPr>
          <w:p w14:paraId="3785293D">
            <w:pPr>
              <w:widowControl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2mg/kg</w:t>
            </w:r>
          </w:p>
        </w:tc>
      </w:tr>
      <w:tr w14:paraId="5952E4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635" w:type="pct"/>
            <w:vMerge w:val="continue"/>
            <w:tcBorders>
              <w:tl2br w:val="nil"/>
              <w:tr2bl w:val="nil"/>
            </w:tcBorders>
            <w:vAlign w:val="center"/>
          </w:tcPr>
          <w:p w14:paraId="681FC8C5">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FFFFFF"/>
            <w:vAlign w:val="center"/>
          </w:tcPr>
          <w:p w14:paraId="54CCD8A0">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锌</w:t>
            </w:r>
          </w:p>
        </w:tc>
        <w:tc>
          <w:tcPr>
            <w:tcW w:w="1194" w:type="pct"/>
            <w:vMerge w:val="continue"/>
            <w:tcBorders>
              <w:tl2br w:val="nil"/>
              <w:tr2bl w:val="nil"/>
            </w:tcBorders>
            <w:shd w:val="clear" w:color="auto" w:fill="FFFFFF"/>
            <w:vAlign w:val="center"/>
          </w:tcPr>
          <w:p w14:paraId="5991F136">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p>
        </w:tc>
        <w:tc>
          <w:tcPr>
            <w:tcW w:w="1493" w:type="pct"/>
            <w:vMerge w:val="continue"/>
            <w:tcBorders>
              <w:tl2br w:val="nil"/>
              <w:tr2bl w:val="nil"/>
            </w:tcBorders>
            <w:shd w:val="clear" w:color="auto" w:fill="FFFFFF"/>
            <w:vAlign w:val="center"/>
          </w:tcPr>
          <w:p w14:paraId="7E77F162">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p>
        </w:tc>
        <w:tc>
          <w:tcPr>
            <w:tcW w:w="713" w:type="pct"/>
            <w:tcBorders>
              <w:tl2br w:val="nil"/>
              <w:tr2bl w:val="nil"/>
            </w:tcBorders>
            <w:shd w:val="clear" w:color="auto" w:fill="FFFFFF"/>
            <w:vAlign w:val="center"/>
          </w:tcPr>
          <w:p w14:paraId="6D838255">
            <w:pPr>
              <w:widowControl w:val="0"/>
              <w:jc w:val="center"/>
              <w:textAlignment w:val="bottom"/>
              <w:rPr>
                <w:rFonts w:hint="default" w:ascii="Times New Roman" w:hAnsi="Times New Roman" w:eastAsia="宋体" w:cs="Times New Roman"/>
                <w:kern w:val="2"/>
                <w:sz w:val="21"/>
                <w:szCs w:val="21"/>
                <w:highlight w:val="none"/>
                <w:lang w:val="en-US" w:eastAsia="zh-CN" w:bidi="ar"/>
              </w:rPr>
            </w:pPr>
            <w:r>
              <w:rPr>
                <w:rFonts w:hint="default" w:ascii="Times New Roman" w:hAnsi="Times New Roman" w:eastAsia="宋体" w:cs="Times New Roman"/>
                <w:sz w:val="21"/>
                <w:szCs w:val="21"/>
                <w:highlight w:val="none"/>
                <w:lang w:val="en-US" w:eastAsia="zh-CN" w:bidi="ar"/>
              </w:rPr>
              <w:t>5mg/kg</w:t>
            </w:r>
          </w:p>
        </w:tc>
      </w:tr>
      <w:tr w14:paraId="74E281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1" w:hRule="atLeast"/>
          <w:jc w:val="center"/>
        </w:trPr>
        <w:tc>
          <w:tcPr>
            <w:tcW w:w="635" w:type="pct"/>
            <w:vMerge w:val="continue"/>
            <w:tcBorders>
              <w:tl2br w:val="nil"/>
              <w:tr2bl w:val="nil"/>
            </w:tcBorders>
            <w:vAlign w:val="center"/>
          </w:tcPr>
          <w:p w14:paraId="22A82670">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auto"/>
            <w:vAlign w:val="center"/>
          </w:tcPr>
          <w:p w14:paraId="7F51EE0A">
            <w:pPr>
              <w:widowControl/>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color w:val="000000"/>
                <w:sz w:val="21"/>
                <w:szCs w:val="21"/>
                <w:highlight w:val="none"/>
                <w:lang w:val="en-US" w:eastAsia="zh-CN"/>
              </w:rPr>
              <w:t>六价铬</w:t>
            </w:r>
          </w:p>
        </w:tc>
        <w:tc>
          <w:tcPr>
            <w:tcW w:w="1194" w:type="pct"/>
            <w:tcBorders>
              <w:tl2br w:val="nil"/>
              <w:tr2bl w:val="nil"/>
            </w:tcBorders>
            <w:shd w:val="clear" w:color="auto" w:fill="auto"/>
            <w:vAlign w:val="center"/>
          </w:tcPr>
          <w:p w14:paraId="383A74BF">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HJ 1082-2019</w:t>
            </w:r>
          </w:p>
          <w:p w14:paraId="2E9DC544">
            <w:pPr>
              <w:widowControl w:val="0"/>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碱溶液提取一火焰原子吸收分光光度法</w:t>
            </w:r>
          </w:p>
        </w:tc>
        <w:tc>
          <w:tcPr>
            <w:tcW w:w="1493" w:type="pct"/>
            <w:tcBorders>
              <w:tl2br w:val="nil"/>
              <w:tr2bl w:val="nil"/>
            </w:tcBorders>
            <w:shd w:val="clear" w:color="auto" w:fill="auto"/>
            <w:vAlign w:val="center"/>
          </w:tcPr>
          <w:p w14:paraId="65F5C3A6">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原子吸收分光光度计</w:t>
            </w:r>
          </w:p>
          <w:p w14:paraId="2B0A12B5">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（火焰）TAS-990</w:t>
            </w:r>
          </w:p>
          <w:p w14:paraId="3C225CCB">
            <w:pPr>
              <w:widowControl w:val="0"/>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YQ01-006</w:t>
            </w:r>
          </w:p>
        </w:tc>
        <w:tc>
          <w:tcPr>
            <w:tcW w:w="713" w:type="pct"/>
            <w:tcBorders>
              <w:tl2br w:val="nil"/>
              <w:tr2bl w:val="nil"/>
            </w:tcBorders>
            <w:shd w:val="clear" w:color="auto" w:fill="auto"/>
            <w:vAlign w:val="center"/>
          </w:tcPr>
          <w:p w14:paraId="5C55649B">
            <w:pPr>
              <w:widowControl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0.5mg/kg</w:t>
            </w:r>
          </w:p>
        </w:tc>
      </w:tr>
      <w:tr w14:paraId="7EC5D8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5" w:type="pct"/>
            <w:vMerge w:val="continue"/>
            <w:tcBorders>
              <w:tl2br w:val="nil"/>
              <w:tr2bl w:val="nil"/>
            </w:tcBorders>
            <w:vAlign w:val="center"/>
          </w:tcPr>
          <w:p w14:paraId="6BE3F958">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auto"/>
            <w:vAlign w:val="center"/>
          </w:tcPr>
          <w:p w14:paraId="78AFEBFC">
            <w:pPr>
              <w:widowControl w:val="0"/>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pH值</w:t>
            </w:r>
          </w:p>
        </w:tc>
        <w:tc>
          <w:tcPr>
            <w:tcW w:w="1194" w:type="pct"/>
            <w:tcBorders>
              <w:tl2br w:val="nil"/>
              <w:tr2bl w:val="nil"/>
            </w:tcBorders>
            <w:shd w:val="clear" w:color="auto" w:fill="auto"/>
            <w:vAlign w:val="center"/>
          </w:tcPr>
          <w:p w14:paraId="21C8C92B">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HJ 962-2018</w:t>
            </w:r>
          </w:p>
          <w:p w14:paraId="2D57C6A6">
            <w:pPr>
              <w:widowControl w:val="0"/>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电位法</w:t>
            </w:r>
          </w:p>
        </w:tc>
        <w:tc>
          <w:tcPr>
            <w:tcW w:w="1493" w:type="pct"/>
            <w:tcBorders>
              <w:tl2br w:val="nil"/>
              <w:tr2bl w:val="nil"/>
            </w:tcBorders>
            <w:shd w:val="clear" w:color="auto" w:fill="auto"/>
            <w:vAlign w:val="center"/>
          </w:tcPr>
          <w:p w14:paraId="7E3F1532">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多参数分析仪</w:t>
            </w:r>
          </w:p>
          <w:p w14:paraId="391E3783">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DZS-706F-A</w:t>
            </w:r>
          </w:p>
          <w:p w14:paraId="5353B3EB">
            <w:pPr>
              <w:widowControl w:val="0"/>
              <w:adjustRightInd w:val="0"/>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YQ01-018</w:t>
            </w:r>
          </w:p>
        </w:tc>
        <w:tc>
          <w:tcPr>
            <w:tcW w:w="713" w:type="pct"/>
            <w:tcBorders>
              <w:tl2br w:val="nil"/>
              <w:tr2bl w:val="nil"/>
            </w:tcBorders>
            <w:shd w:val="clear" w:color="auto" w:fill="FFFFFF"/>
            <w:vAlign w:val="center"/>
          </w:tcPr>
          <w:p w14:paraId="18B1564D">
            <w:pPr>
              <w:widowControl w:val="0"/>
              <w:bidi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w:t>
            </w:r>
          </w:p>
        </w:tc>
      </w:tr>
      <w:tr w14:paraId="2291AC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635" w:type="pct"/>
            <w:vMerge w:val="continue"/>
            <w:tcBorders>
              <w:tl2br w:val="nil"/>
              <w:tr2bl w:val="nil"/>
            </w:tcBorders>
            <w:vAlign w:val="center"/>
          </w:tcPr>
          <w:p w14:paraId="7A1387E7">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auto"/>
            <w:vAlign w:val="center"/>
          </w:tcPr>
          <w:p w14:paraId="3BDF6D4A">
            <w:pPr>
              <w:widowControl/>
              <w:jc w:val="center"/>
              <w:textAlignment w:val="center"/>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color w:val="000000"/>
                <w:sz w:val="21"/>
                <w:szCs w:val="21"/>
                <w:highlight w:val="none"/>
                <w:lang w:val="en-US" w:eastAsia="zh-CN"/>
              </w:rPr>
              <w:t>汞</w:t>
            </w:r>
          </w:p>
        </w:tc>
        <w:tc>
          <w:tcPr>
            <w:tcW w:w="1194" w:type="pct"/>
            <w:tcBorders>
              <w:tl2br w:val="nil"/>
              <w:tr2bl w:val="nil"/>
            </w:tcBorders>
            <w:shd w:val="clear" w:color="auto" w:fill="auto"/>
            <w:vAlign w:val="center"/>
          </w:tcPr>
          <w:p w14:paraId="75A0D084">
            <w:pPr>
              <w:keepNext w:val="0"/>
              <w:keepLines w:val="0"/>
              <w:widowControl/>
              <w:suppressLineNumbers w:val="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HJ 680-2013微波消解/原子荧光法</w:t>
            </w:r>
          </w:p>
        </w:tc>
        <w:tc>
          <w:tcPr>
            <w:tcW w:w="1493" w:type="pct"/>
            <w:tcBorders>
              <w:tl2br w:val="nil"/>
              <w:tr2bl w:val="nil"/>
            </w:tcBorders>
            <w:shd w:val="clear" w:color="auto" w:fill="auto"/>
            <w:vAlign w:val="center"/>
          </w:tcPr>
          <w:p w14:paraId="6432D424">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原子荧光光度计2025E</w:t>
            </w:r>
          </w:p>
          <w:p w14:paraId="6B172120">
            <w:pPr>
              <w:keepNext w:val="0"/>
              <w:keepLines w:val="0"/>
              <w:widowControl/>
              <w:suppressLineNumbers w:val="0"/>
              <w:jc w:val="center"/>
              <w:textAlignment w:val="top"/>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YQ01-007</w:t>
            </w:r>
          </w:p>
        </w:tc>
        <w:tc>
          <w:tcPr>
            <w:tcW w:w="713" w:type="pct"/>
            <w:tcBorders>
              <w:tl2br w:val="nil"/>
              <w:tr2bl w:val="nil"/>
            </w:tcBorders>
            <w:shd w:val="clear" w:color="auto" w:fill="FFFFFF"/>
            <w:vAlign w:val="center"/>
          </w:tcPr>
          <w:p w14:paraId="1597E781">
            <w:pPr>
              <w:widowControl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sz w:val="21"/>
                <w:szCs w:val="21"/>
                <w:highlight w:val="none"/>
                <w:lang w:val="en-US" w:eastAsia="zh-CN" w:bidi="ar"/>
              </w:rPr>
              <w:t>0.002mg/kg</w:t>
            </w:r>
          </w:p>
        </w:tc>
      </w:tr>
      <w:tr w14:paraId="721193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35" w:type="pct"/>
            <w:vMerge w:val="continue"/>
            <w:tcBorders>
              <w:tl2br w:val="nil"/>
              <w:tr2bl w:val="nil"/>
            </w:tcBorders>
            <w:vAlign w:val="center"/>
          </w:tcPr>
          <w:p w14:paraId="228CD550">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vAlign w:val="center"/>
          </w:tcPr>
          <w:p w14:paraId="624330B4">
            <w:pPr>
              <w:widowControl/>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color w:val="000000"/>
                <w:sz w:val="21"/>
                <w:szCs w:val="21"/>
                <w:highlight w:val="none"/>
                <w:lang w:val="en-US" w:eastAsia="zh-CN"/>
              </w:rPr>
              <w:t>四氯化碳</w:t>
            </w:r>
          </w:p>
        </w:tc>
        <w:tc>
          <w:tcPr>
            <w:tcW w:w="1194" w:type="pct"/>
            <w:vMerge w:val="restart"/>
            <w:tcBorders>
              <w:tl2br w:val="nil"/>
              <w:tr2bl w:val="nil"/>
            </w:tcBorders>
            <w:shd w:val="clear" w:color="auto" w:fill="auto"/>
            <w:vAlign w:val="center"/>
          </w:tcPr>
          <w:p w14:paraId="7E46324A">
            <w:pPr>
              <w:widowControl/>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HJ 605-2011吹扫捕集/气相色谱-质谱法</w:t>
            </w:r>
          </w:p>
        </w:tc>
        <w:tc>
          <w:tcPr>
            <w:tcW w:w="1493" w:type="pct"/>
            <w:vMerge w:val="restart"/>
            <w:tcBorders>
              <w:tl2br w:val="nil"/>
              <w:tr2bl w:val="nil"/>
            </w:tcBorders>
            <w:vAlign w:val="center"/>
          </w:tcPr>
          <w:p w14:paraId="12BD1CC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气相色谱-质谱联用仪</w:t>
            </w:r>
          </w:p>
          <w:p w14:paraId="5F55A4D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GCMS-QP2010SE</w:t>
            </w:r>
          </w:p>
          <w:p w14:paraId="071494FF">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YQ01-009</w:t>
            </w:r>
          </w:p>
        </w:tc>
        <w:tc>
          <w:tcPr>
            <w:tcW w:w="713" w:type="pct"/>
            <w:tcBorders>
              <w:tl2br w:val="nil"/>
              <w:tr2bl w:val="nil"/>
            </w:tcBorders>
            <w:shd w:val="clear" w:color="auto" w:fill="auto"/>
            <w:vAlign w:val="center"/>
          </w:tcPr>
          <w:p w14:paraId="1566612D">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1.3μg</w:t>
            </w:r>
            <w:r>
              <w:rPr>
                <w:rFonts w:hint="default" w:ascii="Times New Roman" w:hAnsi="Times New Roman" w:eastAsia="宋体" w:cs="Times New Roman"/>
                <w:sz w:val="21"/>
                <w:szCs w:val="21"/>
                <w:highlight w:val="none"/>
                <w:lang w:val="en-US" w:eastAsia="zh-CN" w:bidi="ar"/>
              </w:rPr>
              <w:t>/kg</w:t>
            </w:r>
          </w:p>
        </w:tc>
      </w:tr>
      <w:tr w14:paraId="481C50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635" w:type="pct"/>
            <w:vMerge w:val="continue"/>
            <w:tcBorders>
              <w:tl2br w:val="nil"/>
              <w:tr2bl w:val="nil"/>
            </w:tcBorders>
            <w:vAlign w:val="center"/>
          </w:tcPr>
          <w:p w14:paraId="2605C866">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vAlign w:val="center"/>
          </w:tcPr>
          <w:p w14:paraId="62B9E7C3">
            <w:pPr>
              <w:widowControl/>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color w:val="000000"/>
                <w:sz w:val="21"/>
                <w:szCs w:val="21"/>
                <w:highlight w:val="none"/>
                <w:lang w:val="en-US" w:eastAsia="zh-CN"/>
              </w:rPr>
              <w:t>氯仿</w:t>
            </w:r>
          </w:p>
        </w:tc>
        <w:tc>
          <w:tcPr>
            <w:tcW w:w="1194" w:type="pct"/>
            <w:vMerge w:val="continue"/>
            <w:tcBorders>
              <w:tl2br w:val="nil"/>
              <w:tr2bl w:val="nil"/>
            </w:tcBorders>
            <w:shd w:val="clear" w:color="auto" w:fill="auto"/>
            <w:vAlign w:val="center"/>
          </w:tcPr>
          <w:p w14:paraId="79980E98">
            <w:pPr>
              <w:widowControl/>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1493" w:type="pct"/>
            <w:vMerge w:val="continue"/>
            <w:tcBorders>
              <w:tl2br w:val="nil"/>
              <w:tr2bl w:val="nil"/>
            </w:tcBorders>
            <w:vAlign w:val="center"/>
          </w:tcPr>
          <w:p w14:paraId="34F62D0C">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557ADF6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1.1μg</w:t>
            </w:r>
            <w:r>
              <w:rPr>
                <w:rFonts w:hint="default" w:ascii="Times New Roman" w:hAnsi="Times New Roman" w:eastAsia="宋体" w:cs="Times New Roman"/>
                <w:sz w:val="21"/>
                <w:szCs w:val="21"/>
                <w:highlight w:val="none"/>
                <w:lang w:val="en-US" w:eastAsia="zh-CN" w:bidi="ar"/>
              </w:rPr>
              <w:t>/kg</w:t>
            </w:r>
          </w:p>
        </w:tc>
      </w:tr>
      <w:tr w14:paraId="151D3D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35" w:type="pct"/>
            <w:vMerge w:val="continue"/>
            <w:tcBorders>
              <w:tl2br w:val="nil"/>
              <w:tr2bl w:val="nil"/>
            </w:tcBorders>
            <w:vAlign w:val="center"/>
          </w:tcPr>
          <w:p w14:paraId="22141003">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vAlign w:val="center"/>
          </w:tcPr>
          <w:p w14:paraId="01143999">
            <w:pPr>
              <w:widowControl/>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color w:val="000000"/>
                <w:sz w:val="21"/>
                <w:szCs w:val="21"/>
                <w:highlight w:val="none"/>
                <w:lang w:val="en-US" w:eastAsia="zh-CN"/>
              </w:rPr>
              <w:t>氯甲烷</w:t>
            </w:r>
          </w:p>
        </w:tc>
        <w:tc>
          <w:tcPr>
            <w:tcW w:w="1194" w:type="pct"/>
            <w:vMerge w:val="continue"/>
            <w:tcBorders>
              <w:tl2br w:val="nil"/>
              <w:tr2bl w:val="nil"/>
            </w:tcBorders>
            <w:shd w:val="clear" w:color="auto" w:fill="auto"/>
            <w:vAlign w:val="center"/>
          </w:tcPr>
          <w:p w14:paraId="76D39E90">
            <w:pPr>
              <w:widowControl/>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1493" w:type="pct"/>
            <w:vMerge w:val="continue"/>
            <w:tcBorders>
              <w:tl2br w:val="nil"/>
              <w:tr2bl w:val="nil"/>
            </w:tcBorders>
            <w:vAlign w:val="center"/>
          </w:tcPr>
          <w:p w14:paraId="3605CCC2">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53D60648">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1.0μg</w:t>
            </w:r>
            <w:r>
              <w:rPr>
                <w:rFonts w:hint="default" w:ascii="Times New Roman" w:hAnsi="Times New Roman" w:eastAsia="宋体" w:cs="Times New Roman"/>
                <w:sz w:val="21"/>
                <w:szCs w:val="21"/>
                <w:highlight w:val="none"/>
                <w:lang w:val="en-US" w:eastAsia="zh-CN" w:bidi="ar"/>
              </w:rPr>
              <w:t>/kg</w:t>
            </w:r>
          </w:p>
        </w:tc>
      </w:tr>
      <w:tr w14:paraId="5225AC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35" w:type="pct"/>
            <w:vMerge w:val="continue"/>
            <w:tcBorders>
              <w:tl2br w:val="nil"/>
              <w:tr2bl w:val="nil"/>
            </w:tcBorders>
            <w:vAlign w:val="center"/>
          </w:tcPr>
          <w:p w14:paraId="12BA63AC">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vAlign w:val="center"/>
          </w:tcPr>
          <w:p w14:paraId="05DF67C9">
            <w:pPr>
              <w:widowControl/>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color w:val="000000"/>
                <w:sz w:val="21"/>
                <w:szCs w:val="21"/>
                <w:highlight w:val="none"/>
                <w:lang w:val="en-US" w:eastAsia="zh-CN"/>
              </w:rPr>
              <w:t>1,1-二氯乙烷</w:t>
            </w:r>
          </w:p>
        </w:tc>
        <w:tc>
          <w:tcPr>
            <w:tcW w:w="1194" w:type="pct"/>
            <w:vMerge w:val="continue"/>
            <w:tcBorders>
              <w:tl2br w:val="nil"/>
              <w:tr2bl w:val="nil"/>
            </w:tcBorders>
            <w:shd w:val="clear" w:color="auto" w:fill="auto"/>
            <w:vAlign w:val="center"/>
          </w:tcPr>
          <w:p w14:paraId="55C3192E">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p>
        </w:tc>
        <w:tc>
          <w:tcPr>
            <w:tcW w:w="1493" w:type="pct"/>
            <w:vMerge w:val="continue"/>
            <w:tcBorders>
              <w:tl2br w:val="nil"/>
              <w:tr2bl w:val="nil"/>
            </w:tcBorders>
            <w:vAlign w:val="center"/>
          </w:tcPr>
          <w:p w14:paraId="71663906">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3C002DC1">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1.2μg</w:t>
            </w:r>
            <w:r>
              <w:rPr>
                <w:rFonts w:hint="default" w:ascii="Times New Roman" w:hAnsi="Times New Roman" w:eastAsia="宋体" w:cs="Times New Roman"/>
                <w:sz w:val="21"/>
                <w:szCs w:val="21"/>
                <w:highlight w:val="none"/>
                <w:lang w:val="en-US" w:eastAsia="zh-CN" w:bidi="ar"/>
              </w:rPr>
              <w:t>/kg</w:t>
            </w:r>
          </w:p>
        </w:tc>
      </w:tr>
      <w:tr w14:paraId="017741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35" w:type="pct"/>
            <w:vMerge w:val="continue"/>
            <w:tcBorders>
              <w:tl2br w:val="nil"/>
              <w:tr2bl w:val="nil"/>
            </w:tcBorders>
            <w:vAlign w:val="center"/>
          </w:tcPr>
          <w:p w14:paraId="5A3A4B17">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vAlign w:val="center"/>
          </w:tcPr>
          <w:p w14:paraId="6F0B2202">
            <w:pPr>
              <w:widowControl/>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color w:val="000000"/>
                <w:sz w:val="21"/>
                <w:szCs w:val="21"/>
                <w:highlight w:val="none"/>
                <w:lang w:val="en-US" w:eastAsia="zh-CN"/>
              </w:rPr>
              <w:t>1,2-二氯乙烷</w:t>
            </w:r>
          </w:p>
        </w:tc>
        <w:tc>
          <w:tcPr>
            <w:tcW w:w="1194" w:type="pct"/>
            <w:vMerge w:val="continue"/>
            <w:tcBorders>
              <w:tl2br w:val="nil"/>
              <w:tr2bl w:val="nil"/>
            </w:tcBorders>
            <w:shd w:val="clear" w:color="auto" w:fill="auto"/>
            <w:vAlign w:val="center"/>
          </w:tcPr>
          <w:p w14:paraId="26500583">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p>
        </w:tc>
        <w:tc>
          <w:tcPr>
            <w:tcW w:w="1493" w:type="pct"/>
            <w:vMerge w:val="continue"/>
            <w:tcBorders>
              <w:tl2br w:val="nil"/>
              <w:tr2bl w:val="nil"/>
            </w:tcBorders>
            <w:vAlign w:val="center"/>
          </w:tcPr>
          <w:p w14:paraId="2F5A1546">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33F781A7">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1.3μg</w:t>
            </w:r>
            <w:r>
              <w:rPr>
                <w:rFonts w:hint="default" w:ascii="Times New Roman" w:hAnsi="Times New Roman" w:eastAsia="宋体" w:cs="Times New Roman"/>
                <w:sz w:val="21"/>
                <w:szCs w:val="21"/>
                <w:highlight w:val="none"/>
                <w:lang w:val="en-US" w:eastAsia="zh-CN" w:bidi="ar"/>
              </w:rPr>
              <w:t>/kg</w:t>
            </w:r>
          </w:p>
        </w:tc>
      </w:tr>
      <w:tr w14:paraId="74526A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35" w:type="pct"/>
            <w:vMerge w:val="continue"/>
            <w:tcBorders>
              <w:tl2br w:val="nil"/>
              <w:tr2bl w:val="nil"/>
            </w:tcBorders>
            <w:vAlign w:val="center"/>
          </w:tcPr>
          <w:p w14:paraId="09FAAD1E">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vAlign w:val="center"/>
          </w:tcPr>
          <w:p w14:paraId="60739B82">
            <w:pPr>
              <w:widowControl/>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color w:val="000000"/>
                <w:sz w:val="21"/>
                <w:szCs w:val="21"/>
                <w:highlight w:val="none"/>
                <w:lang w:val="en-US" w:eastAsia="zh-CN"/>
              </w:rPr>
              <w:t>1,1-二氯乙烯</w:t>
            </w:r>
          </w:p>
        </w:tc>
        <w:tc>
          <w:tcPr>
            <w:tcW w:w="1194" w:type="pct"/>
            <w:vMerge w:val="continue"/>
            <w:tcBorders>
              <w:tl2br w:val="nil"/>
              <w:tr2bl w:val="nil"/>
            </w:tcBorders>
            <w:shd w:val="clear" w:color="auto" w:fill="auto"/>
            <w:vAlign w:val="center"/>
          </w:tcPr>
          <w:p w14:paraId="3D644EB8">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p>
        </w:tc>
        <w:tc>
          <w:tcPr>
            <w:tcW w:w="1493" w:type="pct"/>
            <w:vMerge w:val="continue"/>
            <w:tcBorders>
              <w:tl2br w:val="nil"/>
              <w:tr2bl w:val="nil"/>
            </w:tcBorders>
            <w:vAlign w:val="center"/>
          </w:tcPr>
          <w:p w14:paraId="4231F105">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165C79A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1.0μg</w:t>
            </w:r>
            <w:r>
              <w:rPr>
                <w:rFonts w:hint="default" w:ascii="Times New Roman" w:hAnsi="Times New Roman" w:eastAsia="宋体" w:cs="Times New Roman"/>
                <w:sz w:val="21"/>
                <w:szCs w:val="21"/>
                <w:highlight w:val="none"/>
                <w:lang w:val="en-US" w:eastAsia="zh-CN" w:bidi="ar"/>
              </w:rPr>
              <w:t>/kg</w:t>
            </w:r>
          </w:p>
        </w:tc>
      </w:tr>
      <w:tr w14:paraId="2BDCC4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35" w:type="pct"/>
            <w:vMerge w:val="continue"/>
            <w:tcBorders>
              <w:tl2br w:val="nil"/>
              <w:tr2bl w:val="nil"/>
            </w:tcBorders>
            <w:vAlign w:val="center"/>
          </w:tcPr>
          <w:p w14:paraId="38A3BC10">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vAlign w:val="center"/>
          </w:tcPr>
          <w:p w14:paraId="0AADE338">
            <w:pPr>
              <w:widowControl/>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color w:val="000000"/>
                <w:sz w:val="21"/>
                <w:szCs w:val="21"/>
                <w:highlight w:val="none"/>
                <w:lang w:val="en-US" w:eastAsia="zh-CN"/>
              </w:rPr>
              <w:t>顺-1,2-二氯乙烯</w:t>
            </w:r>
          </w:p>
        </w:tc>
        <w:tc>
          <w:tcPr>
            <w:tcW w:w="1194" w:type="pct"/>
            <w:vMerge w:val="continue"/>
            <w:tcBorders>
              <w:tl2br w:val="nil"/>
              <w:tr2bl w:val="nil"/>
            </w:tcBorders>
            <w:shd w:val="clear" w:color="auto" w:fill="auto"/>
            <w:vAlign w:val="center"/>
          </w:tcPr>
          <w:p w14:paraId="3C5A1EB1">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p>
        </w:tc>
        <w:tc>
          <w:tcPr>
            <w:tcW w:w="1493" w:type="pct"/>
            <w:vMerge w:val="continue"/>
            <w:tcBorders>
              <w:tl2br w:val="nil"/>
              <w:tr2bl w:val="nil"/>
            </w:tcBorders>
            <w:vAlign w:val="center"/>
          </w:tcPr>
          <w:p w14:paraId="4105F5C1">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577A2D43">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1.3μg</w:t>
            </w:r>
            <w:r>
              <w:rPr>
                <w:rFonts w:hint="default" w:ascii="Times New Roman" w:hAnsi="Times New Roman" w:eastAsia="宋体" w:cs="Times New Roman"/>
                <w:sz w:val="21"/>
                <w:szCs w:val="21"/>
                <w:highlight w:val="none"/>
                <w:lang w:val="en-US" w:eastAsia="zh-CN" w:bidi="ar"/>
              </w:rPr>
              <w:t>/kg</w:t>
            </w:r>
          </w:p>
        </w:tc>
      </w:tr>
      <w:tr w14:paraId="31E402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35" w:type="pct"/>
            <w:vMerge w:val="continue"/>
            <w:tcBorders>
              <w:tl2br w:val="nil"/>
              <w:tr2bl w:val="nil"/>
            </w:tcBorders>
            <w:vAlign w:val="center"/>
          </w:tcPr>
          <w:p w14:paraId="72490A84">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vAlign w:val="center"/>
          </w:tcPr>
          <w:p w14:paraId="14E1F8EC">
            <w:pPr>
              <w:widowControl/>
              <w:jc w:val="center"/>
              <w:textAlignment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color w:val="000000"/>
                <w:sz w:val="21"/>
                <w:szCs w:val="21"/>
                <w:highlight w:val="none"/>
                <w:lang w:val="en-US" w:eastAsia="zh-CN"/>
              </w:rPr>
              <w:t>反-1,2-二氯乙烯</w:t>
            </w:r>
          </w:p>
        </w:tc>
        <w:tc>
          <w:tcPr>
            <w:tcW w:w="1194" w:type="pct"/>
            <w:vMerge w:val="continue"/>
            <w:tcBorders>
              <w:tl2br w:val="nil"/>
              <w:tr2bl w:val="nil"/>
            </w:tcBorders>
            <w:shd w:val="clear" w:color="auto" w:fill="auto"/>
            <w:vAlign w:val="center"/>
          </w:tcPr>
          <w:p w14:paraId="126887F6">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p>
        </w:tc>
        <w:tc>
          <w:tcPr>
            <w:tcW w:w="1493" w:type="pct"/>
            <w:vMerge w:val="continue"/>
            <w:tcBorders>
              <w:tl2br w:val="nil"/>
              <w:tr2bl w:val="nil"/>
            </w:tcBorders>
            <w:vAlign w:val="center"/>
          </w:tcPr>
          <w:p w14:paraId="033B36BF">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2CF4651A">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1.4μg</w:t>
            </w:r>
            <w:r>
              <w:rPr>
                <w:rFonts w:hint="default" w:ascii="Times New Roman" w:hAnsi="Times New Roman" w:eastAsia="宋体" w:cs="Times New Roman"/>
                <w:sz w:val="21"/>
                <w:szCs w:val="21"/>
                <w:highlight w:val="none"/>
                <w:lang w:val="en-US" w:eastAsia="zh-CN" w:bidi="ar"/>
              </w:rPr>
              <w:t>/kg</w:t>
            </w:r>
          </w:p>
        </w:tc>
      </w:tr>
      <w:tr w14:paraId="4AF979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635" w:type="pct"/>
            <w:vMerge w:val="continue"/>
            <w:tcBorders>
              <w:tl2br w:val="nil"/>
              <w:tr2bl w:val="nil"/>
            </w:tcBorders>
            <w:vAlign w:val="center"/>
          </w:tcPr>
          <w:p w14:paraId="089B1719">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vAlign w:val="center"/>
          </w:tcPr>
          <w:p w14:paraId="4D1274EF">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二氯甲烷</w:t>
            </w:r>
          </w:p>
        </w:tc>
        <w:tc>
          <w:tcPr>
            <w:tcW w:w="1194" w:type="pct"/>
            <w:vMerge w:val="continue"/>
            <w:tcBorders>
              <w:tl2br w:val="nil"/>
              <w:tr2bl w:val="nil"/>
            </w:tcBorders>
            <w:shd w:val="clear" w:color="auto" w:fill="auto"/>
            <w:vAlign w:val="center"/>
          </w:tcPr>
          <w:p w14:paraId="63FDFDC6">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p>
        </w:tc>
        <w:tc>
          <w:tcPr>
            <w:tcW w:w="1493" w:type="pct"/>
            <w:vMerge w:val="continue"/>
            <w:tcBorders>
              <w:tl2br w:val="nil"/>
              <w:tr2bl w:val="nil"/>
            </w:tcBorders>
            <w:vAlign w:val="center"/>
          </w:tcPr>
          <w:p w14:paraId="4FFE286C">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76AF69C4">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1.5μg</w:t>
            </w:r>
            <w:r>
              <w:rPr>
                <w:rFonts w:hint="default" w:ascii="Times New Roman" w:hAnsi="Times New Roman" w:eastAsia="宋体" w:cs="Times New Roman"/>
                <w:sz w:val="21"/>
                <w:szCs w:val="21"/>
                <w:highlight w:val="none"/>
                <w:lang w:val="en-US" w:eastAsia="zh-CN" w:bidi="ar"/>
              </w:rPr>
              <w:t>/kg</w:t>
            </w:r>
          </w:p>
        </w:tc>
      </w:tr>
      <w:tr w14:paraId="7952ED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35" w:type="pct"/>
            <w:vMerge w:val="continue"/>
            <w:tcBorders>
              <w:tl2br w:val="nil"/>
              <w:tr2bl w:val="nil"/>
            </w:tcBorders>
            <w:vAlign w:val="center"/>
          </w:tcPr>
          <w:p w14:paraId="2DF59A89">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auto"/>
            <w:vAlign w:val="center"/>
          </w:tcPr>
          <w:p w14:paraId="1EE26FB7">
            <w:pPr>
              <w:widowControl/>
              <w:jc w:val="center"/>
              <w:textAlignment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1,2-二氯丙烷</w:t>
            </w:r>
          </w:p>
        </w:tc>
        <w:tc>
          <w:tcPr>
            <w:tcW w:w="1194" w:type="pct"/>
            <w:vMerge w:val="continue"/>
            <w:tcBorders>
              <w:tl2br w:val="nil"/>
              <w:tr2bl w:val="nil"/>
            </w:tcBorders>
            <w:shd w:val="clear" w:color="auto" w:fill="auto"/>
            <w:vAlign w:val="center"/>
          </w:tcPr>
          <w:p w14:paraId="32AD51FB">
            <w:pPr>
              <w:widowControl/>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1493" w:type="pct"/>
            <w:vMerge w:val="continue"/>
            <w:tcBorders>
              <w:tl2br w:val="nil"/>
              <w:tr2bl w:val="nil"/>
            </w:tcBorders>
            <w:vAlign w:val="center"/>
          </w:tcPr>
          <w:p w14:paraId="58990241">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5121BF3D">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1.1μg</w:t>
            </w:r>
            <w:r>
              <w:rPr>
                <w:rFonts w:hint="default" w:ascii="Times New Roman" w:hAnsi="Times New Roman" w:eastAsia="宋体" w:cs="Times New Roman"/>
                <w:sz w:val="21"/>
                <w:szCs w:val="21"/>
                <w:highlight w:val="none"/>
                <w:lang w:val="en-US" w:eastAsia="zh-CN" w:bidi="ar"/>
              </w:rPr>
              <w:t>/kg</w:t>
            </w:r>
          </w:p>
        </w:tc>
      </w:tr>
      <w:tr w14:paraId="4163E9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35" w:type="pct"/>
            <w:vMerge w:val="continue"/>
            <w:tcBorders>
              <w:tl2br w:val="nil"/>
              <w:tr2bl w:val="nil"/>
            </w:tcBorders>
            <w:vAlign w:val="center"/>
          </w:tcPr>
          <w:p w14:paraId="6DB98885">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auto"/>
            <w:vAlign w:val="center"/>
          </w:tcPr>
          <w:p w14:paraId="69182AD4">
            <w:pPr>
              <w:widowControl/>
              <w:jc w:val="center"/>
              <w:textAlignment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1,1,1,2-四氯乙烷</w:t>
            </w:r>
          </w:p>
        </w:tc>
        <w:tc>
          <w:tcPr>
            <w:tcW w:w="1194" w:type="pct"/>
            <w:vMerge w:val="continue"/>
            <w:tcBorders>
              <w:tl2br w:val="nil"/>
              <w:tr2bl w:val="nil"/>
            </w:tcBorders>
            <w:shd w:val="clear" w:color="auto" w:fill="auto"/>
            <w:vAlign w:val="center"/>
          </w:tcPr>
          <w:p w14:paraId="2B5D925F">
            <w:pPr>
              <w:widowControl/>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1493" w:type="pct"/>
            <w:vMerge w:val="continue"/>
            <w:tcBorders>
              <w:tl2br w:val="nil"/>
              <w:tr2bl w:val="nil"/>
            </w:tcBorders>
            <w:vAlign w:val="center"/>
          </w:tcPr>
          <w:p w14:paraId="01B77CC5">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393A1B48">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1.2μg</w:t>
            </w:r>
            <w:r>
              <w:rPr>
                <w:rFonts w:hint="default" w:ascii="Times New Roman" w:hAnsi="Times New Roman" w:eastAsia="宋体" w:cs="Times New Roman"/>
                <w:sz w:val="21"/>
                <w:szCs w:val="21"/>
                <w:highlight w:val="none"/>
                <w:lang w:val="en-US" w:eastAsia="zh-CN" w:bidi="ar"/>
              </w:rPr>
              <w:t>/kg</w:t>
            </w:r>
          </w:p>
        </w:tc>
      </w:tr>
      <w:tr w14:paraId="2116E0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35" w:type="pct"/>
            <w:vMerge w:val="continue"/>
            <w:tcBorders>
              <w:tl2br w:val="nil"/>
              <w:tr2bl w:val="nil"/>
            </w:tcBorders>
            <w:vAlign w:val="center"/>
          </w:tcPr>
          <w:p w14:paraId="3CE3CF7A">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auto"/>
            <w:vAlign w:val="center"/>
          </w:tcPr>
          <w:p w14:paraId="0704D2D4">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1,1,2,2-四氯乙烷</w:t>
            </w:r>
          </w:p>
        </w:tc>
        <w:tc>
          <w:tcPr>
            <w:tcW w:w="1194" w:type="pct"/>
            <w:vMerge w:val="continue"/>
            <w:tcBorders>
              <w:tl2br w:val="nil"/>
              <w:tr2bl w:val="nil"/>
            </w:tcBorders>
            <w:shd w:val="clear" w:color="auto" w:fill="auto"/>
            <w:vAlign w:val="center"/>
          </w:tcPr>
          <w:p w14:paraId="27C141F9">
            <w:pPr>
              <w:widowControl/>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1493" w:type="pct"/>
            <w:vMerge w:val="continue"/>
            <w:tcBorders>
              <w:tl2br w:val="nil"/>
              <w:tr2bl w:val="nil"/>
            </w:tcBorders>
            <w:vAlign w:val="center"/>
          </w:tcPr>
          <w:p w14:paraId="757A8276">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3152FAB7">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1.2μg</w:t>
            </w:r>
            <w:r>
              <w:rPr>
                <w:rFonts w:hint="default" w:ascii="Times New Roman" w:hAnsi="Times New Roman" w:eastAsia="宋体" w:cs="Times New Roman"/>
                <w:sz w:val="21"/>
                <w:szCs w:val="21"/>
                <w:highlight w:val="none"/>
                <w:lang w:val="en-US" w:eastAsia="zh-CN" w:bidi="ar"/>
              </w:rPr>
              <w:t>/kg</w:t>
            </w:r>
          </w:p>
        </w:tc>
      </w:tr>
      <w:tr w14:paraId="22D8E6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635" w:type="pct"/>
            <w:vMerge w:val="continue"/>
            <w:tcBorders>
              <w:tl2br w:val="nil"/>
              <w:tr2bl w:val="nil"/>
            </w:tcBorders>
            <w:vAlign w:val="center"/>
          </w:tcPr>
          <w:p w14:paraId="64C92668">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auto"/>
            <w:vAlign w:val="center"/>
          </w:tcPr>
          <w:p w14:paraId="3082E247">
            <w:pPr>
              <w:widowControl/>
              <w:jc w:val="center"/>
              <w:textAlignment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四氯乙烯</w:t>
            </w:r>
          </w:p>
        </w:tc>
        <w:tc>
          <w:tcPr>
            <w:tcW w:w="1194" w:type="pct"/>
            <w:vMerge w:val="continue"/>
            <w:tcBorders>
              <w:tl2br w:val="nil"/>
              <w:tr2bl w:val="nil"/>
            </w:tcBorders>
            <w:shd w:val="clear" w:color="auto" w:fill="auto"/>
            <w:vAlign w:val="center"/>
          </w:tcPr>
          <w:p w14:paraId="07C90C98">
            <w:pPr>
              <w:widowControl/>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1493" w:type="pct"/>
            <w:vMerge w:val="continue"/>
            <w:tcBorders>
              <w:tl2br w:val="nil"/>
              <w:tr2bl w:val="nil"/>
            </w:tcBorders>
            <w:vAlign w:val="center"/>
          </w:tcPr>
          <w:p w14:paraId="27460AC6">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437F37EF">
            <w:pPr>
              <w:widowControl w:val="0"/>
              <w:spacing w:line="360" w:lineRule="auto"/>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1.4μg</w:t>
            </w:r>
            <w:r>
              <w:rPr>
                <w:rFonts w:hint="default" w:ascii="Times New Roman" w:hAnsi="Times New Roman" w:eastAsia="宋体" w:cs="Times New Roman"/>
                <w:sz w:val="21"/>
                <w:szCs w:val="21"/>
                <w:highlight w:val="none"/>
                <w:lang w:val="en-US" w:eastAsia="zh-CN" w:bidi="ar"/>
              </w:rPr>
              <w:t>/kg</w:t>
            </w:r>
          </w:p>
        </w:tc>
      </w:tr>
      <w:tr w14:paraId="3F6D4F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635" w:type="pct"/>
            <w:vMerge w:val="continue"/>
            <w:tcBorders>
              <w:tl2br w:val="nil"/>
              <w:tr2bl w:val="nil"/>
            </w:tcBorders>
            <w:vAlign w:val="center"/>
          </w:tcPr>
          <w:p w14:paraId="593CA25E">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auto"/>
            <w:vAlign w:val="center"/>
          </w:tcPr>
          <w:p w14:paraId="27DBEFA8">
            <w:pPr>
              <w:widowControl/>
              <w:jc w:val="center"/>
              <w:textAlignment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1,1,1-三氯乙烷</w:t>
            </w:r>
          </w:p>
        </w:tc>
        <w:tc>
          <w:tcPr>
            <w:tcW w:w="1194" w:type="pct"/>
            <w:vMerge w:val="continue"/>
            <w:tcBorders>
              <w:tl2br w:val="nil"/>
              <w:tr2bl w:val="nil"/>
            </w:tcBorders>
            <w:shd w:val="clear" w:color="auto" w:fill="auto"/>
            <w:vAlign w:val="center"/>
          </w:tcPr>
          <w:p w14:paraId="6F06CAC4">
            <w:pPr>
              <w:widowControl/>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1493" w:type="pct"/>
            <w:vMerge w:val="continue"/>
            <w:tcBorders>
              <w:tl2br w:val="nil"/>
              <w:tr2bl w:val="nil"/>
            </w:tcBorders>
            <w:vAlign w:val="center"/>
          </w:tcPr>
          <w:p w14:paraId="730B52A2">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24FC3438">
            <w:pPr>
              <w:widowControl w:val="0"/>
              <w:spacing w:line="360" w:lineRule="auto"/>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1.3μg</w:t>
            </w:r>
            <w:r>
              <w:rPr>
                <w:rFonts w:hint="default" w:ascii="Times New Roman" w:hAnsi="Times New Roman" w:eastAsia="宋体" w:cs="Times New Roman"/>
                <w:sz w:val="21"/>
                <w:szCs w:val="21"/>
                <w:highlight w:val="none"/>
                <w:lang w:val="en-US" w:eastAsia="zh-CN" w:bidi="ar"/>
              </w:rPr>
              <w:t>/kg</w:t>
            </w:r>
          </w:p>
        </w:tc>
      </w:tr>
      <w:tr w14:paraId="2085C3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635" w:type="pct"/>
            <w:vMerge w:val="continue"/>
            <w:tcBorders>
              <w:tl2br w:val="nil"/>
              <w:tr2bl w:val="nil"/>
            </w:tcBorders>
            <w:vAlign w:val="center"/>
          </w:tcPr>
          <w:p w14:paraId="40EBF809">
            <w:pPr>
              <w:pStyle w:val="12"/>
              <w:widowControl w:val="0"/>
              <w:rPr>
                <w:rFonts w:hint="default" w:ascii="Times New Roman" w:hAnsi="Times New Roman" w:eastAsia="宋体" w:cs="Times New Roman"/>
                <w:sz w:val="21"/>
                <w:szCs w:val="21"/>
                <w:highlight w:val="none"/>
              </w:rPr>
            </w:pPr>
          </w:p>
        </w:tc>
        <w:tc>
          <w:tcPr>
            <w:tcW w:w="963" w:type="pct"/>
            <w:tcBorders>
              <w:tl2br w:val="nil"/>
              <w:tr2bl w:val="nil"/>
            </w:tcBorders>
            <w:shd w:val="clear" w:color="auto" w:fill="auto"/>
            <w:vAlign w:val="center"/>
          </w:tcPr>
          <w:p w14:paraId="43E3ECAF">
            <w:pPr>
              <w:widowControl/>
              <w:jc w:val="center"/>
              <w:textAlignment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1,1,2-三氯乙烷</w:t>
            </w:r>
          </w:p>
        </w:tc>
        <w:tc>
          <w:tcPr>
            <w:tcW w:w="1194" w:type="pct"/>
            <w:vMerge w:val="continue"/>
            <w:tcBorders>
              <w:tl2br w:val="nil"/>
              <w:tr2bl w:val="nil"/>
            </w:tcBorders>
            <w:vAlign w:val="center"/>
          </w:tcPr>
          <w:p w14:paraId="677F1E35">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p>
        </w:tc>
        <w:tc>
          <w:tcPr>
            <w:tcW w:w="1493" w:type="pct"/>
            <w:vMerge w:val="continue"/>
            <w:tcBorders>
              <w:tl2br w:val="nil"/>
              <w:tr2bl w:val="nil"/>
            </w:tcBorders>
            <w:vAlign w:val="center"/>
          </w:tcPr>
          <w:p w14:paraId="657FDA47">
            <w:pPr>
              <w:widowControl w:val="0"/>
              <w:snapToGrid w:val="0"/>
              <w:jc w:val="center"/>
              <w:rPr>
                <w:rFonts w:hint="default" w:ascii="Times New Roman" w:hAnsi="Times New Roman" w:eastAsia="宋体" w:cs="Times New Roman"/>
                <w:kern w:val="0"/>
                <w:sz w:val="21"/>
                <w:szCs w:val="21"/>
                <w:highlight w:val="none"/>
                <w:lang w:val="en-US" w:eastAsia="zh-CN"/>
              </w:rPr>
            </w:pPr>
          </w:p>
        </w:tc>
        <w:tc>
          <w:tcPr>
            <w:tcW w:w="713" w:type="pct"/>
            <w:tcBorders>
              <w:tl2br w:val="nil"/>
              <w:tr2bl w:val="nil"/>
            </w:tcBorders>
            <w:shd w:val="clear" w:color="auto" w:fill="auto"/>
            <w:vAlign w:val="center"/>
          </w:tcPr>
          <w:p w14:paraId="28E6E097">
            <w:pPr>
              <w:widowControl w:val="0"/>
              <w:spacing w:line="360" w:lineRule="auto"/>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1.2μg</w:t>
            </w:r>
            <w:r>
              <w:rPr>
                <w:rFonts w:hint="default" w:ascii="Times New Roman" w:hAnsi="Times New Roman" w:eastAsia="宋体" w:cs="Times New Roman"/>
                <w:sz w:val="21"/>
                <w:szCs w:val="21"/>
                <w:highlight w:val="none"/>
                <w:lang w:val="en-US" w:eastAsia="zh-CN" w:bidi="ar"/>
              </w:rPr>
              <w:t>/kg</w:t>
            </w:r>
          </w:p>
        </w:tc>
      </w:tr>
      <w:tr w14:paraId="449050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635" w:type="pct"/>
            <w:vMerge w:val="continue"/>
            <w:tcBorders>
              <w:tl2br w:val="nil"/>
              <w:tr2bl w:val="nil"/>
            </w:tcBorders>
            <w:vAlign w:val="center"/>
          </w:tcPr>
          <w:p w14:paraId="4710C6B8">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963" w:type="pct"/>
            <w:tcBorders>
              <w:tl2br w:val="nil"/>
              <w:tr2bl w:val="nil"/>
            </w:tcBorders>
            <w:shd w:val="clear" w:color="auto" w:fill="auto"/>
            <w:vAlign w:val="center"/>
          </w:tcPr>
          <w:p w14:paraId="0F5DF986">
            <w:pPr>
              <w:widowControl/>
              <w:jc w:val="center"/>
              <w:textAlignment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三氯乙烯</w:t>
            </w:r>
          </w:p>
        </w:tc>
        <w:tc>
          <w:tcPr>
            <w:tcW w:w="1194" w:type="pct"/>
            <w:vMerge w:val="continue"/>
            <w:tcBorders>
              <w:tl2br w:val="nil"/>
              <w:tr2bl w:val="nil"/>
            </w:tcBorders>
            <w:vAlign w:val="center"/>
          </w:tcPr>
          <w:p w14:paraId="75297E72">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1493" w:type="pct"/>
            <w:vMerge w:val="continue"/>
            <w:tcBorders>
              <w:tl2br w:val="nil"/>
              <w:tr2bl w:val="nil"/>
            </w:tcBorders>
            <w:vAlign w:val="center"/>
          </w:tcPr>
          <w:p w14:paraId="61C39E48">
            <w:pPr>
              <w:widowControl w:val="0"/>
              <w:spacing w:line="360" w:lineRule="auto"/>
              <w:jc w:val="center"/>
              <w:rPr>
                <w:rFonts w:hint="default" w:ascii="Times New Roman" w:hAnsi="Times New Roman" w:eastAsia="宋体" w:cs="Times New Roman"/>
                <w:kern w:val="0"/>
                <w:sz w:val="21"/>
                <w:szCs w:val="21"/>
                <w:highlight w:val="none"/>
                <w:lang w:val="en-US" w:eastAsia="zh-CN"/>
              </w:rPr>
            </w:pPr>
          </w:p>
        </w:tc>
        <w:tc>
          <w:tcPr>
            <w:tcW w:w="713" w:type="pct"/>
            <w:tcBorders>
              <w:tl2br w:val="nil"/>
              <w:tr2bl w:val="nil"/>
            </w:tcBorders>
            <w:shd w:val="clear" w:color="auto" w:fill="auto"/>
            <w:vAlign w:val="center"/>
          </w:tcPr>
          <w:p w14:paraId="19946585">
            <w:pPr>
              <w:widowControl w:val="0"/>
              <w:spacing w:line="360" w:lineRule="auto"/>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1.2μg</w:t>
            </w:r>
            <w:r>
              <w:rPr>
                <w:rFonts w:hint="default" w:ascii="Times New Roman" w:hAnsi="Times New Roman" w:eastAsia="宋体" w:cs="Times New Roman"/>
                <w:sz w:val="21"/>
                <w:szCs w:val="21"/>
                <w:highlight w:val="none"/>
                <w:lang w:val="en-US" w:eastAsia="zh-CN" w:bidi="ar"/>
              </w:rPr>
              <w:t>/kg</w:t>
            </w:r>
          </w:p>
        </w:tc>
      </w:tr>
      <w:tr w14:paraId="0A675D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35" w:type="pct"/>
            <w:vMerge w:val="continue"/>
            <w:tcBorders>
              <w:tl2br w:val="nil"/>
              <w:tr2bl w:val="nil"/>
            </w:tcBorders>
            <w:vAlign w:val="center"/>
          </w:tcPr>
          <w:p w14:paraId="5A274C55">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963" w:type="pct"/>
            <w:tcBorders>
              <w:tl2br w:val="nil"/>
              <w:tr2bl w:val="nil"/>
            </w:tcBorders>
            <w:shd w:val="clear" w:color="auto" w:fill="auto"/>
            <w:vAlign w:val="center"/>
          </w:tcPr>
          <w:p w14:paraId="666B4720">
            <w:pPr>
              <w:widowControl/>
              <w:jc w:val="center"/>
              <w:textAlignment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1,2,3-三氯丙烷</w:t>
            </w:r>
          </w:p>
        </w:tc>
        <w:tc>
          <w:tcPr>
            <w:tcW w:w="1194" w:type="pct"/>
            <w:vMerge w:val="continue"/>
            <w:tcBorders>
              <w:tl2br w:val="nil"/>
              <w:tr2bl w:val="nil"/>
            </w:tcBorders>
            <w:vAlign w:val="center"/>
          </w:tcPr>
          <w:p w14:paraId="7CB5121F">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1493" w:type="pct"/>
            <w:vMerge w:val="continue"/>
            <w:tcBorders>
              <w:tl2br w:val="nil"/>
              <w:tr2bl w:val="nil"/>
            </w:tcBorders>
            <w:vAlign w:val="center"/>
          </w:tcPr>
          <w:p w14:paraId="7140138A">
            <w:pPr>
              <w:widowControl w:val="0"/>
              <w:spacing w:line="360" w:lineRule="auto"/>
              <w:jc w:val="center"/>
              <w:rPr>
                <w:rFonts w:hint="default" w:ascii="Times New Roman" w:hAnsi="Times New Roman" w:eastAsia="宋体" w:cs="Times New Roman"/>
                <w:kern w:val="0"/>
                <w:sz w:val="21"/>
                <w:szCs w:val="21"/>
                <w:highlight w:val="none"/>
                <w:lang w:val="en-US" w:eastAsia="zh-CN"/>
              </w:rPr>
            </w:pPr>
          </w:p>
        </w:tc>
        <w:tc>
          <w:tcPr>
            <w:tcW w:w="713" w:type="pct"/>
            <w:tcBorders>
              <w:tl2br w:val="nil"/>
              <w:tr2bl w:val="nil"/>
            </w:tcBorders>
            <w:shd w:val="clear" w:color="auto" w:fill="auto"/>
            <w:vAlign w:val="center"/>
          </w:tcPr>
          <w:p w14:paraId="43C1D4BF">
            <w:pPr>
              <w:widowControl w:val="0"/>
              <w:bidi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1.2μg</w:t>
            </w:r>
            <w:r>
              <w:rPr>
                <w:rFonts w:hint="default" w:ascii="Times New Roman" w:hAnsi="Times New Roman" w:eastAsia="宋体" w:cs="Times New Roman"/>
                <w:sz w:val="21"/>
                <w:szCs w:val="21"/>
                <w:highlight w:val="none"/>
                <w:lang w:val="en-US" w:eastAsia="zh-CN" w:bidi="ar"/>
              </w:rPr>
              <w:t>/kg</w:t>
            </w:r>
          </w:p>
        </w:tc>
      </w:tr>
      <w:tr w14:paraId="643960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35" w:type="pct"/>
            <w:vMerge w:val="continue"/>
            <w:tcBorders>
              <w:tl2br w:val="nil"/>
              <w:tr2bl w:val="nil"/>
            </w:tcBorders>
            <w:vAlign w:val="center"/>
          </w:tcPr>
          <w:p w14:paraId="367C1C99">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963" w:type="pct"/>
            <w:tcBorders>
              <w:tl2br w:val="nil"/>
              <w:tr2bl w:val="nil"/>
            </w:tcBorders>
            <w:shd w:val="clear" w:color="auto" w:fill="auto"/>
            <w:vAlign w:val="center"/>
          </w:tcPr>
          <w:p w14:paraId="44FD48D9">
            <w:pPr>
              <w:widowControl/>
              <w:jc w:val="center"/>
              <w:textAlignment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氯乙烯</w:t>
            </w:r>
          </w:p>
        </w:tc>
        <w:tc>
          <w:tcPr>
            <w:tcW w:w="1194" w:type="pct"/>
            <w:vMerge w:val="continue"/>
            <w:tcBorders>
              <w:tl2br w:val="nil"/>
              <w:tr2bl w:val="nil"/>
            </w:tcBorders>
            <w:vAlign w:val="center"/>
          </w:tcPr>
          <w:p w14:paraId="6FADD859">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1493" w:type="pct"/>
            <w:vMerge w:val="continue"/>
            <w:tcBorders>
              <w:tl2br w:val="nil"/>
              <w:tr2bl w:val="nil"/>
            </w:tcBorders>
            <w:vAlign w:val="center"/>
          </w:tcPr>
          <w:p w14:paraId="0DF8F3A1">
            <w:pPr>
              <w:widowControl w:val="0"/>
              <w:spacing w:line="360" w:lineRule="auto"/>
              <w:jc w:val="center"/>
              <w:rPr>
                <w:rFonts w:hint="default" w:ascii="Times New Roman" w:hAnsi="Times New Roman" w:eastAsia="宋体" w:cs="Times New Roman"/>
                <w:kern w:val="0"/>
                <w:sz w:val="21"/>
                <w:szCs w:val="21"/>
                <w:highlight w:val="none"/>
                <w:lang w:val="en-US" w:eastAsia="zh-CN"/>
              </w:rPr>
            </w:pPr>
          </w:p>
        </w:tc>
        <w:tc>
          <w:tcPr>
            <w:tcW w:w="713" w:type="pct"/>
            <w:tcBorders>
              <w:tl2br w:val="nil"/>
              <w:tr2bl w:val="nil"/>
            </w:tcBorders>
            <w:shd w:val="clear" w:color="auto" w:fill="auto"/>
            <w:vAlign w:val="center"/>
          </w:tcPr>
          <w:p w14:paraId="2F06AE4C">
            <w:pPr>
              <w:widowControl w:val="0"/>
              <w:bidi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1.0μg</w:t>
            </w:r>
            <w:r>
              <w:rPr>
                <w:rFonts w:hint="default" w:ascii="Times New Roman" w:hAnsi="Times New Roman" w:eastAsia="宋体" w:cs="Times New Roman"/>
                <w:sz w:val="21"/>
                <w:szCs w:val="21"/>
                <w:highlight w:val="none"/>
                <w:lang w:val="en-US" w:eastAsia="zh-CN" w:bidi="ar"/>
              </w:rPr>
              <w:t>/kg</w:t>
            </w:r>
          </w:p>
        </w:tc>
      </w:tr>
      <w:tr w14:paraId="54D755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635" w:type="pct"/>
            <w:vMerge w:val="continue"/>
            <w:tcBorders>
              <w:tl2br w:val="nil"/>
              <w:tr2bl w:val="nil"/>
            </w:tcBorders>
            <w:vAlign w:val="center"/>
          </w:tcPr>
          <w:p w14:paraId="7F46CF59">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auto"/>
            <w:vAlign w:val="center"/>
          </w:tcPr>
          <w:p w14:paraId="0551F2DA">
            <w:pPr>
              <w:widowControl/>
              <w:jc w:val="center"/>
              <w:textAlignment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w:t>
            </w:r>
          </w:p>
        </w:tc>
        <w:tc>
          <w:tcPr>
            <w:tcW w:w="1194" w:type="pct"/>
            <w:vMerge w:val="continue"/>
            <w:tcBorders>
              <w:tl2br w:val="nil"/>
              <w:tr2bl w:val="nil"/>
            </w:tcBorders>
            <w:shd w:val="clear" w:color="auto" w:fill="auto"/>
            <w:vAlign w:val="center"/>
          </w:tcPr>
          <w:p w14:paraId="276B74B4">
            <w:pPr>
              <w:widowControl w:val="0"/>
              <w:bidi w:val="0"/>
              <w:jc w:val="center"/>
              <w:rPr>
                <w:rFonts w:hint="default" w:ascii="Times New Roman" w:hAnsi="Times New Roman" w:eastAsia="宋体" w:cs="Times New Roman"/>
                <w:color w:val="auto"/>
                <w:kern w:val="0"/>
                <w:sz w:val="21"/>
                <w:szCs w:val="21"/>
                <w:highlight w:val="none"/>
                <w:lang w:val="en-US" w:eastAsia="zh-CN" w:bidi="ar-SA"/>
              </w:rPr>
            </w:pPr>
          </w:p>
        </w:tc>
        <w:tc>
          <w:tcPr>
            <w:tcW w:w="1493" w:type="pct"/>
            <w:vMerge w:val="continue"/>
            <w:tcBorders>
              <w:tl2br w:val="nil"/>
              <w:tr2bl w:val="nil"/>
            </w:tcBorders>
            <w:vAlign w:val="center"/>
          </w:tcPr>
          <w:p w14:paraId="19AD623F">
            <w:pPr>
              <w:widowControl w:val="0"/>
              <w:snapToGrid w:val="0"/>
              <w:jc w:val="center"/>
              <w:rPr>
                <w:rFonts w:hint="default" w:ascii="Times New Roman" w:hAnsi="Times New Roman" w:eastAsia="宋体" w:cs="Times New Roman"/>
                <w:kern w:val="0"/>
                <w:sz w:val="21"/>
                <w:szCs w:val="21"/>
                <w:highlight w:val="none"/>
                <w:lang w:val="en-US" w:eastAsia="zh-CN"/>
              </w:rPr>
            </w:pPr>
          </w:p>
        </w:tc>
        <w:tc>
          <w:tcPr>
            <w:tcW w:w="713" w:type="pct"/>
            <w:tcBorders>
              <w:tl2br w:val="nil"/>
              <w:tr2bl w:val="nil"/>
            </w:tcBorders>
            <w:shd w:val="clear" w:color="auto" w:fill="auto"/>
            <w:vAlign w:val="center"/>
          </w:tcPr>
          <w:p w14:paraId="3FC50234">
            <w:pPr>
              <w:widowControl w:val="0"/>
              <w:bidi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1.9μg</w:t>
            </w:r>
            <w:r>
              <w:rPr>
                <w:rFonts w:hint="default" w:ascii="Times New Roman" w:hAnsi="Times New Roman" w:eastAsia="宋体" w:cs="Times New Roman"/>
                <w:sz w:val="21"/>
                <w:szCs w:val="21"/>
                <w:highlight w:val="none"/>
                <w:lang w:val="en-US" w:eastAsia="zh-CN" w:bidi="ar"/>
              </w:rPr>
              <w:t>/kg</w:t>
            </w:r>
          </w:p>
        </w:tc>
      </w:tr>
      <w:tr w14:paraId="619F5B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635" w:type="pct"/>
            <w:vMerge w:val="continue"/>
            <w:tcBorders>
              <w:tl2br w:val="nil"/>
              <w:tr2bl w:val="nil"/>
            </w:tcBorders>
            <w:vAlign w:val="center"/>
          </w:tcPr>
          <w:p w14:paraId="460FFC5B">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963" w:type="pct"/>
            <w:tcBorders>
              <w:tl2br w:val="nil"/>
              <w:tr2bl w:val="nil"/>
            </w:tcBorders>
            <w:shd w:val="clear" w:color="auto" w:fill="auto"/>
            <w:vAlign w:val="center"/>
          </w:tcPr>
          <w:p w14:paraId="2C3BC89E">
            <w:pPr>
              <w:widowControl/>
              <w:jc w:val="center"/>
              <w:textAlignment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氯苯</w:t>
            </w:r>
          </w:p>
        </w:tc>
        <w:tc>
          <w:tcPr>
            <w:tcW w:w="1194" w:type="pct"/>
            <w:vMerge w:val="continue"/>
            <w:tcBorders>
              <w:tl2br w:val="nil"/>
              <w:tr2bl w:val="nil"/>
            </w:tcBorders>
            <w:shd w:val="clear" w:color="auto" w:fill="auto"/>
            <w:vAlign w:val="center"/>
          </w:tcPr>
          <w:p w14:paraId="37F38C1D">
            <w:pPr>
              <w:widowControl w:val="0"/>
              <w:bidi w:val="0"/>
              <w:jc w:val="center"/>
              <w:rPr>
                <w:rFonts w:hint="default" w:ascii="Times New Roman" w:hAnsi="Times New Roman" w:eastAsia="宋体" w:cs="Times New Roman"/>
                <w:color w:val="auto"/>
                <w:kern w:val="0"/>
                <w:sz w:val="21"/>
                <w:szCs w:val="21"/>
                <w:highlight w:val="none"/>
                <w:lang w:val="en-US" w:eastAsia="zh-CN" w:bidi="ar-SA"/>
              </w:rPr>
            </w:pPr>
          </w:p>
        </w:tc>
        <w:tc>
          <w:tcPr>
            <w:tcW w:w="1493" w:type="pct"/>
            <w:vMerge w:val="continue"/>
            <w:tcBorders>
              <w:tl2br w:val="nil"/>
              <w:tr2bl w:val="nil"/>
            </w:tcBorders>
            <w:vAlign w:val="center"/>
          </w:tcPr>
          <w:p w14:paraId="34F82EEA">
            <w:pPr>
              <w:widowControl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713" w:type="pct"/>
            <w:tcBorders>
              <w:tl2br w:val="nil"/>
              <w:tr2bl w:val="nil"/>
            </w:tcBorders>
            <w:shd w:val="clear" w:color="auto" w:fill="auto"/>
            <w:vAlign w:val="center"/>
          </w:tcPr>
          <w:p w14:paraId="573FA3A0">
            <w:pPr>
              <w:widowControl w:val="0"/>
              <w:bidi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1.2μg</w:t>
            </w:r>
            <w:r>
              <w:rPr>
                <w:rFonts w:hint="default" w:ascii="Times New Roman" w:hAnsi="Times New Roman" w:eastAsia="宋体" w:cs="Times New Roman"/>
                <w:sz w:val="21"/>
                <w:szCs w:val="21"/>
                <w:highlight w:val="none"/>
                <w:lang w:val="en-US" w:eastAsia="zh-CN" w:bidi="ar"/>
              </w:rPr>
              <w:t>/kg</w:t>
            </w:r>
          </w:p>
        </w:tc>
      </w:tr>
      <w:tr w14:paraId="3AB037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35" w:type="pct"/>
            <w:vMerge w:val="continue"/>
            <w:tcBorders>
              <w:tl2br w:val="nil"/>
              <w:tr2bl w:val="nil"/>
            </w:tcBorders>
            <w:vAlign w:val="center"/>
          </w:tcPr>
          <w:p w14:paraId="0DD7F5F0">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963" w:type="pct"/>
            <w:tcBorders>
              <w:tl2br w:val="nil"/>
              <w:tr2bl w:val="nil"/>
            </w:tcBorders>
            <w:shd w:val="clear" w:color="auto" w:fill="auto"/>
            <w:vAlign w:val="center"/>
          </w:tcPr>
          <w:p w14:paraId="4E365381">
            <w:pPr>
              <w:widowControl/>
              <w:jc w:val="center"/>
              <w:textAlignment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1,2-二氯苯</w:t>
            </w:r>
          </w:p>
        </w:tc>
        <w:tc>
          <w:tcPr>
            <w:tcW w:w="1194" w:type="pct"/>
            <w:vMerge w:val="continue"/>
            <w:tcBorders>
              <w:tl2br w:val="nil"/>
              <w:tr2bl w:val="nil"/>
            </w:tcBorders>
            <w:shd w:val="clear" w:color="auto" w:fill="auto"/>
            <w:vAlign w:val="center"/>
          </w:tcPr>
          <w:p w14:paraId="39DD4C5B">
            <w:pPr>
              <w:widowControl w:val="0"/>
              <w:bidi w:val="0"/>
              <w:jc w:val="center"/>
              <w:rPr>
                <w:rFonts w:hint="default" w:ascii="Times New Roman" w:hAnsi="Times New Roman" w:eastAsia="宋体" w:cs="Times New Roman"/>
                <w:color w:val="auto"/>
                <w:kern w:val="0"/>
                <w:sz w:val="21"/>
                <w:szCs w:val="21"/>
                <w:highlight w:val="none"/>
                <w:lang w:val="en-US" w:eastAsia="zh-CN" w:bidi="ar-SA"/>
              </w:rPr>
            </w:pPr>
          </w:p>
        </w:tc>
        <w:tc>
          <w:tcPr>
            <w:tcW w:w="1493" w:type="pct"/>
            <w:vMerge w:val="continue"/>
            <w:tcBorders>
              <w:tl2br w:val="nil"/>
              <w:tr2bl w:val="nil"/>
            </w:tcBorders>
            <w:vAlign w:val="center"/>
          </w:tcPr>
          <w:p w14:paraId="7ED12D95">
            <w:pPr>
              <w:widowControl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713" w:type="pct"/>
            <w:tcBorders>
              <w:tl2br w:val="nil"/>
              <w:tr2bl w:val="nil"/>
            </w:tcBorders>
            <w:shd w:val="clear" w:color="auto" w:fill="auto"/>
            <w:vAlign w:val="center"/>
          </w:tcPr>
          <w:p w14:paraId="6EA61586">
            <w:pPr>
              <w:widowControl w:val="0"/>
              <w:bidi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1.5μg</w:t>
            </w:r>
            <w:r>
              <w:rPr>
                <w:rFonts w:hint="default" w:ascii="Times New Roman" w:hAnsi="Times New Roman" w:eastAsia="宋体" w:cs="Times New Roman"/>
                <w:sz w:val="21"/>
                <w:szCs w:val="21"/>
                <w:highlight w:val="none"/>
                <w:lang w:val="en-US" w:eastAsia="zh-CN" w:bidi="ar"/>
              </w:rPr>
              <w:t>/kg</w:t>
            </w:r>
          </w:p>
        </w:tc>
      </w:tr>
      <w:tr w14:paraId="32196C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35" w:type="pct"/>
            <w:vMerge w:val="continue"/>
            <w:tcBorders>
              <w:tl2br w:val="nil"/>
              <w:tr2bl w:val="nil"/>
            </w:tcBorders>
            <w:vAlign w:val="center"/>
          </w:tcPr>
          <w:p w14:paraId="235382C0">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963" w:type="pct"/>
            <w:tcBorders>
              <w:tl2br w:val="nil"/>
              <w:tr2bl w:val="nil"/>
            </w:tcBorders>
            <w:shd w:val="clear" w:color="auto" w:fill="auto"/>
            <w:vAlign w:val="center"/>
          </w:tcPr>
          <w:p w14:paraId="123346AC">
            <w:pPr>
              <w:widowControl/>
              <w:jc w:val="center"/>
              <w:textAlignment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1,4-二氯苯</w:t>
            </w:r>
          </w:p>
        </w:tc>
        <w:tc>
          <w:tcPr>
            <w:tcW w:w="1194" w:type="pct"/>
            <w:vMerge w:val="continue"/>
            <w:tcBorders>
              <w:tl2br w:val="nil"/>
              <w:tr2bl w:val="nil"/>
            </w:tcBorders>
            <w:shd w:val="clear" w:color="auto" w:fill="auto"/>
            <w:vAlign w:val="center"/>
          </w:tcPr>
          <w:p w14:paraId="60318FA3">
            <w:pPr>
              <w:widowControl w:val="0"/>
              <w:bidi w:val="0"/>
              <w:jc w:val="center"/>
              <w:rPr>
                <w:rFonts w:hint="default" w:ascii="Times New Roman" w:hAnsi="Times New Roman" w:eastAsia="宋体" w:cs="Times New Roman"/>
                <w:color w:val="auto"/>
                <w:kern w:val="0"/>
                <w:sz w:val="21"/>
                <w:szCs w:val="21"/>
                <w:highlight w:val="none"/>
                <w:lang w:val="en-US" w:eastAsia="zh-CN" w:bidi="ar-SA"/>
              </w:rPr>
            </w:pPr>
          </w:p>
        </w:tc>
        <w:tc>
          <w:tcPr>
            <w:tcW w:w="1493" w:type="pct"/>
            <w:vMerge w:val="continue"/>
            <w:tcBorders>
              <w:tl2br w:val="nil"/>
              <w:tr2bl w:val="nil"/>
            </w:tcBorders>
            <w:vAlign w:val="center"/>
          </w:tcPr>
          <w:p w14:paraId="2A72E253">
            <w:pPr>
              <w:widowControl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713" w:type="pct"/>
            <w:tcBorders>
              <w:tl2br w:val="nil"/>
              <w:tr2bl w:val="nil"/>
            </w:tcBorders>
            <w:shd w:val="clear" w:color="auto" w:fill="auto"/>
            <w:vAlign w:val="center"/>
          </w:tcPr>
          <w:p w14:paraId="031F8227">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1.5μg</w:t>
            </w:r>
            <w:r>
              <w:rPr>
                <w:rFonts w:hint="default" w:ascii="Times New Roman" w:hAnsi="Times New Roman" w:eastAsia="宋体" w:cs="Times New Roman"/>
                <w:sz w:val="21"/>
                <w:szCs w:val="21"/>
                <w:highlight w:val="none"/>
                <w:lang w:val="en-US" w:eastAsia="zh-CN" w:bidi="ar"/>
              </w:rPr>
              <w:t>/kg</w:t>
            </w:r>
          </w:p>
        </w:tc>
      </w:tr>
      <w:tr w14:paraId="70B9DD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635" w:type="pct"/>
            <w:vMerge w:val="continue"/>
            <w:tcBorders>
              <w:tl2br w:val="nil"/>
              <w:tr2bl w:val="nil"/>
            </w:tcBorders>
            <w:vAlign w:val="center"/>
          </w:tcPr>
          <w:p w14:paraId="4FD90EDC">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963" w:type="pct"/>
            <w:tcBorders>
              <w:tl2br w:val="nil"/>
              <w:tr2bl w:val="nil"/>
            </w:tcBorders>
            <w:shd w:val="clear" w:color="auto" w:fill="auto"/>
            <w:vAlign w:val="center"/>
          </w:tcPr>
          <w:p w14:paraId="45CD10B6">
            <w:pPr>
              <w:widowControl/>
              <w:jc w:val="center"/>
              <w:textAlignment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乙苯</w:t>
            </w:r>
          </w:p>
        </w:tc>
        <w:tc>
          <w:tcPr>
            <w:tcW w:w="1194" w:type="pct"/>
            <w:vMerge w:val="continue"/>
            <w:tcBorders>
              <w:tl2br w:val="nil"/>
              <w:tr2bl w:val="nil"/>
            </w:tcBorders>
            <w:shd w:val="clear" w:color="auto" w:fill="auto"/>
            <w:vAlign w:val="center"/>
          </w:tcPr>
          <w:p w14:paraId="327A5DD3">
            <w:pPr>
              <w:widowControl w:val="0"/>
              <w:bidi w:val="0"/>
              <w:jc w:val="center"/>
              <w:rPr>
                <w:rFonts w:hint="default" w:ascii="Times New Roman" w:hAnsi="Times New Roman" w:eastAsia="宋体" w:cs="Times New Roman"/>
                <w:color w:val="auto"/>
                <w:kern w:val="0"/>
                <w:sz w:val="21"/>
                <w:szCs w:val="21"/>
                <w:highlight w:val="none"/>
                <w:lang w:val="en-US" w:eastAsia="zh-CN" w:bidi="ar-SA"/>
              </w:rPr>
            </w:pPr>
          </w:p>
        </w:tc>
        <w:tc>
          <w:tcPr>
            <w:tcW w:w="1493" w:type="pct"/>
            <w:vMerge w:val="continue"/>
            <w:tcBorders>
              <w:tl2br w:val="nil"/>
              <w:tr2bl w:val="nil"/>
            </w:tcBorders>
            <w:vAlign w:val="center"/>
          </w:tcPr>
          <w:p w14:paraId="3AD14D52">
            <w:pPr>
              <w:widowControl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713" w:type="pct"/>
            <w:tcBorders>
              <w:tl2br w:val="nil"/>
              <w:tr2bl w:val="nil"/>
            </w:tcBorders>
            <w:shd w:val="clear" w:color="auto" w:fill="auto"/>
            <w:vAlign w:val="center"/>
          </w:tcPr>
          <w:p w14:paraId="0F2F2FD2">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1.2μg</w:t>
            </w:r>
            <w:r>
              <w:rPr>
                <w:rFonts w:hint="default" w:ascii="Times New Roman" w:hAnsi="Times New Roman" w:eastAsia="宋体" w:cs="Times New Roman"/>
                <w:sz w:val="21"/>
                <w:szCs w:val="21"/>
                <w:highlight w:val="none"/>
                <w:lang w:val="en-US" w:eastAsia="zh-CN" w:bidi="ar"/>
              </w:rPr>
              <w:t>/kg</w:t>
            </w:r>
          </w:p>
        </w:tc>
      </w:tr>
      <w:tr w14:paraId="4ACF32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35" w:type="pct"/>
            <w:vMerge w:val="continue"/>
            <w:tcBorders>
              <w:tl2br w:val="nil"/>
              <w:tr2bl w:val="nil"/>
            </w:tcBorders>
            <w:vAlign w:val="center"/>
          </w:tcPr>
          <w:p w14:paraId="045876A0">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auto"/>
            <w:vAlign w:val="center"/>
          </w:tcPr>
          <w:p w14:paraId="7611B106">
            <w:pPr>
              <w:widowControl/>
              <w:jc w:val="center"/>
              <w:textAlignment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苯乙烯</w:t>
            </w:r>
          </w:p>
        </w:tc>
        <w:tc>
          <w:tcPr>
            <w:tcW w:w="1194" w:type="pct"/>
            <w:vMerge w:val="continue"/>
            <w:tcBorders>
              <w:tl2br w:val="nil"/>
              <w:tr2bl w:val="nil"/>
            </w:tcBorders>
            <w:shd w:val="clear" w:color="auto" w:fill="auto"/>
            <w:vAlign w:val="center"/>
          </w:tcPr>
          <w:p w14:paraId="47CD7D5B">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p>
        </w:tc>
        <w:tc>
          <w:tcPr>
            <w:tcW w:w="1493" w:type="pct"/>
            <w:vMerge w:val="continue"/>
            <w:tcBorders>
              <w:tl2br w:val="nil"/>
              <w:tr2bl w:val="nil"/>
            </w:tcBorders>
            <w:vAlign w:val="center"/>
          </w:tcPr>
          <w:p w14:paraId="5A96BA8E">
            <w:pPr>
              <w:widowControl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713" w:type="pct"/>
            <w:tcBorders>
              <w:tl2br w:val="nil"/>
              <w:tr2bl w:val="nil"/>
            </w:tcBorders>
            <w:shd w:val="clear" w:color="auto" w:fill="auto"/>
            <w:vAlign w:val="center"/>
          </w:tcPr>
          <w:p w14:paraId="175556B9">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1.1μg</w:t>
            </w:r>
            <w:r>
              <w:rPr>
                <w:rFonts w:hint="default" w:ascii="Times New Roman" w:hAnsi="Times New Roman" w:eastAsia="宋体" w:cs="Times New Roman"/>
                <w:sz w:val="21"/>
                <w:szCs w:val="21"/>
                <w:highlight w:val="none"/>
                <w:lang w:val="en-US" w:eastAsia="zh-CN" w:bidi="ar"/>
              </w:rPr>
              <w:t>/kg</w:t>
            </w:r>
          </w:p>
        </w:tc>
      </w:tr>
      <w:tr w14:paraId="556ED8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35" w:type="pct"/>
            <w:vMerge w:val="continue"/>
            <w:tcBorders>
              <w:tl2br w:val="nil"/>
              <w:tr2bl w:val="nil"/>
            </w:tcBorders>
            <w:vAlign w:val="center"/>
          </w:tcPr>
          <w:p w14:paraId="458CB5AA">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auto"/>
            <w:vAlign w:val="center"/>
          </w:tcPr>
          <w:p w14:paraId="1445E3C8">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甲苯</w:t>
            </w:r>
          </w:p>
        </w:tc>
        <w:tc>
          <w:tcPr>
            <w:tcW w:w="1194" w:type="pct"/>
            <w:vMerge w:val="continue"/>
            <w:tcBorders>
              <w:tl2br w:val="nil"/>
              <w:tr2bl w:val="nil"/>
            </w:tcBorders>
            <w:shd w:val="clear" w:color="auto" w:fill="auto"/>
            <w:vAlign w:val="center"/>
          </w:tcPr>
          <w:p w14:paraId="0717714A">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p>
        </w:tc>
        <w:tc>
          <w:tcPr>
            <w:tcW w:w="1493" w:type="pct"/>
            <w:vMerge w:val="continue"/>
            <w:tcBorders>
              <w:tl2br w:val="nil"/>
              <w:tr2bl w:val="nil"/>
            </w:tcBorders>
            <w:vAlign w:val="center"/>
          </w:tcPr>
          <w:p w14:paraId="43647BF3">
            <w:pPr>
              <w:widowControl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713" w:type="pct"/>
            <w:tcBorders>
              <w:tl2br w:val="nil"/>
              <w:tr2bl w:val="nil"/>
            </w:tcBorders>
            <w:shd w:val="clear" w:color="auto" w:fill="auto"/>
            <w:vAlign w:val="center"/>
          </w:tcPr>
          <w:p w14:paraId="3FCE206E">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1.3μg</w:t>
            </w:r>
            <w:r>
              <w:rPr>
                <w:rFonts w:hint="default" w:ascii="Times New Roman" w:hAnsi="Times New Roman" w:eastAsia="宋体" w:cs="Times New Roman"/>
                <w:sz w:val="21"/>
                <w:szCs w:val="21"/>
                <w:highlight w:val="none"/>
                <w:lang w:val="en-US" w:eastAsia="zh-CN" w:bidi="ar"/>
              </w:rPr>
              <w:t>/kg</w:t>
            </w:r>
          </w:p>
        </w:tc>
      </w:tr>
      <w:tr w14:paraId="151744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35" w:type="pct"/>
            <w:vMerge w:val="continue"/>
            <w:tcBorders>
              <w:tl2br w:val="nil"/>
              <w:tr2bl w:val="nil"/>
            </w:tcBorders>
            <w:vAlign w:val="center"/>
          </w:tcPr>
          <w:p w14:paraId="306C0341">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963" w:type="pct"/>
            <w:tcBorders>
              <w:tl2br w:val="nil"/>
              <w:tr2bl w:val="nil"/>
            </w:tcBorders>
            <w:shd w:val="clear" w:color="auto" w:fill="auto"/>
            <w:vAlign w:val="center"/>
          </w:tcPr>
          <w:p w14:paraId="17936FD4">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间-二甲苯+对-二甲苯</w:t>
            </w:r>
          </w:p>
        </w:tc>
        <w:tc>
          <w:tcPr>
            <w:tcW w:w="1194" w:type="pct"/>
            <w:vMerge w:val="continue"/>
            <w:tcBorders>
              <w:tl2br w:val="nil"/>
              <w:tr2bl w:val="nil"/>
            </w:tcBorders>
            <w:shd w:val="clear" w:color="auto" w:fill="auto"/>
            <w:vAlign w:val="center"/>
          </w:tcPr>
          <w:p w14:paraId="388E70D5">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p>
        </w:tc>
        <w:tc>
          <w:tcPr>
            <w:tcW w:w="1493" w:type="pct"/>
            <w:vMerge w:val="continue"/>
            <w:tcBorders>
              <w:tl2br w:val="nil"/>
              <w:tr2bl w:val="nil"/>
            </w:tcBorders>
            <w:vAlign w:val="center"/>
          </w:tcPr>
          <w:p w14:paraId="21F4E868">
            <w:pPr>
              <w:widowControl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713" w:type="pct"/>
            <w:tcBorders>
              <w:tl2br w:val="nil"/>
              <w:tr2bl w:val="nil"/>
            </w:tcBorders>
            <w:shd w:val="clear" w:color="auto" w:fill="auto"/>
            <w:vAlign w:val="center"/>
          </w:tcPr>
          <w:p w14:paraId="79CF4C56">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1.2μg</w:t>
            </w:r>
            <w:r>
              <w:rPr>
                <w:rFonts w:hint="default" w:ascii="Times New Roman" w:hAnsi="Times New Roman" w:eastAsia="宋体" w:cs="Times New Roman"/>
                <w:sz w:val="21"/>
                <w:szCs w:val="21"/>
                <w:highlight w:val="none"/>
                <w:lang w:val="en-US" w:eastAsia="zh-CN" w:bidi="ar"/>
              </w:rPr>
              <w:t>/kg</w:t>
            </w:r>
          </w:p>
        </w:tc>
      </w:tr>
      <w:tr w14:paraId="271D0F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35" w:type="pct"/>
            <w:vMerge w:val="continue"/>
            <w:tcBorders>
              <w:tl2br w:val="nil"/>
              <w:tr2bl w:val="nil"/>
            </w:tcBorders>
            <w:vAlign w:val="center"/>
          </w:tcPr>
          <w:p w14:paraId="0B30F820">
            <w:pPr>
              <w:pStyle w:val="12"/>
              <w:widowControl w:val="0"/>
              <w:rPr>
                <w:rFonts w:hint="default" w:ascii="Times New Roman" w:hAnsi="Times New Roman" w:eastAsia="宋体" w:cs="Times New Roman"/>
                <w:sz w:val="21"/>
                <w:szCs w:val="21"/>
                <w:highlight w:val="none"/>
              </w:rPr>
            </w:pPr>
          </w:p>
        </w:tc>
        <w:tc>
          <w:tcPr>
            <w:tcW w:w="963" w:type="pct"/>
            <w:tcBorders>
              <w:tl2br w:val="nil"/>
              <w:tr2bl w:val="nil"/>
            </w:tcBorders>
            <w:shd w:val="clear" w:color="auto" w:fill="auto"/>
            <w:vAlign w:val="center"/>
          </w:tcPr>
          <w:p w14:paraId="61636003">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邻-二甲苯</w:t>
            </w:r>
          </w:p>
        </w:tc>
        <w:tc>
          <w:tcPr>
            <w:tcW w:w="1194" w:type="pct"/>
            <w:vMerge w:val="continue"/>
            <w:tcBorders>
              <w:tl2br w:val="nil"/>
              <w:tr2bl w:val="nil"/>
            </w:tcBorders>
            <w:shd w:val="clear" w:color="auto" w:fill="auto"/>
            <w:vAlign w:val="center"/>
          </w:tcPr>
          <w:p w14:paraId="17E5BC13">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p>
        </w:tc>
        <w:tc>
          <w:tcPr>
            <w:tcW w:w="1493" w:type="pct"/>
            <w:vMerge w:val="continue"/>
            <w:tcBorders>
              <w:tl2br w:val="nil"/>
              <w:tr2bl w:val="nil"/>
            </w:tcBorders>
            <w:vAlign w:val="center"/>
          </w:tcPr>
          <w:p w14:paraId="628BFB7E">
            <w:pPr>
              <w:widowControl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713" w:type="pct"/>
            <w:tcBorders>
              <w:tl2br w:val="nil"/>
              <w:tr2bl w:val="nil"/>
            </w:tcBorders>
            <w:shd w:val="clear" w:color="auto" w:fill="auto"/>
            <w:vAlign w:val="center"/>
          </w:tcPr>
          <w:p w14:paraId="2B6E02A2">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1.2μg</w:t>
            </w:r>
            <w:r>
              <w:rPr>
                <w:rFonts w:hint="default" w:ascii="Times New Roman" w:hAnsi="Times New Roman" w:eastAsia="宋体" w:cs="Times New Roman"/>
                <w:sz w:val="21"/>
                <w:szCs w:val="21"/>
                <w:highlight w:val="none"/>
                <w:lang w:val="en-US" w:eastAsia="zh-CN" w:bidi="ar"/>
              </w:rPr>
              <w:t>/kg</w:t>
            </w:r>
          </w:p>
        </w:tc>
      </w:tr>
      <w:tr w14:paraId="45B463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35" w:type="pct"/>
            <w:vMerge w:val="continue"/>
            <w:tcBorders>
              <w:tl2br w:val="nil"/>
              <w:tr2bl w:val="nil"/>
            </w:tcBorders>
            <w:vAlign w:val="center"/>
          </w:tcPr>
          <w:p w14:paraId="457728C3">
            <w:pPr>
              <w:pStyle w:val="12"/>
              <w:widowControl w:val="0"/>
              <w:rPr>
                <w:rFonts w:hint="default" w:ascii="Times New Roman" w:hAnsi="Times New Roman" w:eastAsia="宋体" w:cs="Times New Roman"/>
                <w:sz w:val="21"/>
                <w:szCs w:val="21"/>
                <w:highlight w:val="none"/>
              </w:rPr>
            </w:pPr>
          </w:p>
        </w:tc>
        <w:tc>
          <w:tcPr>
            <w:tcW w:w="963" w:type="pct"/>
            <w:tcBorders>
              <w:tl2br w:val="nil"/>
              <w:tr2bl w:val="nil"/>
            </w:tcBorders>
            <w:shd w:val="clear" w:color="auto" w:fill="auto"/>
            <w:vAlign w:val="center"/>
          </w:tcPr>
          <w:p w14:paraId="564D6C96">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硝基苯</w:t>
            </w:r>
          </w:p>
        </w:tc>
        <w:tc>
          <w:tcPr>
            <w:tcW w:w="1194" w:type="pct"/>
            <w:vMerge w:val="restart"/>
            <w:tcBorders>
              <w:tl2br w:val="nil"/>
              <w:tr2bl w:val="nil"/>
            </w:tcBorders>
            <w:shd w:val="clear" w:color="auto" w:fill="FFFFFF"/>
            <w:vAlign w:val="center"/>
          </w:tcPr>
          <w:p w14:paraId="44C6CC4E">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HJ 834-2017气相色谱-质谱法</w:t>
            </w:r>
          </w:p>
        </w:tc>
        <w:tc>
          <w:tcPr>
            <w:tcW w:w="1493" w:type="pct"/>
            <w:vMerge w:val="restart"/>
            <w:tcBorders>
              <w:tl2br w:val="nil"/>
              <w:tr2bl w:val="nil"/>
            </w:tcBorders>
            <w:vAlign w:val="center"/>
          </w:tcPr>
          <w:p w14:paraId="13925835">
            <w:pPr>
              <w:keepNext w:val="0"/>
              <w:keepLines w:val="0"/>
              <w:widowControl/>
              <w:suppressLineNumbers w:val="0"/>
              <w:jc w:val="center"/>
              <w:textAlignment w:val="top"/>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气相色谱-质谱联用仪</w:t>
            </w:r>
          </w:p>
          <w:p w14:paraId="64EA9F96">
            <w:pPr>
              <w:keepNext w:val="0"/>
              <w:keepLines w:val="0"/>
              <w:widowControl/>
              <w:suppressLineNumbers w:val="0"/>
              <w:jc w:val="center"/>
              <w:textAlignment w:val="top"/>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GCMS-QP2010SE</w:t>
            </w:r>
          </w:p>
          <w:p w14:paraId="299D4B61">
            <w:pPr>
              <w:widowControl w:val="0"/>
              <w:bidi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sz w:val="21"/>
                <w:szCs w:val="21"/>
                <w:highlight w:val="none"/>
              </w:rPr>
              <w:t>YQ01-</w:t>
            </w:r>
            <w:r>
              <w:rPr>
                <w:rFonts w:hint="default" w:ascii="Times New Roman" w:hAnsi="Times New Roman" w:eastAsia="宋体" w:cs="Times New Roman"/>
                <w:sz w:val="21"/>
                <w:szCs w:val="21"/>
                <w:highlight w:val="none"/>
                <w:lang w:val="en-US" w:eastAsia="zh-CN"/>
              </w:rPr>
              <w:t>010</w:t>
            </w:r>
          </w:p>
        </w:tc>
        <w:tc>
          <w:tcPr>
            <w:tcW w:w="713" w:type="pct"/>
            <w:tcBorders>
              <w:tl2br w:val="nil"/>
              <w:tr2bl w:val="nil"/>
            </w:tcBorders>
            <w:shd w:val="clear" w:color="auto" w:fill="auto"/>
            <w:vAlign w:val="center"/>
          </w:tcPr>
          <w:p w14:paraId="7F835ED0">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0.09mg/kg</w:t>
            </w:r>
          </w:p>
        </w:tc>
      </w:tr>
      <w:tr w14:paraId="2DE3DD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35" w:type="pct"/>
            <w:vMerge w:val="continue"/>
            <w:tcBorders>
              <w:tl2br w:val="nil"/>
              <w:tr2bl w:val="nil"/>
            </w:tcBorders>
            <w:vAlign w:val="center"/>
          </w:tcPr>
          <w:p w14:paraId="17EF9AF8">
            <w:pPr>
              <w:pStyle w:val="12"/>
              <w:widowControl w:val="0"/>
              <w:rPr>
                <w:rFonts w:hint="default" w:ascii="Times New Roman" w:hAnsi="Times New Roman" w:eastAsia="宋体" w:cs="Times New Roman"/>
                <w:sz w:val="21"/>
                <w:szCs w:val="21"/>
                <w:highlight w:val="none"/>
              </w:rPr>
            </w:pPr>
          </w:p>
        </w:tc>
        <w:tc>
          <w:tcPr>
            <w:tcW w:w="963" w:type="pct"/>
            <w:tcBorders>
              <w:tl2br w:val="nil"/>
              <w:tr2bl w:val="nil"/>
            </w:tcBorders>
            <w:shd w:val="clear" w:color="auto" w:fill="auto"/>
            <w:vAlign w:val="center"/>
          </w:tcPr>
          <w:p w14:paraId="3A4F51B3">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苯胺</w:t>
            </w:r>
          </w:p>
        </w:tc>
        <w:tc>
          <w:tcPr>
            <w:tcW w:w="1194" w:type="pct"/>
            <w:vMerge w:val="continue"/>
            <w:tcBorders>
              <w:tl2br w:val="nil"/>
              <w:tr2bl w:val="nil"/>
            </w:tcBorders>
            <w:shd w:val="clear" w:color="auto" w:fill="auto"/>
            <w:vAlign w:val="center"/>
          </w:tcPr>
          <w:p w14:paraId="18E369FA">
            <w:pPr>
              <w:widowControl/>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1493" w:type="pct"/>
            <w:vMerge w:val="continue"/>
            <w:tcBorders>
              <w:tl2br w:val="nil"/>
              <w:tr2bl w:val="nil"/>
            </w:tcBorders>
            <w:vAlign w:val="center"/>
          </w:tcPr>
          <w:p w14:paraId="330B8EC0">
            <w:pPr>
              <w:widowControl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713" w:type="pct"/>
            <w:tcBorders>
              <w:tl2br w:val="nil"/>
              <w:tr2bl w:val="nil"/>
            </w:tcBorders>
            <w:shd w:val="clear" w:color="auto" w:fill="auto"/>
            <w:vAlign w:val="center"/>
          </w:tcPr>
          <w:p w14:paraId="79DA4B50">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0.09mg/kg</w:t>
            </w:r>
          </w:p>
        </w:tc>
      </w:tr>
      <w:tr w14:paraId="329543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35" w:type="pct"/>
            <w:vMerge w:val="continue"/>
            <w:tcBorders>
              <w:tl2br w:val="nil"/>
              <w:tr2bl w:val="nil"/>
            </w:tcBorders>
            <w:vAlign w:val="center"/>
          </w:tcPr>
          <w:p w14:paraId="57705E1A">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963" w:type="pct"/>
            <w:tcBorders>
              <w:tl2br w:val="nil"/>
              <w:tr2bl w:val="nil"/>
            </w:tcBorders>
            <w:shd w:val="clear" w:color="auto" w:fill="auto"/>
            <w:vAlign w:val="center"/>
          </w:tcPr>
          <w:p w14:paraId="22C0CAFE">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2-氯酚</w:t>
            </w:r>
          </w:p>
        </w:tc>
        <w:tc>
          <w:tcPr>
            <w:tcW w:w="1194" w:type="pct"/>
            <w:vMerge w:val="continue"/>
            <w:tcBorders>
              <w:tl2br w:val="nil"/>
              <w:tr2bl w:val="nil"/>
            </w:tcBorders>
            <w:shd w:val="clear" w:color="auto" w:fill="auto"/>
            <w:vAlign w:val="center"/>
          </w:tcPr>
          <w:p w14:paraId="6E8E687C">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p>
        </w:tc>
        <w:tc>
          <w:tcPr>
            <w:tcW w:w="1493" w:type="pct"/>
            <w:vMerge w:val="continue"/>
            <w:tcBorders>
              <w:tl2br w:val="nil"/>
              <w:tr2bl w:val="nil"/>
            </w:tcBorders>
            <w:vAlign w:val="center"/>
          </w:tcPr>
          <w:p w14:paraId="3B9AD6D8">
            <w:pPr>
              <w:widowControl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713" w:type="pct"/>
            <w:tcBorders>
              <w:tl2br w:val="nil"/>
              <w:tr2bl w:val="nil"/>
            </w:tcBorders>
            <w:shd w:val="clear" w:color="auto" w:fill="auto"/>
            <w:vAlign w:val="center"/>
          </w:tcPr>
          <w:p w14:paraId="4DB0BCA9">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0.06mg/kg</w:t>
            </w:r>
          </w:p>
        </w:tc>
      </w:tr>
      <w:tr w14:paraId="65C6D2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35" w:type="pct"/>
            <w:vMerge w:val="continue"/>
            <w:tcBorders>
              <w:tl2br w:val="nil"/>
              <w:tr2bl w:val="nil"/>
            </w:tcBorders>
            <w:vAlign w:val="center"/>
          </w:tcPr>
          <w:p w14:paraId="0C3222F5">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963" w:type="pct"/>
            <w:tcBorders>
              <w:tl2br w:val="nil"/>
              <w:tr2bl w:val="nil"/>
            </w:tcBorders>
            <w:shd w:val="clear" w:color="auto" w:fill="auto"/>
            <w:vAlign w:val="center"/>
          </w:tcPr>
          <w:p w14:paraId="54D8C5AC">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苯并[a]蒽</w:t>
            </w:r>
          </w:p>
        </w:tc>
        <w:tc>
          <w:tcPr>
            <w:tcW w:w="1194" w:type="pct"/>
            <w:vMerge w:val="continue"/>
            <w:tcBorders>
              <w:tl2br w:val="nil"/>
              <w:tr2bl w:val="nil"/>
            </w:tcBorders>
            <w:shd w:val="clear" w:color="auto" w:fill="auto"/>
            <w:vAlign w:val="center"/>
          </w:tcPr>
          <w:p w14:paraId="650A4623">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p>
        </w:tc>
        <w:tc>
          <w:tcPr>
            <w:tcW w:w="1493" w:type="pct"/>
            <w:vMerge w:val="continue"/>
            <w:tcBorders>
              <w:tl2br w:val="nil"/>
              <w:tr2bl w:val="nil"/>
            </w:tcBorders>
            <w:vAlign w:val="center"/>
          </w:tcPr>
          <w:p w14:paraId="5203AA87">
            <w:pPr>
              <w:widowControl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713" w:type="pct"/>
            <w:tcBorders>
              <w:tl2br w:val="nil"/>
              <w:tr2bl w:val="nil"/>
            </w:tcBorders>
            <w:shd w:val="clear" w:color="auto" w:fill="auto"/>
            <w:vAlign w:val="center"/>
          </w:tcPr>
          <w:p w14:paraId="4BEBE6E6">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0.1mg/kg</w:t>
            </w:r>
          </w:p>
        </w:tc>
      </w:tr>
      <w:tr w14:paraId="58DA99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35" w:type="pct"/>
            <w:vMerge w:val="continue"/>
            <w:tcBorders>
              <w:tl2br w:val="nil"/>
              <w:tr2bl w:val="nil"/>
            </w:tcBorders>
            <w:vAlign w:val="center"/>
          </w:tcPr>
          <w:p w14:paraId="385841CD">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auto"/>
            <w:vAlign w:val="center"/>
          </w:tcPr>
          <w:p w14:paraId="56E93C94">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苯并[a]芘</w:t>
            </w:r>
          </w:p>
        </w:tc>
        <w:tc>
          <w:tcPr>
            <w:tcW w:w="1194" w:type="pct"/>
            <w:vMerge w:val="continue"/>
            <w:tcBorders>
              <w:tl2br w:val="nil"/>
              <w:tr2bl w:val="nil"/>
            </w:tcBorders>
            <w:shd w:val="clear" w:color="auto" w:fill="auto"/>
            <w:vAlign w:val="center"/>
          </w:tcPr>
          <w:p w14:paraId="1B6E534E">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p>
        </w:tc>
        <w:tc>
          <w:tcPr>
            <w:tcW w:w="1493" w:type="pct"/>
            <w:vMerge w:val="continue"/>
            <w:tcBorders>
              <w:tl2br w:val="nil"/>
              <w:tr2bl w:val="nil"/>
            </w:tcBorders>
            <w:vAlign w:val="center"/>
          </w:tcPr>
          <w:p w14:paraId="36F0F773">
            <w:pPr>
              <w:widowControl/>
              <w:jc w:val="center"/>
              <w:textAlignment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37362B0B">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0.1mg/kg</w:t>
            </w:r>
          </w:p>
        </w:tc>
      </w:tr>
      <w:tr w14:paraId="4030CD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35" w:type="pct"/>
            <w:vMerge w:val="continue"/>
            <w:tcBorders>
              <w:tl2br w:val="nil"/>
              <w:tr2bl w:val="nil"/>
            </w:tcBorders>
            <w:vAlign w:val="center"/>
          </w:tcPr>
          <w:p w14:paraId="37228AC7">
            <w:pPr>
              <w:widowControl w:val="0"/>
              <w:spacing w:line="360" w:lineRule="auto"/>
              <w:jc w:val="center"/>
              <w:rPr>
                <w:rFonts w:hint="default" w:ascii="Times New Roman" w:hAnsi="Times New Roman" w:eastAsia="宋体" w:cs="Times New Roman"/>
                <w:color w:val="000000"/>
                <w:kern w:val="0"/>
                <w:sz w:val="21"/>
                <w:szCs w:val="21"/>
                <w:highlight w:val="none"/>
                <w:lang w:val="en-US" w:eastAsia="zh-CN"/>
              </w:rPr>
            </w:pPr>
          </w:p>
        </w:tc>
        <w:tc>
          <w:tcPr>
            <w:tcW w:w="963" w:type="pct"/>
            <w:tcBorders>
              <w:tl2br w:val="nil"/>
              <w:tr2bl w:val="nil"/>
            </w:tcBorders>
            <w:shd w:val="clear" w:color="auto" w:fill="auto"/>
            <w:vAlign w:val="center"/>
          </w:tcPr>
          <w:p w14:paraId="080D24D7">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苯并[b]荧蒽</w:t>
            </w:r>
          </w:p>
        </w:tc>
        <w:tc>
          <w:tcPr>
            <w:tcW w:w="1194" w:type="pct"/>
            <w:vMerge w:val="continue"/>
            <w:tcBorders>
              <w:tl2br w:val="nil"/>
              <w:tr2bl w:val="nil"/>
            </w:tcBorders>
            <w:shd w:val="clear" w:color="auto" w:fill="auto"/>
            <w:vAlign w:val="center"/>
          </w:tcPr>
          <w:p w14:paraId="65EFF190">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p>
        </w:tc>
        <w:tc>
          <w:tcPr>
            <w:tcW w:w="1493" w:type="pct"/>
            <w:vMerge w:val="continue"/>
            <w:tcBorders>
              <w:tl2br w:val="nil"/>
              <w:tr2bl w:val="nil"/>
            </w:tcBorders>
            <w:vAlign w:val="center"/>
          </w:tcPr>
          <w:p w14:paraId="47997A15">
            <w:pPr>
              <w:widowControl/>
              <w:jc w:val="center"/>
              <w:textAlignment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0373423F">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0.2mg/kg</w:t>
            </w:r>
          </w:p>
        </w:tc>
      </w:tr>
      <w:tr w14:paraId="393DB8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35" w:type="pct"/>
            <w:vMerge w:val="continue"/>
            <w:tcBorders>
              <w:tl2br w:val="nil"/>
              <w:tr2bl w:val="nil"/>
            </w:tcBorders>
            <w:vAlign w:val="center"/>
          </w:tcPr>
          <w:p w14:paraId="692CFFAA">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963" w:type="pct"/>
            <w:tcBorders>
              <w:tl2br w:val="nil"/>
              <w:tr2bl w:val="nil"/>
            </w:tcBorders>
            <w:shd w:val="clear" w:color="auto" w:fill="auto"/>
            <w:vAlign w:val="center"/>
          </w:tcPr>
          <w:p w14:paraId="52E65DBB">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苯并[k]荧蒽</w:t>
            </w:r>
          </w:p>
        </w:tc>
        <w:tc>
          <w:tcPr>
            <w:tcW w:w="1194" w:type="pct"/>
            <w:vMerge w:val="continue"/>
            <w:tcBorders>
              <w:tl2br w:val="nil"/>
              <w:tr2bl w:val="nil"/>
            </w:tcBorders>
            <w:shd w:val="clear" w:color="auto" w:fill="auto"/>
            <w:vAlign w:val="center"/>
          </w:tcPr>
          <w:p w14:paraId="795FA98C">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p>
        </w:tc>
        <w:tc>
          <w:tcPr>
            <w:tcW w:w="1493" w:type="pct"/>
            <w:vMerge w:val="continue"/>
            <w:tcBorders>
              <w:tl2br w:val="nil"/>
              <w:tr2bl w:val="nil"/>
            </w:tcBorders>
            <w:vAlign w:val="center"/>
          </w:tcPr>
          <w:p w14:paraId="536FCE63">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47EAB721">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0.1mg/kg</w:t>
            </w:r>
          </w:p>
        </w:tc>
      </w:tr>
      <w:tr w14:paraId="5CDFDC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635" w:type="pct"/>
            <w:vMerge w:val="continue"/>
            <w:tcBorders>
              <w:tl2br w:val="nil"/>
              <w:tr2bl w:val="nil"/>
            </w:tcBorders>
            <w:vAlign w:val="center"/>
          </w:tcPr>
          <w:p w14:paraId="460935FD">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963" w:type="pct"/>
            <w:tcBorders>
              <w:tl2br w:val="nil"/>
              <w:tr2bl w:val="nil"/>
            </w:tcBorders>
            <w:shd w:val="clear" w:color="auto" w:fill="auto"/>
            <w:vAlign w:val="center"/>
          </w:tcPr>
          <w:p w14:paraId="1295A68F">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䓛</w:t>
            </w:r>
          </w:p>
        </w:tc>
        <w:tc>
          <w:tcPr>
            <w:tcW w:w="1194" w:type="pct"/>
            <w:vMerge w:val="continue"/>
            <w:tcBorders>
              <w:tl2br w:val="nil"/>
              <w:tr2bl w:val="nil"/>
            </w:tcBorders>
            <w:shd w:val="clear" w:color="auto" w:fill="auto"/>
            <w:vAlign w:val="center"/>
          </w:tcPr>
          <w:p w14:paraId="02634C7E">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p>
        </w:tc>
        <w:tc>
          <w:tcPr>
            <w:tcW w:w="1493" w:type="pct"/>
            <w:vMerge w:val="continue"/>
            <w:tcBorders>
              <w:tl2br w:val="nil"/>
              <w:tr2bl w:val="nil"/>
            </w:tcBorders>
            <w:vAlign w:val="center"/>
          </w:tcPr>
          <w:p w14:paraId="45A3420E">
            <w:pPr>
              <w:widowControl w:val="0"/>
              <w:adjustRightInd w:val="0"/>
              <w:snapToGrid w:val="0"/>
              <w:jc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07B06E1E">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0.1mg/kg</w:t>
            </w:r>
          </w:p>
        </w:tc>
      </w:tr>
      <w:tr w14:paraId="7FA6D1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35" w:type="pct"/>
            <w:vMerge w:val="continue"/>
            <w:tcBorders>
              <w:tl2br w:val="nil"/>
              <w:tr2bl w:val="nil"/>
            </w:tcBorders>
            <w:vAlign w:val="center"/>
          </w:tcPr>
          <w:p w14:paraId="7A9855BA">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963" w:type="pct"/>
            <w:tcBorders>
              <w:tl2br w:val="nil"/>
              <w:tr2bl w:val="nil"/>
            </w:tcBorders>
            <w:shd w:val="clear" w:color="auto" w:fill="auto"/>
            <w:vAlign w:val="center"/>
          </w:tcPr>
          <w:p w14:paraId="7CFC35CD">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二苯并[a,h]蒽</w:t>
            </w:r>
          </w:p>
        </w:tc>
        <w:tc>
          <w:tcPr>
            <w:tcW w:w="1194" w:type="pct"/>
            <w:vMerge w:val="continue"/>
            <w:tcBorders>
              <w:tl2br w:val="nil"/>
              <w:tr2bl w:val="nil"/>
            </w:tcBorders>
            <w:shd w:val="clear" w:color="auto" w:fill="auto"/>
            <w:vAlign w:val="center"/>
          </w:tcPr>
          <w:p w14:paraId="40E2D080">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p>
        </w:tc>
        <w:tc>
          <w:tcPr>
            <w:tcW w:w="1493" w:type="pct"/>
            <w:vMerge w:val="continue"/>
            <w:tcBorders>
              <w:tl2br w:val="nil"/>
              <w:tr2bl w:val="nil"/>
            </w:tcBorders>
            <w:vAlign w:val="center"/>
          </w:tcPr>
          <w:p w14:paraId="30C281D5">
            <w:pPr>
              <w:widowControl/>
              <w:jc w:val="center"/>
              <w:textAlignment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490C8C72">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0.1mg/kg</w:t>
            </w:r>
          </w:p>
        </w:tc>
      </w:tr>
      <w:tr w14:paraId="4CDF26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35" w:type="pct"/>
            <w:vMerge w:val="continue"/>
            <w:tcBorders>
              <w:tl2br w:val="nil"/>
              <w:tr2bl w:val="nil"/>
            </w:tcBorders>
            <w:vAlign w:val="center"/>
          </w:tcPr>
          <w:p w14:paraId="1C94037C">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963" w:type="pct"/>
            <w:tcBorders>
              <w:tl2br w:val="nil"/>
              <w:tr2bl w:val="nil"/>
            </w:tcBorders>
            <w:shd w:val="clear" w:color="auto" w:fill="auto"/>
            <w:vAlign w:val="center"/>
          </w:tcPr>
          <w:p w14:paraId="184CFB78">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茚并[1,2,3-cd]芘</w:t>
            </w:r>
          </w:p>
        </w:tc>
        <w:tc>
          <w:tcPr>
            <w:tcW w:w="1194" w:type="pct"/>
            <w:vMerge w:val="continue"/>
            <w:tcBorders>
              <w:tl2br w:val="nil"/>
              <w:tr2bl w:val="nil"/>
            </w:tcBorders>
            <w:shd w:val="clear" w:color="auto" w:fill="auto"/>
            <w:vAlign w:val="center"/>
          </w:tcPr>
          <w:p w14:paraId="65F29E9A">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p>
        </w:tc>
        <w:tc>
          <w:tcPr>
            <w:tcW w:w="1493" w:type="pct"/>
            <w:vMerge w:val="continue"/>
            <w:tcBorders>
              <w:tl2br w:val="nil"/>
              <w:tr2bl w:val="nil"/>
            </w:tcBorders>
            <w:vAlign w:val="center"/>
          </w:tcPr>
          <w:p w14:paraId="2F1D6330">
            <w:pPr>
              <w:widowControl/>
              <w:jc w:val="center"/>
              <w:textAlignment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348094DC">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0.1mg/kg</w:t>
            </w:r>
          </w:p>
        </w:tc>
      </w:tr>
      <w:tr w14:paraId="12EDD9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635" w:type="pct"/>
            <w:vMerge w:val="continue"/>
            <w:tcBorders>
              <w:tl2br w:val="nil"/>
              <w:tr2bl w:val="nil"/>
            </w:tcBorders>
            <w:vAlign w:val="center"/>
          </w:tcPr>
          <w:p w14:paraId="2EFE2058">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963" w:type="pct"/>
            <w:tcBorders>
              <w:tl2br w:val="nil"/>
              <w:tr2bl w:val="nil"/>
            </w:tcBorders>
            <w:shd w:val="clear" w:color="auto" w:fill="auto"/>
            <w:vAlign w:val="center"/>
          </w:tcPr>
          <w:p w14:paraId="0AEE1DE7">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萘</w:t>
            </w:r>
          </w:p>
        </w:tc>
        <w:tc>
          <w:tcPr>
            <w:tcW w:w="1194" w:type="pct"/>
            <w:vMerge w:val="continue"/>
            <w:tcBorders>
              <w:tl2br w:val="nil"/>
              <w:tr2bl w:val="nil"/>
            </w:tcBorders>
            <w:shd w:val="clear" w:color="auto" w:fill="auto"/>
            <w:vAlign w:val="center"/>
          </w:tcPr>
          <w:p w14:paraId="2100F5FE">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p>
        </w:tc>
        <w:tc>
          <w:tcPr>
            <w:tcW w:w="1493" w:type="pct"/>
            <w:vMerge w:val="continue"/>
            <w:tcBorders>
              <w:tl2br w:val="nil"/>
              <w:tr2bl w:val="nil"/>
            </w:tcBorders>
            <w:vAlign w:val="center"/>
          </w:tcPr>
          <w:p w14:paraId="4D336416">
            <w:pPr>
              <w:widowControl/>
              <w:jc w:val="center"/>
              <w:textAlignment w:val="center"/>
              <w:rPr>
                <w:rFonts w:hint="default" w:ascii="Times New Roman" w:hAnsi="Times New Roman" w:eastAsia="宋体" w:cs="Times New Roman"/>
                <w:color w:val="000000"/>
                <w:sz w:val="21"/>
                <w:szCs w:val="21"/>
                <w:highlight w:val="none"/>
                <w:lang w:val="en-US" w:eastAsia="zh-CN"/>
              </w:rPr>
            </w:pPr>
          </w:p>
        </w:tc>
        <w:tc>
          <w:tcPr>
            <w:tcW w:w="713" w:type="pct"/>
            <w:tcBorders>
              <w:tl2br w:val="nil"/>
              <w:tr2bl w:val="nil"/>
            </w:tcBorders>
            <w:shd w:val="clear" w:color="auto" w:fill="auto"/>
            <w:vAlign w:val="center"/>
          </w:tcPr>
          <w:p w14:paraId="3EEEBA73">
            <w:pPr>
              <w:widowControl w:val="0"/>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0.09</w:t>
            </w:r>
            <w:r>
              <w:rPr>
                <w:rFonts w:hint="default" w:ascii="Times New Roman" w:hAnsi="Times New Roman" w:eastAsia="宋体" w:cs="Times New Roman"/>
                <w:color w:val="auto"/>
                <w:sz w:val="21"/>
                <w:szCs w:val="21"/>
                <w:highlight w:val="none"/>
                <w:lang w:val="en-US" w:eastAsia="zh-CN"/>
              </w:rPr>
              <w:t>mg/kg</w:t>
            </w:r>
          </w:p>
        </w:tc>
      </w:tr>
      <w:tr w14:paraId="34EF21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635" w:type="pct"/>
            <w:vMerge w:val="continue"/>
            <w:tcBorders>
              <w:tl2br w:val="nil"/>
              <w:tr2bl w:val="nil"/>
            </w:tcBorders>
            <w:vAlign w:val="center"/>
          </w:tcPr>
          <w:p w14:paraId="24863120">
            <w:pPr>
              <w:widowControl w:val="0"/>
              <w:spacing w:line="360" w:lineRule="auto"/>
              <w:jc w:val="center"/>
              <w:rPr>
                <w:rFonts w:hint="default" w:ascii="Times New Roman" w:hAnsi="Times New Roman" w:eastAsia="宋体" w:cs="Times New Roman"/>
                <w:color w:val="000000"/>
                <w:kern w:val="0"/>
                <w:sz w:val="21"/>
                <w:szCs w:val="21"/>
                <w:highlight w:val="none"/>
              </w:rPr>
            </w:pPr>
          </w:p>
        </w:tc>
        <w:tc>
          <w:tcPr>
            <w:tcW w:w="963" w:type="pct"/>
            <w:tcBorders>
              <w:tl2br w:val="nil"/>
              <w:tr2bl w:val="nil"/>
            </w:tcBorders>
            <w:shd w:val="clear" w:color="auto" w:fill="FFFFFF"/>
            <w:vAlign w:val="center"/>
          </w:tcPr>
          <w:p w14:paraId="0D623951">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石油烃（C</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10</w:t>
            </w:r>
            <w:r>
              <w:rPr>
                <w:rFonts w:hint="default" w:ascii="Times New Roman" w:hAnsi="Times New Roman" w:eastAsia="宋体" w:cs="Times New Roman"/>
                <w:i w:val="0"/>
                <w:iCs w:val="0"/>
                <w:color w:val="000000"/>
                <w:kern w:val="0"/>
                <w:sz w:val="21"/>
                <w:szCs w:val="21"/>
                <w:highlight w:val="none"/>
                <w:u w:val="none"/>
                <w:lang w:val="en-US" w:eastAsia="zh-CN" w:bidi="ar"/>
              </w:rPr>
              <w:t>-C</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40</w:t>
            </w:r>
            <w:r>
              <w:rPr>
                <w:rFonts w:hint="default" w:ascii="Times New Roman" w:hAnsi="Times New Roman" w:eastAsia="宋体" w:cs="Times New Roman"/>
                <w:i w:val="0"/>
                <w:iCs w:val="0"/>
                <w:color w:val="000000"/>
                <w:kern w:val="0"/>
                <w:sz w:val="21"/>
                <w:szCs w:val="21"/>
                <w:highlight w:val="none"/>
                <w:u w:val="none"/>
                <w:lang w:val="en-US" w:eastAsia="zh-CN" w:bidi="ar"/>
              </w:rPr>
              <w:t>）</w:t>
            </w:r>
          </w:p>
        </w:tc>
        <w:tc>
          <w:tcPr>
            <w:tcW w:w="1194" w:type="pct"/>
            <w:tcBorders>
              <w:tl2br w:val="nil"/>
              <w:tr2bl w:val="nil"/>
            </w:tcBorders>
            <w:shd w:val="clear" w:color="auto" w:fill="FFFFFF"/>
            <w:vAlign w:val="center"/>
          </w:tcPr>
          <w:p w14:paraId="14A8BA41">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HJ 1021-2019气相色谱法</w:t>
            </w:r>
          </w:p>
        </w:tc>
        <w:tc>
          <w:tcPr>
            <w:tcW w:w="1493" w:type="pct"/>
            <w:tcBorders>
              <w:tl2br w:val="nil"/>
              <w:tr2bl w:val="nil"/>
            </w:tcBorders>
            <w:shd w:val="clear" w:color="auto" w:fill="FFFFFF"/>
            <w:vAlign w:val="center"/>
          </w:tcPr>
          <w:p w14:paraId="1508CC1C">
            <w:pPr>
              <w:widowControl w:val="0"/>
              <w:spacing w:line="320" w:lineRule="exact"/>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气相色谱仪A60</w:t>
            </w:r>
          </w:p>
          <w:p w14:paraId="679B9C79">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rPr>
              <w:t>YQ01-</w:t>
            </w:r>
            <w:r>
              <w:rPr>
                <w:rFonts w:hint="default" w:ascii="Times New Roman" w:hAnsi="Times New Roman" w:eastAsia="宋体" w:cs="Times New Roman"/>
                <w:sz w:val="21"/>
                <w:szCs w:val="21"/>
                <w:highlight w:val="none"/>
                <w:lang w:val="en-US" w:eastAsia="zh-CN"/>
              </w:rPr>
              <w:t>001</w:t>
            </w:r>
          </w:p>
        </w:tc>
        <w:tc>
          <w:tcPr>
            <w:tcW w:w="713" w:type="pct"/>
            <w:tcBorders>
              <w:tl2br w:val="nil"/>
              <w:tr2bl w:val="nil"/>
            </w:tcBorders>
            <w:shd w:val="clear" w:color="auto" w:fill="FFFFFF"/>
            <w:vAlign w:val="center"/>
          </w:tcPr>
          <w:p w14:paraId="3BBDB57B">
            <w:pPr>
              <w:widowControl w:val="0"/>
              <w:jc w:val="center"/>
              <w:textAlignment w:val="bottom"/>
              <w:rPr>
                <w:rFonts w:hint="default" w:ascii="Times New Roman" w:hAnsi="Times New Roman" w:eastAsia="宋体" w:cs="Times New Roman"/>
                <w:kern w:val="2"/>
                <w:sz w:val="21"/>
                <w:szCs w:val="21"/>
                <w:highlight w:val="none"/>
                <w:lang w:val="en-US" w:eastAsia="zh-CN" w:bidi="ar"/>
              </w:rPr>
            </w:pPr>
            <w:r>
              <w:rPr>
                <w:rFonts w:hint="default" w:ascii="Times New Roman" w:hAnsi="Times New Roman" w:eastAsia="宋体" w:cs="Times New Roman"/>
                <w:sz w:val="21"/>
                <w:szCs w:val="21"/>
                <w:highlight w:val="none"/>
                <w:lang w:val="en-US" w:eastAsia="zh-CN" w:bidi="ar"/>
              </w:rPr>
              <w:t>6mg/kg</w:t>
            </w:r>
          </w:p>
        </w:tc>
      </w:tr>
      <w:tr w14:paraId="1DC004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5000" w:type="pct"/>
            <w:gridSpan w:val="5"/>
            <w:tcBorders>
              <w:tl2br w:val="nil"/>
              <w:tr2bl w:val="nil"/>
            </w:tcBorders>
            <w:vAlign w:val="center"/>
          </w:tcPr>
          <w:p w14:paraId="06FD2DF2">
            <w:pPr>
              <w:widowControl/>
              <w:tabs>
                <w:tab w:val="left" w:pos="970"/>
              </w:tabs>
              <w:adjustRightInd w:val="0"/>
              <w:snapToGrid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highlight w:val="none"/>
              </w:rPr>
              <w:t>备注：/</w:t>
            </w:r>
          </w:p>
        </w:tc>
      </w:tr>
    </w:tbl>
    <w:p w14:paraId="1BDABB4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snapToGrid w:val="0"/>
          <w:color w:val="auto"/>
          <w:spacing w:val="0"/>
          <w:kern w:val="0"/>
          <w:sz w:val="24"/>
          <w:szCs w:val="22"/>
          <w:highlight w:val="none"/>
          <w:lang w:val="en-US" w:eastAsia="zh-CN" w:bidi="ar-SA"/>
        </w:rPr>
      </w:pPr>
      <w:r>
        <w:rPr>
          <w:rFonts w:hint="eastAsia" w:ascii="Times New Roman" w:hAnsi="Times New Roman" w:cs="Times New Roman"/>
          <w:snapToGrid w:val="0"/>
          <w:color w:val="auto"/>
          <w:spacing w:val="0"/>
          <w:kern w:val="0"/>
          <w:sz w:val="24"/>
          <w:szCs w:val="22"/>
          <w:highlight w:val="none"/>
          <w:lang w:val="en-US" w:eastAsia="zh-CN" w:bidi="ar-SA"/>
        </w:rPr>
        <w:t>4、理化性质</w:t>
      </w:r>
    </w:p>
    <w:p w14:paraId="7EE42BA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根据《环境影响评价技术导则 土壤环境》（HJ964-2018）附录C，</w:t>
      </w:r>
      <w:r>
        <w:rPr>
          <w:rFonts w:hint="default" w:ascii="Times New Roman" w:hAnsi="Times New Roman" w:eastAsia="宋体" w:cs="Times New Roman"/>
          <w:color w:val="auto"/>
          <w:sz w:val="24"/>
          <w:szCs w:val="24"/>
          <w:highlight w:val="none"/>
          <w:lang w:val="en-US" w:eastAsia="zh-CN"/>
        </w:rPr>
        <w:t>本项目土壤理化特性见表4.</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21，土壤剖面见表4.2-22</w:t>
      </w:r>
      <w:r>
        <w:rPr>
          <w:rFonts w:hint="default" w:ascii="Times New Roman" w:hAnsi="Times New Roman" w:eastAsia="宋体" w:cs="Times New Roman"/>
          <w:color w:val="auto"/>
          <w:sz w:val="24"/>
          <w:szCs w:val="24"/>
          <w:highlight w:val="none"/>
          <w:lang w:val="en-US" w:eastAsia="zh-CN"/>
        </w:rPr>
        <w:t>。</w:t>
      </w:r>
    </w:p>
    <w:p w14:paraId="767B8549">
      <w:pPr>
        <w:pStyle w:val="60"/>
        <w:rPr>
          <w:rFonts w:hint="default" w:ascii="Times New Roman" w:hAnsi="Times New Roman" w:eastAsia="Arial" w:cs="Times New Roman"/>
          <w:b/>
          <w:bCs/>
          <w:snapToGrid w:val="0"/>
          <w:color w:val="auto"/>
          <w:kern w:val="0"/>
          <w:sz w:val="24"/>
          <w:szCs w:val="24"/>
          <w:highlight w:val="none"/>
          <w:lang w:val="en-US" w:eastAsia="zh-CN" w:bidi="ar-SA"/>
        </w:rPr>
      </w:pPr>
    </w:p>
    <w:p w14:paraId="1C6B775B">
      <w:pPr>
        <w:pStyle w:val="60"/>
        <w:rPr>
          <w:rFonts w:hint="default" w:ascii="Times New Roman" w:hAnsi="Times New Roman" w:eastAsia="Arial" w:cs="Times New Roman"/>
          <w:b/>
          <w:bCs/>
          <w:snapToGrid w:val="0"/>
          <w:color w:val="auto"/>
          <w:kern w:val="0"/>
          <w:sz w:val="24"/>
          <w:szCs w:val="24"/>
          <w:highlight w:val="none"/>
          <w:lang w:val="en-US" w:eastAsia="zh-CN" w:bidi="ar-SA"/>
        </w:rPr>
      </w:pPr>
    </w:p>
    <w:p w14:paraId="7F28D1D9">
      <w:pPr>
        <w:pStyle w:val="60"/>
        <w:rPr>
          <w:rFonts w:hint="default" w:ascii="Times New Roman" w:hAnsi="Times New Roman" w:eastAsia="Arial" w:cs="Times New Roman"/>
          <w:b/>
          <w:bCs/>
          <w:snapToGrid w:val="0"/>
          <w:color w:val="auto"/>
          <w:kern w:val="0"/>
          <w:sz w:val="24"/>
          <w:szCs w:val="24"/>
          <w:highlight w:val="none"/>
          <w:lang w:val="en-US" w:eastAsia="zh-CN" w:bidi="ar-SA"/>
        </w:rPr>
      </w:pPr>
      <w:r>
        <w:rPr>
          <w:rFonts w:hint="default" w:ascii="Times New Roman" w:hAnsi="Times New Roman" w:eastAsia="Arial" w:cs="Times New Roman"/>
          <w:b/>
          <w:bCs/>
          <w:snapToGrid w:val="0"/>
          <w:color w:val="auto"/>
          <w:kern w:val="0"/>
          <w:sz w:val="24"/>
          <w:szCs w:val="24"/>
          <w:highlight w:val="none"/>
          <w:lang w:val="en-US" w:eastAsia="zh-CN" w:bidi="ar-SA"/>
        </w:rPr>
        <w:t>表4</w:t>
      </w:r>
      <w:r>
        <w:rPr>
          <w:rFonts w:hint="eastAsia" w:ascii="Times New Roman" w:hAnsi="Times New Roman" w:eastAsia="Arial" w:cs="Times New Roman"/>
          <w:b/>
          <w:bCs/>
          <w:snapToGrid w:val="0"/>
          <w:color w:val="auto"/>
          <w:kern w:val="0"/>
          <w:sz w:val="24"/>
          <w:szCs w:val="24"/>
          <w:highlight w:val="none"/>
          <w:lang w:val="en-US" w:eastAsia="zh-CN" w:bidi="ar-SA"/>
        </w:rPr>
        <w:t>.2</w:t>
      </w:r>
      <w:r>
        <w:rPr>
          <w:rFonts w:hint="default" w:ascii="Times New Roman" w:hAnsi="Times New Roman" w:eastAsia="Arial" w:cs="Times New Roman"/>
          <w:b/>
          <w:bCs/>
          <w:snapToGrid w:val="0"/>
          <w:color w:val="auto"/>
          <w:kern w:val="0"/>
          <w:sz w:val="24"/>
          <w:szCs w:val="24"/>
          <w:highlight w:val="none"/>
          <w:lang w:val="en-US" w:eastAsia="zh-CN" w:bidi="ar-SA"/>
        </w:rPr>
        <w:t>-</w:t>
      </w:r>
      <w:r>
        <w:rPr>
          <w:rFonts w:hint="eastAsia" w:ascii="Times New Roman" w:hAnsi="Times New Roman" w:eastAsia="Arial" w:cs="Times New Roman"/>
          <w:b/>
          <w:bCs/>
          <w:snapToGrid w:val="0"/>
          <w:color w:val="auto"/>
          <w:kern w:val="0"/>
          <w:sz w:val="24"/>
          <w:szCs w:val="24"/>
          <w:highlight w:val="none"/>
          <w:lang w:val="en-US" w:eastAsia="zh-CN" w:bidi="ar-SA"/>
        </w:rPr>
        <w:t>21</w:t>
      </w:r>
      <w:r>
        <w:rPr>
          <w:rFonts w:hint="default" w:ascii="Times New Roman" w:hAnsi="Times New Roman" w:eastAsia="Arial" w:cs="Times New Roman"/>
          <w:b/>
          <w:bCs/>
          <w:snapToGrid w:val="0"/>
          <w:color w:val="auto"/>
          <w:kern w:val="0"/>
          <w:sz w:val="24"/>
          <w:szCs w:val="24"/>
          <w:highlight w:val="none"/>
          <w:lang w:val="en-US" w:eastAsia="zh-CN" w:bidi="ar-SA"/>
        </w:rPr>
        <w:t xml:space="preserve">  土壤理化性质调查表</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21"/>
        <w:gridCol w:w="2242"/>
        <w:gridCol w:w="1417"/>
        <w:gridCol w:w="1357"/>
        <w:gridCol w:w="1130"/>
        <w:gridCol w:w="1755"/>
      </w:tblGrid>
      <w:tr w14:paraId="335608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679" w:type="pct"/>
            <w:gridSpan w:val="2"/>
            <w:tcBorders>
              <w:tl2br w:val="nil"/>
              <w:tr2bl w:val="nil"/>
            </w:tcBorders>
            <w:vAlign w:val="center"/>
          </w:tcPr>
          <w:p w14:paraId="318CACAA">
            <w:pPr>
              <w:pStyle w:val="59"/>
              <w:rPr>
                <w:color w:val="auto"/>
              </w:rPr>
            </w:pPr>
            <w:r>
              <w:rPr>
                <w:color w:val="auto"/>
              </w:rPr>
              <w:t>点位</w:t>
            </w:r>
          </w:p>
        </w:tc>
        <w:tc>
          <w:tcPr>
            <w:tcW w:w="1627" w:type="pct"/>
            <w:gridSpan w:val="2"/>
            <w:tcBorders>
              <w:tl2br w:val="nil"/>
              <w:tr2bl w:val="nil"/>
            </w:tcBorders>
            <w:vAlign w:val="center"/>
          </w:tcPr>
          <w:p w14:paraId="77F3B872">
            <w:pPr>
              <w:pStyle w:val="59"/>
              <w:rPr>
                <w:rFonts w:hint="default" w:eastAsia="宋体"/>
                <w:color w:val="auto"/>
                <w:lang w:val="en-US" w:eastAsia="zh-CN"/>
              </w:rPr>
            </w:pPr>
            <w:r>
              <w:rPr>
                <w:rFonts w:hint="eastAsia"/>
                <w:color w:val="auto"/>
                <w:lang w:val="en-US" w:eastAsia="zh-CN"/>
              </w:rPr>
              <w:t>1#</w:t>
            </w:r>
          </w:p>
        </w:tc>
        <w:tc>
          <w:tcPr>
            <w:tcW w:w="663" w:type="pct"/>
            <w:tcBorders>
              <w:tl2br w:val="nil"/>
              <w:tr2bl w:val="nil"/>
            </w:tcBorders>
            <w:vAlign w:val="center"/>
          </w:tcPr>
          <w:p w14:paraId="5F0791E1">
            <w:pPr>
              <w:pStyle w:val="59"/>
              <w:rPr>
                <w:color w:val="auto"/>
              </w:rPr>
            </w:pPr>
            <w:r>
              <w:rPr>
                <w:color w:val="auto"/>
              </w:rPr>
              <w:t>时间</w:t>
            </w:r>
          </w:p>
        </w:tc>
        <w:tc>
          <w:tcPr>
            <w:tcW w:w="1029" w:type="pct"/>
            <w:tcBorders>
              <w:tl2br w:val="nil"/>
              <w:tr2bl w:val="nil"/>
            </w:tcBorders>
            <w:vAlign w:val="center"/>
          </w:tcPr>
          <w:p w14:paraId="029D5260">
            <w:pPr>
              <w:pStyle w:val="59"/>
              <w:rPr>
                <w:rFonts w:hint="default" w:eastAsia="宋体"/>
                <w:color w:val="auto"/>
                <w:lang w:val="en-US" w:eastAsia="zh-CN"/>
              </w:rPr>
            </w:pPr>
            <w:r>
              <w:rPr>
                <w:rFonts w:hint="eastAsia"/>
                <w:color w:val="auto"/>
                <w:lang w:val="en-US" w:eastAsia="zh-CN"/>
              </w:rPr>
              <w:t>2025.10.31</w:t>
            </w:r>
          </w:p>
        </w:tc>
      </w:tr>
      <w:tr w14:paraId="4FC8A0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679" w:type="pct"/>
            <w:gridSpan w:val="2"/>
            <w:tcBorders>
              <w:tl2br w:val="nil"/>
              <w:tr2bl w:val="nil"/>
            </w:tcBorders>
            <w:vAlign w:val="center"/>
          </w:tcPr>
          <w:p w14:paraId="27295EE2">
            <w:pPr>
              <w:pStyle w:val="59"/>
              <w:rPr>
                <w:color w:val="auto"/>
              </w:rPr>
            </w:pPr>
            <w:r>
              <w:rPr>
                <w:color w:val="auto"/>
              </w:rPr>
              <w:t>经度</w:t>
            </w:r>
          </w:p>
        </w:tc>
        <w:tc>
          <w:tcPr>
            <w:tcW w:w="1627" w:type="pct"/>
            <w:gridSpan w:val="2"/>
            <w:tcBorders>
              <w:tl2br w:val="nil"/>
              <w:tr2bl w:val="nil"/>
            </w:tcBorders>
            <w:vAlign w:val="center"/>
          </w:tcPr>
          <w:p w14:paraId="5AB83885">
            <w:pPr>
              <w:pStyle w:val="59"/>
              <w:rPr>
                <w:rFonts w:hint="default" w:eastAsia="宋体"/>
                <w:color w:val="auto"/>
                <w:lang w:val="en-US" w:eastAsia="zh-CN"/>
              </w:rPr>
            </w:pPr>
            <w:r>
              <w:rPr>
                <w:rFonts w:hint="eastAsia"/>
                <w:color w:val="auto"/>
                <w:lang w:val="en-US" w:eastAsia="zh-CN"/>
              </w:rPr>
              <w:t>126.732790</w:t>
            </w:r>
          </w:p>
        </w:tc>
        <w:tc>
          <w:tcPr>
            <w:tcW w:w="663" w:type="pct"/>
            <w:tcBorders>
              <w:tl2br w:val="nil"/>
              <w:tr2bl w:val="nil"/>
            </w:tcBorders>
            <w:vAlign w:val="center"/>
          </w:tcPr>
          <w:p w14:paraId="6E041512">
            <w:pPr>
              <w:pStyle w:val="59"/>
              <w:rPr>
                <w:color w:val="auto"/>
              </w:rPr>
            </w:pPr>
            <w:r>
              <w:rPr>
                <w:color w:val="auto"/>
              </w:rPr>
              <w:t>纬度</w:t>
            </w:r>
          </w:p>
        </w:tc>
        <w:tc>
          <w:tcPr>
            <w:tcW w:w="1029" w:type="pct"/>
            <w:tcBorders>
              <w:tl2br w:val="nil"/>
              <w:tr2bl w:val="nil"/>
            </w:tcBorders>
            <w:vAlign w:val="center"/>
          </w:tcPr>
          <w:p w14:paraId="30D57985">
            <w:pPr>
              <w:pStyle w:val="59"/>
              <w:rPr>
                <w:rFonts w:hint="default" w:eastAsia="宋体"/>
                <w:color w:val="auto"/>
                <w:lang w:val="en-US" w:eastAsia="zh-CN"/>
              </w:rPr>
            </w:pPr>
            <w:r>
              <w:rPr>
                <w:rFonts w:hint="eastAsia"/>
                <w:color w:val="auto"/>
                <w:lang w:val="en-US" w:eastAsia="zh-CN"/>
              </w:rPr>
              <w:t>45.4321394</w:t>
            </w:r>
          </w:p>
        </w:tc>
      </w:tr>
      <w:tr w14:paraId="74C15F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679" w:type="pct"/>
            <w:gridSpan w:val="2"/>
            <w:tcBorders>
              <w:tl2br w:val="nil"/>
              <w:tr2bl w:val="nil"/>
            </w:tcBorders>
            <w:vAlign w:val="center"/>
          </w:tcPr>
          <w:p w14:paraId="54842AFF">
            <w:pPr>
              <w:pStyle w:val="59"/>
              <w:rPr>
                <w:color w:val="auto"/>
              </w:rPr>
            </w:pPr>
            <w:r>
              <w:rPr>
                <w:color w:val="auto"/>
              </w:rPr>
              <w:t>层次</w:t>
            </w:r>
          </w:p>
        </w:tc>
        <w:tc>
          <w:tcPr>
            <w:tcW w:w="831" w:type="pct"/>
            <w:tcBorders>
              <w:tl2br w:val="nil"/>
              <w:tr2bl w:val="nil"/>
            </w:tcBorders>
            <w:vAlign w:val="center"/>
          </w:tcPr>
          <w:p w14:paraId="6D62AC0A">
            <w:pPr>
              <w:pStyle w:val="59"/>
              <w:rPr>
                <w:color w:val="auto"/>
              </w:rPr>
            </w:pPr>
            <w:r>
              <w:rPr>
                <w:color w:val="auto"/>
              </w:rPr>
              <w:t>0-0.5m</w:t>
            </w:r>
          </w:p>
        </w:tc>
        <w:tc>
          <w:tcPr>
            <w:tcW w:w="796" w:type="pct"/>
            <w:tcBorders>
              <w:tl2br w:val="nil"/>
              <w:tr2bl w:val="nil"/>
            </w:tcBorders>
            <w:vAlign w:val="center"/>
          </w:tcPr>
          <w:p w14:paraId="2DD04EA9">
            <w:pPr>
              <w:pStyle w:val="59"/>
              <w:rPr>
                <w:color w:val="auto"/>
              </w:rPr>
            </w:pPr>
            <w:r>
              <w:rPr>
                <w:color w:val="auto"/>
              </w:rPr>
              <w:t>0.5-1.5m</w:t>
            </w:r>
          </w:p>
        </w:tc>
        <w:tc>
          <w:tcPr>
            <w:tcW w:w="663" w:type="pct"/>
            <w:tcBorders>
              <w:tl2br w:val="nil"/>
              <w:tr2bl w:val="nil"/>
            </w:tcBorders>
            <w:vAlign w:val="center"/>
          </w:tcPr>
          <w:p w14:paraId="6DED4785">
            <w:pPr>
              <w:pStyle w:val="59"/>
              <w:rPr>
                <w:color w:val="auto"/>
              </w:rPr>
            </w:pPr>
            <w:r>
              <w:rPr>
                <w:color w:val="auto"/>
              </w:rPr>
              <w:t>1.5-3m</w:t>
            </w:r>
          </w:p>
        </w:tc>
        <w:tc>
          <w:tcPr>
            <w:tcW w:w="1029" w:type="pct"/>
            <w:tcBorders>
              <w:tl2br w:val="nil"/>
              <w:tr2bl w:val="nil"/>
            </w:tcBorders>
            <w:vAlign w:val="center"/>
          </w:tcPr>
          <w:p w14:paraId="29A4D17C">
            <w:pPr>
              <w:pStyle w:val="59"/>
              <w:rPr>
                <w:color w:val="auto"/>
              </w:rPr>
            </w:pPr>
          </w:p>
        </w:tc>
      </w:tr>
      <w:tr w14:paraId="757F47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64" w:type="pct"/>
            <w:vMerge w:val="restart"/>
            <w:tcBorders>
              <w:tl2br w:val="nil"/>
              <w:tr2bl w:val="nil"/>
            </w:tcBorders>
            <w:vAlign w:val="center"/>
          </w:tcPr>
          <w:p w14:paraId="046BA2E8">
            <w:pPr>
              <w:pStyle w:val="59"/>
              <w:rPr>
                <w:color w:val="auto"/>
              </w:rPr>
            </w:pPr>
            <w:r>
              <w:rPr>
                <w:color w:val="auto"/>
              </w:rPr>
              <w:t>现场记录</w:t>
            </w:r>
          </w:p>
        </w:tc>
        <w:tc>
          <w:tcPr>
            <w:tcW w:w="1314" w:type="pct"/>
            <w:tcBorders>
              <w:tl2br w:val="nil"/>
              <w:tr2bl w:val="nil"/>
            </w:tcBorders>
            <w:vAlign w:val="center"/>
          </w:tcPr>
          <w:p w14:paraId="6AD72506">
            <w:pPr>
              <w:pStyle w:val="59"/>
              <w:rPr>
                <w:color w:val="auto"/>
              </w:rPr>
            </w:pPr>
            <w:r>
              <w:rPr>
                <w:color w:val="auto"/>
              </w:rPr>
              <w:t>颜色</w:t>
            </w:r>
          </w:p>
        </w:tc>
        <w:tc>
          <w:tcPr>
            <w:tcW w:w="831" w:type="pct"/>
            <w:tcBorders>
              <w:tl2br w:val="nil"/>
              <w:tr2bl w:val="nil"/>
            </w:tcBorders>
            <w:vAlign w:val="center"/>
          </w:tcPr>
          <w:p w14:paraId="1BC7A00A">
            <w:pPr>
              <w:pStyle w:val="59"/>
              <w:rPr>
                <w:color w:val="auto"/>
              </w:rPr>
            </w:pPr>
            <w:r>
              <w:rPr>
                <w:rFonts w:hint="eastAsia"/>
                <w:color w:val="auto"/>
                <w:lang w:val="en-US" w:eastAsia="zh-CN"/>
              </w:rPr>
              <w:t>黑色</w:t>
            </w:r>
          </w:p>
        </w:tc>
        <w:tc>
          <w:tcPr>
            <w:tcW w:w="796" w:type="pct"/>
            <w:tcBorders>
              <w:tl2br w:val="nil"/>
              <w:tr2bl w:val="nil"/>
            </w:tcBorders>
            <w:vAlign w:val="center"/>
          </w:tcPr>
          <w:p w14:paraId="5FE71D6D">
            <w:pPr>
              <w:pStyle w:val="59"/>
              <w:rPr>
                <w:color w:val="auto"/>
              </w:rPr>
            </w:pPr>
            <w:r>
              <w:rPr>
                <w:rFonts w:hint="eastAsia"/>
                <w:color w:val="auto"/>
                <w:lang w:val="en-US" w:eastAsia="zh-CN"/>
              </w:rPr>
              <w:t>黄色</w:t>
            </w:r>
          </w:p>
        </w:tc>
        <w:tc>
          <w:tcPr>
            <w:tcW w:w="663" w:type="pct"/>
            <w:tcBorders>
              <w:tl2br w:val="nil"/>
              <w:tr2bl w:val="nil"/>
            </w:tcBorders>
            <w:vAlign w:val="center"/>
          </w:tcPr>
          <w:p w14:paraId="41106AC1">
            <w:pPr>
              <w:pStyle w:val="59"/>
              <w:rPr>
                <w:color w:val="auto"/>
              </w:rPr>
            </w:pPr>
            <w:r>
              <w:rPr>
                <w:rFonts w:hint="eastAsia"/>
                <w:color w:val="auto"/>
                <w:lang w:val="en-US" w:eastAsia="zh-CN"/>
              </w:rPr>
              <w:t>黄色</w:t>
            </w:r>
          </w:p>
        </w:tc>
        <w:tc>
          <w:tcPr>
            <w:tcW w:w="1029" w:type="pct"/>
            <w:tcBorders>
              <w:tl2br w:val="nil"/>
              <w:tr2bl w:val="nil"/>
            </w:tcBorders>
            <w:vAlign w:val="center"/>
          </w:tcPr>
          <w:p w14:paraId="3974C61E">
            <w:pPr>
              <w:pStyle w:val="59"/>
              <w:rPr>
                <w:color w:val="auto"/>
              </w:rPr>
            </w:pPr>
          </w:p>
        </w:tc>
      </w:tr>
      <w:tr w14:paraId="61CD1E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64" w:type="pct"/>
            <w:vMerge w:val="continue"/>
            <w:tcBorders>
              <w:tl2br w:val="nil"/>
              <w:tr2bl w:val="nil"/>
            </w:tcBorders>
            <w:vAlign w:val="center"/>
          </w:tcPr>
          <w:p w14:paraId="23D020E8">
            <w:pPr>
              <w:pStyle w:val="59"/>
              <w:rPr>
                <w:color w:val="auto"/>
              </w:rPr>
            </w:pPr>
          </w:p>
        </w:tc>
        <w:tc>
          <w:tcPr>
            <w:tcW w:w="1314" w:type="pct"/>
            <w:tcBorders>
              <w:tl2br w:val="nil"/>
              <w:tr2bl w:val="nil"/>
            </w:tcBorders>
            <w:vAlign w:val="center"/>
          </w:tcPr>
          <w:p w14:paraId="6B79013B">
            <w:pPr>
              <w:pStyle w:val="59"/>
              <w:rPr>
                <w:color w:val="auto"/>
              </w:rPr>
            </w:pPr>
            <w:r>
              <w:rPr>
                <w:color w:val="auto"/>
              </w:rPr>
              <w:t>结构</w:t>
            </w:r>
          </w:p>
        </w:tc>
        <w:tc>
          <w:tcPr>
            <w:tcW w:w="831" w:type="pct"/>
            <w:tcBorders>
              <w:tl2br w:val="nil"/>
              <w:tr2bl w:val="nil"/>
            </w:tcBorders>
            <w:vAlign w:val="center"/>
          </w:tcPr>
          <w:p w14:paraId="38F94A3E">
            <w:pPr>
              <w:pStyle w:val="59"/>
              <w:rPr>
                <w:color w:val="auto"/>
              </w:rPr>
            </w:pPr>
            <w:r>
              <w:rPr>
                <w:rFonts w:hint="eastAsia"/>
                <w:color w:val="auto"/>
                <w:lang w:val="en-US" w:eastAsia="zh-CN"/>
              </w:rPr>
              <w:t>粒装</w:t>
            </w:r>
          </w:p>
        </w:tc>
        <w:tc>
          <w:tcPr>
            <w:tcW w:w="796" w:type="pct"/>
            <w:tcBorders>
              <w:tl2br w:val="nil"/>
              <w:tr2bl w:val="nil"/>
            </w:tcBorders>
            <w:vAlign w:val="center"/>
          </w:tcPr>
          <w:p w14:paraId="1CE9E1AA">
            <w:pPr>
              <w:pStyle w:val="59"/>
              <w:rPr>
                <w:color w:val="auto"/>
              </w:rPr>
            </w:pPr>
            <w:r>
              <w:rPr>
                <w:rFonts w:hint="eastAsia"/>
                <w:color w:val="auto"/>
                <w:lang w:val="en-US" w:eastAsia="zh-CN"/>
              </w:rPr>
              <w:t>柱状</w:t>
            </w:r>
          </w:p>
        </w:tc>
        <w:tc>
          <w:tcPr>
            <w:tcW w:w="663" w:type="pct"/>
            <w:tcBorders>
              <w:tl2br w:val="nil"/>
              <w:tr2bl w:val="nil"/>
            </w:tcBorders>
            <w:vAlign w:val="center"/>
          </w:tcPr>
          <w:p w14:paraId="61CCCEAB">
            <w:pPr>
              <w:pStyle w:val="59"/>
              <w:rPr>
                <w:color w:val="auto"/>
              </w:rPr>
            </w:pPr>
            <w:r>
              <w:rPr>
                <w:rFonts w:hint="eastAsia"/>
                <w:color w:val="auto"/>
                <w:lang w:val="en-US" w:eastAsia="zh-CN"/>
              </w:rPr>
              <w:t>柱状</w:t>
            </w:r>
          </w:p>
        </w:tc>
        <w:tc>
          <w:tcPr>
            <w:tcW w:w="1029" w:type="pct"/>
            <w:tcBorders>
              <w:tl2br w:val="nil"/>
              <w:tr2bl w:val="nil"/>
            </w:tcBorders>
            <w:vAlign w:val="center"/>
          </w:tcPr>
          <w:p w14:paraId="5E84DB3D">
            <w:pPr>
              <w:pStyle w:val="59"/>
              <w:rPr>
                <w:color w:val="auto"/>
              </w:rPr>
            </w:pPr>
          </w:p>
        </w:tc>
      </w:tr>
      <w:tr w14:paraId="2B28FB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64" w:type="pct"/>
            <w:vMerge w:val="continue"/>
            <w:tcBorders>
              <w:tl2br w:val="nil"/>
              <w:tr2bl w:val="nil"/>
            </w:tcBorders>
            <w:vAlign w:val="center"/>
          </w:tcPr>
          <w:p w14:paraId="69947D70">
            <w:pPr>
              <w:pStyle w:val="59"/>
              <w:rPr>
                <w:color w:val="auto"/>
              </w:rPr>
            </w:pPr>
          </w:p>
        </w:tc>
        <w:tc>
          <w:tcPr>
            <w:tcW w:w="1314" w:type="pct"/>
            <w:tcBorders>
              <w:tl2br w:val="nil"/>
              <w:tr2bl w:val="nil"/>
            </w:tcBorders>
            <w:vAlign w:val="center"/>
          </w:tcPr>
          <w:p w14:paraId="3682B5F7">
            <w:pPr>
              <w:pStyle w:val="59"/>
              <w:rPr>
                <w:color w:val="auto"/>
              </w:rPr>
            </w:pPr>
            <w:r>
              <w:rPr>
                <w:color w:val="auto"/>
              </w:rPr>
              <w:t>质地</w:t>
            </w:r>
          </w:p>
        </w:tc>
        <w:tc>
          <w:tcPr>
            <w:tcW w:w="831" w:type="pct"/>
            <w:tcBorders>
              <w:tl2br w:val="nil"/>
              <w:tr2bl w:val="nil"/>
            </w:tcBorders>
            <w:vAlign w:val="center"/>
          </w:tcPr>
          <w:p w14:paraId="7C5051EF">
            <w:pPr>
              <w:pStyle w:val="59"/>
              <w:rPr>
                <w:color w:val="auto"/>
              </w:rPr>
            </w:pPr>
            <w:r>
              <w:rPr>
                <w:rFonts w:hint="eastAsia"/>
                <w:color w:val="auto"/>
                <w:lang w:val="en-US" w:eastAsia="zh-CN"/>
              </w:rPr>
              <w:t>疏松</w:t>
            </w:r>
          </w:p>
        </w:tc>
        <w:tc>
          <w:tcPr>
            <w:tcW w:w="796" w:type="pct"/>
            <w:tcBorders>
              <w:tl2br w:val="nil"/>
              <w:tr2bl w:val="nil"/>
            </w:tcBorders>
            <w:vAlign w:val="center"/>
          </w:tcPr>
          <w:p w14:paraId="7ECB6427">
            <w:pPr>
              <w:pStyle w:val="59"/>
              <w:rPr>
                <w:color w:val="auto"/>
              </w:rPr>
            </w:pPr>
            <w:r>
              <w:rPr>
                <w:rFonts w:hint="eastAsia"/>
                <w:color w:val="auto"/>
                <w:lang w:val="en-US" w:eastAsia="zh-CN"/>
              </w:rPr>
              <w:t>紧实</w:t>
            </w:r>
          </w:p>
        </w:tc>
        <w:tc>
          <w:tcPr>
            <w:tcW w:w="663" w:type="pct"/>
            <w:tcBorders>
              <w:tl2br w:val="nil"/>
              <w:tr2bl w:val="nil"/>
            </w:tcBorders>
            <w:vAlign w:val="center"/>
          </w:tcPr>
          <w:p w14:paraId="4ED60ABB">
            <w:pPr>
              <w:pStyle w:val="59"/>
              <w:rPr>
                <w:color w:val="auto"/>
              </w:rPr>
            </w:pPr>
            <w:r>
              <w:rPr>
                <w:rFonts w:hint="eastAsia"/>
                <w:color w:val="auto"/>
                <w:lang w:val="en-US" w:eastAsia="zh-CN"/>
              </w:rPr>
              <w:t>极紧实</w:t>
            </w:r>
          </w:p>
        </w:tc>
        <w:tc>
          <w:tcPr>
            <w:tcW w:w="1029" w:type="pct"/>
            <w:tcBorders>
              <w:tl2br w:val="nil"/>
              <w:tr2bl w:val="nil"/>
            </w:tcBorders>
            <w:vAlign w:val="center"/>
          </w:tcPr>
          <w:p w14:paraId="79454303">
            <w:pPr>
              <w:pStyle w:val="59"/>
              <w:rPr>
                <w:color w:val="auto"/>
              </w:rPr>
            </w:pPr>
          </w:p>
        </w:tc>
      </w:tr>
      <w:tr w14:paraId="34CD0F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64" w:type="pct"/>
            <w:vMerge w:val="continue"/>
            <w:tcBorders>
              <w:tl2br w:val="nil"/>
              <w:tr2bl w:val="nil"/>
            </w:tcBorders>
            <w:vAlign w:val="center"/>
          </w:tcPr>
          <w:p w14:paraId="0B9876DF">
            <w:pPr>
              <w:pStyle w:val="59"/>
              <w:rPr>
                <w:color w:val="auto"/>
              </w:rPr>
            </w:pPr>
          </w:p>
        </w:tc>
        <w:tc>
          <w:tcPr>
            <w:tcW w:w="1314" w:type="pct"/>
            <w:tcBorders>
              <w:tl2br w:val="nil"/>
              <w:tr2bl w:val="nil"/>
            </w:tcBorders>
            <w:vAlign w:val="center"/>
          </w:tcPr>
          <w:p w14:paraId="277E4E8A">
            <w:pPr>
              <w:pStyle w:val="59"/>
              <w:rPr>
                <w:color w:val="auto"/>
              </w:rPr>
            </w:pPr>
            <w:r>
              <w:rPr>
                <w:color w:val="auto"/>
              </w:rPr>
              <w:t>沙粒含量</w:t>
            </w:r>
          </w:p>
        </w:tc>
        <w:tc>
          <w:tcPr>
            <w:tcW w:w="831" w:type="pct"/>
            <w:tcBorders>
              <w:tl2br w:val="nil"/>
              <w:tr2bl w:val="nil"/>
            </w:tcBorders>
            <w:vAlign w:val="center"/>
          </w:tcPr>
          <w:p w14:paraId="098DD38B">
            <w:pPr>
              <w:pStyle w:val="59"/>
              <w:rPr>
                <w:color w:val="auto"/>
              </w:rPr>
            </w:pPr>
            <w:r>
              <w:rPr>
                <w:rFonts w:hint="eastAsia"/>
                <w:color w:val="auto"/>
                <w:lang w:val="en-US" w:eastAsia="zh-CN"/>
              </w:rPr>
              <w:t>壤土</w:t>
            </w:r>
          </w:p>
        </w:tc>
        <w:tc>
          <w:tcPr>
            <w:tcW w:w="796" w:type="pct"/>
            <w:tcBorders>
              <w:tl2br w:val="nil"/>
              <w:tr2bl w:val="nil"/>
            </w:tcBorders>
            <w:vAlign w:val="center"/>
          </w:tcPr>
          <w:p w14:paraId="7DCF4014">
            <w:pPr>
              <w:pStyle w:val="59"/>
              <w:rPr>
                <w:color w:val="auto"/>
              </w:rPr>
            </w:pPr>
            <w:r>
              <w:rPr>
                <w:rFonts w:hint="eastAsia"/>
                <w:color w:val="auto"/>
                <w:lang w:val="en-US" w:eastAsia="zh-CN"/>
              </w:rPr>
              <w:t>黏土</w:t>
            </w:r>
          </w:p>
        </w:tc>
        <w:tc>
          <w:tcPr>
            <w:tcW w:w="663" w:type="pct"/>
            <w:tcBorders>
              <w:tl2br w:val="nil"/>
              <w:tr2bl w:val="nil"/>
            </w:tcBorders>
            <w:vAlign w:val="center"/>
          </w:tcPr>
          <w:p w14:paraId="5827F6EE">
            <w:pPr>
              <w:pStyle w:val="59"/>
              <w:rPr>
                <w:color w:val="auto"/>
              </w:rPr>
            </w:pPr>
            <w:r>
              <w:rPr>
                <w:rFonts w:hint="eastAsia"/>
                <w:color w:val="auto"/>
                <w:lang w:val="en-US" w:eastAsia="zh-CN"/>
              </w:rPr>
              <w:t>黏土</w:t>
            </w:r>
          </w:p>
        </w:tc>
        <w:tc>
          <w:tcPr>
            <w:tcW w:w="1029" w:type="pct"/>
            <w:tcBorders>
              <w:tl2br w:val="nil"/>
              <w:tr2bl w:val="nil"/>
            </w:tcBorders>
            <w:vAlign w:val="center"/>
          </w:tcPr>
          <w:p w14:paraId="78CD6DDA">
            <w:pPr>
              <w:pStyle w:val="59"/>
              <w:rPr>
                <w:color w:val="auto"/>
              </w:rPr>
            </w:pPr>
          </w:p>
        </w:tc>
      </w:tr>
      <w:tr w14:paraId="641BAD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64" w:type="pct"/>
            <w:vMerge w:val="continue"/>
            <w:tcBorders>
              <w:tl2br w:val="nil"/>
              <w:tr2bl w:val="nil"/>
            </w:tcBorders>
            <w:vAlign w:val="center"/>
          </w:tcPr>
          <w:p w14:paraId="260B9E69">
            <w:pPr>
              <w:pStyle w:val="59"/>
              <w:rPr>
                <w:color w:val="auto"/>
              </w:rPr>
            </w:pPr>
          </w:p>
        </w:tc>
        <w:tc>
          <w:tcPr>
            <w:tcW w:w="1314" w:type="pct"/>
            <w:tcBorders>
              <w:tl2br w:val="nil"/>
              <w:tr2bl w:val="nil"/>
            </w:tcBorders>
            <w:vAlign w:val="center"/>
          </w:tcPr>
          <w:p w14:paraId="31941979">
            <w:pPr>
              <w:pStyle w:val="59"/>
              <w:rPr>
                <w:color w:val="auto"/>
              </w:rPr>
            </w:pPr>
            <w:r>
              <w:rPr>
                <w:color w:val="auto"/>
              </w:rPr>
              <w:t>其他异物</w:t>
            </w:r>
          </w:p>
        </w:tc>
        <w:tc>
          <w:tcPr>
            <w:tcW w:w="831" w:type="pct"/>
            <w:tcBorders>
              <w:tl2br w:val="nil"/>
              <w:tr2bl w:val="nil"/>
            </w:tcBorders>
            <w:vAlign w:val="center"/>
          </w:tcPr>
          <w:p w14:paraId="03BCFB33">
            <w:pPr>
              <w:pStyle w:val="59"/>
              <w:rPr>
                <w:color w:val="auto"/>
              </w:rPr>
            </w:pPr>
            <w:r>
              <w:rPr>
                <w:rFonts w:hint="eastAsia"/>
                <w:color w:val="auto"/>
                <w:lang w:val="en-US" w:eastAsia="zh-CN"/>
              </w:rPr>
              <w:t>无</w:t>
            </w:r>
          </w:p>
        </w:tc>
        <w:tc>
          <w:tcPr>
            <w:tcW w:w="796" w:type="pct"/>
            <w:tcBorders>
              <w:tl2br w:val="nil"/>
              <w:tr2bl w:val="nil"/>
            </w:tcBorders>
            <w:vAlign w:val="center"/>
          </w:tcPr>
          <w:p w14:paraId="2C40F90A">
            <w:pPr>
              <w:pStyle w:val="59"/>
              <w:rPr>
                <w:color w:val="auto"/>
              </w:rPr>
            </w:pPr>
            <w:r>
              <w:rPr>
                <w:rFonts w:hint="eastAsia"/>
                <w:color w:val="auto"/>
                <w:lang w:val="en-US" w:eastAsia="zh-CN"/>
              </w:rPr>
              <w:t>无</w:t>
            </w:r>
          </w:p>
        </w:tc>
        <w:tc>
          <w:tcPr>
            <w:tcW w:w="663" w:type="pct"/>
            <w:tcBorders>
              <w:tl2br w:val="nil"/>
              <w:tr2bl w:val="nil"/>
            </w:tcBorders>
            <w:vAlign w:val="center"/>
          </w:tcPr>
          <w:p w14:paraId="1A64E97D">
            <w:pPr>
              <w:pStyle w:val="59"/>
              <w:rPr>
                <w:color w:val="auto"/>
              </w:rPr>
            </w:pPr>
            <w:r>
              <w:rPr>
                <w:rFonts w:hint="eastAsia"/>
                <w:color w:val="auto"/>
                <w:lang w:val="en-US" w:eastAsia="zh-CN"/>
              </w:rPr>
              <w:t>无</w:t>
            </w:r>
          </w:p>
        </w:tc>
        <w:tc>
          <w:tcPr>
            <w:tcW w:w="1029" w:type="pct"/>
            <w:tcBorders>
              <w:tl2br w:val="nil"/>
              <w:tr2bl w:val="nil"/>
            </w:tcBorders>
            <w:vAlign w:val="center"/>
          </w:tcPr>
          <w:p w14:paraId="6E7FE0AB">
            <w:pPr>
              <w:pStyle w:val="59"/>
              <w:rPr>
                <w:color w:val="auto"/>
              </w:rPr>
            </w:pPr>
          </w:p>
        </w:tc>
      </w:tr>
      <w:tr w14:paraId="635E66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64" w:type="pct"/>
            <w:vMerge w:val="restart"/>
            <w:tcBorders>
              <w:tl2br w:val="nil"/>
              <w:tr2bl w:val="nil"/>
            </w:tcBorders>
            <w:vAlign w:val="center"/>
          </w:tcPr>
          <w:p w14:paraId="62555CBA">
            <w:pPr>
              <w:pStyle w:val="59"/>
              <w:rPr>
                <w:color w:val="auto"/>
              </w:rPr>
            </w:pPr>
            <w:r>
              <w:rPr>
                <w:color w:val="auto"/>
              </w:rPr>
              <w:t>实验室测定</w:t>
            </w:r>
          </w:p>
        </w:tc>
        <w:tc>
          <w:tcPr>
            <w:tcW w:w="1314" w:type="pct"/>
            <w:tcBorders>
              <w:tl2br w:val="nil"/>
              <w:tr2bl w:val="nil"/>
            </w:tcBorders>
            <w:vAlign w:val="center"/>
          </w:tcPr>
          <w:p w14:paraId="745799D6">
            <w:pPr>
              <w:pStyle w:val="59"/>
              <w:rPr>
                <w:color w:val="auto"/>
              </w:rPr>
            </w:pPr>
            <w:r>
              <w:rPr>
                <w:color w:val="auto"/>
              </w:rPr>
              <w:t>pH</w:t>
            </w:r>
          </w:p>
        </w:tc>
        <w:tc>
          <w:tcPr>
            <w:tcW w:w="831" w:type="pct"/>
            <w:tcBorders>
              <w:tl2br w:val="nil"/>
              <w:tr2bl w:val="nil"/>
            </w:tcBorders>
            <w:vAlign w:val="center"/>
          </w:tcPr>
          <w:p w14:paraId="45F842B6">
            <w:pPr>
              <w:adjustRightInd w:val="0"/>
              <w:snapToGrid w:val="0"/>
              <w:spacing w:line="280" w:lineRule="exact"/>
              <w:jc w:val="center"/>
              <w:rPr>
                <w:color w:val="auto"/>
              </w:rPr>
            </w:pPr>
            <w:r>
              <w:rPr>
                <w:rFonts w:hint="eastAsia" w:ascii="Times New Roman" w:hAnsi="Times New Roman" w:eastAsia="宋体" w:cs="Times New Roman"/>
                <w:color w:val="auto"/>
                <w:kern w:val="2"/>
                <w:sz w:val="21"/>
                <w:szCs w:val="21"/>
                <w:highlight w:val="none"/>
                <w:lang w:val="en-US" w:eastAsia="zh-CN" w:bidi="ar-SA"/>
              </w:rPr>
              <w:t>7.52</w:t>
            </w:r>
          </w:p>
        </w:tc>
        <w:tc>
          <w:tcPr>
            <w:tcW w:w="796" w:type="pct"/>
            <w:tcBorders>
              <w:tl2br w:val="nil"/>
              <w:tr2bl w:val="nil"/>
            </w:tcBorders>
            <w:vAlign w:val="center"/>
          </w:tcPr>
          <w:p w14:paraId="0CD83A1C">
            <w:pPr>
              <w:adjustRightInd w:val="0"/>
              <w:snapToGrid w:val="0"/>
              <w:spacing w:line="280" w:lineRule="exact"/>
              <w:jc w:val="center"/>
              <w:rPr>
                <w:color w:val="auto"/>
              </w:rPr>
            </w:pPr>
            <w:r>
              <w:rPr>
                <w:rFonts w:hint="eastAsia" w:ascii="Times New Roman" w:hAnsi="Times New Roman" w:eastAsia="宋体" w:cs="Times New Roman"/>
                <w:color w:val="auto"/>
                <w:kern w:val="2"/>
                <w:sz w:val="21"/>
                <w:szCs w:val="21"/>
                <w:highlight w:val="none"/>
                <w:lang w:val="en-US" w:eastAsia="zh-CN" w:bidi="ar-SA"/>
              </w:rPr>
              <w:t>7.49</w:t>
            </w:r>
          </w:p>
        </w:tc>
        <w:tc>
          <w:tcPr>
            <w:tcW w:w="663" w:type="pct"/>
            <w:tcBorders>
              <w:tl2br w:val="nil"/>
              <w:tr2bl w:val="nil"/>
            </w:tcBorders>
            <w:vAlign w:val="center"/>
          </w:tcPr>
          <w:p w14:paraId="68ED5C0A">
            <w:pPr>
              <w:adjustRightInd w:val="0"/>
              <w:snapToGrid w:val="0"/>
              <w:spacing w:line="280" w:lineRule="exact"/>
              <w:jc w:val="center"/>
              <w:rPr>
                <w:color w:val="auto"/>
              </w:rPr>
            </w:pPr>
            <w:r>
              <w:rPr>
                <w:rFonts w:hint="eastAsia" w:ascii="Times New Roman" w:hAnsi="Times New Roman" w:eastAsia="宋体" w:cs="Times New Roman"/>
                <w:color w:val="auto"/>
                <w:kern w:val="2"/>
                <w:sz w:val="21"/>
                <w:szCs w:val="21"/>
                <w:highlight w:val="none"/>
                <w:lang w:val="en-US" w:eastAsia="zh-CN" w:bidi="ar-SA"/>
              </w:rPr>
              <w:t>7.49</w:t>
            </w:r>
          </w:p>
        </w:tc>
        <w:tc>
          <w:tcPr>
            <w:tcW w:w="1029" w:type="pct"/>
            <w:tcBorders>
              <w:tl2br w:val="nil"/>
              <w:tr2bl w:val="nil"/>
            </w:tcBorders>
            <w:vAlign w:val="center"/>
          </w:tcPr>
          <w:p w14:paraId="779082D5">
            <w:pPr>
              <w:pStyle w:val="59"/>
              <w:rPr>
                <w:color w:val="auto"/>
              </w:rPr>
            </w:pPr>
          </w:p>
        </w:tc>
      </w:tr>
      <w:tr w14:paraId="3B7A8F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64" w:type="pct"/>
            <w:vMerge w:val="continue"/>
            <w:tcBorders>
              <w:tl2br w:val="nil"/>
              <w:tr2bl w:val="nil"/>
            </w:tcBorders>
            <w:vAlign w:val="center"/>
          </w:tcPr>
          <w:p w14:paraId="605C2AF0">
            <w:pPr>
              <w:pStyle w:val="59"/>
              <w:rPr>
                <w:color w:val="auto"/>
              </w:rPr>
            </w:pPr>
          </w:p>
        </w:tc>
        <w:tc>
          <w:tcPr>
            <w:tcW w:w="1314" w:type="pct"/>
            <w:tcBorders>
              <w:tl2br w:val="nil"/>
              <w:tr2bl w:val="nil"/>
            </w:tcBorders>
            <w:vAlign w:val="center"/>
          </w:tcPr>
          <w:p w14:paraId="011D1883">
            <w:pPr>
              <w:pStyle w:val="59"/>
              <w:rPr>
                <w:color w:val="auto"/>
              </w:rPr>
            </w:pPr>
            <w:r>
              <w:rPr>
                <w:color w:val="auto"/>
              </w:rPr>
              <w:t>阳离子交换量(</w:t>
            </w:r>
            <w:r>
              <w:rPr>
                <w:rFonts w:eastAsia="黑体"/>
                <w:color w:val="auto"/>
              </w:rPr>
              <w:t>cmol+/kg)</w:t>
            </w:r>
          </w:p>
        </w:tc>
        <w:tc>
          <w:tcPr>
            <w:tcW w:w="831" w:type="pct"/>
            <w:tcBorders>
              <w:tl2br w:val="nil"/>
              <w:tr2bl w:val="nil"/>
            </w:tcBorders>
            <w:vAlign w:val="center"/>
          </w:tcPr>
          <w:p w14:paraId="12B87031">
            <w:pPr>
              <w:adjustRightInd w:val="0"/>
              <w:snapToGrid w:val="0"/>
              <w:spacing w:line="280" w:lineRule="exact"/>
              <w:jc w:val="center"/>
              <w:rPr>
                <w:color w:val="auto"/>
              </w:rPr>
            </w:pPr>
            <w:r>
              <w:rPr>
                <w:rFonts w:hint="eastAsia" w:ascii="Times New Roman" w:hAnsi="Times New Roman" w:eastAsia="宋体" w:cs="Times New Roman"/>
                <w:color w:val="auto"/>
                <w:sz w:val="21"/>
                <w:szCs w:val="21"/>
                <w:highlight w:val="none"/>
                <w:lang w:val="en-US" w:eastAsia="zh-CN"/>
              </w:rPr>
              <w:t>11.4</w:t>
            </w:r>
          </w:p>
        </w:tc>
        <w:tc>
          <w:tcPr>
            <w:tcW w:w="796" w:type="pct"/>
            <w:tcBorders>
              <w:tl2br w:val="nil"/>
              <w:tr2bl w:val="nil"/>
            </w:tcBorders>
            <w:vAlign w:val="center"/>
          </w:tcPr>
          <w:p w14:paraId="12F3EA5E">
            <w:pPr>
              <w:adjustRightInd w:val="0"/>
              <w:snapToGrid w:val="0"/>
              <w:spacing w:line="280" w:lineRule="exact"/>
              <w:jc w:val="center"/>
              <w:rPr>
                <w:color w:val="auto"/>
              </w:rPr>
            </w:pPr>
            <w:r>
              <w:rPr>
                <w:rFonts w:hint="eastAsia" w:ascii="Times New Roman" w:hAnsi="Times New Roman" w:eastAsia="宋体" w:cs="Times New Roman"/>
                <w:color w:val="auto"/>
                <w:sz w:val="21"/>
                <w:szCs w:val="21"/>
                <w:highlight w:val="none"/>
                <w:lang w:val="en-US" w:eastAsia="zh-CN"/>
              </w:rPr>
              <w:t>12.5</w:t>
            </w:r>
          </w:p>
        </w:tc>
        <w:tc>
          <w:tcPr>
            <w:tcW w:w="663" w:type="pct"/>
            <w:tcBorders>
              <w:tl2br w:val="nil"/>
              <w:tr2bl w:val="nil"/>
            </w:tcBorders>
            <w:vAlign w:val="center"/>
          </w:tcPr>
          <w:p w14:paraId="26E733AE">
            <w:pPr>
              <w:adjustRightInd w:val="0"/>
              <w:snapToGrid w:val="0"/>
              <w:spacing w:line="280" w:lineRule="exact"/>
              <w:jc w:val="center"/>
              <w:rPr>
                <w:color w:val="auto"/>
              </w:rPr>
            </w:pPr>
            <w:r>
              <w:rPr>
                <w:rFonts w:hint="eastAsia" w:ascii="Times New Roman" w:hAnsi="Times New Roman" w:eastAsia="宋体" w:cs="Times New Roman"/>
                <w:color w:val="auto"/>
                <w:sz w:val="21"/>
                <w:szCs w:val="21"/>
                <w:highlight w:val="none"/>
                <w:lang w:val="en-US" w:eastAsia="zh-CN"/>
              </w:rPr>
              <w:t>12.7</w:t>
            </w:r>
          </w:p>
        </w:tc>
        <w:tc>
          <w:tcPr>
            <w:tcW w:w="1029" w:type="pct"/>
            <w:tcBorders>
              <w:tl2br w:val="nil"/>
              <w:tr2bl w:val="nil"/>
            </w:tcBorders>
            <w:vAlign w:val="center"/>
          </w:tcPr>
          <w:p w14:paraId="07DDCB46">
            <w:pPr>
              <w:pStyle w:val="59"/>
              <w:rPr>
                <w:color w:val="auto"/>
              </w:rPr>
            </w:pPr>
          </w:p>
        </w:tc>
      </w:tr>
      <w:tr w14:paraId="66DBF2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64" w:type="pct"/>
            <w:vMerge w:val="continue"/>
            <w:tcBorders>
              <w:tl2br w:val="nil"/>
              <w:tr2bl w:val="nil"/>
            </w:tcBorders>
            <w:vAlign w:val="center"/>
          </w:tcPr>
          <w:p w14:paraId="1E14A5DC">
            <w:pPr>
              <w:pStyle w:val="59"/>
              <w:rPr>
                <w:color w:val="auto"/>
              </w:rPr>
            </w:pPr>
          </w:p>
        </w:tc>
        <w:tc>
          <w:tcPr>
            <w:tcW w:w="1314" w:type="pct"/>
            <w:tcBorders>
              <w:tl2br w:val="nil"/>
              <w:tr2bl w:val="nil"/>
            </w:tcBorders>
            <w:vAlign w:val="center"/>
          </w:tcPr>
          <w:p w14:paraId="45212DFD">
            <w:pPr>
              <w:pStyle w:val="59"/>
              <w:rPr>
                <w:color w:val="auto"/>
              </w:rPr>
            </w:pPr>
            <w:r>
              <w:rPr>
                <w:color w:val="auto"/>
              </w:rPr>
              <w:t>氧化还原电位（mv）</w:t>
            </w:r>
          </w:p>
        </w:tc>
        <w:tc>
          <w:tcPr>
            <w:tcW w:w="831" w:type="pct"/>
            <w:tcBorders>
              <w:tl2br w:val="nil"/>
              <w:tr2bl w:val="nil"/>
            </w:tcBorders>
            <w:vAlign w:val="center"/>
          </w:tcPr>
          <w:p w14:paraId="03CFA088">
            <w:pPr>
              <w:adjustRightInd w:val="0"/>
              <w:snapToGrid w:val="0"/>
              <w:spacing w:line="280" w:lineRule="exact"/>
              <w:jc w:val="center"/>
              <w:rPr>
                <w:color w:val="auto"/>
              </w:rPr>
            </w:pPr>
            <w:r>
              <w:rPr>
                <w:rFonts w:hint="eastAsia" w:ascii="Times New Roman" w:hAnsi="Times New Roman" w:eastAsia="宋体" w:cs="Times New Roman"/>
                <w:color w:val="auto"/>
                <w:sz w:val="21"/>
                <w:szCs w:val="21"/>
                <w:highlight w:val="none"/>
                <w:lang w:val="en-US" w:eastAsia="zh-CN"/>
              </w:rPr>
              <w:t>341</w:t>
            </w:r>
          </w:p>
        </w:tc>
        <w:tc>
          <w:tcPr>
            <w:tcW w:w="796" w:type="pct"/>
            <w:tcBorders>
              <w:tl2br w:val="nil"/>
              <w:tr2bl w:val="nil"/>
            </w:tcBorders>
            <w:vAlign w:val="center"/>
          </w:tcPr>
          <w:p w14:paraId="13B04D59">
            <w:pPr>
              <w:adjustRightInd w:val="0"/>
              <w:snapToGrid w:val="0"/>
              <w:spacing w:line="280" w:lineRule="exact"/>
              <w:jc w:val="center"/>
              <w:rPr>
                <w:color w:val="auto"/>
              </w:rPr>
            </w:pPr>
            <w:r>
              <w:rPr>
                <w:rFonts w:hint="eastAsia" w:ascii="Times New Roman" w:hAnsi="Times New Roman" w:eastAsia="宋体" w:cs="Times New Roman"/>
                <w:color w:val="auto"/>
                <w:sz w:val="21"/>
                <w:szCs w:val="21"/>
                <w:highlight w:val="none"/>
                <w:lang w:val="en-US" w:eastAsia="zh-CN"/>
              </w:rPr>
              <w:t>355</w:t>
            </w:r>
          </w:p>
        </w:tc>
        <w:tc>
          <w:tcPr>
            <w:tcW w:w="663" w:type="pct"/>
            <w:tcBorders>
              <w:tl2br w:val="nil"/>
              <w:tr2bl w:val="nil"/>
            </w:tcBorders>
            <w:vAlign w:val="center"/>
          </w:tcPr>
          <w:p w14:paraId="0F7CC786">
            <w:pPr>
              <w:adjustRightInd w:val="0"/>
              <w:snapToGrid w:val="0"/>
              <w:spacing w:line="280" w:lineRule="exact"/>
              <w:jc w:val="center"/>
              <w:rPr>
                <w:color w:val="auto"/>
              </w:rPr>
            </w:pPr>
            <w:r>
              <w:rPr>
                <w:rFonts w:hint="eastAsia" w:ascii="Times New Roman" w:hAnsi="Times New Roman" w:eastAsia="宋体" w:cs="Times New Roman"/>
                <w:color w:val="auto"/>
                <w:sz w:val="21"/>
                <w:szCs w:val="21"/>
                <w:highlight w:val="none"/>
                <w:lang w:val="en-US" w:eastAsia="zh-CN"/>
              </w:rPr>
              <w:t>336</w:t>
            </w:r>
          </w:p>
        </w:tc>
        <w:tc>
          <w:tcPr>
            <w:tcW w:w="1029" w:type="pct"/>
            <w:tcBorders>
              <w:tl2br w:val="nil"/>
              <w:tr2bl w:val="nil"/>
            </w:tcBorders>
            <w:vAlign w:val="center"/>
          </w:tcPr>
          <w:p w14:paraId="4BD3C880">
            <w:pPr>
              <w:pStyle w:val="59"/>
              <w:rPr>
                <w:color w:val="auto"/>
              </w:rPr>
            </w:pPr>
          </w:p>
        </w:tc>
      </w:tr>
      <w:tr w14:paraId="73620A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64" w:type="pct"/>
            <w:vMerge w:val="continue"/>
            <w:tcBorders>
              <w:tl2br w:val="nil"/>
              <w:tr2bl w:val="nil"/>
            </w:tcBorders>
            <w:vAlign w:val="center"/>
          </w:tcPr>
          <w:p w14:paraId="234EE848">
            <w:pPr>
              <w:pStyle w:val="59"/>
              <w:rPr>
                <w:color w:val="auto"/>
              </w:rPr>
            </w:pPr>
          </w:p>
        </w:tc>
        <w:tc>
          <w:tcPr>
            <w:tcW w:w="1314" w:type="pct"/>
            <w:tcBorders>
              <w:tl2br w:val="nil"/>
              <w:tr2bl w:val="nil"/>
            </w:tcBorders>
            <w:vAlign w:val="center"/>
          </w:tcPr>
          <w:p w14:paraId="4392A072">
            <w:pPr>
              <w:pStyle w:val="59"/>
              <w:rPr>
                <w:color w:val="auto"/>
              </w:rPr>
            </w:pPr>
            <w:r>
              <w:rPr>
                <w:color w:val="auto"/>
              </w:rPr>
              <w:t>饱和导水率(mm/min)</w:t>
            </w:r>
          </w:p>
        </w:tc>
        <w:tc>
          <w:tcPr>
            <w:tcW w:w="831" w:type="pct"/>
            <w:tcBorders>
              <w:tl2br w:val="nil"/>
              <w:tr2bl w:val="nil"/>
            </w:tcBorders>
            <w:vAlign w:val="center"/>
          </w:tcPr>
          <w:p w14:paraId="7C00D3D4">
            <w:pPr>
              <w:adjustRightInd w:val="0"/>
              <w:snapToGrid w:val="0"/>
              <w:spacing w:line="280" w:lineRule="exact"/>
              <w:jc w:val="center"/>
              <w:rPr>
                <w:color w:val="auto"/>
              </w:rPr>
            </w:pPr>
            <w:r>
              <w:rPr>
                <w:rFonts w:hint="eastAsia" w:ascii="Times New Roman" w:hAnsi="Times New Roman" w:eastAsia="宋体" w:cs="Times New Roman"/>
                <w:color w:val="auto"/>
                <w:sz w:val="21"/>
                <w:szCs w:val="21"/>
                <w:highlight w:val="none"/>
                <w:lang w:val="en-US" w:eastAsia="zh-CN"/>
              </w:rPr>
              <w:t>0.32</w:t>
            </w:r>
          </w:p>
        </w:tc>
        <w:tc>
          <w:tcPr>
            <w:tcW w:w="796" w:type="pct"/>
            <w:tcBorders>
              <w:tl2br w:val="nil"/>
              <w:tr2bl w:val="nil"/>
            </w:tcBorders>
            <w:vAlign w:val="center"/>
          </w:tcPr>
          <w:p w14:paraId="12310686">
            <w:pPr>
              <w:adjustRightInd w:val="0"/>
              <w:snapToGrid w:val="0"/>
              <w:spacing w:line="280" w:lineRule="exact"/>
              <w:jc w:val="center"/>
              <w:rPr>
                <w:color w:val="auto"/>
              </w:rPr>
            </w:pPr>
            <w:r>
              <w:rPr>
                <w:rFonts w:hint="eastAsia" w:ascii="Times New Roman" w:hAnsi="Times New Roman" w:eastAsia="宋体" w:cs="Times New Roman"/>
                <w:color w:val="auto"/>
                <w:sz w:val="21"/>
                <w:szCs w:val="21"/>
                <w:highlight w:val="none"/>
                <w:lang w:val="en-US" w:eastAsia="zh-CN"/>
              </w:rPr>
              <w:t>0.30</w:t>
            </w:r>
          </w:p>
        </w:tc>
        <w:tc>
          <w:tcPr>
            <w:tcW w:w="663" w:type="pct"/>
            <w:tcBorders>
              <w:tl2br w:val="nil"/>
              <w:tr2bl w:val="nil"/>
            </w:tcBorders>
            <w:vAlign w:val="center"/>
          </w:tcPr>
          <w:p w14:paraId="642FF380">
            <w:pPr>
              <w:adjustRightInd w:val="0"/>
              <w:snapToGrid w:val="0"/>
              <w:spacing w:line="280" w:lineRule="exact"/>
              <w:jc w:val="center"/>
              <w:rPr>
                <w:color w:val="auto"/>
              </w:rPr>
            </w:pPr>
            <w:r>
              <w:rPr>
                <w:rFonts w:hint="eastAsia" w:ascii="Times New Roman" w:hAnsi="Times New Roman" w:eastAsia="宋体" w:cs="Times New Roman"/>
                <w:color w:val="auto"/>
                <w:sz w:val="21"/>
                <w:szCs w:val="21"/>
                <w:highlight w:val="none"/>
                <w:lang w:val="en-US" w:eastAsia="zh-CN"/>
              </w:rPr>
              <w:t>0.29</w:t>
            </w:r>
          </w:p>
        </w:tc>
        <w:tc>
          <w:tcPr>
            <w:tcW w:w="1029" w:type="pct"/>
            <w:tcBorders>
              <w:tl2br w:val="nil"/>
              <w:tr2bl w:val="nil"/>
            </w:tcBorders>
            <w:vAlign w:val="center"/>
          </w:tcPr>
          <w:p w14:paraId="1FE8D881">
            <w:pPr>
              <w:pStyle w:val="59"/>
              <w:rPr>
                <w:color w:val="auto"/>
              </w:rPr>
            </w:pPr>
          </w:p>
        </w:tc>
      </w:tr>
      <w:tr w14:paraId="2CAAD8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64" w:type="pct"/>
            <w:vMerge w:val="continue"/>
            <w:tcBorders>
              <w:tl2br w:val="nil"/>
              <w:tr2bl w:val="nil"/>
            </w:tcBorders>
            <w:vAlign w:val="center"/>
          </w:tcPr>
          <w:p w14:paraId="0F78C2CB">
            <w:pPr>
              <w:pStyle w:val="59"/>
              <w:rPr>
                <w:color w:val="auto"/>
              </w:rPr>
            </w:pPr>
          </w:p>
        </w:tc>
        <w:tc>
          <w:tcPr>
            <w:tcW w:w="1314" w:type="pct"/>
            <w:tcBorders>
              <w:tl2br w:val="nil"/>
              <w:tr2bl w:val="nil"/>
            </w:tcBorders>
            <w:vAlign w:val="center"/>
          </w:tcPr>
          <w:p w14:paraId="7999FD9B">
            <w:pPr>
              <w:pStyle w:val="59"/>
              <w:rPr>
                <w:color w:val="auto"/>
              </w:rPr>
            </w:pPr>
            <w:r>
              <w:rPr>
                <w:color w:val="auto"/>
              </w:rPr>
              <w:t>土壤容重(g/cm</w:t>
            </w:r>
            <w:r>
              <w:rPr>
                <w:color w:val="auto"/>
                <w:vertAlign w:val="superscript"/>
              </w:rPr>
              <w:t>3</w:t>
            </w:r>
            <w:r>
              <w:rPr>
                <w:color w:val="auto"/>
              </w:rPr>
              <w:t>)</w:t>
            </w:r>
          </w:p>
        </w:tc>
        <w:tc>
          <w:tcPr>
            <w:tcW w:w="831" w:type="pct"/>
            <w:tcBorders>
              <w:tl2br w:val="nil"/>
              <w:tr2bl w:val="nil"/>
            </w:tcBorders>
            <w:vAlign w:val="center"/>
          </w:tcPr>
          <w:p w14:paraId="5F43D1C7">
            <w:pPr>
              <w:adjustRightInd w:val="0"/>
              <w:snapToGrid w:val="0"/>
              <w:spacing w:line="280" w:lineRule="exact"/>
              <w:jc w:val="center"/>
              <w:rPr>
                <w:color w:val="auto"/>
              </w:rPr>
            </w:pPr>
            <w:r>
              <w:rPr>
                <w:rFonts w:hint="eastAsia" w:ascii="Times New Roman" w:hAnsi="Times New Roman" w:eastAsia="宋体" w:cs="Times New Roman"/>
                <w:color w:val="auto"/>
                <w:sz w:val="21"/>
                <w:szCs w:val="21"/>
                <w:highlight w:val="none"/>
                <w:lang w:val="en-US" w:eastAsia="zh-CN"/>
              </w:rPr>
              <w:t>1.29</w:t>
            </w:r>
          </w:p>
        </w:tc>
        <w:tc>
          <w:tcPr>
            <w:tcW w:w="796" w:type="pct"/>
            <w:tcBorders>
              <w:tl2br w:val="nil"/>
              <w:tr2bl w:val="nil"/>
            </w:tcBorders>
            <w:vAlign w:val="center"/>
          </w:tcPr>
          <w:p w14:paraId="4871A31E">
            <w:pPr>
              <w:adjustRightInd w:val="0"/>
              <w:snapToGrid w:val="0"/>
              <w:spacing w:line="280" w:lineRule="exact"/>
              <w:jc w:val="center"/>
              <w:rPr>
                <w:color w:val="auto"/>
              </w:rPr>
            </w:pPr>
            <w:r>
              <w:rPr>
                <w:rFonts w:hint="eastAsia" w:ascii="Times New Roman" w:hAnsi="Times New Roman" w:eastAsia="宋体" w:cs="Times New Roman"/>
                <w:color w:val="auto"/>
                <w:sz w:val="21"/>
                <w:szCs w:val="21"/>
                <w:highlight w:val="none"/>
                <w:lang w:val="en-US" w:eastAsia="zh-CN"/>
              </w:rPr>
              <w:t>1.20</w:t>
            </w:r>
          </w:p>
        </w:tc>
        <w:tc>
          <w:tcPr>
            <w:tcW w:w="663" w:type="pct"/>
            <w:tcBorders>
              <w:tl2br w:val="nil"/>
              <w:tr2bl w:val="nil"/>
            </w:tcBorders>
            <w:vAlign w:val="center"/>
          </w:tcPr>
          <w:p w14:paraId="100EBEA2">
            <w:pPr>
              <w:adjustRightInd w:val="0"/>
              <w:snapToGrid w:val="0"/>
              <w:spacing w:line="280" w:lineRule="exact"/>
              <w:jc w:val="center"/>
              <w:rPr>
                <w:color w:val="auto"/>
              </w:rPr>
            </w:pPr>
            <w:r>
              <w:rPr>
                <w:rFonts w:hint="eastAsia" w:ascii="Times New Roman" w:hAnsi="Times New Roman" w:eastAsia="宋体" w:cs="Times New Roman"/>
                <w:color w:val="auto"/>
                <w:sz w:val="21"/>
                <w:szCs w:val="21"/>
                <w:highlight w:val="none"/>
                <w:lang w:val="en-US" w:eastAsia="zh-CN"/>
              </w:rPr>
              <w:t>1.23</w:t>
            </w:r>
          </w:p>
        </w:tc>
        <w:tc>
          <w:tcPr>
            <w:tcW w:w="1029" w:type="pct"/>
            <w:tcBorders>
              <w:tl2br w:val="nil"/>
              <w:tr2bl w:val="nil"/>
            </w:tcBorders>
            <w:vAlign w:val="center"/>
          </w:tcPr>
          <w:p w14:paraId="48BE42B4">
            <w:pPr>
              <w:pStyle w:val="59"/>
              <w:rPr>
                <w:color w:val="auto"/>
              </w:rPr>
            </w:pPr>
          </w:p>
        </w:tc>
      </w:tr>
      <w:tr w14:paraId="5B4CCE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64" w:type="pct"/>
            <w:vMerge w:val="continue"/>
            <w:tcBorders>
              <w:tl2br w:val="nil"/>
              <w:tr2bl w:val="nil"/>
            </w:tcBorders>
            <w:vAlign w:val="center"/>
          </w:tcPr>
          <w:p w14:paraId="2ED8E877">
            <w:pPr>
              <w:pStyle w:val="59"/>
              <w:rPr>
                <w:color w:val="auto"/>
              </w:rPr>
            </w:pPr>
          </w:p>
        </w:tc>
        <w:tc>
          <w:tcPr>
            <w:tcW w:w="1314" w:type="pct"/>
            <w:tcBorders>
              <w:tl2br w:val="nil"/>
              <w:tr2bl w:val="nil"/>
            </w:tcBorders>
            <w:vAlign w:val="center"/>
          </w:tcPr>
          <w:p w14:paraId="06830EEA">
            <w:pPr>
              <w:pStyle w:val="59"/>
              <w:rPr>
                <w:color w:val="auto"/>
              </w:rPr>
            </w:pPr>
            <w:r>
              <w:rPr>
                <w:color w:val="auto"/>
              </w:rPr>
              <w:t>孔隙度(%)</w:t>
            </w:r>
          </w:p>
        </w:tc>
        <w:tc>
          <w:tcPr>
            <w:tcW w:w="831" w:type="pct"/>
            <w:tcBorders>
              <w:tl2br w:val="nil"/>
              <w:tr2bl w:val="nil"/>
            </w:tcBorders>
            <w:vAlign w:val="center"/>
          </w:tcPr>
          <w:p w14:paraId="12CAB3E6">
            <w:pPr>
              <w:adjustRightInd w:val="0"/>
              <w:snapToGrid w:val="0"/>
              <w:spacing w:line="280" w:lineRule="exact"/>
              <w:jc w:val="center"/>
              <w:rPr>
                <w:color w:val="auto"/>
              </w:rPr>
            </w:pPr>
            <w:r>
              <w:rPr>
                <w:rFonts w:hint="eastAsia" w:ascii="Times New Roman" w:hAnsi="Times New Roman" w:eastAsia="宋体" w:cs="Times New Roman"/>
                <w:color w:val="auto"/>
                <w:sz w:val="21"/>
                <w:szCs w:val="21"/>
                <w:highlight w:val="none"/>
                <w:lang w:val="en-US" w:eastAsia="zh-CN"/>
              </w:rPr>
              <w:t>49</w:t>
            </w:r>
          </w:p>
        </w:tc>
        <w:tc>
          <w:tcPr>
            <w:tcW w:w="796" w:type="pct"/>
            <w:tcBorders>
              <w:tl2br w:val="nil"/>
              <w:tr2bl w:val="nil"/>
            </w:tcBorders>
            <w:vAlign w:val="center"/>
          </w:tcPr>
          <w:p w14:paraId="2D2EEDD2">
            <w:pPr>
              <w:adjustRightInd w:val="0"/>
              <w:snapToGrid w:val="0"/>
              <w:spacing w:line="280" w:lineRule="exact"/>
              <w:jc w:val="center"/>
              <w:rPr>
                <w:color w:val="auto"/>
              </w:rPr>
            </w:pPr>
            <w:r>
              <w:rPr>
                <w:rFonts w:hint="eastAsia" w:ascii="Times New Roman" w:hAnsi="Times New Roman" w:eastAsia="宋体" w:cs="Times New Roman"/>
                <w:color w:val="auto"/>
                <w:sz w:val="21"/>
                <w:szCs w:val="21"/>
                <w:highlight w:val="none"/>
                <w:lang w:val="en-US" w:eastAsia="zh-CN"/>
              </w:rPr>
              <w:t>47</w:t>
            </w:r>
          </w:p>
        </w:tc>
        <w:tc>
          <w:tcPr>
            <w:tcW w:w="663" w:type="pct"/>
            <w:tcBorders>
              <w:tl2br w:val="nil"/>
              <w:tr2bl w:val="nil"/>
            </w:tcBorders>
            <w:vAlign w:val="center"/>
          </w:tcPr>
          <w:p w14:paraId="6FDC83C6">
            <w:pPr>
              <w:adjustRightInd w:val="0"/>
              <w:snapToGrid w:val="0"/>
              <w:spacing w:line="280" w:lineRule="exact"/>
              <w:jc w:val="center"/>
              <w:rPr>
                <w:color w:val="auto"/>
              </w:rPr>
            </w:pPr>
            <w:r>
              <w:rPr>
                <w:rFonts w:hint="eastAsia" w:ascii="Times New Roman" w:hAnsi="Times New Roman" w:eastAsia="宋体" w:cs="Times New Roman"/>
                <w:color w:val="auto"/>
                <w:sz w:val="21"/>
                <w:szCs w:val="21"/>
                <w:highlight w:val="none"/>
                <w:lang w:val="en-US" w:eastAsia="zh-CN"/>
              </w:rPr>
              <w:t>47</w:t>
            </w:r>
          </w:p>
        </w:tc>
        <w:tc>
          <w:tcPr>
            <w:tcW w:w="1029" w:type="pct"/>
            <w:tcBorders>
              <w:tl2br w:val="nil"/>
              <w:tr2bl w:val="nil"/>
            </w:tcBorders>
            <w:vAlign w:val="center"/>
          </w:tcPr>
          <w:p w14:paraId="6255C186">
            <w:pPr>
              <w:pStyle w:val="59"/>
              <w:rPr>
                <w:color w:val="auto"/>
              </w:rPr>
            </w:pPr>
          </w:p>
        </w:tc>
      </w:tr>
    </w:tbl>
    <w:p w14:paraId="38CFF9C5">
      <w:pPr>
        <w:pStyle w:val="60"/>
        <w:rPr>
          <w:rFonts w:hint="default" w:ascii="Times New Roman" w:hAnsi="Times New Roman" w:eastAsia="Arial" w:cs="Times New Roman"/>
          <w:b/>
          <w:bCs/>
          <w:snapToGrid w:val="0"/>
          <w:color w:val="auto"/>
          <w:kern w:val="0"/>
          <w:sz w:val="24"/>
          <w:szCs w:val="24"/>
          <w:highlight w:val="none"/>
          <w:lang w:val="en-US" w:eastAsia="zh-CN" w:bidi="ar-SA"/>
        </w:rPr>
      </w:pPr>
      <w:r>
        <w:rPr>
          <w:rFonts w:hint="default" w:ascii="Times New Roman" w:hAnsi="Times New Roman" w:eastAsia="Arial" w:cs="Times New Roman"/>
          <w:b/>
          <w:bCs/>
          <w:snapToGrid w:val="0"/>
          <w:color w:val="auto"/>
          <w:kern w:val="0"/>
          <w:sz w:val="24"/>
          <w:szCs w:val="24"/>
          <w:highlight w:val="none"/>
          <w:lang w:val="en-US" w:eastAsia="zh-CN" w:bidi="ar-SA"/>
        </w:rPr>
        <w:t>表4.</w:t>
      </w:r>
      <w:r>
        <w:rPr>
          <w:rFonts w:hint="eastAsia" w:ascii="Times New Roman" w:hAnsi="Times New Roman" w:eastAsia="Arial" w:cs="Times New Roman"/>
          <w:b/>
          <w:bCs/>
          <w:snapToGrid w:val="0"/>
          <w:color w:val="auto"/>
          <w:kern w:val="0"/>
          <w:sz w:val="24"/>
          <w:szCs w:val="24"/>
          <w:highlight w:val="none"/>
          <w:lang w:val="en-US" w:eastAsia="zh-CN" w:bidi="ar-SA"/>
        </w:rPr>
        <w:t>2</w:t>
      </w:r>
      <w:r>
        <w:rPr>
          <w:rFonts w:hint="default" w:ascii="Times New Roman" w:hAnsi="Times New Roman" w:eastAsia="Arial" w:cs="Times New Roman"/>
          <w:b/>
          <w:bCs/>
          <w:snapToGrid w:val="0"/>
          <w:color w:val="auto"/>
          <w:kern w:val="0"/>
          <w:sz w:val="24"/>
          <w:szCs w:val="24"/>
          <w:highlight w:val="none"/>
          <w:lang w:val="en-US" w:eastAsia="zh-CN" w:bidi="ar-SA"/>
        </w:rPr>
        <w:t>-</w:t>
      </w:r>
      <w:r>
        <w:rPr>
          <w:rFonts w:hint="eastAsia" w:ascii="Times New Roman" w:hAnsi="Times New Roman" w:eastAsia="Arial" w:cs="Times New Roman"/>
          <w:b/>
          <w:bCs/>
          <w:snapToGrid w:val="0"/>
          <w:color w:val="auto"/>
          <w:kern w:val="0"/>
          <w:sz w:val="24"/>
          <w:szCs w:val="24"/>
          <w:highlight w:val="none"/>
          <w:lang w:val="en-US" w:eastAsia="zh-CN" w:bidi="ar-SA"/>
        </w:rPr>
        <w:t>22</w:t>
      </w:r>
      <w:r>
        <w:rPr>
          <w:rFonts w:hint="default" w:ascii="Times New Roman" w:hAnsi="Times New Roman" w:eastAsia="Arial" w:cs="Times New Roman"/>
          <w:b/>
          <w:bCs/>
          <w:snapToGrid w:val="0"/>
          <w:color w:val="auto"/>
          <w:kern w:val="0"/>
          <w:sz w:val="24"/>
          <w:szCs w:val="24"/>
          <w:highlight w:val="none"/>
          <w:lang w:val="en-US" w:eastAsia="zh-CN" w:bidi="ar-SA"/>
        </w:rPr>
        <w:t xml:space="preserve">  </w:t>
      </w:r>
      <w:r>
        <w:rPr>
          <w:rFonts w:hint="eastAsia" w:ascii="Times New Roman" w:hAnsi="Times New Roman" w:eastAsia="Arial" w:cs="Times New Roman"/>
          <w:b/>
          <w:bCs/>
          <w:snapToGrid w:val="0"/>
          <w:color w:val="auto"/>
          <w:kern w:val="0"/>
          <w:sz w:val="24"/>
          <w:szCs w:val="24"/>
          <w:highlight w:val="none"/>
          <w:lang w:val="en-US" w:eastAsia="zh-CN" w:bidi="ar-SA"/>
        </w:rPr>
        <w:t>区域内土壤构型</w:t>
      </w:r>
      <w:r>
        <w:rPr>
          <w:rFonts w:hint="default" w:ascii="Times New Roman" w:hAnsi="Times New Roman" w:eastAsia="Arial" w:cs="Times New Roman"/>
          <w:b/>
          <w:bCs/>
          <w:snapToGrid w:val="0"/>
          <w:color w:val="auto"/>
          <w:kern w:val="0"/>
          <w:sz w:val="24"/>
          <w:szCs w:val="24"/>
          <w:highlight w:val="none"/>
          <w:lang w:val="en-US" w:eastAsia="zh-CN" w:bidi="ar-SA"/>
        </w:rPr>
        <w:t>（土壤剖面）</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9"/>
        <w:gridCol w:w="3041"/>
        <w:gridCol w:w="2307"/>
        <w:gridCol w:w="1992"/>
      </w:tblGrid>
      <w:tr w14:paraId="640DFF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92" w:type="pct"/>
            <w:tcBorders>
              <w:tl2br w:val="nil"/>
              <w:tr2bl w:val="nil"/>
            </w:tcBorders>
            <w:vAlign w:val="center"/>
          </w:tcPr>
          <w:p w14:paraId="7A9634F6">
            <w:pPr>
              <w:pStyle w:val="59"/>
              <w:keepNext w:val="0"/>
              <w:keepLines w:val="0"/>
              <w:pageBreakBefore w:val="0"/>
              <w:widowControl/>
              <w:kinsoku/>
              <w:wordWrap/>
              <w:overflowPunct/>
              <w:topLinePunct w:val="0"/>
              <w:autoSpaceDE/>
              <w:autoSpaceDN/>
              <w:bidi w:val="0"/>
              <w:adjustRightInd/>
              <w:snapToGrid/>
              <w:textAlignment w:val="auto"/>
              <w:rPr>
                <w:b/>
                <w:color w:val="auto"/>
              </w:rPr>
            </w:pPr>
            <w:r>
              <w:rPr>
                <w:b/>
                <w:color w:val="auto"/>
              </w:rPr>
              <w:t>点号</w:t>
            </w:r>
          </w:p>
        </w:tc>
        <w:tc>
          <w:tcPr>
            <w:tcW w:w="1785" w:type="pct"/>
            <w:tcBorders>
              <w:tl2br w:val="nil"/>
              <w:tr2bl w:val="nil"/>
            </w:tcBorders>
            <w:vAlign w:val="center"/>
          </w:tcPr>
          <w:p w14:paraId="0BCDB549">
            <w:pPr>
              <w:pStyle w:val="59"/>
              <w:keepNext w:val="0"/>
              <w:keepLines w:val="0"/>
              <w:pageBreakBefore w:val="0"/>
              <w:widowControl/>
              <w:kinsoku/>
              <w:wordWrap/>
              <w:overflowPunct/>
              <w:topLinePunct w:val="0"/>
              <w:autoSpaceDE/>
              <w:autoSpaceDN/>
              <w:bidi w:val="0"/>
              <w:adjustRightInd/>
              <w:snapToGrid/>
              <w:textAlignment w:val="auto"/>
              <w:rPr>
                <w:b/>
                <w:color w:val="auto"/>
              </w:rPr>
            </w:pPr>
            <w:r>
              <w:rPr>
                <w:b/>
                <w:color w:val="auto"/>
              </w:rPr>
              <w:t>景观照片</w:t>
            </w:r>
          </w:p>
        </w:tc>
        <w:tc>
          <w:tcPr>
            <w:tcW w:w="1354" w:type="pct"/>
            <w:tcBorders>
              <w:tl2br w:val="nil"/>
              <w:tr2bl w:val="nil"/>
            </w:tcBorders>
            <w:vAlign w:val="center"/>
          </w:tcPr>
          <w:p w14:paraId="311A49F6">
            <w:pPr>
              <w:pStyle w:val="59"/>
              <w:keepNext w:val="0"/>
              <w:keepLines w:val="0"/>
              <w:pageBreakBefore w:val="0"/>
              <w:widowControl/>
              <w:kinsoku/>
              <w:wordWrap/>
              <w:overflowPunct/>
              <w:topLinePunct w:val="0"/>
              <w:autoSpaceDE/>
              <w:autoSpaceDN/>
              <w:bidi w:val="0"/>
              <w:adjustRightInd/>
              <w:snapToGrid/>
              <w:textAlignment w:val="auto"/>
              <w:rPr>
                <w:b/>
                <w:color w:val="auto"/>
              </w:rPr>
            </w:pPr>
            <w:r>
              <w:rPr>
                <w:b/>
                <w:color w:val="auto"/>
              </w:rPr>
              <w:t>土壤剖面照片</w:t>
            </w:r>
          </w:p>
        </w:tc>
        <w:tc>
          <w:tcPr>
            <w:tcW w:w="1167" w:type="pct"/>
            <w:tcBorders>
              <w:tl2br w:val="nil"/>
              <w:tr2bl w:val="nil"/>
            </w:tcBorders>
            <w:vAlign w:val="center"/>
          </w:tcPr>
          <w:p w14:paraId="3BFB6C30">
            <w:pPr>
              <w:pStyle w:val="59"/>
              <w:keepNext w:val="0"/>
              <w:keepLines w:val="0"/>
              <w:pageBreakBefore w:val="0"/>
              <w:widowControl/>
              <w:kinsoku/>
              <w:wordWrap/>
              <w:overflowPunct/>
              <w:topLinePunct w:val="0"/>
              <w:autoSpaceDE/>
              <w:autoSpaceDN/>
              <w:bidi w:val="0"/>
              <w:adjustRightInd/>
              <w:snapToGrid/>
              <w:textAlignment w:val="auto"/>
              <w:rPr>
                <w:b/>
                <w:color w:val="auto"/>
              </w:rPr>
            </w:pPr>
            <w:r>
              <w:rPr>
                <w:b/>
                <w:color w:val="auto"/>
              </w:rPr>
              <w:t>层次</w:t>
            </w:r>
          </w:p>
        </w:tc>
      </w:tr>
      <w:tr w14:paraId="08F1B7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pct"/>
            <w:vMerge w:val="restart"/>
            <w:tcBorders>
              <w:tl2br w:val="nil"/>
              <w:tr2bl w:val="nil"/>
            </w:tcBorders>
            <w:vAlign w:val="center"/>
          </w:tcPr>
          <w:p w14:paraId="7E1B4934">
            <w:pPr>
              <w:pStyle w:val="59"/>
              <w:keepNext w:val="0"/>
              <w:keepLines w:val="0"/>
              <w:pageBreakBefore w:val="0"/>
              <w:widowControl/>
              <w:kinsoku/>
              <w:wordWrap/>
              <w:overflowPunct/>
              <w:topLinePunct w:val="0"/>
              <w:autoSpaceDE/>
              <w:autoSpaceDN/>
              <w:bidi w:val="0"/>
              <w:adjustRightInd/>
              <w:snapToGrid/>
              <w:textAlignment w:val="auto"/>
              <w:rPr>
                <w:rFonts w:hint="default" w:eastAsia="宋体"/>
                <w:color w:val="auto"/>
                <w:lang w:val="en-US" w:eastAsia="zh-CN"/>
              </w:rPr>
            </w:pPr>
            <w:r>
              <w:rPr>
                <w:color w:val="auto"/>
              </w:rPr>
              <w:t>厂区</w:t>
            </w:r>
            <w:r>
              <w:rPr>
                <w:rFonts w:hint="eastAsia"/>
                <w:color w:val="auto"/>
                <w:lang w:val="en-US" w:eastAsia="zh-CN"/>
              </w:rPr>
              <w:t>内1#</w:t>
            </w:r>
          </w:p>
        </w:tc>
        <w:tc>
          <w:tcPr>
            <w:tcW w:w="1785" w:type="pct"/>
            <w:vMerge w:val="restart"/>
            <w:tcBorders>
              <w:tl2br w:val="nil"/>
              <w:tr2bl w:val="nil"/>
            </w:tcBorders>
            <w:vAlign w:val="center"/>
          </w:tcPr>
          <w:p w14:paraId="1E561EF5">
            <w:pPr>
              <w:pStyle w:val="59"/>
              <w:keepNext w:val="0"/>
              <w:keepLines w:val="0"/>
              <w:pageBreakBefore w:val="0"/>
              <w:widowControl/>
              <w:kinsoku/>
              <w:wordWrap/>
              <w:overflowPunct/>
              <w:topLinePunct w:val="0"/>
              <w:autoSpaceDE/>
              <w:autoSpaceDN/>
              <w:bidi w:val="0"/>
              <w:adjustRightInd/>
              <w:snapToGrid/>
              <w:textAlignment w:val="auto"/>
              <w:rPr>
                <w:rFonts w:hint="eastAsia" w:eastAsia="宋体"/>
                <w:color w:val="auto"/>
                <w:lang w:eastAsia="zh-CN"/>
              </w:rPr>
            </w:pPr>
            <w:r>
              <w:rPr>
                <w:rFonts w:hint="eastAsia" w:eastAsia="宋体"/>
                <w:color w:val="auto"/>
                <w:lang w:eastAsia="zh-CN"/>
              </w:rPr>
              <w:drawing>
                <wp:inline distT="0" distB="0" distL="114300" distR="114300">
                  <wp:extent cx="1658620" cy="1243330"/>
                  <wp:effectExtent l="0" t="0" r="17780" b="13970"/>
                  <wp:docPr id="32" name="图片 32" descr="微信图片_20251028141935_512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微信图片_20251028141935_512_24"/>
                          <pic:cNvPicPr>
                            <a:picLocks noChangeAspect="1"/>
                          </pic:cNvPicPr>
                        </pic:nvPicPr>
                        <pic:blipFill>
                          <a:blip r:embed="rId96"/>
                          <a:stretch>
                            <a:fillRect/>
                          </a:stretch>
                        </pic:blipFill>
                        <pic:spPr>
                          <a:xfrm>
                            <a:off x="0" y="0"/>
                            <a:ext cx="1658620" cy="1243330"/>
                          </a:xfrm>
                          <a:prstGeom prst="rect">
                            <a:avLst/>
                          </a:prstGeom>
                        </pic:spPr>
                      </pic:pic>
                    </a:graphicData>
                  </a:graphic>
                </wp:inline>
              </w:drawing>
            </w:r>
          </w:p>
        </w:tc>
        <w:tc>
          <w:tcPr>
            <w:tcW w:w="1354" w:type="pct"/>
            <w:vMerge w:val="restart"/>
            <w:tcBorders>
              <w:tl2br w:val="nil"/>
              <w:tr2bl w:val="nil"/>
            </w:tcBorders>
            <w:vAlign w:val="center"/>
          </w:tcPr>
          <w:p w14:paraId="0296BF79">
            <w:pPr>
              <w:pStyle w:val="59"/>
              <w:keepNext w:val="0"/>
              <w:keepLines w:val="0"/>
              <w:pageBreakBefore w:val="0"/>
              <w:widowControl/>
              <w:kinsoku/>
              <w:wordWrap/>
              <w:overflowPunct/>
              <w:topLinePunct w:val="0"/>
              <w:autoSpaceDE/>
              <w:autoSpaceDN/>
              <w:bidi w:val="0"/>
              <w:adjustRightInd/>
              <w:snapToGrid/>
              <w:textAlignment w:val="auto"/>
              <w:rPr>
                <w:rFonts w:hint="eastAsia" w:eastAsia="宋体"/>
                <w:color w:val="auto"/>
                <w:lang w:eastAsia="zh-CN"/>
              </w:rPr>
            </w:pPr>
            <w:r>
              <w:rPr>
                <w:rFonts w:hint="eastAsia" w:eastAsia="宋体"/>
                <w:color w:val="auto"/>
                <w:lang w:eastAsia="zh-CN"/>
              </w:rPr>
              <w:drawing>
                <wp:inline distT="0" distB="0" distL="114300" distR="114300">
                  <wp:extent cx="1235710" cy="1649095"/>
                  <wp:effectExtent l="0" t="0" r="2540" b="8255"/>
                  <wp:docPr id="31" name="图片 31" descr="微信图片_20251028141931_508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微信图片_20251028141931_508_24"/>
                          <pic:cNvPicPr>
                            <a:picLocks noChangeAspect="1"/>
                          </pic:cNvPicPr>
                        </pic:nvPicPr>
                        <pic:blipFill>
                          <a:blip r:embed="rId97"/>
                          <a:stretch>
                            <a:fillRect/>
                          </a:stretch>
                        </pic:blipFill>
                        <pic:spPr>
                          <a:xfrm>
                            <a:off x="0" y="0"/>
                            <a:ext cx="1235710" cy="1649095"/>
                          </a:xfrm>
                          <a:prstGeom prst="rect">
                            <a:avLst/>
                          </a:prstGeom>
                        </pic:spPr>
                      </pic:pic>
                    </a:graphicData>
                  </a:graphic>
                </wp:inline>
              </w:drawing>
            </w:r>
          </w:p>
        </w:tc>
        <w:tc>
          <w:tcPr>
            <w:tcW w:w="1167" w:type="pct"/>
            <w:tcBorders>
              <w:tl2br w:val="nil"/>
              <w:tr2bl w:val="nil"/>
            </w:tcBorders>
            <w:vAlign w:val="center"/>
          </w:tcPr>
          <w:p w14:paraId="5BBE9E64">
            <w:pPr>
              <w:pStyle w:val="59"/>
              <w:keepNext w:val="0"/>
              <w:keepLines w:val="0"/>
              <w:pageBreakBefore w:val="0"/>
              <w:widowControl/>
              <w:kinsoku/>
              <w:wordWrap/>
              <w:overflowPunct/>
              <w:topLinePunct w:val="0"/>
              <w:autoSpaceDE/>
              <w:autoSpaceDN/>
              <w:bidi w:val="0"/>
              <w:adjustRightInd/>
              <w:snapToGrid/>
              <w:textAlignment w:val="auto"/>
              <w:rPr>
                <w:color w:val="auto"/>
              </w:rPr>
            </w:pPr>
            <w:r>
              <w:rPr>
                <w:color w:val="auto"/>
              </w:rPr>
              <w:t>0-0.5m</w:t>
            </w:r>
            <w:r>
              <w:rPr>
                <w:rFonts w:hint="eastAsia"/>
                <w:color w:val="auto"/>
                <w:lang w:val="en-US" w:eastAsia="zh-CN"/>
              </w:rPr>
              <w:t>粒装</w:t>
            </w:r>
            <w:r>
              <w:rPr>
                <w:color w:val="auto"/>
              </w:rPr>
              <w:t>壤土</w:t>
            </w:r>
          </w:p>
        </w:tc>
      </w:tr>
      <w:tr w14:paraId="5421EB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pct"/>
            <w:vMerge w:val="continue"/>
            <w:tcBorders>
              <w:tl2br w:val="nil"/>
              <w:tr2bl w:val="nil"/>
            </w:tcBorders>
            <w:vAlign w:val="center"/>
          </w:tcPr>
          <w:p w14:paraId="3F420AF5">
            <w:pPr>
              <w:pStyle w:val="59"/>
              <w:keepNext w:val="0"/>
              <w:keepLines w:val="0"/>
              <w:pageBreakBefore w:val="0"/>
              <w:widowControl/>
              <w:kinsoku/>
              <w:wordWrap/>
              <w:overflowPunct/>
              <w:topLinePunct w:val="0"/>
              <w:autoSpaceDE/>
              <w:autoSpaceDN/>
              <w:bidi w:val="0"/>
              <w:adjustRightInd/>
              <w:snapToGrid/>
              <w:textAlignment w:val="auto"/>
              <w:rPr>
                <w:color w:val="auto"/>
              </w:rPr>
            </w:pPr>
          </w:p>
        </w:tc>
        <w:tc>
          <w:tcPr>
            <w:tcW w:w="1785" w:type="pct"/>
            <w:vMerge w:val="continue"/>
            <w:tcBorders>
              <w:tl2br w:val="nil"/>
              <w:tr2bl w:val="nil"/>
            </w:tcBorders>
            <w:vAlign w:val="center"/>
          </w:tcPr>
          <w:p w14:paraId="57764994">
            <w:pPr>
              <w:pStyle w:val="59"/>
              <w:keepNext w:val="0"/>
              <w:keepLines w:val="0"/>
              <w:pageBreakBefore w:val="0"/>
              <w:widowControl/>
              <w:kinsoku/>
              <w:wordWrap/>
              <w:overflowPunct/>
              <w:topLinePunct w:val="0"/>
              <w:autoSpaceDE/>
              <w:autoSpaceDN/>
              <w:bidi w:val="0"/>
              <w:adjustRightInd/>
              <w:snapToGrid/>
              <w:textAlignment w:val="auto"/>
              <w:rPr>
                <w:color w:val="auto"/>
              </w:rPr>
            </w:pPr>
          </w:p>
        </w:tc>
        <w:tc>
          <w:tcPr>
            <w:tcW w:w="1354" w:type="pct"/>
            <w:vMerge w:val="continue"/>
            <w:tcBorders>
              <w:tl2br w:val="nil"/>
              <w:tr2bl w:val="nil"/>
            </w:tcBorders>
            <w:vAlign w:val="center"/>
          </w:tcPr>
          <w:p w14:paraId="2F23F80B">
            <w:pPr>
              <w:pStyle w:val="59"/>
              <w:keepNext w:val="0"/>
              <w:keepLines w:val="0"/>
              <w:pageBreakBefore w:val="0"/>
              <w:widowControl/>
              <w:kinsoku/>
              <w:wordWrap/>
              <w:overflowPunct/>
              <w:topLinePunct w:val="0"/>
              <w:autoSpaceDE/>
              <w:autoSpaceDN/>
              <w:bidi w:val="0"/>
              <w:adjustRightInd/>
              <w:snapToGrid/>
              <w:textAlignment w:val="auto"/>
              <w:rPr>
                <w:color w:val="auto"/>
              </w:rPr>
            </w:pPr>
          </w:p>
        </w:tc>
        <w:tc>
          <w:tcPr>
            <w:tcW w:w="1167" w:type="pct"/>
            <w:tcBorders>
              <w:tl2br w:val="nil"/>
              <w:tr2bl w:val="nil"/>
            </w:tcBorders>
            <w:vAlign w:val="center"/>
          </w:tcPr>
          <w:p w14:paraId="69724ADC">
            <w:pPr>
              <w:pStyle w:val="59"/>
              <w:keepNext w:val="0"/>
              <w:keepLines w:val="0"/>
              <w:pageBreakBefore w:val="0"/>
              <w:widowControl/>
              <w:kinsoku/>
              <w:wordWrap/>
              <w:overflowPunct/>
              <w:topLinePunct w:val="0"/>
              <w:autoSpaceDE/>
              <w:autoSpaceDN/>
              <w:bidi w:val="0"/>
              <w:adjustRightInd/>
              <w:snapToGrid/>
              <w:textAlignment w:val="auto"/>
              <w:rPr>
                <w:color w:val="auto"/>
              </w:rPr>
            </w:pPr>
            <w:r>
              <w:rPr>
                <w:color w:val="auto"/>
              </w:rPr>
              <w:t>0.5-1.5m</w:t>
            </w:r>
            <w:r>
              <w:rPr>
                <w:rFonts w:hint="eastAsia"/>
                <w:color w:val="auto"/>
                <w:lang w:val="en-US" w:eastAsia="zh-CN"/>
              </w:rPr>
              <w:t>柱状黏土</w:t>
            </w:r>
          </w:p>
        </w:tc>
      </w:tr>
      <w:tr w14:paraId="20827D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2" w:type="pct"/>
            <w:vMerge w:val="continue"/>
            <w:tcBorders>
              <w:tl2br w:val="nil"/>
              <w:tr2bl w:val="nil"/>
            </w:tcBorders>
            <w:vAlign w:val="center"/>
          </w:tcPr>
          <w:p w14:paraId="335462A3">
            <w:pPr>
              <w:pStyle w:val="59"/>
              <w:keepNext w:val="0"/>
              <w:keepLines w:val="0"/>
              <w:pageBreakBefore w:val="0"/>
              <w:widowControl/>
              <w:kinsoku/>
              <w:wordWrap/>
              <w:overflowPunct/>
              <w:topLinePunct w:val="0"/>
              <w:autoSpaceDE/>
              <w:autoSpaceDN/>
              <w:bidi w:val="0"/>
              <w:adjustRightInd/>
              <w:snapToGrid/>
              <w:textAlignment w:val="auto"/>
              <w:rPr>
                <w:color w:val="auto"/>
              </w:rPr>
            </w:pPr>
          </w:p>
        </w:tc>
        <w:tc>
          <w:tcPr>
            <w:tcW w:w="1785" w:type="pct"/>
            <w:vMerge w:val="continue"/>
            <w:tcBorders>
              <w:tl2br w:val="nil"/>
              <w:tr2bl w:val="nil"/>
            </w:tcBorders>
            <w:vAlign w:val="center"/>
          </w:tcPr>
          <w:p w14:paraId="3D140CA0">
            <w:pPr>
              <w:pStyle w:val="59"/>
              <w:keepNext w:val="0"/>
              <w:keepLines w:val="0"/>
              <w:pageBreakBefore w:val="0"/>
              <w:widowControl/>
              <w:kinsoku/>
              <w:wordWrap/>
              <w:overflowPunct/>
              <w:topLinePunct w:val="0"/>
              <w:autoSpaceDE/>
              <w:autoSpaceDN/>
              <w:bidi w:val="0"/>
              <w:adjustRightInd/>
              <w:snapToGrid/>
              <w:textAlignment w:val="auto"/>
              <w:rPr>
                <w:color w:val="auto"/>
              </w:rPr>
            </w:pPr>
          </w:p>
        </w:tc>
        <w:tc>
          <w:tcPr>
            <w:tcW w:w="1354" w:type="pct"/>
            <w:vMerge w:val="continue"/>
            <w:tcBorders>
              <w:tl2br w:val="nil"/>
              <w:tr2bl w:val="nil"/>
            </w:tcBorders>
            <w:vAlign w:val="center"/>
          </w:tcPr>
          <w:p w14:paraId="43385987">
            <w:pPr>
              <w:pStyle w:val="59"/>
              <w:keepNext w:val="0"/>
              <w:keepLines w:val="0"/>
              <w:pageBreakBefore w:val="0"/>
              <w:widowControl/>
              <w:kinsoku/>
              <w:wordWrap/>
              <w:overflowPunct/>
              <w:topLinePunct w:val="0"/>
              <w:autoSpaceDE/>
              <w:autoSpaceDN/>
              <w:bidi w:val="0"/>
              <w:adjustRightInd/>
              <w:snapToGrid/>
              <w:textAlignment w:val="auto"/>
              <w:rPr>
                <w:color w:val="auto"/>
              </w:rPr>
            </w:pPr>
          </w:p>
        </w:tc>
        <w:tc>
          <w:tcPr>
            <w:tcW w:w="1167" w:type="pct"/>
            <w:tcBorders>
              <w:tl2br w:val="nil"/>
              <w:tr2bl w:val="nil"/>
            </w:tcBorders>
            <w:vAlign w:val="center"/>
          </w:tcPr>
          <w:p w14:paraId="73ECCF88">
            <w:pPr>
              <w:pStyle w:val="59"/>
              <w:keepNext w:val="0"/>
              <w:keepLines w:val="0"/>
              <w:pageBreakBefore w:val="0"/>
              <w:widowControl/>
              <w:kinsoku/>
              <w:wordWrap/>
              <w:overflowPunct/>
              <w:topLinePunct w:val="0"/>
              <w:autoSpaceDE/>
              <w:autoSpaceDN/>
              <w:bidi w:val="0"/>
              <w:adjustRightInd/>
              <w:snapToGrid/>
              <w:textAlignment w:val="auto"/>
              <w:rPr>
                <w:color w:val="auto"/>
              </w:rPr>
            </w:pPr>
            <w:r>
              <w:rPr>
                <w:color w:val="auto"/>
              </w:rPr>
              <w:t>1.5-3m</w:t>
            </w:r>
            <w:r>
              <w:rPr>
                <w:rFonts w:hint="eastAsia"/>
                <w:color w:val="auto"/>
                <w:lang w:val="en-US" w:eastAsia="zh-CN"/>
              </w:rPr>
              <w:t>柱状黏土</w:t>
            </w:r>
          </w:p>
        </w:tc>
      </w:tr>
      <w:tr w14:paraId="79AA27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tcBorders>
              <w:tl2br w:val="nil"/>
              <w:tr2bl w:val="nil"/>
            </w:tcBorders>
            <w:vAlign w:val="center"/>
          </w:tcPr>
          <w:p w14:paraId="7259E7E5">
            <w:pPr>
              <w:pStyle w:val="59"/>
              <w:keepNext w:val="0"/>
              <w:keepLines w:val="0"/>
              <w:pageBreakBefore w:val="0"/>
              <w:widowControl/>
              <w:kinsoku/>
              <w:wordWrap/>
              <w:overflowPunct/>
              <w:topLinePunct w:val="0"/>
              <w:autoSpaceDE/>
              <w:autoSpaceDN/>
              <w:bidi w:val="0"/>
              <w:adjustRightInd/>
              <w:snapToGrid/>
              <w:textAlignment w:val="auto"/>
              <w:rPr>
                <w:smallCaps/>
                <w:color w:val="auto"/>
                <w:w w:val="99"/>
                <w:szCs w:val="21"/>
                <w:lang w:val="zh-CN" w:bidi="zh-CN"/>
              </w:rPr>
            </w:pPr>
            <w:r>
              <w:rPr>
                <w:smallCaps/>
                <w:color w:val="auto"/>
                <w:w w:val="99"/>
                <w:szCs w:val="21"/>
                <w:lang w:val="zh-CN" w:bidi="zh-CN"/>
              </w:rPr>
              <w:t>注:应给出带标尺的土壤剖面照片及其景观照片。</w:t>
            </w:r>
          </w:p>
        </w:tc>
      </w:tr>
      <w:tr w14:paraId="47F339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tcBorders>
              <w:tl2br w:val="nil"/>
              <w:tr2bl w:val="nil"/>
            </w:tcBorders>
            <w:vAlign w:val="center"/>
          </w:tcPr>
          <w:p w14:paraId="23B7189E">
            <w:pPr>
              <w:pStyle w:val="59"/>
              <w:keepNext w:val="0"/>
              <w:keepLines w:val="0"/>
              <w:pageBreakBefore w:val="0"/>
              <w:widowControl/>
              <w:kinsoku/>
              <w:wordWrap/>
              <w:overflowPunct/>
              <w:topLinePunct w:val="0"/>
              <w:autoSpaceDE/>
              <w:autoSpaceDN/>
              <w:bidi w:val="0"/>
              <w:adjustRightInd/>
              <w:snapToGrid/>
              <w:textAlignment w:val="auto"/>
              <w:rPr>
                <w:b/>
                <w:smallCaps/>
                <w:color w:val="auto"/>
                <w:w w:val="99"/>
                <w:szCs w:val="21"/>
                <w:lang w:val="zh-CN" w:bidi="zh-CN"/>
              </w:rPr>
            </w:pPr>
            <w:r>
              <w:rPr>
                <w:color w:val="auto"/>
                <w:szCs w:val="21"/>
              </w:rPr>
              <w:t>根据土壤分层情况描述土壤的理化特性。</w:t>
            </w:r>
          </w:p>
        </w:tc>
      </w:tr>
    </w:tbl>
    <w:p w14:paraId="5B7E111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highlight w:val="none"/>
          <w:lang w:val="en-GB" w:eastAsia="zh-CN"/>
        </w:rPr>
      </w:pPr>
      <w:r>
        <w:rPr>
          <w:rFonts w:hint="eastAsia" w:ascii="Times New Roman" w:hAnsi="Times New Roman" w:eastAsia="宋体"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GB" w:eastAsia="zh-CN"/>
        </w:rPr>
        <w:t>现状监测结果</w:t>
      </w:r>
    </w:p>
    <w:p w14:paraId="4BEC11C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本项目土壤环境现状监测结果见表4.2-23。</w:t>
      </w:r>
    </w:p>
    <w:p w14:paraId="5D9105B3">
      <w:pPr>
        <w:pStyle w:val="61"/>
        <w:jc w:val="center"/>
        <w:rPr>
          <w:rFonts w:hint="default" w:ascii="Times New Roman" w:hAnsi="Times New Roman" w:eastAsia="Arial" w:cs="Times New Roman"/>
          <w:b/>
          <w:bCs/>
          <w:snapToGrid w:val="0"/>
          <w:color w:val="auto"/>
          <w:kern w:val="0"/>
          <w:sz w:val="24"/>
          <w:szCs w:val="24"/>
          <w:highlight w:val="none"/>
          <w:lang w:val="en-US" w:eastAsia="zh-CN" w:bidi="ar-SA"/>
        </w:rPr>
      </w:pPr>
      <w:r>
        <w:rPr>
          <w:rFonts w:hint="default" w:ascii="Times New Roman" w:hAnsi="Times New Roman" w:eastAsia="Arial" w:cs="Times New Roman"/>
          <w:b/>
          <w:bCs/>
          <w:snapToGrid w:val="0"/>
          <w:color w:val="auto"/>
          <w:kern w:val="0"/>
          <w:sz w:val="24"/>
          <w:szCs w:val="24"/>
          <w:highlight w:val="none"/>
          <w:lang w:val="en-US" w:eastAsia="zh-CN" w:bidi="ar-SA"/>
        </w:rPr>
        <w:t>表4</w:t>
      </w:r>
      <w:r>
        <w:rPr>
          <w:rFonts w:hint="eastAsia" w:eastAsia="Arial" w:cs="Times New Roman"/>
          <w:b/>
          <w:bCs/>
          <w:snapToGrid w:val="0"/>
          <w:color w:val="auto"/>
          <w:kern w:val="0"/>
          <w:sz w:val="24"/>
          <w:szCs w:val="24"/>
          <w:highlight w:val="none"/>
          <w:lang w:val="en-US" w:eastAsia="zh-CN" w:bidi="ar-SA"/>
        </w:rPr>
        <w:t>.</w:t>
      </w:r>
      <w:r>
        <w:rPr>
          <w:rFonts w:hint="default" w:ascii="Times New Roman" w:hAnsi="Times New Roman" w:eastAsia="Arial" w:cs="Times New Roman"/>
          <w:b/>
          <w:bCs/>
          <w:snapToGrid w:val="0"/>
          <w:color w:val="auto"/>
          <w:kern w:val="0"/>
          <w:sz w:val="24"/>
          <w:szCs w:val="24"/>
          <w:highlight w:val="none"/>
          <w:lang w:val="en-US" w:eastAsia="zh-CN" w:bidi="ar-SA"/>
        </w:rPr>
        <w:t>2-</w:t>
      </w:r>
      <w:r>
        <w:rPr>
          <w:rFonts w:hint="eastAsia" w:eastAsia="Arial" w:cs="Times New Roman"/>
          <w:b/>
          <w:bCs/>
          <w:snapToGrid w:val="0"/>
          <w:color w:val="auto"/>
          <w:kern w:val="0"/>
          <w:sz w:val="24"/>
          <w:szCs w:val="24"/>
          <w:highlight w:val="none"/>
          <w:lang w:val="en-US" w:eastAsia="zh-CN" w:bidi="ar-SA"/>
        </w:rPr>
        <w:t>23</w:t>
      </w:r>
      <w:r>
        <w:rPr>
          <w:rFonts w:hint="default" w:ascii="Times New Roman" w:hAnsi="Times New Roman" w:eastAsia="Arial" w:cs="Times New Roman"/>
          <w:b/>
          <w:bCs/>
          <w:snapToGrid w:val="0"/>
          <w:color w:val="auto"/>
          <w:kern w:val="0"/>
          <w:sz w:val="24"/>
          <w:szCs w:val="24"/>
          <w:highlight w:val="none"/>
          <w:lang w:val="en-US" w:eastAsia="zh-CN" w:bidi="ar-SA"/>
        </w:rPr>
        <w:t xml:space="preserve">  土壤监测结果表</w:t>
      </w:r>
    </w:p>
    <w:tbl>
      <w:tblPr>
        <w:tblStyle w:val="22"/>
        <w:tblW w:w="943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62"/>
        <w:gridCol w:w="587"/>
        <w:gridCol w:w="21"/>
        <w:gridCol w:w="9"/>
        <w:gridCol w:w="1252"/>
        <w:gridCol w:w="884"/>
        <w:gridCol w:w="985"/>
        <w:gridCol w:w="59"/>
        <w:gridCol w:w="1122"/>
        <w:gridCol w:w="688"/>
        <w:gridCol w:w="1870"/>
      </w:tblGrid>
      <w:tr w14:paraId="04D6E1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2579" w:type="dxa"/>
            <w:gridSpan w:val="4"/>
            <w:tcBorders>
              <w:tl2br w:val="nil"/>
              <w:tr2bl w:val="nil"/>
            </w:tcBorders>
            <w:vAlign w:val="center"/>
          </w:tcPr>
          <w:p w14:paraId="0B26847E">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接样时间</w:t>
            </w:r>
          </w:p>
        </w:tc>
        <w:tc>
          <w:tcPr>
            <w:tcW w:w="6860" w:type="dxa"/>
            <w:gridSpan w:val="7"/>
            <w:tcBorders>
              <w:tl2br w:val="nil"/>
              <w:tr2bl w:val="nil"/>
            </w:tcBorders>
            <w:vAlign w:val="center"/>
          </w:tcPr>
          <w:p w14:paraId="625D79CB">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000000"/>
                <w:kern w:val="2"/>
                <w:sz w:val="21"/>
                <w:szCs w:val="21"/>
                <w:highlight w:val="none"/>
                <w:lang w:val="en-US" w:eastAsia="zh-CN" w:bidi="ar-SA"/>
              </w:rPr>
              <w:t>2025.10.31</w:t>
            </w:r>
          </w:p>
        </w:tc>
      </w:tr>
      <w:tr w14:paraId="05566A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2579" w:type="dxa"/>
            <w:gridSpan w:val="4"/>
            <w:tcBorders>
              <w:tl2br w:val="nil"/>
              <w:tr2bl w:val="nil"/>
            </w:tcBorders>
            <w:vAlign w:val="center"/>
          </w:tcPr>
          <w:p w14:paraId="24738219">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样品标识</w:t>
            </w:r>
          </w:p>
        </w:tc>
        <w:tc>
          <w:tcPr>
            <w:tcW w:w="3180" w:type="dxa"/>
            <w:gridSpan w:val="4"/>
            <w:tcBorders>
              <w:tl2br w:val="nil"/>
              <w:tr2bl w:val="nil"/>
            </w:tcBorders>
            <w:vAlign w:val="center"/>
          </w:tcPr>
          <w:p w14:paraId="10583CFC">
            <w:pPr>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251028T20S（7#厂区内0-0.2m）</w:t>
            </w:r>
          </w:p>
        </w:tc>
        <w:tc>
          <w:tcPr>
            <w:tcW w:w="3680" w:type="dxa"/>
            <w:gridSpan w:val="3"/>
            <w:tcBorders>
              <w:tl2br w:val="nil"/>
              <w:tr2bl w:val="nil"/>
            </w:tcBorders>
            <w:vAlign w:val="center"/>
          </w:tcPr>
          <w:p w14:paraId="4E7FB38C">
            <w:pPr>
              <w:jc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251028T21S（9#厂区外东南侧张达屯0-0.2m）</w:t>
            </w:r>
          </w:p>
        </w:tc>
      </w:tr>
      <w:tr w14:paraId="4BDE8A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579" w:type="dxa"/>
            <w:gridSpan w:val="4"/>
            <w:vMerge w:val="restart"/>
            <w:tcBorders>
              <w:tl2br w:val="nil"/>
              <w:tr2bl w:val="nil"/>
            </w:tcBorders>
            <w:vAlign w:val="center"/>
          </w:tcPr>
          <w:p w14:paraId="3D3BB3FB">
            <w:pPr>
              <w:jc w:val="center"/>
              <w:rPr>
                <w:rFonts w:hint="eastAsia" w:ascii="Times New Roman" w:hAnsi="Times New Roman" w:cs="Times New Roman"/>
                <w:color w:val="auto"/>
                <w:sz w:val="21"/>
                <w:szCs w:val="21"/>
                <w:highlight w:val="none"/>
                <w:lang w:val="en-US" w:eastAsia="zh-CN"/>
              </w:rPr>
            </w:pPr>
            <w:r>
              <w:rPr>
                <w:sz w:val="21"/>
              </w:rPr>
              <mc:AlternateContent>
                <mc:Choice Requires="wps">
                  <w:drawing>
                    <wp:anchor distT="0" distB="0" distL="114300" distR="114300" simplePos="0" relativeHeight="251684864" behindDoc="0" locked="0" layoutInCell="1" allowOverlap="1">
                      <wp:simplePos x="0" y="0"/>
                      <wp:positionH relativeFrom="column">
                        <wp:posOffset>-47625</wp:posOffset>
                      </wp:positionH>
                      <wp:positionV relativeFrom="paragraph">
                        <wp:posOffset>2540</wp:posOffset>
                      </wp:positionV>
                      <wp:extent cx="1591945" cy="554355"/>
                      <wp:effectExtent l="1905" t="5715" r="6350" b="11430"/>
                      <wp:wrapNone/>
                      <wp:docPr id="50" name="直接连接符 50"/>
                      <wp:cNvGraphicFramePr/>
                      <a:graphic xmlns:a="http://schemas.openxmlformats.org/drawingml/2006/main">
                        <a:graphicData uri="http://schemas.microsoft.com/office/word/2010/wordprocessingShape">
                          <wps:wsp>
                            <wps:cNvCnPr/>
                            <wps:spPr>
                              <a:xfrm>
                                <a:off x="0" y="0"/>
                                <a:ext cx="1591945" cy="55435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75pt;margin-top:0.2pt;height:43.65pt;width:125.35pt;z-index:251684864;mso-width-relative:page;mso-height-relative:page;" filled="f" stroked="t" coordsize="21600,21600" o:gfxdata="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NrVwy&#10;1wAAAAYBAAAPAAAAAAAAAAEAIAAAACIAAABkcnMvZG93bnJldi54bWxQSwECFAAUAAAACACHTuJA&#10;4g6cGukBAAC5AwAADgAAAAAAAAABACAAAAAmAQAAZHJzL2Uyb0RvYy54bWxQSwUGAAAAAAYABgBZ&#10;AQAAgQUAAAAA&#10;">
                      <v:fill on="f" focussize="0,0"/>
                      <v:stroke weight="1pt" color="#000000 [3213]" miterlimit="8" joinstyle="miter"/>
                      <v:imagedata o:title=""/>
                      <o:lock v:ext="edit" aspectratio="f"/>
                    </v:line>
                  </w:pict>
                </mc:Fallback>
              </mc:AlternateContent>
            </w:r>
            <w:r>
              <w:rPr>
                <w:rFonts w:hint="eastAsia" w:ascii="Times New Roman" w:hAnsi="Times New Roman" w:cs="Times New Roman"/>
                <w:color w:val="auto"/>
                <w:sz w:val="21"/>
                <w:szCs w:val="21"/>
                <w:highlight w:val="none"/>
                <w:lang w:val="en-US" w:eastAsia="zh-CN"/>
              </w:rPr>
              <mc:AlternateContent>
                <mc:Choice Requires="wps">
                  <w:drawing>
                    <wp:anchor distT="0" distB="0" distL="114300" distR="114300" simplePos="0" relativeHeight="251668480" behindDoc="0" locked="0" layoutInCell="1" allowOverlap="1">
                      <wp:simplePos x="0" y="0"/>
                      <wp:positionH relativeFrom="column">
                        <wp:posOffset>762000</wp:posOffset>
                      </wp:positionH>
                      <wp:positionV relativeFrom="paragraph">
                        <wp:posOffset>10160</wp:posOffset>
                      </wp:positionV>
                      <wp:extent cx="781050" cy="352425"/>
                      <wp:effectExtent l="0" t="0" r="0" b="0"/>
                      <wp:wrapNone/>
                      <wp:docPr id="68" name="文本框 211"/>
                      <wp:cNvGraphicFramePr/>
                      <a:graphic xmlns:a="http://schemas.openxmlformats.org/drawingml/2006/main">
                        <a:graphicData uri="http://schemas.microsoft.com/office/word/2010/wordprocessingShape">
                          <wps:wsp>
                            <wps:cNvSpPr txBox="1"/>
                            <wps:spPr>
                              <a:xfrm>
                                <a:off x="0" y="0"/>
                                <a:ext cx="781050" cy="352425"/>
                              </a:xfrm>
                              <a:prstGeom prst="rect">
                                <a:avLst/>
                              </a:prstGeom>
                              <a:noFill/>
                              <a:ln w="15875">
                                <a:noFill/>
                              </a:ln>
                            </wps:spPr>
                            <wps:txbx>
                              <w:txbxContent>
                                <w:p w14:paraId="1D74260A">
                                  <w:r>
                                    <w:rPr>
                                      <w:rFonts w:hint="eastAsia"/>
                                    </w:rPr>
                                    <w:t>检测结果</w:t>
                                  </w:r>
                                </w:p>
                              </w:txbxContent>
                            </wps:txbx>
                            <wps:bodyPr upright="1"/>
                          </wps:wsp>
                        </a:graphicData>
                      </a:graphic>
                    </wp:anchor>
                  </w:drawing>
                </mc:Choice>
                <mc:Fallback>
                  <w:pict>
                    <v:shape id="文本框 211" o:spid="_x0000_s1026" o:spt="202" type="#_x0000_t202" style="position:absolute;left:0pt;margin-left:60pt;margin-top:0.8pt;height:27.75pt;width:61.5pt;z-index:251668480;mso-width-relative:page;mso-height-relative:page;" filled="f" stroked="f" coordsize="21600,21600" o:gfxdata="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Cjq792QAAAAgBAAAPAAAAAAAAAAEAIAAAACIAAABkcnMvZG93bnJldi54bWxQSwECFAAU&#10;AAAACACHTuJAv0ef5LcBAABaAwAADgAAAAAAAAABACAAAAAoAQAAZHJzL2Uyb0RvYy54bWxQSwUG&#10;AAAAAAYABgBZAQAAUQUAAAAA&#10;">
                      <v:fill on="f" focussize="0,0"/>
                      <v:stroke on="f" weight="1.25pt"/>
                      <v:imagedata o:title=""/>
                      <o:lock v:ext="edit" aspectratio="f"/>
                      <v:textbox>
                        <w:txbxContent>
                          <w:p w14:paraId="1D74260A">
                            <w:r>
                              <w:rPr>
                                <w:rFonts w:hint="eastAsia"/>
                              </w:rPr>
                              <w:t>检测结果</w:t>
                            </w:r>
                          </w:p>
                        </w:txbxContent>
                      </v:textbox>
                    </v:shape>
                  </w:pict>
                </mc:Fallback>
              </mc:AlternateContent>
            </w:r>
            <w:r>
              <w:rPr>
                <w:rFonts w:hint="eastAsia" w:ascii="Times New Roman" w:hAnsi="Times New Roman" w:cs="Times New Roman"/>
                <w:color w:val="auto"/>
                <w:sz w:val="21"/>
                <w:szCs w:val="21"/>
                <w:highlight w:val="none"/>
                <w:lang w:val="en-US" w:eastAsia="zh-CN"/>
              </w:rPr>
              <mc:AlternateContent>
                <mc:Choice Requires="wps">
                  <w:drawing>
                    <wp:anchor distT="0" distB="0" distL="114300" distR="114300" simplePos="0" relativeHeight="251669504" behindDoc="0" locked="0" layoutInCell="1" allowOverlap="1">
                      <wp:simplePos x="0" y="0"/>
                      <wp:positionH relativeFrom="column">
                        <wp:posOffset>-38100</wp:posOffset>
                      </wp:positionH>
                      <wp:positionV relativeFrom="paragraph">
                        <wp:posOffset>185420</wp:posOffset>
                      </wp:positionV>
                      <wp:extent cx="781050" cy="352425"/>
                      <wp:effectExtent l="0" t="0" r="0" b="0"/>
                      <wp:wrapNone/>
                      <wp:docPr id="67" name="文本框 210"/>
                      <wp:cNvGraphicFramePr/>
                      <a:graphic xmlns:a="http://schemas.openxmlformats.org/drawingml/2006/main">
                        <a:graphicData uri="http://schemas.microsoft.com/office/word/2010/wordprocessingShape">
                          <wps:wsp>
                            <wps:cNvSpPr txBox="1"/>
                            <wps:spPr>
                              <a:xfrm>
                                <a:off x="0" y="0"/>
                                <a:ext cx="781050" cy="352425"/>
                              </a:xfrm>
                              <a:prstGeom prst="rect">
                                <a:avLst/>
                              </a:prstGeom>
                              <a:noFill/>
                              <a:ln w="15875">
                                <a:noFill/>
                              </a:ln>
                            </wps:spPr>
                            <wps:txbx>
                              <w:txbxContent>
                                <w:p w14:paraId="05437804">
                                  <w:r>
                                    <w:rPr>
                                      <w:rFonts w:hint="eastAsia"/>
                                    </w:rPr>
                                    <w:t>项目</w:t>
                                  </w:r>
                                </w:p>
                              </w:txbxContent>
                            </wps:txbx>
                            <wps:bodyPr upright="1"/>
                          </wps:wsp>
                        </a:graphicData>
                      </a:graphic>
                    </wp:anchor>
                  </w:drawing>
                </mc:Choice>
                <mc:Fallback>
                  <w:pict>
                    <v:shape id="文本框 210" o:spid="_x0000_s1026" o:spt="202" type="#_x0000_t202" style="position:absolute;left:0pt;margin-left:-3pt;margin-top:14.6pt;height:27.75pt;width:61.5pt;z-index:251669504;mso-width-relative:page;mso-height-relative:page;" filled="f" stroked="f" coordsize="21600,21600" o:gfxdata="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mTRC32wAAAAgBAAAPAAAAAAAAAAEAIAAAACIAAABkcnMvZG93bnJldi54bWxQSwECFAAU&#10;AAAACACHTuJAzsa45LUBAABaAwAADgAAAAAAAAABACAAAAAqAQAAZHJzL2Uyb0RvYy54bWxQSwUG&#10;AAAAAAYABgBZAQAAUQUAAAAA&#10;">
                      <v:fill on="f" focussize="0,0"/>
                      <v:stroke on="f" weight="1.25pt"/>
                      <v:imagedata o:title=""/>
                      <o:lock v:ext="edit" aspectratio="f"/>
                      <v:textbox>
                        <w:txbxContent>
                          <w:p w14:paraId="05437804">
                            <w:r>
                              <w:rPr>
                                <w:rFonts w:hint="eastAsia"/>
                              </w:rPr>
                              <w:t>项目</w:t>
                            </w:r>
                          </w:p>
                        </w:txbxContent>
                      </v:textbox>
                    </v:shape>
                  </w:pict>
                </mc:Fallback>
              </mc:AlternateContent>
            </w:r>
          </w:p>
        </w:tc>
        <w:tc>
          <w:tcPr>
            <w:tcW w:w="6860" w:type="dxa"/>
            <w:gridSpan w:val="7"/>
            <w:tcBorders>
              <w:tl2br w:val="nil"/>
              <w:tr2bl w:val="nil"/>
            </w:tcBorders>
            <w:vAlign w:val="center"/>
          </w:tcPr>
          <w:p w14:paraId="6E4BC09B">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样品编号</w:t>
            </w:r>
          </w:p>
        </w:tc>
      </w:tr>
      <w:tr w14:paraId="539B6E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2579" w:type="dxa"/>
            <w:gridSpan w:val="4"/>
            <w:vMerge w:val="continue"/>
            <w:tcBorders>
              <w:tl2br w:val="nil"/>
              <w:tr2bl w:val="nil"/>
            </w:tcBorders>
            <w:vAlign w:val="center"/>
          </w:tcPr>
          <w:p w14:paraId="0493F14B">
            <w:pPr>
              <w:jc w:val="center"/>
              <w:rPr>
                <w:rFonts w:hint="eastAsia" w:ascii="Times New Roman" w:hAnsi="Times New Roman" w:cs="Times New Roman"/>
                <w:color w:val="auto"/>
                <w:sz w:val="21"/>
                <w:szCs w:val="21"/>
                <w:highlight w:val="none"/>
                <w:lang w:val="en-US" w:eastAsia="zh-CN"/>
              </w:rPr>
            </w:pPr>
          </w:p>
        </w:tc>
        <w:tc>
          <w:tcPr>
            <w:tcW w:w="3180" w:type="dxa"/>
            <w:gridSpan w:val="4"/>
            <w:tcBorders>
              <w:tl2br w:val="nil"/>
              <w:tr2bl w:val="nil"/>
            </w:tcBorders>
            <w:vAlign w:val="center"/>
          </w:tcPr>
          <w:p w14:paraId="3232E086">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W25103007-TR-</w:t>
            </w:r>
            <w:r>
              <w:rPr>
                <w:rFonts w:hint="eastAsia" w:ascii="Times New Roman" w:hAnsi="Times New Roman" w:cs="Times New Roman"/>
                <w:highlight w:val="none"/>
                <w:lang w:val="en-US" w:eastAsia="zh-CN"/>
              </w:rPr>
              <w:t>111</w:t>
            </w:r>
          </w:p>
        </w:tc>
        <w:tc>
          <w:tcPr>
            <w:tcW w:w="3680" w:type="dxa"/>
            <w:gridSpan w:val="3"/>
            <w:tcBorders>
              <w:tl2br w:val="nil"/>
              <w:tr2bl w:val="nil"/>
            </w:tcBorders>
            <w:vAlign w:val="center"/>
          </w:tcPr>
          <w:p w14:paraId="0423D966">
            <w:pPr>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W25103007-TR-</w:t>
            </w:r>
            <w:r>
              <w:rPr>
                <w:rFonts w:hint="eastAsia" w:ascii="Times New Roman" w:hAnsi="Times New Roman" w:cs="Times New Roman"/>
                <w:highlight w:val="none"/>
                <w:lang w:val="en-US" w:eastAsia="zh-CN"/>
              </w:rPr>
              <w:t>211</w:t>
            </w:r>
          </w:p>
        </w:tc>
      </w:tr>
      <w:tr w14:paraId="3ABC95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2579" w:type="dxa"/>
            <w:gridSpan w:val="4"/>
            <w:tcBorders>
              <w:tl2br w:val="nil"/>
              <w:tr2bl w:val="nil"/>
            </w:tcBorders>
            <w:shd w:val="clear" w:color="auto" w:fill="auto"/>
            <w:vAlign w:val="center"/>
          </w:tcPr>
          <w:p w14:paraId="756357AB">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highlight w:val="none"/>
                <w:lang w:val="en-US" w:eastAsia="zh-CN"/>
              </w:rPr>
              <w:t>砷 (mg/kg)</w:t>
            </w:r>
          </w:p>
        </w:tc>
        <w:tc>
          <w:tcPr>
            <w:tcW w:w="3180" w:type="dxa"/>
            <w:gridSpan w:val="4"/>
            <w:tcBorders>
              <w:tl2br w:val="nil"/>
              <w:tr2bl w:val="nil"/>
            </w:tcBorders>
            <w:shd w:val="clear" w:color="auto" w:fill="auto"/>
            <w:vAlign w:val="center"/>
          </w:tcPr>
          <w:p w14:paraId="6409F9C7">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7.94</w:t>
            </w:r>
          </w:p>
        </w:tc>
        <w:tc>
          <w:tcPr>
            <w:tcW w:w="3680" w:type="dxa"/>
            <w:gridSpan w:val="3"/>
            <w:tcBorders>
              <w:tl2br w:val="nil"/>
              <w:tr2bl w:val="nil"/>
            </w:tcBorders>
            <w:shd w:val="clear" w:color="auto" w:fill="auto"/>
            <w:vAlign w:val="center"/>
          </w:tcPr>
          <w:p w14:paraId="13FBDE73">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8.05</w:t>
            </w:r>
          </w:p>
        </w:tc>
      </w:tr>
      <w:tr w14:paraId="0D01A1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2579" w:type="dxa"/>
            <w:gridSpan w:val="4"/>
            <w:tcBorders>
              <w:tl2br w:val="nil"/>
              <w:tr2bl w:val="nil"/>
            </w:tcBorders>
            <w:shd w:val="clear" w:color="auto" w:fill="auto"/>
            <w:vAlign w:val="center"/>
          </w:tcPr>
          <w:p w14:paraId="5A209759">
            <w:pPr>
              <w:jc w:val="center"/>
              <w:rPr>
                <w:rFonts w:hint="eastAsia" w:ascii="Times New Roman" w:hAnsi="Times New Roman" w:cs="Times New Roman" w:eastAsiaTheme="minorEastAsia"/>
                <w:kern w:val="2"/>
                <w:sz w:val="21"/>
                <w:szCs w:val="21"/>
                <w:lang w:val="en-US" w:eastAsia="zh-CN" w:bidi="ar-SA"/>
              </w:rPr>
            </w:pPr>
            <w:r>
              <w:rPr>
                <w:rFonts w:ascii="Times New Roman" w:hAnsi="Times New Roman" w:cs="Times New Roman"/>
                <w:szCs w:val="21"/>
                <w:highlight w:val="none"/>
              </w:rPr>
              <w:t>镉 (mg/kg)</w:t>
            </w:r>
          </w:p>
        </w:tc>
        <w:tc>
          <w:tcPr>
            <w:tcW w:w="3180" w:type="dxa"/>
            <w:gridSpan w:val="4"/>
            <w:tcBorders>
              <w:tl2br w:val="nil"/>
              <w:tr2bl w:val="nil"/>
            </w:tcBorders>
            <w:shd w:val="clear" w:color="auto" w:fill="auto"/>
            <w:vAlign w:val="center"/>
          </w:tcPr>
          <w:p w14:paraId="1C0A91AC">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0.21</w:t>
            </w:r>
          </w:p>
        </w:tc>
        <w:tc>
          <w:tcPr>
            <w:tcW w:w="3680" w:type="dxa"/>
            <w:gridSpan w:val="3"/>
            <w:tcBorders>
              <w:tl2br w:val="nil"/>
              <w:tr2bl w:val="nil"/>
            </w:tcBorders>
            <w:shd w:val="clear" w:color="auto" w:fill="auto"/>
            <w:vAlign w:val="center"/>
          </w:tcPr>
          <w:p w14:paraId="3B6115E8">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0.19</w:t>
            </w:r>
          </w:p>
        </w:tc>
      </w:tr>
      <w:tr w14:paraId="7A6C7A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2579" w:type="dxa"/>
            <w:gridSpan w:val="4"/>
            <w:tcBorders>
              <w:tl2br w:val="nil"/>
              <w:tr2bl w:val="nil"/>
            </w:tcBorders>
            <w:shd w:val="clear" w:color="auto" w:fill="auto"/>
            <w:vAlign w:val="center"/>
          </w:tcPr>
          <w:p w14:paraId="2CF04D8C">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六价铬</w:t>
            </w:r>
            <w:r>
              <w:rPr>
                <w:rFonts w:ascii="Times New Roman" w:hAnsi="Times New Roman" w:cs="Times New Roman"/>
                <w:szCs w:val="21"/>
                <w:highlight w:val="none"/>
              </w:rPr>
              <w:t xml:space="preserve"> (mg/kg)</w:t>
            </w:r>
          </w:p>
        </w:tc>
        <w:tc>
          <w:tcPr>
            <w:tcW w:w="3180" w:type="dxa"/>
            <w:gridSpan w:val="4"/>
            <w:tcBorders>
              <w:tl2br w:val="nil"/>
              <w:tr2bl w:val="nil"/>
            </w:tcBorders>
            <w:shd w:val="clear" w:color="auto" w:fill="auto"/>
            <w:vAlign w:val="center"/>
          </w:tcPr>
          <w:p w14:paraId="7950359E">
            <w:pPr>
              <w:widowControl/>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67459848">
            <w:pPr>
              <w:widowControl/>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03E097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2579" w:type="dxa"/>
            <w:gridSpan w:val="4"/>
            <w:tcBorders>
              <w:tl2br w:val="nil"/>
              <w:tr2bl w:val="nil"/>
            </w:tcBorders>
            <w:shd w:val="clear" w:color="auto" w:fill="auto"/>
            <w:vAlign w:val="center"/>
          </w:tcPr>
          <w:p w14:paraId="1A029A04">
            <w:pPr>
              <w:jc w:val="center"/>
              <w:rPr>
                <w:rFonts w:hint="eastAsia" w:ascii="Times New Roman" w:hAnsi="Times New Roman" w:cs="Times New Roman" w:eastAsiaTheme="minorEastAsia"/>
                <w:kern w:val="2"/>
                <w:sz w:val="21"/>
                <w:szCs w:val="21"/>
                <w:lang w:val="en-US" w:eastAsia="zh-CN" w:bidi="ar-SA"/>
              </w:rPr>
            </w:pPr>
            <w:r>
              <w:rPr>
                <w:rFonts w:hint="eastAsia" w:ascii="宋体" w:hAnsi="宋体" w:eastAsia="宋体" w:cs="宋体"/>
                <w:color w:val="000000"/>
                <w:kern w:val="0"/>
                <w:sz w:val="22"/>
                <w:szCs w:val="22"/>
                <w:highlight w:val="none"/>
                <w:lang w:bidi="ar"/>
              </w:rPr>
              <w:t>铜</w:t>
            </w:r>
            <w:r>
              <w:rPr>
                <w:rFonts w:ascii="Times New Roman" w:hAnsi="Times New Roman" w:cs="Times New Roman"/>
                <w:szCs w:val="21"/>
                <w:highlight w:val="none"/>
              </w:rPr>
              <w:t xml:space="preserve"> (mg/kg)</w:t>
            </w:r>
          </w:p>
        </w:tc>
        <w:tc>
          <w:tcPr>
            <w:tcW w:w="3180" w:type="dxa"/>
            <w:gridSpan w:val="4"/>
            <w:tcBorders>
              <w:tl2br w:val="nil"/>
              <w:tr2bl w:val="nil"/>
            </w:tcBorders>
            <w:shd w:val="clear" w:color="auto" w:fill="auto"/>
            <w:vAlign w:val="center"/>
          </w:tcPr>
          <w:p w14:paraId="02DA85DB">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35</w:t>
            </w:r>
          </w:p>
        </w:tc>
        <w:tc>
          <w:tcPr>
            <w:tcW w:w="3680" w:type="dxa"/>
            <w:gridSpan w:val="3"/>
            <w:tcBorders>
              <w:tl2br w:val="nil"/>
              <w:tr2bl w:val="nil"/>
            </w:tcBorders>
            <w:shd w:val="clear" w:color="auto" w:fill="auto"/>
            <w:vAlign w:val="center"/>
          </w:tcPr>
          <w:p w14:paraId="65C39A39">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34</w:t>
            </w:r>
          </w:p>
        </w:tc>
      </w:tr>
      <w:tr w14:paraId="443583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2579" w:type="dxa"/>
            <w:gridSpan w:val="4"/>
            <w:tcBorders>
              <w:tl2br w:val="nil"/>
              <w:tr2bl w:val="nil"/>
            </w:tcBorders>
            <w:shd w:val="clear" w:color="auto" w:fill="auto"/>
            <w:vAlign w:val="center"/>
          </w:tcPr>
          <w:p w14:paraId="1D4A773D">
            <w:pPr>
              <w:jc w:val="center"/>
              <w:rPr>
                <w:rFonts w:hint="eastAsia" w:ascii="Times New Roman" w:hAnsi="Times New Roman" w:cs="Times New Roman" w:eastAsiaTheme="minorEastAsia"/>
                <w:kern w:val="2"/>
                <w:sz w:val="21"/>
                <w:szCs w:val="21"/>
                <w:lang w:val="en-US" w:eastAsia="zh-CN" w:bidi="ar-SA"/>
              </w:rPr>
            </w:pPr>
            <w:r>
              <w:rPr>
                <w:rFonts w:ascii="Times New Roman" w:hAnsi="Times New Roman" w:cs="Times New Roman"/>
                <w:szCs w:val="21"/>
                <w:highlight w:val="none"/>
              </w:rPr>
              <w:t>铅 (mg/kg)</w:t>
            </w:r>
          </w:p>
        </w:tc>
        <w:tc>
          <w:tcPr>
            <w:tcW w:w="3180" w:type="dxa"/>
            <w:gridSpan w:val="4"/>
            <w:tcBorders>
              <w:tl2br w:val="nil"/>
              <w:tr2bl w:val="nil"/>
            </w:tcBorders>
            <w:shd w:val="clear" w:color="auto" w:fill="auto"/>
            <w:vAlign w:val="center"/>
          </w:tcPr>
          <w:p w14:paraId="01D027A4">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24</w:t>
            </w:r>
          </w:p>
        </w:tc>
        <w:tc>
          <w:tcPr>
            <w:tcW w:w="3680" w:type="dxa"/>
            <w:gridSpan w:val="3"/>
            <w:tcBorders>
              <w:tl2br w:val="nil"/>
              <w:tr2bl w:val="nil"/>
            </w:tcBorders>
            <w:shd w:val="clear" w:color="auto" w:fill="auto"/>
            <w:vAlign w:val="center"/>
          </w:tcPr>
          <w:p w14:paraId="0C2C1B0D">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27</w:t>
            </w:r>
          </w:p>
        </w:tc>
      </w:tr>
      <w:tr w14:paraId="2E921F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2579" w:type="dxa"/>
            <w:gridSpan w:val="4"/>
            <w:tcBorders>
              <w:tl2br w:val="nil"/>
              <w:tr2bl w:val="nil"/>
            </w:tcBorders>
            <w:shd w:val="clear" w:color="auto" w:fill="auto"/>
            <w:vAlign w:val="center"/>
          </w:tcPr>
          <w:p w14:paraId="037F9D1B">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highlight w:val="none"/>
                <w:lang w:val="en-US" w:eastAsia="zh-CN"/>
              </w:rPr>
              <w:t>汞 (mg/kg)</w:t>
            </w:r>
          </w:p>
        </w:tc>
        <w:tc>
          <w:tcPr>
            <w:tcW w:w="3180" w:type="dxa"/>
            <w:gridSpan w:val="4"/>
            <w:tcBorders>
              <w:tl2br w:val="nil"/>
              <w:tr2bl w:val="nil"/>
            </w:tcBorders>
            <w:shd w:val="clear" w:color="auto" w:fill="auto"/>
            <w:vAlign w:val="center"/>
          </w:tcPr>
          <w:p w14:paraId="0916D165">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0.067</w:t>
            </w:r>
          </w:p>
        </w:tc>
        <w:tc>
          <w:tcPr>
            <w:tcW w:w="3680" w:type="dxa"/>
            <w:gridSpan w:val="3"/>
            <w:tcBorders>
              <w:tl2br w:val="nil"/>
              <w:tr2bl w:val="nil"/>
            </w:tcBorders>
            <w:shd w:val="clear" w:color="auto" w:fill="auto"/>
            <w:vAlign w:val="center"/>
          </w:tcPr>
          <w:p w14:paraId="77FEA396">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0.085</w:t>
            </w:r>
          </w:p>
        </w:tc>
      </w:tr>
      <w:tr w14:paraId="497F12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2579" w:type="dxa"/>
            <w:gridSpan w:val="4"/>
            <w:tcBorders>
              <w:tl2br w:val="nil"/>
              <w:tr2bl w:val="nil"/>
            </w:tcBorders>
            <w:shd w:val="clear" w:color="auto" w:fill="auto"/>
            <w:vAlign w:val="center"/>
          </w:tcPr>
          <w:p w14:paraId="57E0401B">
            <w:pPr>
              <w:jc w:val="center"/>
              <w:rPr>
                <w:rFonts w:hint="eastAsia" w:ascii="Times New Roman" w:hAnsi="Times New Roman" w:cs="Times New Roman" w:eastAsiaTheme="minorEastAsia"/>
                <w:kern w:val="2"/>
                <w:sz w:val="21"/>
                <w:szCs w:val="21"/>
                <w:lang w:val="en-US" w:eastAsia="zh-CN" w:bidi="ar-SA"/>
              </w:rPr>
            </w:pPr>
            <w:r>
              <w:rPr>
                <w:rFonts w:ascii="Times New Roman" w:hAnsi="Times New Roman" w:cs="Times New Roman"/>
                <w:szCs w:val="21"/>
                <w:highlight w:val="none"/>
              </w:rPr>
              <w:t>镍 (mg/kg)</w:t>
            </w:r>
          </w:p>
        </w:tc>
        <w:tc>
          <w:tcPr>
            <w:tcW w:w="3180" w:type="dxa"/>
            <w:gridSpan w:val="4"/>
            <w:tcBorders>
              <w:tl2br w:val="nil"/>
              <w:tr2bl w:val="nil"/>
            </w:tcBorders>
            <w:shd w:val="clear" w:color="auto" w:fill="auto"/>
            <w:vAlign w:val="center"/>
          </w:tcPr>
          <w:p w14:paraId="3A96D57D">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41</w:t>
            </w:r>
          </w:p>
        </w:tc>
        <w:tc>
          <w:tcPr>
            <w:tcW w:w="3680" w:type="dxa"/>
            <w:gridSpan w:val="3"/>
            <w:tcBorders>
              <w:tl2br w:val="nil"/>
              <w:tr2bl w:val="nil"/>
            </w:tcBorders>
            <w:shd w:val="clear" w:color="auto" w:fill="auto"/>
            <w:vAlign w:val="center"/>
          </w:tcPr>
          <w:p w14:paraId="604467FE">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42</w:t>
            </w:r>
          </w:p>
        </w:tc>
      </w:tr>
      <w:tr w14:paraId="618694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2579" w:type="dxa"/>
            <w:gridSpan w:val="4"/>
            <w:tcBorders>
              <w:tl2br w:val="nil"/>
              <w:tr2bl w:val="nil"/>
            </w:tcBorders>
            <w:shd w:val="clear" w:color="auto" w:fill="auto"/>
            <w:vAlign w:val="center"/>
          </w:tcPr>
          <w:p w14:paraId="250CD505">
            <w:pPr>
              <w:jc w:val="center"/>
              <w:rPr>
                <w:rFonts w:hint="default" w:ascii="Times New Roman" w:hAnsi="Times New Roman" w:eastAsia="宋体" w:cs="Times New Roman"/>
                <w:color w:val="000000"/>
                <w:kern w:val="2"/>
                <w:sz w:val="21"/>
                <w:szCs w:val="21"/>
                <w:highlight w:val="none"/>
                <w:lang w:val="en-US" w:eastAsia="zh-CN" w:bidi="ar-SA"/>
              </w:rPr>
            </w:pPr>
            <w:r>
              <w:rPr>
                <w:rFonts w:ascii="Times New Roman" w:hAnsi="Times New Roman" w:eastAsia="宋体" w:cs="Times New Roman"/>
                <w:szCs w:val="21"/>
              </w:rPr>
              <w:t>pH</w:t>
            </w:r>
            <w:r>
              <w:rPr>
                <w:rFonts w:hint="eastAsia" w:ascii="Times New Roman" w:hAnsi="Times New Roman" w:cs="Times New Roman"/>
                <w:szCs w:val="21"/>
              </w:rPr>
              <w:t>（无量纲）</w:t>
            </w:r>
          </w:p>
        </w:tc>
        <w:tc>
          <w:tcPr>
            <w:tcW w:w="3180" w:type="dxa"/>
            <w:gridSpan w:val="4"/>
            <w:tcBorders>
              <w:tl2br w:val="nil"/>
              <w:tr2bl w:val="nil"/>
            </w:tcBorders>
            <w:shd w:val="clear" w:color="auto" w:fill="auto"/>
            <w:vAlign w:val="center"/>
          </w:tcPr>
          <w:p w14:paraId="225360F6">
            <w:pPr>
              <w:widowControl/>
              <w:jc w:val="center"/>
              <w:textAlignment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lang w:val="en-US" w:eastAsia="zh-CN"/>
              </w:rPr>
              <w:t>7.</w:t>
            </w:r>
            <w:r>
              <w:rPr>
                <w:rFonts w:hint="eastAsia" w:ascii="Times New Roman" w:hAnsi="Times New Roman" w:cs="Times New Roman"/>
                <w:color w:val="auto"/>
                <w:sz w:val="21"/>
                <w:szCs w:val="21"/>
                <w:lang w:val="en-US" w:eastAsia="zh-CN"/>
              </w:rPr>
              <w:t>41</w:t>
            </w:r>
          </w:p>
        </w:tc>
        <w:tc>
          <w:tcPr>
            <w:tcW w:w="3680" w:type="dxa"/>
            <w:gridSpan w:val="3"/>
            <w:tcBorders>
              <w:tl2br w:val="nil"/>
              <w:tr2bl w:val="nil"/>
            </w:tcBorders>
            <w:shd w:val="clear" w:color="auto" w:fill="auto"/>
            <w:vAlign w:val="center"/>
          </w:tcPr>
          <w:p w14:paraId="29CE69BE">
            <w:pPr>
              <w:widowControl/>
              <w:jc w:val="center"/>
              <w:textAlignment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 w:val="21"/>
                <w:szCs w:val="21"/>
                <w:lang w:val="en-US" w:eastAsia="zh-CN"/>
              </w:rPr>
              <w:t>7.</w:t>
            </w:r>
            <w:r>
              <w:rPr>
                <w:rFonts w:hint="eastAsia" w:ascii="Times New Roman" w:hAnsi="Times New Roman" w:cs="Times New Roman"/>
                <w:color w:val="auto"/>
                <w:sz w:val="21"/>
                <w:szCs w:val="21"/>
                <w:lang w:val="en-US" w:eastAsia="zh-CN"/>
              </w:rPr>
              <w:t>38</w:t>
            </w:r>
          </w:p>
        </w:tc>
      </w:tr>
      <w:tr w14:paraId="64B21B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2579" w:type="dxa"/>
            <w:gridSpan w:val="4"/>
            <w:tcBorders>
              <w:tl2br w:val="nil"/>
              <w:tr2bl w:val="nil"/>
            </w:tcBorders>
            <w:vAlign w:val="center"/>
          </w:tcPr>
          <w:p w14:paraId="2B3BCC32">
            <w:pPr>
              <w:widowControl/>
              <w:jc w:val="center"/>
              <w:textAlignment w:val="center"/>
              <w:rPr>
                <w:rFonts w:hint="eastAsia"/>
                <w:highlight w:val="none"/>
                <w:lang w:val="en-US" w:eastAsia="zh-CN"/>
              </w:rPr>
            </w:pPr>
            <w:r>
              <w:rPr>
                <w:rFonts w:hint="default" w:ascii="Times New Roman" w:hAnsi="Times New Roman" w:eastAsia="宋体" w:cs="Times New Roman"/>
                <w:color w:val="000000"/>
                <w:sz w:val="21"/>
                <w:szCs w:val="21"/>
                <w:highlight w:val="none"/>
                <w:lang w:val="en-US" w:eastAsia="zh-CN"/>
              </w:rPr>
              <w:t>四氯化碳</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0" w:type="dxa"/>
            <w:gridSpan w:val="4"/>
            <w:tcBorders>
              <w:tl2br w:val="nil"/>
              <w:tr2bl w:val="nil"/>
            </w:tcBorders>
            <w:vAlign w:val="center"/>
          </w:tcPr>
          <w:p w14:paraId="7FE84E63">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vAlign w:val="center"/>
          </w:tcPr>
          <w:p w14:paraId="226550E2">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r>
      <w:tr w14:paraId="07085F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2579" w:type="dxa"/>
            <w:gridSpan w:val="4"/>
            <w:tcBorders>
              <w:tl2br w:val="nil"/>
              <w:tr2bl w:val="nil"/>
            </w:tcBorders>
            <w:vAlign w:val="center"/>
          </w:tcPr>
          <w:p w14:paraId="21A4A95E">
            <w:pPr>
              <w:widowControl/>
              <w:jc w:val="center"/>
              <w:textAlignment w:val="center"/>
              <w:rPr>
                <w:rFonts w:hint="eastAsia"/>
                <w:highlight w:val="none"/>
                <w:lang w:val="en-US" w:eastAsia="zh-CN"/>
              </w:rPr>
            </w:pPr>
            <w:r>
              <w:rPr>
                <w:rFonts w:hint="default" w:ascii="Times New Roman" w:hAnsi="Times New Roman" w:eastAsia="宋体" w:cs="Times New Roman"/>
                <w:color w:val="000000"/>
                <w:sz w:val="21"/>
                <w:szCs w:val="21"/>
                <w:highlight w:val="none"/>
                <w:lang w:val="en-US" w:eastAsia="zh-CN"/>
              </w:rPr>
              <w:t>氯仿</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0" w:type="dxa"/>
            <w:gridSpan w:val="4"/>
            <w:tcBorders>
              <w:tl2br w:val="nil"/>
              <w:tr2bl w:val="nil"/>
            </w:tcBorders>
            <w:vAlign w:val="center"/>
          </w:tcPr>
          <w:p w14:paraId="076732BE">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vAlign w:val="center"/>
          </w:tcPr>
          <w:p w14:paraId="36431215">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r>
      <w:tr w14:paraId="540C40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2579" w:type="dxa"/>
            <w:gridSpan w:val="4"/>
            <w:tcBorders>
              <w:tl2br w:val="nil"/>
              <w:tr2bl w:val="nil"/>
            </w:tcBorders>
            <w:vAlign w:val="center"/>
          </w:tcPr>
          <w:p w14:paraId="393EEA13">
            <w:pPr>
              <w:widowControl/>
              <w:jc w:val="center"/>
              <w:textAlignment w:val="center"/>
              <w:rPr>
                <w:rFonts w:hint="eastAsia"/>
                <w:highlight w:val="none"/>
                <w:lang w:val="en-US" w:eastAsia="zh-CN"/>
              </w:rPr>
            </w:pPr>
            <w:r>
              <w:rPr>
                <w:rFonts w:hint="default" w:ascii="Times New Roman" w:hAnsi="Times New Roman" w:eastAsia="宋体" w:cs="Times New Roman"/>
                <w:color w:val="000000"/>
                <w:sz w:val="21"/>
                <w:szCs w:val="21"/>
                <w:highlight w:val="none"/>
                <w:lang w:val="en-US" w:eastAsia="zh-CN"/>
              </w:rPr>
              <w:t>氯甲烷</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0" w:type="dxa"/>
            <w:gridSpan w:val="4"/>
            <w:tcBorders>
              <w:tl2br w:val="nil"/>
              <w:tr2bl w:val="nil"/>
            </w:tcBorders>
            <w:vAlign w:val="center"/>
          </w:tcPr>
          <w:p w14:paraId="403336C3">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vAlign w:val="center"/>
          </w:tcPr>
          <w:p w14:paraId="38CC3BFD">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r>
      <w:tr w14:paraId="6DA3BA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2579" w:type="dxa"/>
            <w:gridSpan w:val="4"/>
            <w:tcBorders>
              <w:tl2br w:val="nil"/>
              <w:tr2bl w:val="nil"/>
            </w:tcBorders>
            <w:vAlign w:val="center"/>
          </w:tcPr>
          <w:p w14:paraId="6591FA2B">
            <w:pPr>
              <w:widowControl/>
              <w:jc w:val="center"/>
              <w:textAlignment w:val="center"/>
              <w:rPr>
                <w:rFonts w:hint="eastAsia"/>
                <w:highlight w:val="none"/>
                <w:lang w:val="en-US" w:eastAsia="zh-CN"/>
              </w:rPr>
            </w:pPr>
            <w:r>
              <w:rPr>
                <w:rFonts w:hint="default" w:ascii="Times New Roman" w:hAnsi="Times New Roman" w:eastAsia="宋体" w:cs="Times New Roman"/>
                <w:color w:val="000000"/>
                <w:sz w:val="21"/>
                <w:szCs w:val="21"/>
                <w:highlight w:val="none"/>
                <w:lang w:val="en-US" w:eastAsia="zh-CN"/>
              </w:rPr>
              <w:t>1,1-二氯乙烷</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0" w:type="dxa"/>
            <w:gridSpan w:val="4"/>
            <w:tcBorders>
              <w:tl2br w:val="nil"/>
              <w:tr2bl w:val="nil"/>
            </w:tcBorders>
            <w:vAlign w:val="center"/>
          </w:tcPr>
          <w:p w14:paraId="219D0D73">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vAlign w:val="center"/>
          </w:tcPr>
          <w:p w14:paraId="37636797">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r>
      <w:tr w14:paraId="37009E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2579" w:type="dxa"/>
            <w:gridSpan w:val="4"/>
            <w:tcBorders>
              <w:tl2br w:val="nil"/>
              <w:tr2bl w:val="nil"/>
            </w:tcBorders>
            <w:vAlign w:val="center"/>
          </w:tcPr>
          <w:p w14:paraId="0895F06A">
            <w:pPr>
              <w:widowControl/>
              <w:jc w:val="center"/>
              <w:textAlignment w:val="center"/>
              <w:rPr>
                <w:rFonts w:hint="eastAsia" w:hAnsi="Times New Roman"/>
                <w:sz w:val="21"/>
                <w:szCs w:val="21"/>
                <w:highlight w:val="none"/>
              </w:rPr>
            </w:pPr>
            <w:r>
              <w:rPr>
                <w:rFonts w:hint="default" w:ascii="Times New Roman" w:hAnsi="Times New Roman" w:eastAsia="宋体" w:cs="Times New Roman"/>
                <w:color w:val="000000"/>
                <w:sz w:val="21"/>
                <w:szCs w:val="21"/>
                <w:highlight w:val="none"/>
                <w:lang w:val="en-US" w:eastAsia="zh-CN"/>
              </w:rPr>
              <w:t>1,2-二氯乙烷</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0" w:type="dxa"/>
            <w:gridSpan w:val="4"/>
            <w:tcBorders>
              <w:tl2br w:val="nil"/>
              <w:tr2bl w:val="nil"/>
            </w:tcBorders>
            <w:vAlign w:val="center"/>
          </w:tcPr>
          <w:p w14:paraId="36F2F008">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vAlign w:val="center"/>
          </w:tcPr>
          <w:p w14:paraId="057D5A0E">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r>
      <w:tr w14:paraId="1C2540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2579" w:type="dxa"/>
            <w:gridSpan w:val="4"/>
            <w:tcBorders>
              <w:tl2br w:val="nil"/>
              <w:tr2bl w:val="nil"/>
            </w:tcBorders>
            <w:vAlign w:val="center"/>
          </w:tcPr>
          <w:p w14:paraId="71C82409">
            <w:pPr>
              <w:widowControl/>
              <w:jc w:val="center"/>
              <w:textAlignment w:val="center"/>
              <w:rPr>
                <w:rFonts w:hint="eastAsia" w:hAnsi="Times New Roman"/>
                <w:sz w:val="21"/>
                <w:szCs w:val="21"/>
                <w:highlight w:val="none"/>
              </w:rPr>
            </w:pPr>
            <w:r>
              <w:rPr>
                <w:rFonts w:hint="default" w:ascii="Times New Roman" w:hAnsi="Times New Roman" w:eastAsia="宋体" w:cs="Times New Roman"/>
                <w:color w:val="000000"/>
                <w:sz w:val="21"/>
                <w:szCs w:val="21"/>
                <w:highlight w:val="none"/>
                <w:lang w:val="en-US" w:eastAsia="zh-CN"/>
              </w:rPr>
              <w:t>1,1-二氯乙烯</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0" w:type="dxa"/>
            <w:gridSpan w:val="4"/>
            <w:tcBorders>
              <w:tl2br w:val="nil"/>
              <w:tr2bl w:val="nil"/>
            </w:tcBorders>
            <w:vAlign w:val="center"/>
          </w:tcPr>
          <w:p w14:paraId="7E613578">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vAlign w:val="center"/>
          </w:tcPr>
          <w:p w14:paraId="13802251">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r>
      <w:tr w14:paraId="37D8AD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2579" w:type="dxa"/>
            <w:gridSpan w:val="4"/>
            <w:tcBorders>
              <w:tl2br w:val="nil"/>
              <w:tr2bl w:val="nil"/>
            </w:tcBorders>
            <w:vAlign w:val="center"/>
          </w:tcPr>
          <w:p w14:paraId="32C4A2C8">
            <w:pPr>
              <w:widowControl/>
              <w:jc w:val="center"/>
              <w:textAlignment w:val="center"/>
              <w:rPr>
                <w:rFonts w:hint="eastAsia" w:hAnsi="Times New Roman"/>
                <w:sz w:val="21"/>
                <w:szCs w:val="21"/>
                <w:highlight w:val="none"/>
              </w:rPr>
            </w:pPr>
            <w:r>
              <w:rPr>
                <w:rFonts w:hint="default" w:ascii="Times New Roman" w:hAnsi="Times New Roman" w:eastAsia="宋体" w:cs="Times New Roman"/>
                <w:color w:val="000000"/>
                <w:sz w:val="21"/>
                <w:szCs w:val="21"/>
                <w:highlight w:val="none"/>
                <w:lang w:val="en-US" w:eastAsia="zh-CN"/>
              </w:rPr>
              <w:t>顺-1,2-二氯乙烯</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0" w:type="dxa"/>
            <w:gridSpan w:val="4"/>
            <w:tcBorders>
              <w:tl2br w:val="nil"/>
              <w:tr2bl w:val="nil"/>
            </w:tcBorders>
            <w:vAlign w:val="center"/>
          </w:tcPr>
          <w:p w14:paraId="32F5304B">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vAlign w:val="center"/>
          </w:tcPr>
          <w:p w14:paraId="2F1DEE10">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r>
      <w:tr w14:paraId="10C01F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2579" w:type="dxa"/>
            <w:gridSpan w:val="4"/>
            <w:tcBorders>
              <w:tl2br w:val="nil"/>
              <w:tr2bl w:val="nil"/>
            </w:tcBorders>
            <w:vAlign w:val="center"/>
          </w:tcPr>
          <w:p w14:paraId="2CFBB436">
            <w:pPr>
              <w:widowControl/>
              <w:jc w:val="center"/>
              <w:textAlignment w:val="center"/>
              <w:rPr>
                <w:rFonts w:hint="eastAsia" w:hAnsi="Times New Roman"/>
                <w:sz w:val="21"/>
                <w:szCs w:val="21"/>
                <w:highlight w:val="none"/>
              </w:rPr>
            </w:pPr>
            <w:r>
              <w:rPr>
                <w:rFonts w:hint="default" w:ascii="Times New Roman" w:hAnsi="Times New Roman" w:eastAsia="宋体" w:cs="Times New Roman"/>
                <w:color w:val="000000"/>
                <w:sz w:val="21"/>
                <w:szCs w:val="21"/>
                <w:highlight w:val="none"/>
                <w:lang w:val="en-US" w:eastAsia="zh-CN"/>
              </w:rPr>
              <w:t>反-1,2-二氯乙烯</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0" w:type="dxa"/>
            <w:gridSpan w:val="4"/>
            <w:tcBorders>
              <w:tl2br w:val="nil"/>
              <w:tr2bl w:val="nil"/>
            </w:tcBorders>
            <w:vAlign w:val="center"/>
          </w:tcPr>
          <w:p w14:paraId="1AD56A07">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vAlign w:val="center"/>
          </w:tcPr>
          <w:p w14:paraId="656D83CB">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r>
      <w:tr w14:paraId="598DEC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2579" w:type="dxa"/>
            <w:gridSpan w:val="4"/>
            <w:tcBorders>
              <w:tl2br w:val="nil"/>
              <w:tr2bl w:val="nil"/>
            </w:tcBorders>
            <w:vAlign w:val="center"/>
          </w:tcPr>
          <w:p w14:paraId="70D07F0B">
            <w:pPr>
              <w:widowControl/>
              <w:jc w:val="center"/>
              <w:textAlignment w:val="center"/>
              <w:rPr>
                <w:rFonts w:hint="eastAsia" w:hAnsi="Times New Roman"/>
                <w:sz w:val="21"/>
                <w:szCs w:val="21"/>
                <w:highlight w:val="none"/>
              </w:rPr>
            </w:pPr>
            <w:r>
              <w:rPr>
                <w:rFonts w:hint="default" w:ascii="Times New Roman" w:hAnsi="Times New Roman" w:eastAsia="宋体" w:cs="Times New Roman"/>
                <w:color w:val="000000"/>
                <w:sz w:val="21"/>
                <w:szCs w:val="21"/>
                <w:highlight w:val="none"/>
                <w:lang w:val="en-US" w:eastAsia="zh-CN"/>
              </w:rPr>
              <w:t>二氯甲烷</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0" w:type="dxa"/>
            <w:gridSpan w:val="4"/>
            <w:tcBorders>
              <w:tl2br w:val="nil"/>
              <w:tr2bl w:val="nil"/>
            </w:tcBorders>
            <w:vAlign w:val="center"/>
          </w:tcPr>
          <w:p w14:paraId="11505D7E">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vAlign w:val="center"/>
          </w:tcPr>
          <w:p w14:paraId="35B38C76">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r>
      <w:tr w14:paraId="1F97E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2579" w:type="dxa"/>
            <w:gridSpan w:val="4"/>
            <w:tcBorders>
              <w:tl2br w:val="nil"/>
              <w:tr2bl w:val="nil"/>
            </w:tcBorders>
            <w:vAlign w:val="center"/>
          </w:tcPr>
          <w:p w14:paraId="4B960BEF">
            <w:pPr>
              <w:widowControl/>
              <w:jc w:val="center"/>
              <w:textAlignment w:val="center"/>
              <w:rPr>
                <w:rFonts w:hint="eastAsia"/>
                <w:highlight w:val="none"/>
                <w:lang w:val="en-US" w:eastAsia="zh-CN"/>
              </w:rPr>
            </w:pPr>
            <w:r>
              <w:rPr>
                <w:rFonts w:hint="default" w:ascii="Times New Roman" w:hAnsi="Times New Roman" w:eastAsia="宋体" w:cs="Times New Roman"/>
                <w:color w:val="000000"/>
                <w:sz w:val="21"/>
                <w:szCs w:val="21"/>
                <w:highlight w:val="none"/>
                <w:lang w:val="en-US" w:eastAsia="zh-CN"/>
              </w:rPr>
              <w:t>1,2-二氯丙烷</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0" w:type="dxa"/>
            <w:gridSpan w:val="4"/>
            <w:tcBorders>
              <w:tl2br w:val="nil"/>
              <w:tr2bl w:val="nil"/>
            </w:tcBorders>
            <w:vAlign w:val="center"/>
          </w:tcPr>
          <w:p w14:paraId="261EB0B9">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vAlign w:val="center"/>
          </w:tcPr>
          <w:p w14:paraId="55ADEAB7">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ND</w:t>
            </w:r>
          </w:p>
        </w:tc>
      </w:tr>
      <w:tr w14:paraId="07FBB5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2579" w:type="dxa"/>
            <w:gridSpan w:val="4"/>
            <w:tcBorders>
              <w:tl2br w:val="nil"/>
              <w:tr2bl w:val="nil"/>
            </w:tcBorders>
            <w:shd w:val="clear" w:color="auto" w:fill="auto"/>
            <w:vAlign w:val="center"/>
          </w:tcPr>
          <w:p w14:paraId="4C93AA9F">
            <w:pPr>
              <w:widowControl/>
              <w:jc w:val="center"/>
              <w:textAlignment w:val="center"/>
              <w:rPr>
                <w:rFonts w:hint="default" w:asciiTheme="minorHAnsi" w:hAnsiTheme="minorHAnsi" w:eastAsiaTheme="minorEastAsia" w:cstheme="minorBidi"/>
                <w:kern w:val="2"/>
                <w:sz w:val="21"/>
                <w:szCs w:val="24"/>
                <w:highlight w:val="none"/>
                <w:lang w:val="en-US" w:eastAsia="zh-CN" w:bidi="ar-SA"/>
              </w:rPr>
            </w:pPr>
            <w:r>
              <w:rPr>
                <w:rFonts w:hint="default" w:ascii="Times New Roman" w:hAnsi="Times New Roman" w:eastAsia="宋体" w:cs="Times New Roman"/>
                <w:color w:val="000000"/>
                <w:sz w:val="21"/>
                <w:szCs w:val="21"/>
                <w:highlight w:val="none"/>
                <w:lang w:val="en-US" w:eastAsia="zh-CN"/>
              </w:rPr>
              <w:t>1,1,1,2-四氯乙烷</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0" w:type="dxa"/>
            <w:gridSpan w:val="4"/>
            <w:tcBorders>
              <w:tl2br w:val="nil"/>
              <w:tr2bl w:val="nil"/>
            </w:tcBorders>
            <w:shd w:val="clear" w:color="auto" w:fill="auto"/>
            <w:vAlign w:val="center"/>
          </w:tcPr>
          <w:p w14:paraId="4241101D">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1F808F36">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399120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2579" w:type="dxa"/>
            <w:gridSpan w:val="4"/>
            <w:tcBorders>
              <w:tl2br w:val="nil"/>
              <w:tr2bl w:val="nil"/>
            </w:tcBorders>
            <w:shd w:val="clear" w:color="auto" w:fill="auto"/>
            <w:vAlign w:val="center"/>
          </w:tcPr>
          <w:p w14:paraId="7C2496AB">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1,1,2,2-四氯乙烷</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0" w:type="dxa"/>
            <w:gridSpan w:val="4"/>
            <w:tcBorders>
              <w:tl2br w:val="nil"/>
              <w:tr2bl w:val="nil"/>
            </w:tcBorders>
            <w:shd w:val="clear" w:color="auto" w:fill="auto"/>
            <w:vAlign w:val="center"/>
          </w:tcPr>
          <w:p w14:paraId="62897220">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2B6D17AC">
            <w:pPr>
              <w:jc w:val="center"/>
              <w:rPr>
                <w:rFonts w:hint="eastAsia" w:ascii="Times New Roman" w:hAnsi="Times New Roman" w:cs="Times New Roman" w:eastAsiaTheme="minorEastAsia"/>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lang w:val="en-US" w:eastAsia="zh-CN"/>
              </w:rPr>
              <w:t>ND</w:t>
            </w:r>
          </w:p>
        </w:tc>
      </w:tr>
      <w:tr w14:paraId="1F7B0F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2579" w:type="dxa"/>
            <w:gridSpan w:val="4"/>
            <w:tcBorders>
              <w:tl2br w:val="nil"/>
              <w:tr2bl w:val="nil"/>
            </w:tcBorders>
            <w:shd w:val="clear" w:color="auto" w:fill="auto"/>
            <w:vAlign w:val="center"/>
          </w:tcPr>
          <w:p w14:paraId="56995225">
            <w:pPr>
              <w:widowControl/>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四氯乙烯</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0" w:type="dxa"/>
            <w:gridSpan w:val="4"/>
            <w:tcBorders>
              <w:tl2br w:val="nil"/>
              <w:tr2bl w:val="nil"/>
            </w:tcBorders>
            <w:shd w:val="clear" w:color="auto" w:fill="auto"/>
            <w:vAlign w:val="center"/>
          </w:tcPr>
          <w:p w14:paraId="06DB084E">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25E31C06">
            <w:pPr>
              <w:jc w:val="center"/>
              <w:rPr>
                <w:rFonts w:hint="eastAsia" w:ascii="Times New Roman" w:hAnsi="Times New Roman" w:cs="Times New Roman" w:eastAsiaTheme="minorEastAsia"/>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lang w:val="en-US" w:eastAsia="zh-CN"/>
              </w:rPr>
              <w:t>ND</w:t>
            </w:r>
          </w:p>
        </w:tc>
      </w:tr>
      <w:tr w14:paraId="249C31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2579" w:type="dxa"/>
            <w:gridSpan w:val="4"/>
            <w:tcBorders>
              <w:tl2br w:val="nil"/>
              <w:tr2bl w:val="nil"/>
            </w:tcBorders>
            <w:shd w:val="clear" w:color="auto" w:fill="auto"/>
            <w:vAlign w:val="center"/>
          </w:tcPr>
          <w:p w14:paraId="3B039A38">
            <w:pPr>
              <w:widowControl/>
              <w:jc w:val="center"/>
              <w:textAlignment w:val="center"/>
              <w:rPr>
                <w:rFonts w:hint="default" w:asciiTheme="minorHAnsi" w:hAnsiTheme="minorHAnsi" w:eastAsiaTheme="minorEastAsia" w:cstheme="minorBidi"/>
                <w:kern w:val="2"/>
                <w:sz w:val="21"/>
                <w:szCs w:val="24"/>
                <w:highlight w:val="none"/>
                <w:lang w:val="en-US" w:eastAsia="zh-CN" w:bidi="ar-SA"/>
              </w:rPr>
            </w:pPr>
            <w:r>
              <w:rPr>
                <w:rFonts w:hint="default" w:ascii="Times New Roman" w:hAnsi="Times New Roman" w:eastAsia="宋体" w:cs="Times New Roman"/>
                <w:color w:val="000000"/>
                <w:sz w:val="21"/>
                <w:szCs w:val="21"/>
                <w:highlight w:val="none"/>
                <w:lang w:val="en-US" w:eastAsia="zh-CN"/>
              </w:rPr>
              <w:t>1,1,1-三氯乙烷</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0" w:type="dxa"/>
            <w:gridSpan w:val="4"/>
            <w:tcBorders>
              <w:tl2br w:val="nil"/>
              <w:tr2bl w:val="nil"/>
            </w:tcBorders>
            <w:shd w:val="clear" w:color="auto" w:fill="auto"/>
            <w:vAlign w:val="center"/>
          </w:tcPr>
          <w:p w14:paraId="6229787C">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651BF331">
            <w:pPr>
              <w:jc w:val="center"/>
              <w:rPr>
                <w:rFonts w:hint="eastAsia" w:ascii="Times New Roman" w:hAnsi="Times New Roman" w:cs="Times New Roman" w:eastAsiaTheme="minorEastAsia"/>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lang w:val="en-US" w:eastAsia="zh-CN"/>
              </w:rPr>
              <w:t>ND</w:t>
            </w:r>
          </w:p>
        </w:tc>
      </w:tr>
      <w:tr w14:paraId="7D8994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2570" w:type="dxa"/>
            <w:gridSpan w:val="3"/>
            <w:tcBorders>
              <w:tl2br w:val="nil"/>
              <w:tr2bl w:val="nil"/>
            </w:tcBorders>
            <w:shd w:val="clear" w:color="auto" w:fill="auto"/>
            <w:vAlign w:val="center"/>
          </w:tcPr>
          <w:p w14:paraId="0A13ABE5">
            <w:pPr>
              <w:widowControl/>
              <w:jc w:val="center"/>
              <w:textAlignment w:val="center"/>
              <w:rPr>
                <w:rFonts w:hint="eastAsia" w:asciiTheme="minorHAnsi" w:hAnsiTheme="minorHAnsi" w:eastAsiaTheme="minorEastAsia" w:cstheme="minorBidi"/>
                <w:kern w:val="2"/>
                <w:sz w:val="21"/>
                <w:szCs w:val="24"/>
                <w:highlight w:val="none"/>
                <w:lang w:val="en-US" w:eastAsia="zh-CN" w:bidi="ar-SA"/>
              </w:rPr>
            </w:pPr>
            <w:r>
              <w:rPr>
                <w:rFonts w:hint="default" w:ascii="Times New Roman" w:hAnsi="Times New Roman" w:eastAsia="宋体" w:cs="Times New Roman"/>
                <w:color w:val="000000"/>
                <w:sz w:val="21"/>
                <w:szCs w:val="21"/>
                <w:highlight w:val="none"/>
                <w:lang w:val="en-US" w:eastAsia="zh-CN"/>
              </w:rPr>
              <w:t>1,1,2-三氯乙烷</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9" w:type="dxa"/>
            <w:gridSpan w:val="5"/>
            <w:tcBorders>
              <w:tl2br w:val="nil"/>
              <w:tr2bl w:val="nil"/>
            </w:tcBorders>
            <w:shd w:val="clear" w:color="auto" w:fill="auto"/>
            <w:vAlign w:val="center"/>
          </w:tcPr>
          <w:p w14:paraId="249A743F">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46E41D2E">
            <w:pPr>
              <w:jc w:val="center"/>
              <w:rPr>
                <w:rFonts w:hint="eastAsia" w:ascii="Times New Roman" w:hAnsi="Times New Roman" w:cs="Times New Roman" w:eastAsiaTheme="minorEastAsia"/>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lang w:val="en-US" w:eastAsia="zh-CN"/>
              </w:rPr>
              <w:t>ND</w:t>
            </w:r>
          </w:p>
        </w:tc>
      </w:tr>
      <w:tr w14:paraId="2EA876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57399A80">
            <w:pPr>
              <w:widowControl/>
              <w:jc w:val="center"/>
              <w:textAlignment w:val="center"/>
              <w:rPr>
                <w:rFonts w:hint="eastAsia" w:asciiTheme="minorHAnsi" w:hAnsiTheme="minorHAnsi" w:eastAsiaTheme="minorEastAsia" w:cstheme="minorBidi"/>
                <w:kern w:val="2"/>
                <w:sz w:val="21"/>
                <w:szCs w:val="24"/>
                <w:highlight w:val="none"/>
                <w:lang w:val="en-US" w:eastAsia="zh-CN" w:bidi="ar-SA"/>
              </w:rPr>
            </w:pPr>
            <w:r>
              <w:rPr>
                <w:rFonts w:hint="default" w:ascii="Times New Roman" w:hAnsi="Times New Roman" w:eastAsia="宋体" w:cs="Times New Roman"/>
                <w:color w:val="000000"/>
                <w:sz w:val="21"/>
                <w:szCs w:val="21"/>
                <w:highlight w:val="none"/>
                <w:lang w:val="en-US" w:eastAsia="zh-CN"/>
              </w:rPr>
              <w:t>三氯乙烯</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9" w:type="dxa"/>
            <w:gridSpan w:val="5"/>
            <w:tcBorders>
              <w:tl2br w:val="nil"/>
              <w:tr2bl w:val="nil"/>
            </w:tcBorders>
            <w:shd w:val="clear" w:color="auto" w:fill="auto"/>
            <w:vAlign w:val="center"/>
          </w:tcPr>
          <w:p w14:paraId="6DF6BCBE">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67857AFB">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2E36F1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6A8C2A51">
            <w:pPr>
              <w:widowControl/>
              <w:jc w:val="center"/>
              <w:textAlignment w:val="center"/>
              <w:rPr>
                <w:rFonts w:hint="eastAsia" w:asciiTheme="minorHAnsi" w:hAnsiTheme="minorHAnsi" w:eastAsiaTheme="minorEastAsia" w:cstheme="minorBidi"/>
                <w:kern w:val="2"/>
                <w:sz w:val="21"/>
                <w:szCs w:val="24"/>
                <w:highlight w:val="none"/>
                <w:lang w:val="en-US" w:eastAsia="zh-CN" w:bidi="ar-SA"/>
              </w:rPr>
            </w:pPr>
            <w:r>
              <w:rPr>
                <w:rFonts w:hint="default" w:ascii="Times New Roman" w:hAnsi="Times New Roman" w:eastAsia="宋体" w:cs="Times New Roman"/>
                <w:color w:val="000000"/>
                <w:sz w:val="21"/>
                <w:szCs w:val="21"/>
                <w:highlight w:val="none"/>
                <w:lang w:val="en-US" w:eastAsia="zh-CN"/>
              </w:rPr>
              <w:t>1,2,3-三氯丙烷</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9" w:type="dxa"/>
            <w:gridSpan w:val="5"/>
            <w:tcBorders>
              <w:tl2br w:val="nil"/>
              <w:tr2bl w:val="nil"/>
            </w:tcBorders>
            <w:shd w:val="clear" w:color="auto" w:fill="auto"/>
            <w:vAlign w:val="center"/>
          </w:tcPr>
          <w:p w14:paraId="2FC38CE1">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577AF91E">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4CB1FC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574BB732">
            <w:pPr>
              <w:widowControl/>
              <w:jc w:val="center"/>
              <w:textAlignment w:val="center"/>
              <w:rPr>
                <w:rFonts w:hint="eastAsia" w:asciiTheme="minorHAnsi" w:hAnsiTheme="minorHAnsi" w:eastAsiaTheme="minorEastAsia" w:cstheme="minorBidi"/>
                <w:kern w:val="2"/>
                <w:sz w:val="21"/>
                <w:szCs w:val="24"/>
                <w:highlight w:val="none"/>
                <w:lang w:val="en-US" w:eastAsia="zh-CN" w:bidi="ar-SA"/>
              </w:rPr>
            </w:pPr>
            <w:r>
              <w:rPr>
                <w:rFonts w:hint="default" w:ascii="Times New Roman" w:hAnsi="Times New Roman" w:eastAsia="宋体" w:cs="Times New Roman"/>
                <w:color w:val="000000"/>
                <w:sz w:val="21"/>
                <w:szCs w:val="21"/>
                <w:highlight w:val="none"/>
                <w:lang w:val="en-US" w:eastAsia="zh-CN"/>
              </w:rPr>
              <w:t>氯乙烯</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9" w:type="dxa"/>
            <w:gridSpan w:val="5"/>
            <w:tcBorders>
              <w:tl2br w:val="nil"/>
              <w:tr2bl w:val="nil"/>
            </w:tcBorders>
            <w:shd w:val="clear" w:color="auto" w:fill="auto"/>
            <w:vAlign w:val="center"/>
          </w:tcPr>
          <w:p w14:paraId="13C2762D">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3F9F950C">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3C2CE2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2B4D5FFA">
            <w:pPr>
              <w:widowControl/>
              <w:jc w:val="center"/>
              <w:textAlignment w:val="center"/>
              <w:rPr>
                <w:rFonts w:hint="eastAsia" w:asciiTheme="minorHAnsi" w:hAnsiTheme="minorHAnsi" w:eastAsiaTheme="minorEastAsia" w:cstheme="minorBidi"/>
                <w:kern w:val="2"/>
                <w:sz w:val="21"/>
                <w:szCs w:val="24"/>
                <w:highlight w:val="none"/>
                <w:lang w:val="en-US" w:eastAsia="zh-CN" w:bidi="ar-SA"/>
              </w:rPr>
            </w:pPr>
            <w:r>
              <w:rPr>
                <w:rFonts w:hint="default" w:ascii="Times New Roman" w:hAnsi="Times New Roman" w:eastAsia="宋体" w:cs="Times New Roman"/>
                <w:color w:val="000000"/>
                <w:sz w:val="21"/>
                <w:szCs w:val="21"/>
                <w:highlight w:val="none"/>
                <w:lang w:val="en-US" w:eastAsia="zh-CN"/>
              </w:rPr>
              <w:t>苯</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9" w:type="dxa"/>
            <w:gridSpan w:val="5"/>
            <w:tcBorders>
              <w:tl2br w:val="nil"/>
              <w:tr2bl w:val="nil"/>
            </w:tcBorders>
            <w:shd w:val="clear" w:color="auto" w:fill="auto"/>
            <w:vAlign w:val="center"/>
          </w:tcPr>
          <w:p w14:paraId="7F34A04C">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029A0DA5">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07F892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4B4279CD">
            <w:pPr>
              <w:widowControl/>
              <w:jc w:val="center"/>
              <w:textAlignment w:val="center"/>
              <w:rPr>
                <w:rFonts w:hint="eastAsia" w:asciiTheme="minorHAnsi" w:hAnsiTheme="minorHAnsi" w:eastAsiaTheme="minorEastAsia" w:cstheme="minorBidi"/>
                <w:kern w:val="2"/>
                <w:sz w:val="21"/>
                <w:szCs w:val="24"/>
                <w:highlight w:val="none"/>
                <w:lang w:val="en-US" w:eastAsia="zh-CN" w:bidi="ar-SA"/>
              </w:rPr>
            </w:pPr>
            <w:r>
              <w:rPr>
                <w:rFonts w:hint="default" w:ascii="Times New Roman" w:hAnsi="Times New Roman" w:eastAsia="宋体" w:cs="Times New Roman"/>
                <w:color w:val="000000"/>
                <w:sz w:val="21"/>
                <w:szCs w:val="21"/>
                <w:highlight w:val="none"/>
                <w:lang w:val="en-US" w:eastAsia="zh-CN"/>
              </w:rPr>
              <w:t>氯苯</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9" w:type="dxa"/>
            <w:gridSpan w:val="5"/>
            <w:tcBorders>
              <w:tl2br w:val="nil"/>
              <w:tr2bl w:val="nil"/>
            </w:tcBorders>
            <w:shd w:val="clear" w:color="auto" w:fill="auto"/>
            <w:vAlign w:val="center"/>
          </w:tcPr>
          <w:p w14:paraId="638910DF">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5B41787B">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1313E7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52F627FC">
            <w:pPr>
              <w:widowControl/>
              <w:jc w:val="center"/>
              <w:textAlignment w:val="center"/>
              <w:rPr>
                <w:rFonts w:hint="eastAsia" w:asciiTheme="minorHAnsi" w:hAnsiTheme="minorHAnsi" w:eastAsiaTheme="minorEastAsia" w:cstheme="minorBidi"/>
                <w:kern w:val="2"/>
                <w:sz w:val="21"/>
                <w:szCs w:val="24"/>
                <w:highlight w:val="none"/>
                <w:lang w:val="en-US" w:eastAsia="zh-CN" w:bidi="ar-SA"/>
              </w:rPr>
            </w:pPr>
            <w:r>
              <w:rPr>
                <w:rFonts w:hint="default" w:ascii="Times New Roman" w:hAnsi="Times New Roman" w:eastAsia="宋体" w:cs="Times New Roman"/>
                <w:color w:val="000000"/>
                <w:sz w:val="21"/>
                <w:szCs w:val="21"/>
                <w:highlight w:val="none"/>
                <w:lang w:val="en-US" w:eastAsia="zh-CN"/>
              </w:rPr>
              <w:t>1,2-二氯苯</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9" w:type="dxa"/>
            <w:gridSpan w:val="5"/>
            <w:tcBorders>
              <w:tl2br w:val="nil"/>
              <w:tr2bl w:val="nil"/>
            </w:tcBorders>
            <w:shd w:val="clear" w:color="auto" w:fill="auto"/>
            <w:vAlign w:val="center"/>
          </w:tcPr>
          <w:p w14:paraId="5E194E2A">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469002CA">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57BFA8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19539A3F">
            <w:pPr>
              <w:widowControl/>
              <w:jc w:val="center"/>
              <w:textAlignment w:val="center"/>
              <w:rPr>
                <w:rFonts w:hint="eastAsia" w:asciiTheme="minorHAnsi" w:hAnsiTheme="minorHAnsi" w:eastAsiaTheme="minorEastAsia" w:cstheme="minorBidi"/>
                <w:kern w:val="2"/>
                <w:sz w:val="21"/>
                <w:szCs w:val="24"/>
                <w:highlight w:val="none"/>
                <w:lang w:val="en-US" w:eastAsia="zh-CN" w:bidi="ar-SA"/>
              </w:rPr>
            </w:pPr>
            <w:r>
              <w:rPr>
                <w:rFonts w:hint="default" w:ascii="Times New Roman" w:hAnsi="Times New Roman" w:eastAsia="宋体" w:cs="Times New Roman"/>
                <w:color w:val="000000"/>
                <w:sz w:val="21"/>
                <w:szCs w:val="21"/>
                <w:highlight w:val="none"/>
                <w:lang w:val="en-US" w:eastAsia="zh-CN"/>
              </w:rPr>
              <w:t>1,4-二氯苯</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9" w:type="dxa"/>
            <w:gridSpan w:val="5"/>
            <w:tcBorders>
              <w:tl2br w:val="nil"/>
              <w:tr2bl w:val="nil"/>
            </w:tcBorders>
            <w:shd w:val="clear" w:color="auto" w:fill="auto"/>
            <w:vAlign w:val="center"/>
          </w:tcPr>
          <w:p w14:paraId="31FE7520">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592B1EC8">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5CE79A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602677E9">
            <w:pPr>
              <w:widowControl/>
              <w:jc w:val="center"/>
              <w:textAlignment w:val="center"/>
              <w:rPr>
                <w:rFonts w:hint="eastAsia" w:asciiTheme="minorHAnsi" w:hAnsiTheme="minorHAnsi" w:eastAsiaTheme="minorEastAsia" w:cstheme="minorBidi"/>
                <w:kern w:val="2"/>
                <w:sz w:val="21"/>
                <w:szCs w:val="24"/>
                <w:highlight w:val="none"/>
                <w:lang w:val="en-US" w:eastAsia="zh-CN" w:bidi="ar-SA"/>
              </w:rPr>
            </w:pPr>
            <w:r>
              <w:rPr>
                <w:rFonts w:hint="default" w:ascii="Times New Roman" w:hAnsi="Times New Roman" w:eastAsia="宋体" w:cs="Times New Roman"/>
                <w:color w:val="000000"/>
                <w:sz w:val="21"/>
                <w:szCs w:val="21"/>
                <w:highlight w:val="none"/>
                <w:lang w:val="en-US" w:eastAsia="zh-CN"/>
              </w:rPr>
              <w:t>乙苯</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9" w:type="dxa"/>
            <w:gridSpan w:val="5"/>
            <w:tcBorders>
              <w:tl2br w:val="nil"/>
              <w:tr2bl w:val="nil"/>
            </w:tcBorders>
            <w:shd w:val="clear" w:color="auto" w:fill="auto"/>
            <w:vAlign w:val="center"/>
          </w:tcPr>
          <w:p w14:paraId="0ADB6CFD">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1861F2A6">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28169F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0BABF652">
            <w:pPr>
              <w:widowControl/>
              <w:jc w:val="center"/>
              <w:textAlignment w:val="center"/>
              <w:rPr>
                <w:rFonts w:hint="eastAsia" w:hAnsi="Times New Roman" w:asciiTheme="minorHAnsi" w:eastAsiaTheme="minorEastAsia" w:cstheme="minorBidi"/>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苯乙烯</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9" w:type="dxa"/>
            <w:gridSpan w:val="5"/>
            <w:tcBorders>
              <w:tl2br w:val="nil"/>
              <w:tr2bl w:val="nil"/>
            </w:tcBorders>
            <w:shd w:val="clear" w:color="auto" w:fill="auto"/>
            <w:vAlign w:val="center"/>
          </w:tcPr>
          <w:p w14:paraId="1FAB84A4">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15DB4CE7">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61B6C9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3C3127D0">
            <w:pPr>
              <w:widowControl/>
              <w:jc w:val="center"/>
              <w:textAlignment w:val="center"/>
              <w:rPr>
                <w:rFonts w:hint="eastAsia" w:hAnsi="Times New Roman" w:asciiTheme="minorHAnsi" w:eastAsiaTheme="minorEastAsia" w:cstheme="minorBidi"/>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甲苯</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9" w:type="dxa"/>
            <w:gridSpan w:val="5"/>
            <w:tcBorders>
              <w:tl2br w:val="nil"/>
              <w:tr2bl w:val="nil"/>
            </w:tcBorders>
            <w:shd w:val="clear" w:color="auto" w:fill="auto"/>
            <w:vAlign w:val="center"/>
          </w:tcPr>
          <w:p w14:paraId="502B5C15">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4F4A465E">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4BE369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3" w:hRule="atLeast"/>
        </w:trPr>
        <w:tc>
          <w:tcPr>
            <w:tcW w:w="2570" w:type="dxa"/>
            <w:gridSpan w:val="3"/>
            <w:tcBorders>
              <w:tl2br w:val="nil"/>
              <w:tr2bl w:val="nil"/>
            </w:tcBorders>
            <w:shd w:val="clear" w:color="auto" w:fill="auto"/>
            <w:vAlign w:val="center"/>
          </w:tcPr>
          <w:p w14:paraId="1D9BB854">
            <w:pPr>
              <w:widowControl/>
              <w:jc w:val="center"/>
              <w:textAlignment w:val="center"/>
              <w:rPr>
                <w:rFonts w:hint="eastAsia" w:hAnsi="Times New Roman" w:asciiTheme="minorHAnsi" w:eastAsiaTheme="minorEastAsia" w:cstheme="minorBidi"/>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间-二甲苯+对-二甲苯</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9" w:type="dxa"/>
            <w:gridSpan w:val="5"/>
            <w:tcBorders>
              <w:tl2br w:val="nil"/>
              <w:tr2bl w:val="nil"/>
            </w:tcBorders>
            <w:shd w:val="clear" w:color="auto" w:fill="auto"/>
            <w:vAlign w:val="center"/>
          </w:tcPr>
          <w:p w14:paraId="4EEA494C">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06168EC0">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62F8FD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45FF4642">
            <w:pPr>
              <w:widowControl/>
              <w:jc w:val="center"/>
              <w:textAlignment w:val="center"/>
              <w:rPr>
                <w:rFonts w:hint="eastAsia" w:hAnsi="Times New Roman" w:asciiTheme="minorHAnsi" w:eastAsiaTheme="minorEastAsia" w:cstheme="minorBidi"/>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邻-二甲苯</w:t>
            </w:r>
            <w:r>
              <w:rPr>
                <w:rFonts w:hint="eastAsia" w:ascii="Times New Roman" w:hAnsi="Times New Roman" w:eastAsia="宋体" w:cs="Times New Roman"/>
                <w:color w:val="000000"/>
                <w:sz w:val="21"/>
                <w:szCs w:val="21"/>
                <w:highlight w:val="none"/>
                <w:lang w:val="en-US" w:eastAsia="zh-CN"/>
              </w:rPr>
              <w:t>（</w:t>
            </w:r>
            <w:r>
              <w:rPr>
                <w:rFonts w:ascii="Times New Roman" w:hAnsi="Times New Roman" w:cs="Times New Roman"/>
                <w:szCs w:val="21"/>
                <w:highlight w:val="none"/>
              </w:rPr>
              <w:t>µ</w:t>
            </w:r>
            <w:r>
              <w:rPr>
                <w:rFonts w:hint="eastAsia" w:ascii="Times New Roman" w:hAnsi="Times New Roman" w:eastAsia="宋体" w:cs="Times New Roman"/>
                <w:color w:val="000000"/>
                <w:sz w:val="21"/>
                <w:szCs w:val="21"/>
                <w:highlight w:val="none"/>
                <w:lang w:val="en-US" w:eastAsia="zh-CN"/>
              </w:rPr>
              <w:t>g/kg）</w:t>
            </w:r>
          </w:p>
        </w:tc>
        <w:tc>
          <w:tcPr>
            <w:tcW w:w="3189" w:type="dxa"/>
            <w:gridSpan w:val="5"/>
            <w:tcBorders>
              <w:tl2br w:val="nil"/>
              <w:tr2bl w:val="nil"/>
            </w:tcBorders>
            <w:shd w:val="clear" w:color="auto" w:fill="auto"/>
            <w:vAlign w:val="center"/>
          </w:tcPr>
          <w:p w14:paraId="1B0D9F90">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6F42700D">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672862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0871D292">
            <w:pPr>
              <w:widowControl/>
              <w:jc w:val="center"/>
              <w:textAlignment w:val="center"/>
              <w:rPr>
                <w:rFonts w:hint="eastAsia" w:hAnsi="Times New Roman" w:asciiTheme="minorHAnsi" w:eastAsiaTheme="minorEastAsia" w:cstheme="minorBidi"/>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硝基苯</w:t>
            </w:r>
            <w:r>
              <w:rPr>
                <w:rFonts w:hint="eastAsia" w:ascii="Times New Roman" w:hAnsi="Times New Roman" w:eastAsia="宋体" w:cs="Times New Roman"/>
                <w:color w:val="000000"/>
                <w:sz w:val="21"/>
                <w:szCs w:val="21"/>
                <w:highlight w:val="none"/>
                <w:lang w:val="en-US" w:eastAsia="zh-CN"/>
              </w:rPr>
              <w:t>（mg/kg）</w:t>
            </w:r>
          </w:p>
        </w:tc>
        <w:tc>
          <w:tcPr>
            <w:tcW w:w="3189" w:type="dxa"/>
            <w:gridSpan w:val="5"/>
            <w:tcBorders>
              <w:tl2br w:val="nil"/>
              <w:tr2bl w:val="nil"/>
            </w:tcBorders>
            <w:shd w:val="clear" w:color="auto" w:fill="auto"/>
            <w:vAlign w:val="center"/>
          </w:tcPr>
          <w:p w14:paraId="79F34A13">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355E8DE1">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76CD7C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5F1F0D0C">
            <w:pPr>
              <w:widowControl/>
              <w:jc w:val="center"/>
              <w:textAlignment w:val="center"/>
              <w:rPr>
                <w:rFonts w:hint="eastAsia" w:asciiTheme="minorHAnsi" w:hAnsiTheme="minorHAnsi" w:eastAsiaTheme="minorEastAsia" w:cstheme="minorBidi"/>
                <w:kern w:val="2"/>
                <w:sz w:val="21"/>
                <w:szCs w:val="24"/>
                <w:highlight w:val="none"/>
                <w:lang w:val="en-US" w:eastAsia="zh-CN" w:bidi="ar-SA"/>
              </w:rPr>
            </w:pPr>
            <w:r>
              <w:rPr>
                <w:rFonts w:hint="default" w:ascii="Times New Roman" w:hAnsi="Times New Roman" w:eastAsia="宋体" w:cs="Times New Roman"/>
                <w:color w:val="000000"/>
                <w:sz w:val="21"/>
                <w:szCs w:val="21"/>
                <w:highlight w:val="none"/>
                <w:lang w:val="en-US" w:eastAsia="zh-CN"/>
              </w:rPr>
              <w:t>苯胺</w:t>
            </w:r>
            <w:r>
              <w:rPr>
                <w:rFonts w:hint="eastAsia" w:ascii="Times New Roman" w:hAnsi="Times New Roman" w:eastAsia="宋体" w:cs="Times New Roman"/>
                <w:color w:val="000000"/>
                <w:sz w:val="21"/>
                <w:szCs w:val="21"/>
                <w:highlight w:val="none"/>
                <w:lang w:val="en-US" w:eastAsia="zh-CN"/>
              </w:rPr>
              <w:t>（mg/kg）</w:t>
            </w:r>
          </w:p>
        </w:tc>
        <w:tc>
          <w:tcPr>
            <w:tcW w:w="3189" w:type="dxa"/>
            <w:gridSpan w:val="5"/>
            <w:tcBorders>
              <w:tl2br w:val="nil"/>
              <w:tr2bl w:val="nil"/>
            </w:tcBorders>
            <w:shd w:val="clear" w:color="auto" w:fill="auto"/>
            <w:vAlign w:val="center"/>
          </w:tcPr>
          <w:p w14:paraId="28CAA077">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41009837">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116A68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5FE1E7AC">
            <w:pPr>
              <w:widowControl/>
              <w:jc w:val="center"/>
              <w:textAlignment w:val="center"/>
              <w:rPr>
                <w:rFonts w:hint="default" w:asciiTheme="minorHAnsi" w:hAnsiTheme="minorHAnsi" w:eastAsiaTheme="minorEastAsia" w:cstheme="minorBidi"/>
                <w:kern w:val="2"/>
                <w:sz w:val="21"/>
                <w:szCs w:val="24"/>
                <w:highlight w:val="none"/>
                <w:lang w:val="en-US" w:eastAsia="zh-CN" w:bidi="ar-SA"/>
              </w:rPr>
            </w:pPr>
            <w:r>
              <w:rPr>
                <w:rFonts w:hint="default" w:ascii="Times New Roman" w:hAnsi="Times New Roman" w:eastAsia="宋体" w:cs="Times New Roman"/>
                <w:color w:val="000000"/>
                <w:sz w:val="21"/>
                <w:szCs w:val="21"/>
                <w:highlight w:val="none"/>
                <w:lang w:val="en-US" w:eastAsia="zh-CN"/>
              </w:rPr>
              <w:t>2-氯酚</w:t>
            </w:r>
            <w:r>
              <w:rPr>
                <w:rFonts w:hint="eastAsia" w:ascii="Times New Roman" w:hAnsi="Times New Roman" w:eastAsia="宋体" w:cs="Times New Roman"/>
                <w:color w:val="000000"/>
                <w:sz w:val="21"/>
                <w:szCs w:val="21"/>
                <w:highlight w:val="none"/>
                <w:lang w:val="en-US" w:eastAsia="zh-CN"/>
              </w:rPr>
              <w:t>（mg/kg）</w:t>
            </w:r>
          </w:p>
        </w:tc>
        <w:tc>
          <w:tcPr>
            <w:tcW w:w="3189" w:type="dxa"/>
            <w:gridSpan w:val="5"/>
            <w:tcBorders>
              <w:tl2br w:val="nil"/>
              <w:tr2bl w:val="nil"/>
            </w:tcBorders>
            <w:shd w:val="clear" w:color="auto" w:fill="auto"/>
            <w:vAlign w:val="center"/>
          </w:tcPr>
          <w:p w14:paraId="2BB800B3">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3588CA17">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1B6234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64D86D40">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苯并[a]蒽</w:t>
            </w:r>
            <w:r>
              <w:rPr>
                <w:rFonts w:hint="eastAsia" w:ascii="Times New Roman" w:hAnsi="Times New Roman" w:eastAsia="宋体" w:cs="Times New Roman"/>
                <w:color w:val="000000"/>
                <w:sz w:val="21"/>
                <w:szCs w:val="21"/>
                <w:highlight w:val="none"/>
                <w:lang w:val="en-US" w:eastAsia="zh-CN"/>
              </w:rPr>
              <w:t>（mg/kg）</w:t>
            </w:r>
          </w:p>
        </w:tc>
        <w:tc>
          <w:tcPr>
            <w:tcW w:w="3189" w:type="dxa"/>
            <w:gridSpan w:val="5"/>
            <w:tcBorders>
              <w:tl2br w:val="nil"/>
              <w:tr2bl w:val="nil"/>
            </w:tcBorders>
            <w:shd w:val="clear" w:color="auto" w:fill="auto"/>
            <w:vAlign w:val="center"/>
          </w:tcPr>
          <w:p w14:paraId="09D34277">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07B16BE2">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47EFCE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229A56B8">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苯并[a]芘</w:t>
            </w:r>
            <w:r>
              <w:rPr>
                <w:rFonts w:hint="eastAsia" w:ascii="Times New Roman" w:hAnsi="Times New Roman" w:eastAsia="宋体" w:cs="Times New Roman"/>
                <w:color w:val="000000"/>
                <w:sz w:val="21"/>
                <w:szCs w:val="21"/>
                <w:highlight w:val="none"/>
                <w:lang w:val="en-US" w:eastAsia="zh-CN"/>
              </w:rPr>
              <w:t>（mg/kg）</w:t>
            </w:r>
          </w:p>
        </w:tc>
        <w:tc>
          <w:tcPr>
            <w:tcW w:w="3189" w:type="dxa"/>
            <w:gridSpan w:val="5"/>
            <w:tcBorders>
              <w:tl2br w:val="nil"/>
              <w:tr2bl w:val="nil"/>
            </w:tcBorders>
            <w:shd w:val="clear" w:color="auto" w:fill="auto"/>
            <w:vAlign w:val="center"/>
          </w:tcPr>
          <w:p w14:paraId="7637FD97">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377E6507">
            <w:pPr>
              <w:jc w:val="center"/>
              <w:rPr>
                <w:rFonts w:hint="eastAsia" w:ascii="Times New Roman" w:hAnsi="Times New Roman" w:cs="Times New Roman" w:eastAsiaTheme="minorEastAsia"/>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lang w:val="en-US" w:eastAsia="zh-CN"/>
              </w:rPr>
              <w:t>ND</w:t>
            </w:r>
          </w:p>
        </w:tc>
      </w:tr>
      <w:tr w14:paraId="211CE9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368A4FC2">
            <w:pPr>
              <w:widowControl/>
              <w:jc w:val="center"/>
              <w:textAlignment w:val="center"/>
              <w:rPr>
                <w:rFonts w:hint="default" w:asciiTheme="minorHAnsi" w:hAnsiTheme="minorHAnsi" w:eastAsiaTheme="minorEastAsia" w:cstheme="minorBidi"/>
                <w:kern w:val="2"/>
                <w:sz w:val="21"/>
                <w:szCs w:val="24"/>
                <w:highlight w:val="none"/>
                <w:lang w:val="en-US" w:eastAsia="zh-CN" w:bidi="ar-SA"/>
              </w:rPr>
            </w:pPr>
            <w:r>
              <w:rPr>
                <w:rFonts w:hint="default" w:ascii="Times New Roman" w:hAnsi="Times New Roman" w:eastAsia="宋体" w:cs="Times New Roman"/>
                <w:color w:val="000000"/>
                <w:sz w:val="21"/>
                <w:szCs w:val="21"/>
                <w:highlight w:val="none"/>
                <w:lang w:val="en-US" w:eastAsia="zh-CN"/>
              </w:rPr>
              <w:t>苯并[b]荧蒽</w:t>
            </w:r>
            <w:r>
              <w:rPr>
                <w:rFonts w:hint="eastAsia" w:ascii="Times New Roman" w:hAnsi="Times New Roman" w:eastAsia="宋体" w:cs="Times New Roman"/>
                <w:color w:val="000000"/>
                <w:sz w:val="21"/>
                <w:szCs w:val="21"/>
                <w:highlight w:val="none"/>
                <w:lang w:val="en-US" w:eastAsia="zh-CN"/>
              </w:rPr>
              <w:t>（mg/kg）</w:t>
            </w:r>
          </w:p>
        </w:tc>
        <w:tc>
          <w:tcPr>
            <w:tcW w:w="3189" w:type="dxa"/>
            <w:gridSpan w:val="5"/>
            <w:tcBorders>
              <w:tl2br w:val="nil"/>
              <w:tr2bl w:val="nil"/>
            </w:tcBorders>
            <w:shd w:val="clear" w:color="auto" w:fill="auto"/>
            <w:vAlign w:val="center"/>
          </w:tcPr>
          <w:p w14:paraId="5430AB7F">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2D348CC1">
            <w:pPr>
              <w:jc w:val="center"/>
              <w:rPr>
                <w:rFonts w:hint="eastAsia" w:ascii="Times New Roman" w:hAnsi="Times New Roman" w:cs="Times New Roman" w:eastAsiaTheme="minorEastAsia"/>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lang w:val="en-US" w:eastAsia="zh-CN"/>
              </w:rPr>
              <w:t>ND</w:t>
            </w:r>
          </w:p>
        </w:tc>
      </w:tr>
      <w:tr w14:paraId="2CF183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4E5220EA">
            <w:pPr>
              <w:widowControl/>
              <w:jc w:val="center"/>
              <w:textAlignment w:val="center"/>
              <w:rPr>
                <w:rFonts w:hint="default" w:asciiTheme="minorHAnsi" w:hAnsiTheme="minorHAnsi" w:eastAsiaTheme="minorEastAsia" w:cstheme="minorBidi"/>
                <w:kern w:val="2"/>
                <w:sz w:val="21"/>
                <w:szCs w:val="24"/>
                <w:highlight w:val="none"/>
                <w:lang w:val="en-US" w:eastAsia="zh-CN" w:bidi="ar-SA"/>
              </w:rPr>
            </w:pPr>
            <w:r>
              <w:rPr>
                <w:rFonts w:hint="default" w:ascii="Times New Roman" w:hAnsi="Times New Roman" w:eastAsia="宋体" w:cs="Times New Roman"/>
                <w:color w:val="000000"/>
                <w:sz w:val="21"/>
                <w:szCs w:val="21"/>
                <w:highlight w:val="none"/>
                <w:lang w:val="en-US" w:eastAsia="zh-CN"/>
              </w:rPr>
              <w:t>苯并[k]荧蒽</w:t>
            </w:r>
            <w:r>
              <w:rPr>
                <w:rFonts w:hint="eastAsia" w:ascii="Times New Roman" w:hAnsi="Times New Roman" w:eastAsia="宋体" w:cs="Times New Roman"/>
                <w:color w:val="000000"/>
                <w:sz w:val="21"/>
                <w:szCs w:val="21"/>
                <w:highlight w:val="none"/>
                <w:lang w:val="en-US" w:eastAsia="zh-CN"/>
              </w:rPr>
              <w:t>（mg/kg）</w:t>
            </w:r>
          </w:p>
        </w:tc>
        <w:tc>
          <w:tcPr>
            <w:tcW w:w="3189" w:type="dxa"/>
            <w:gridSpan w:val="5"/>
            <w:tcBorders>
              <w:tl2br w:val="nil"/>
              <w:tr2bl w:val="nil"/>
            </w:tcBorders>
            <w:shd w:val="clear" w:color="auto" w:fill="auto"/>
            <w:vAlign w:val="center"/>
          </w:tcPr>
          <w:p w14:paraId="65279D86">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611B0FC1">
            <w:pPr>
              <w:jc w:val="center"/>
              <w:rPr>
                <w:rFonts w:hint="eastAsia" w:ascii="Times New Roman" w:hAnsi="Times New Roman" w:cs="Times New Roman" w:eastAsiaTheme="minorEastAsia"/>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lang w:val="en-US" w:eastAsia="zh-CN"/>
              </w:rPr>
              <w:t>ND</w:t>
            </w:r>
          </w:p>
        </w:tc>
      </w:tr>
      <w:tr w14:paraId="3DBAF2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7EFE2A76">
            <w:pPr>
              <w:widowControl/>
              <w:jc w:val="center"/>
              <w:textAlignment w:val="center"/>
              <w:rPr>
                <w:rFonts w:hint="default" w:asciiTheme="minorHAnsi" w:hAnsiTheme="minorHAnsi" w:eastAsiaTheme="minorEastAsia" w:cstheme="minorBidi"/>
                <w:kern w:val="2"/>
                <w:sz w:val="21"/>
                <w:szCs w:val="24"/>
                <w:highlight w:val="none"/>
                <w:lang w:val="en-US" w:eastAsia="zh-CN" w:bidi="ar-SA"/>
              </w:rPr>
            </w:pPr>
            <w:r>
              <w:rPr>
                <w:rFonts w:hint="default" w:ascii="Times New Roman" w:hAnsi="Times New Roman" w:eastAsia="宋体" w:cs="Times New Roman"/>
                <w:color w:val="000000"/>
                <w:sz w:val="21"/>
                <w:szCs w:val="21"/>
                <w:highlight w:val="none"/>
                <w:lang w:val="en-US" w:eastAsia="zh-CN"/>
              </w:rPr>
              <w:t>䓛</w:t>
            </w:r>
            <w:r>
              <w:rPr>
                <w:rFonts w:hint="eastAsia" w:ascii="Times New Roman" w:hAnsi="Times New Roman" w:eastAsia="宋体" w:cs="Times New Roman"/>
                <w:color w:val="000000"/>
                <w:sz w:val="21"/>
                <w:szCs w:val="21"/>
                <w:highlight w:val="none"/>
                <w:lang w:val="en-US" w:eastAsia="zh-CN"/>
              </w:rPr>
              <w:t>（mg/kg）</w:t>
            </w:r>
          </w:p>
        </w:tc>
        <w:tc>
          <w:tcPr>
            <w:tcW w:w="3189" w:type="dxa"/>
            <w:gridSpan w:val="5"/>
            <w:tcBorders>
              <w:tl2br w:val="nil"/>
              <w:tr2bl w:val="nil"/>
            </w:tcBorders>
            <w:shd w:val="clear" w:color="auto" w:fill="auto"/>
            <w:vAlign w:val="center"/>
          </w:tcPr>
          <w:p w14:paraId="6207DF7F">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7C782398">
            <w:pPr>
              <w:jc w:val="center"/>
              <w:rPr>
                <w:rFonts w:hint="eastAsia" w:ascii="Times New Roman" w:hAnsi="Times New Roman" w:cs="Times New Roman" w:eastAsiaTheme="minorEastAsia"/>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lang w:val="en-US" w:eastAsia="zh-CN"/>
              </w:rPr>
              <w:t>ND</w:t>
            </w:r>
          </w:p>
        </w:tc>
      </w:tr>
      <w:tr w14:paraId="739407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4C806BEF">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二苯并[a,h]蒽</w:t>
            </w:r>
            <w:r>
              <w:rPr>
                <w:rFonts w:hint="eastAsia" w:ascii="Times New Roman" w:hAnsi="Times New Roman" w:eastAsia="宋体" w:cs="Times New Roman"/>
                <w:color w:val="000000"/>
                <w:sz w:val="21"/>
                <w:szCs w:val="21"/>
                <w:highlight w:val="none"/>
                <w:lang w:val="en-US" w:eastAsia="zh-CN"/>
              </w:rPr>
              <w:t>（mg/kg）</w:t>
            </w:r>
          </w:p>
        </w:tc>
        <w:tc>
          <w:tcPr>
            <w:tcW w:w="3189" w:type="dxa"/>
            <w:gridSpan w:val="5"/>
            <w:tcBorders>
              <w:tl2br w:val="nil"/>
              <w:tr2bl w:val="nil"/>
            </w:tcBorders>
            <w:shd w:val="clear" w:color="auto" w:fill="auto"/>
            <w:vAlign w:val="center"/>
          </w:tcPr>
          <w:p w14:paraId="5B5A01C9">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4CCE6185">
            <w:pPr>
              <w:jc w:val="center"/>
              <w:rPr>
                <w:rFonts w:hint="eastAsia" w:ascii="Times New Roman" w:hAnsi="Times New Roman" w:cs="Times New Roman" w:eastAsiaTheme="minorEastAsia"/>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lang w:val="en-US" w:eastAsia="zh-CN"/>
              </w:rPr>
              <w:t>ND</w:t>
            </w:r>
          </w:p>
        </w:tc>
      </w:tr>
      <w:tr w14:paraId="5A90A8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796240E9">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茚并[1,2,3-cd]芘</w:t>
            </w:r>
            <w:r>
              <w:rPr>
                <w:rFonts w:hint="eastAsia" w:ascii="Times New Roman" w:hAnsi="Times New Roman" w:eastAsia="宋体" w:cs="Times New Roman"/>
                <w:color w:val="000000"/>
                <w:sz w:val="21"/>
                <w:szCs w:val="21"/>
                <w:highlight w:val="none"/>
                <w:lang w:val="en-US" w:eastAsia="zh-CN"/>
              </w:rPr>
              <w:t>（mg/kg）</w:t>
            </w:r>
          </w:p>
        </w:tc>
        <w:tc>
          <w:tcPr>
            <w:tcW w:w="3189" w:type="dxa"/>
            <w:gridSpan w:val="5"/>
            <w:tcBorders>
              <w:tl2br w:val="nil"/>
              <w:tr2bl w:val="nil"/>
            </w:tcBorders>
            <w:shd w:val="clear" w:color="auto" w:fill="auto"/>
            <w:vAlign w:val="center"/>
          </w:tcPr>
          <w:p w14:paraId="7AE3DD22">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36985EFA">
            <w:pPr>
              <w:jc w:val="center"/>
              <w:rPr>
                <w:rFonts w:hint="eastAsia" w:ascii="Times New Roman" w:hAnsi="Times New Roman" w:cs="Times New Roman" w:eastAsiaTheme="minorEastAsia"/>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lang w:val="en-US" w:eastAsia="zh-CN"/>
              </w:rPr>
              <w:t>ND</w:t>
            </w:r>
          </w:p>
        </w:tc>
      </w:tr>
      <w:tr w14:paraId="3EFB1A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570" w:type="dxa"/>
            <w:gridSpan w:val="3"/>
            <w:tcBorders>
              <w:tl2br w:val="nil"/>
              <w:tr2bl w:val="nil"/>
            </w:tcBorders>
            <w:shd w:val="clear" w:color="auto" w:fill="auto"/>
            <w:vAlign w:val="center"/>
          </w:tcPr>
          <w:p w14:paraId="20FB703B">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萘</w:t>
            </w:r>
            <w:r>
              <w:rPr>
                <w:rFonts w:hint="eastAsia" w:ascii="Times New Roman" w:hAnsi="Times New Roman" w:eastAsia="宋体" w:cs="Times New Roman"/>
                <w:color w:val="000000"/>
                <w:sz w:val="21"/>
                <w:szCs w:val="21"/>
                <w:highlight w:val="none"/>
                <w:lang w:val="en-US" w:eastAsia="zh-CN"/>
              </w:rPr>
              <w:t>（mg/kg）</w:t>
            </w:r>
          </w:p>
        </w:tc>
        <w:tc>
          <w:tcPr>
            <w:tcW w:w="3189" w:type="dxa"/>
            <w:gridSpan w:val="5"/>
            <w:tcBorders>
              <w:tl2br w:val="nil"/>
              <w:tr2bl w:val="nil"/>
            </w:tcBorders>
            <w:shd w:val="clear" w:color="auto" w:fill="auto"/>
            <w:vAlign w:val="center"/>
          </w:tcPr>
          <w:p w14:paraId="389050F5">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3680" w:type="dxa"/>
            <w:gridSpan w:val="3"/>
            <w:tcBorders>
              <w:tl2br w:val="nil"/>
              <w:tr2bl w:val="nil"/>
            </w:tcBorders>
            <w:shd w:val="clear" w:color="auto" w:fill="auto"/>
            <w:vAlign w:val="center"/>
          </w:tcPr>
          <w:p w14:paraId="20277CAD">
            <w:pPr>
              <w:jc w:val="center"/>
              <w:rPr>
                <w:rFonts w:hint="eastAsia" w:ascii="Times New Roman" w:hAnsi="Times New Roman" w:cs="Times New Roman" w:eastAsiaTheme="minorEastAsia"/>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lang w:val="en-US" w:eastAsia="zh-CN"/>
              </w:rPr>
              <w:t>ND</w:t>
            </w:r>
          </w:p>
        </w:tc>
      </w:tr>
      <w:tr w14:paraId="03D4CA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962" w:type="dxa"/>
            <w:tcBorders>
              <w:tl2br w:val="nil"/>
              <w:tr2bl w:val="nil"/>
            </w:tcBorders>
            <w:vAlign w:val="center"/>
          </w:tcPr>
          <w:p w14:paraId="2548B076">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样品标识</w:t>
            </w:r>
          </w:p>
        </w:tc>
        <w:tc>
          <w:tcPr>
            <w:tcW w:w="1869" w:type="dxa"/>
            <w:gridSpan w:val="4"/>
            <w:tcBorders>
              <w:tl2br w:val="nil"/>
              <w:tr2bl w:val="nil"/>
            </w:tcBorders>
            <w:vAlign w:val="center"/>
          </w:tcPr>
          <w:p w14:paraId="381F4C45">
            <w:pPr>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251028T01S（1#厂区内0-0.5m）</w:t>
            </w:r>
          </w:p>
        </w:tc>
        <w:tc>
          <w:tcPr>
            <w:tcW w:w="1928" w:type="dxa"/>
            <w:gridSpan w:val="3"/>
            <w:tcBorders>
              <w:tl2br w:val="nil"/>
              <w:tr2bl w:val="nil"/>
            </w:tcBorders>
            <w:vAlign w:val="center"/>
          </w:tcPr>
          <w:p w14:paraId="62AEE67A">
            <w:pPr>
              <w:jc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251028T02S（1#厂区内0.5-1.5m）</w:t>
            </w:r>
          </w:p>
        </w:tc>
        <w:tc>
          <w:tcPr>
            <w:tcW w:w="1810" w:type="dxa"/>
            <w:gridSpan w:val="2"/>
            <w:tcBorders>
              <w:tl2br w:val="nil"/>
              <w:tr2bl w:val="nil"/>
            </w:tcBorders>
            <w:vAlign w:val="center"/>
          </w:tcPr>
          <w:p w14:paraId="04BB91BF">
            <w:pPr>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251028T03S（1#厂区内1.5-3.0m）</w:t>
            </w:r>
          </w:p>
        </w:tc>
        <w:tc>
          <w:tcPr>
            <w:tcW w:w="1870" w:type="dxa"/>
            <w:tcBorders>
              <w:tl2br w:val="nil"/>
              <w:tr2bl w:val="nil"/>
            </w:tcBorders>
            <w:vAlign w:val="center"/>
          </w:tcPr>
          <w:p w14:paraId="3F5916EB">
            <w:pPr>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251028T04S（2#厂区内0-0.5m）</w:t>
            </w:r>
          </w:p>
        </w:tc>
      </w:tr>
      <w:tr w14:paraId="492905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962" w:type="dxa"/>
            <w:vMerge w:val="restart"/>
            <w:tcBorders>
              <w:tl2br w:val="nil"/>
              <w:tr2bl w:val="nil"/>
            </w:tcBorders>
            <w:vAlign w:val="center"/>
          </w:tcPr>
          <w:p w14:paraId="46C4BEF1">
            <w:pPr>
              <w:jc w:val="center"/>
              <w:rPr>
                <w:rFonts w:hint="eastAsia" w:ascii="Times New Roman" w:hAnsi="Times New Roman" w:cs="Times New Roman"/>
                <w:color w:val="auto"/>
                <w:sz w:val="21"/>
                <w:szCs w:val="21"/>
                <w:highlight w:val="none"/>
                <w:lang w:val="en-US" w:eastAsia="zh-CN"/>
              </w:rPr>
            </w:pPr>
            <w:r>
              <w:rPr>
                <w:sz w:val="21"/>
              </w:rPr>
              <mc:AlternateContent>
                <mc:Choice Requires="wps">
                  <w:drawing>
                    <wp:anchor distT="0" distB="0" distL="114300" distR="114300" simplePos="0" relativeHeight="251683840" behindDoc="0" locked="0" layoutInCell="1" allowOverlap="1">
                      <wp:simplePos x="0" y="0"/>
                      <wp:positionH relativeFrom="column">
                        <wp:posOffset>-62865</wp:posOffset>
                      </wp:positionH>
                      <wp:positionV relativeFrom="paragraph">
                        <wp:posOffset>15240</wp:posOffset>
                      </wp:positionV>
                      <wp:extent cx="1238250" cy="546100"/>
                      <wp:effectExtent l="2540" t="5715" r="16510" b="19685"/>
                      <wp:wrapNone/>
                      <wp:docPr id="49" name="直接连接符 49"/>
                      <wp:cNvGraphicFramePr/>
                      <a:graphic xmlns:a="http://schemas.openxmlformats.org/drawingml/2006/main">
                        <a:graphicData uri="http://schemas.microsoft.com/office/word/2010/wordprocessingShape">
                          <wps:wsp>
                            <wps:cNvCnPr/>
                            <wps:spPr>
                              <a:xfrm>
                                <a:off x="0" y="0"/>
                                <a:ext cx="1238250" cy="54610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95pt;margin-top:1.2pt;height:43pt;width:97.5pt;z-index:251683840;mso-width-relative:page;mso-height-relative:page;" filled="f" stroked="t" coordsize="21600,21600" o:gfxdata="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oys94&#10;1wAAAAcBAAAPAAAAAAAAAAEAIAAAACIAAABkcnMvZG93bnJldi54bWxQSwECFAAUAAAACACHTuJA&#10;qqfUb+kBAAC5AwAADgAAAAAAAAABACAAAAAmAQAAZHJzL2Uyb0RvYy54bWxQSwUGAAAAAAYABgBZ&#10;AQAAgQUAAAAA&#10;">
                      <v:fill on="f" focussize="0,0"/>
                      <v:stroke weight="1pt" color="#000000 [3213]" miterlimit="8" joinstyle="miter"/>
                      <v:imagedata o:title=""/>
                      <o:lock v:ext="edit" aspectratio="f"/>
                    </v:line>
                  </w:pict>
                </mc:Fallback>
              </mc:AlternateContent>
            </w:r>
            <w:r>
              <w:rPr>
                <w:rFonts w:hint="eastAsia" w:ascii="Times New Roman" w:hAnsi="Times New Roman" w:cs="Times New Roman"/>
                <w:color w:val="auto"/>
                <w:sz w:val="21"/>
                <w:szCs w:val="21"/>
                <w:highlight w:val="none"/>
                <w:lang w:val="en-US" w:eastAsia="zh-CN"/>
              </w:rPr>
              <mc:AlternateContent>
                <mc:Choice Requires="wps">
                  <w:drawing>
                    <wp:anchor distT="0" distB="0" distL="114300" distR="114300" simplePos="0" relativeHeight="251672576" behindDoc="0" locked="0" layoutInCell="1" allowOverlap="1">
                      <wp:simplePos x="0" y="0"/>
                      <wp:positionH relativeFrom="column">
                        <wp:posOffset>377825</wp:posOffset>
                      </wp:positionH>
                      <wp:positionV relativeFrom="paragraph">
                        <wp:posOffset>1905</wp:posOffset>
                      </wp:positionV>
                      <wp:extent cx="781050" cy="352425"/>
                      <wp:effectExtent l="0" t="0" r="0" b="0"/>
                      <wp:wrapNone/>
                      <wp:docPr id="36" name="文本框 211"/>
                      <wp:cNvGraphicFramePr/>
                      <a:graphic xmlns:a="http://schemas.openxmlformats.org/drawingml/2006/main">
                        <a:graphicData uri="http://schemas.microsoft.com/office/word/2010/wordprocessingShape">
                          <wps:wsp>
                            <wps:cNvSpPr txBox="1"/>
                            <wps:spPr>
                              <a:xfrm>
                                <a:off x="0" y="0"/>
                                <a:ext cx="781050" cy="352425"/>
                              </a:xfrm>
                              <a:prstGeom prst="rect">
                                <a:avLst/>
                              </a:prstGeom>
                              <a:noFill/>
                              <a:ln w="15875">
                                <a:noFill/>
                              </a:ln>
                            </wps:spPr>
                            <wps:txbx>
                              <w:txbxContent>
                                <w:p w14:paraId="6F16DDBA">
                                  <w:r>
                                    <w:rPr>
                                      <w:rFonts w:hint="eastAsia"/>
                                    </w:rPr>
                                    <w:t>检测结果</w:t>
                                  </w:r>
                                </w:p>
                              </w:txbxContent>
                            </wps:txbx>
                            <wps:bodyPr upright="1"/>
                          </wps:wsp>
                        </a:graphicData>
                      </a:graphic>
                    </wp:anchor>
                  </w:drawing>
                </mc:Choice>
                <mc:Fallback>
                  <w:pict>
                    <v:shape id="文本框 211" o:spid="_x0000_s1026" o:spt="202" type="#_x0000_t202" style="position:absolute;left:0pt;margin-left:29.75pt;margin-top:0.15pt;height:27.75pt;width:61.5pt;z-index:251672576;mso-width-relative:page;mso-height-relative:page;" filled="f" stroked="f" coordsize="21600,21600" o:gfxdata="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dc/qn1gAAAAYBAAAPAAAAAAAAAAEAIAAAACIAAABkcnMvZG93bnJldi54bWxQSwECFAAUAAAA&#10;CACHTuJAwl8mA7cBAABaAwAADgAAAAAAAAABACAAAAAlAQAAZHJzL2Uyb0RvYy54bWxQSwUGAAAA&#10;AAYABgBZAQAATgUAAAAA&#10;">
                      <v:fill on="f" focussize="0,0"/>
                      <v:stroke on="f" weight="1.25pt"/>
                      <v:imagedata o:title=""/>
                      <o:lock v:ext="edit" aspectratio="f"/>
                      <v:textbox>
                        <w:txbxContent>
                          <w:p w14:paraId="6F16DDBA">
                            <w:r>
                              <w:rPr>
                                <w:rFonts w:hint="eastAsia"/>
                              </w:rPr>
                              <w:t>检测结果</w:t>
                            </w:r>
                          </w:p>
                        </w:txbxContent>
                      </v:textbox>
                    </v:shape>
                  </w:pict>
                </mc:Fallback>
              </mc:AlternateContent>
            </w:r>
            <w:r>
              <w:rPr>
                <w:rFonts w:hint="eastAsia" w:ascii="Times New Roman" w:hAnsi="Times New Roman" w:cs="Times New Roman"/>
                <w:color w:val="auto"/>
                <w:sz w:val="21"/>
                <w:szCs w:val="21"/>
                <w:highlight w:val="none"/>
                <w:lang w:val="en-US" w:eastAsia="zh-CN"/>
              </w:rPr>
              <mc:AlternateContent>
                <mc:Choice Requires="wps">
                  <w:drawing>
                    <wp:anchor distT="0" distB="0" distL="114300" distR="114300" simplePos="0" relativeHeight="251673600" behindDoc="0" locked="0" layoutInCell="1" allowOverlap="1">
                      <wp:simplePos x="0" y="0"/>
                      <wp:positionH relativeFrom="column">
                        <wp:posOffset>-38100</wp:posOffset>
                      </wp:positionH>
                      <wp:positionV relativeFrom="paragraph">
                        <wp:posOffset>185420</wp:posOffset>
                      </wp:positionV>
                      <wp:extent cx="781050" cy="352425"/>
                      <wp:effectExtent l="0" t="0" r="0" b="0"/>
                      <wp:wrapNone/>
                      <wp:docPr id="37" name="文本框 210"/>
                      <wp:cNvGraphicFramePr/>
                      <a:graphic xmlns:a="http://schemas.openxmlformats.org/drawingml/2006/main">
                        <a:graphicData uri="http://schemas.microsoft.com/office/word/2010/wordprocessingShape">
                          <wps:wsp>
                            <wps:cNvSpPr txBox="1"/>
                            <wps:spPr>
                              <a:xfrm>
                                <a:off x="0" y="0"/>
                                <a:ext cx="781050" cy="352425"/>
                              </a:xfrm>
                              <a:prstGeom prst="rect">
                                <a:avLst/>
                              </a:prstGeom>
                              <a:noFill/>
                              <a:ln w="15875">
                                <a:noFill/>
                              </a:ln>
                            </wps:spPr>
                            <wps:txbx>
                              <w:txbxContent>
                                <w:p w14:paraId="019942CB">
                                  <w:r>
                                    <w:rPr>
                                      <w:rFonts w:hint="eastAsia"/>
                                    </w:rPr>
                                    <w:t>项目</w:t>
                                  </w:r>
                                </w:p>
                              </w:txbxContent>
                            </wps:txbx>
                            <wps:bodyPr upright="1"/>
                          </wps:wsp>
                        </a:graphicData>
                      </a:graphic>
                    </wp:anchor>
                  </w:drawing>
                </mc:Choice>
                <mc:Fallback>
                  <w:pict>
                    <v:shape id="文本框 210" o:spid="_x0000_s1026" o:spt="202" type="#_x0000_t202" style="position:absolute;left:0pt;margin-left:-3pt;margin-top:14.6pt;height:27.75pt;width:61.5pt;z-index:251673600;mso-width-relative:page;mso-height-relative:page;" filled="f" stroked="f" coordsize="21600,21600" o:gfxdata="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mTRC32wAAAAgBAAAPAAAAAAAAAAEAIAAAACIAAABkcnMvZG93bnJldi54bWxQSwECFAAU&#10;AAAACACHTuJAe4yHULUBAABaAwAADgAAAAAAAAABACAAAAAqAQAAZHJzL2Uyb0RvYy54bWxQSwUG&#10;AAAAAAYABgBZAQAAUQUAAAAA&#10;">
                      <v:fill on="f" focussize="0,0"/>
                      <v:stroke on="f" weight="1.25pt"/>
                      <v:imagedata o:title=""/>
                      <o:lock v:ext="edit" aspectratio="f"/>
                      <v:textbox>
                        <w:txbxContent>
                          <w:p w14:paraId="019942CB">
                            <w:r>
                              <w:rPr>
                                <w:rFonts w:hint="eastAsia"/>
                              </w:rPr>
                              <w:t>项目</w:t>
                            </w:r>
                          </w:p>
                        </w:txbxContent>
                      </v:textbox>
                    </v:shape>
                  </w:pict>
                </mc:Fallback>
              </mc:AlternateContent>
            </w:r>
          </w:p>
        </w:tc>
        <w:tc>
          <w:tcPr>
            <w:tcW w:w="7477" w:type="dxa"/>
            <w:gridSpan w:val="10"/>
            <w:tcBorders>
              <w:tl2br w:val="nil"/>
              <w:tr2bl w:val="nil"/>
            </w:tcBorders>
            <w:vAlign w:val="center"/>
          </w:tcPr>
          <w:p w14:paraId="62FAF785">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样品编号</w:t>
            </w:r>
          </w:p>
        </w:tc>
      </w:tr>
      <w:tr w14:paraId="0E8A03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1962" w:type="dxa"/>
            <w:vMerge w:val="continue"/>
            <w:tcBorders>
              <w:tl2br w:val="nil"/>
              <w:tr2bl w:val="nil"/>
            </w:tcBorders>
            <w:vAlign w:val="center"/>
          </w:tcPr>
          <w:p w14:paraId="62447A72">
            <w:pPr>
              <w:jc w:val="center"/>
              <w:rPr>
                <w:rFonts w:hint="eastAsia" w:ascii="Times New Roman" w:hAnsi="Times New Roman" w:cs="Times New Roman"/>
                <w:color w:val="auto"/>
                <w:sz w:val="21"/>
                <w:szCs w:val="21"/>
                <w:highlight w:val="none"/>
                <w:lang w:val="en-US" w:eastAsia="zh-CN"/>
              </w:rPr>
            </w:pPr>
          </w:p>
        </w:tc>
        <w:tc>
          <w:tcPr>
            <w:tcW w:w="1869" w:type="dxa"/>
            <w:gridSpan w:val="4"/>
            <w:tcBorders>
              <w:tl2br w:val="nil"/>
              <w:tr2bl w:val="nil"/>
            </w:tcBorders>
            <w:vAlign w:val="center"/>
          </w:tcPr>
          <w:p w14:paraId="64DB2E29">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W25103007-TR-3</w:t>
            </w:r>
            <w:r>
              <w:rPr>
                <w:rFonts w:hint="eastAsia" w:ascii="Times New Roman" w:hAnsi="Times New Roman" w:cs="Times New Roman"/>
                <w:highlight w:val="none"/>
                <w:lang w:val="en-US" w:eastAsia="zh-CN"/>
              </w:rPr>
              <w:t>11</w:t>
            </w:r>
          </w:p>
        </w:tc>
        <w:tc>
          <w:tcPr>
            <w:tcW w:w="1928" w:type="dxa"/>
            <w:gridSpan w:val="3"/>
            <w:tcBorders>
              <w:tl2br w:val="nil"/>
              <w:tr2bl w:val="nil"/>
            </w:tcBorders>
            <w:vAlign w:val="center"/>
          </w:tcPr>
          <w:p w14:paraId="409D0664">
            <w:pPr>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W25103007-TR-4</w:t>
            </w:r>
            <w:r>
              <w:rPr>
                <w:rFonts w:hint="eastAsia" w:ascii="Times New Roman" w:hAnsi="Times New Roman" w:cs="Times New Roman"/>
                <w:highlight w:val="none"/>
                <w:lang w:val="en-US" w:eastAsia="zh-CN"/>
              </w:rPr>
              <w:t>11</w:t>
            </w:r>
          </w:p>
        </w:tc>
        <w:tc>
          <w:tcPr>
            <w:tcW w:w="1810" w:type="dxa"/>
            <w:gridSpan w:val="2"/>
            <w:tcBorders>
              <w:tl2br w:val="nil"/>
              <w:tr2bl w:val="nil"/>
            </w:tcBorders>
            <w:shd w:val="clear" w:color="auto" w:fill="auto"/>
            <w:vAlign w:val="center"/>
          </w:tcPr>
          <w:p w14:paraId="165848C1">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W25103007-TR-5</w:t>
            </w:r>
            <w:r>
              <w:rPr>
                <w:rFonts w:hint="eastAsia" w:ascii="Times New Roman" w:hAnsi="Times New Roman" w:cs="Times New Roman"/>
                <w:highlight w:val="none"/>
                <w:lang w:val="en-US" w:eastAsia="zh-CN"/>
              </w:rPr>
              <w:t>11</w:t>
            </w:r>
          </w:p>
        </w:tc>
        <w:tc>
          <w:tcPr>
            <w:tcW w:w="1870" w:type="dxa"/>
            <w:tcBorders>
              <w:tl2br w:val="nil"/>
              <w:tr2bl w:val="nil"/>
            </w:tcBorders>
            <w:shd w:val="clear" w:color="auto" w:fill="auto"/>
            <w:vAlign w:val="center"/>
          </w:tcPr>
          <w:p w14:paraId="040C8AD7">
            <w:pPr>
              <w:jc w:val="center"/>
              <w:rPr>
                <w:rFonts w:hint="eastAsia" w:ascii="Times New Roman" w:hAnsi="Times New Roman" w:cs="Times New Roman" w:eastAsiaTheme="minorEastAsia"/>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W25103007-TR-6</w:t>
            </w:r>
            <w:r>
              <w:rPr>
                <w:rFonts w:hint="eastAsia" w:ascii="Times New Roman" w:hAnsi="Times New Roman" w:cs="Times New Roman"/>
                <w:highlight w:val="none"/>
                <w:lang w:val="en-US" w:eastAsia="zh-CN"/>
              </w:rPr>
              <w:t>11</w:t>
            </w:r>
          </w:p>
        </w:tc>
      </w:tr>
      <w:tr w14:paraId="0202A2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962" w:type="dxa"/>
            <w:tcBorders>
              <w:tl2br w:val="nil"/>
              <w:tr2bl w:val="nil"/>
            </w:tcBorders>
            <w:shd w:val="clear" w:color="auto" w:fill="auto"/>
            <w:vAlign w:val="center"/>
          </w:tcPr>
          <w:p w14:paraId="72DB1D31">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highlight w:val="none"/>
                <w:lang w:val="en-US" w:eastAsia="zh-CN"/>
              </w:rPr>
              <w:t>砷 (mg/kg)</w:t>
            </w:r>
          </w:p>
        </w:tc>
        <w:tc>
          <w:tcPr>
            <w:tcW w:w="1869" w:type="dxa"/>
            <w:gridSpan w:val="4"/>
            <w:tcBorders>
              <w:tl2br w:val="nil"/>
              <w:tr2bl w:val="nil"/>
            </w:tcBorders>
            <w:shd w:val="clear" w:color="auto" w:fill="auto"/>
            <w:vAlign w:val="center"/>
          </w:tcPr>
          <w:p w14:paraId="44845DED">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7.51</w:t>
            </w:r>
          </w:p>
        </w:tc>
        <w:tc>
          <w:tcPr>
            <w:tcW w:w="1928" w:type="dxa"/>
            <w:gridSpan w:val="3"/>
            <w:tcBorders>
              <w:tl2br w:val="nil"/>
              <w:tr2bl w:val="nil"/>
            </w:tcBorders>
            <w:shd w:val="clear" w:color="auto" w:fill="auto"/>
            <w:vAlign w:val="center"/>
          </w:tcPr>
          <w:p w14:paraId="1B80727F">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9.32</w:t>
            </w:r>
          </w:p>
        </w:tc>
        <w:tc>
          <w:tcPr>
            <w:tcW w:w="1810" w:type="dxa"/>
            <w:gridSpan w:val="2"/>
            <w:tcBorders>
              <w:tl2br w:val="nil"/>
              <w:tr2bl w:val="nil"/>
            </w:tcBorders>
            <w:shd w:val="clear" w:color="auto" w:fill="auto"/>
            <w:vAlign w:val="center"/>
          </w:tcPr>
          <w:p w14:paraId="16371D1D">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8.45</w:t>
            </w:r>
          </w:p>
        </w:tc>
        <w:tc>
          <w:tcPr>
            <w:tcW w:w="1870" w:type="dxa"/>
            <w:tcBorders>
              <w:tl2br w:val="nil"/>
              <w:tr2bl w:val="nil"/>
            </w:tcBorders>
            <w:shd w:val="clear" w:color="auto" w:fill="auto"/>
            <w:vAlign w:val="center"/>
          </w:tcPr>
          <w:p w14:paraId="7A296EDC">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9.10</w:t>
            </w:r>
          </w:p>
        </w:tc>
      </w:tr>
      <w:tr w14:paraId="5DEEFA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46526EE5">
            <w:pPr>
              <w:jc w:val="center"/>
              <w:rPr>
                <w:rFonts w:hint="eastAsia" w:ascii="Times New Roman" w:hAnsi="Times New Roman" w:cs="Times New Roman" w:eastAsiaTheme="minorEastAsia"/>
                <w:kern w:val="2"/>
                <w:sz w:val="21"/>
                <w:szCs w:val="21"/>
                <w:lang w:val="en-US" w:eastAsia="zh-CN" w:bidi="ar-SA"/>
              </w:rPr>
            </w:pPr>
            <w:r>
              <w:rPr>
                <w:rFonts w:ascii="Times New Roman" w:hAnsi="Times New Roman" w:cs="Times New Roman"/>
                <w:szCs w:val="21"/>
                <w:highlight w:val="none"/>
              </w:rPr>
              <w:t>镉 (mg/kg)</w:t>
            </w:r>
          </w:p>
        </w:tc>
        <w:tc>
          <w:tcPr>
            <w:tcW w:w="1869" w:type="dxa"/>
            <w:gridSpan w:val="4"/>
            <w:tcBorders>
              <w:tl2br w:val="nil"/>
              <w:tr2bl w:val="nil"/>
            </w:tcBorders>
            <w:shd w:val="clear" w:color="auto" w:fill="auto"/>
            <w:vAlign w:val="center"/>
          </w:tcPr>
          <w:p w14:paraId="12824D5E">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0.22</w:t>
            </w:r>
          </w:p>
        </w:tc>
        <w:tc>
          <w:tcPr>
            <w:tcW w:w="1928" w:type="dxa"/>
            <w:gridSpan w:val="3"/>
            <w:tcBorders>
              <w:tl2br w:val="nil"/>
              <w:tr2bl w:val="nil"/>
            </w:tcBorders>
            <w:shd w:val="clear" w:color="auto" w:fill="auto"/>
            <w:vAlign w:val="center"/>
          </w:tcPr>
          <w:p w14:paraId="0EFFCFEC">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0.26</w:t>
            </w:r>
          </w:p>
        </w:tc>
        <w:tc>
          <w:tcPr>
            <w:tcW w:w="1810" w:type="dxa"/>
            <w:gridSpan w:val="2"/>
            <w:tcBorders>
              <w:tl2br w:val="nil"/>
              <w:tr2bl w:val="nil"/>
            </w:tcBorders>
            <w:shd w:val="clear" w:color="auto" w:fill="auto"/>
            <w:vAlign w:val="center"/>
          </w:tcPr>
          <w:p w14:paraId="1CB86402">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0.21</w:t>
            </w:r>
          </w:p>
        </w:tc>
        <w:tc>
          <w:tcPr>
            <w:tcW w:w="1870" w:type="dxa"/>
            <w:tcBorders>
              <w:tl2br w:val="nil"/>
              <w:tr2bl w:val="nil"/>
            </w:tcBorders>
            <w:shd w:val="clear" w:color="auto" w:fill="auto"/>
            <w:vAlign w:val="center"/>
          </w:tcPr>
          <w:p w14:paraId="720EDFBB">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0.26</w:t>
            </w:r>
          </w:p>
        </w:tc>
      </w:tr>
      <w:tr w14:paraId="3401A3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54C8AA29">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六价铬</w:t>
            </w:r>
            <w:r>
              <w:rPr>
                <w:rFonts w:ascii="Times New Roman" w:hAnsi="Times New Roman" w:cs="Times New Roman"/>
                <w:szCs w:val="21"/>
                <w:highlight w:val="none"/>
              </w:rPr>
              <w:t xml:space="preserve"> (mg/kg)</w:t>
            </w:r>
          </w:p>
        </w:tc>
        <w:tc>
          <w:tcPr>
            <w:tcW w:w="1869" w:type="dxa"/>
            <w:gridSpan w:val="4"/>
            <w:tcBorders>
              <w:tl2br w:val="nil"/>
              <w:tr2bl w:val="nil"/>
            </w:tcBorders>
            <w:shd w:val="clear" w:color="auto" w:fill="auto"/>
            <w:vAlign w:val="center"/>
          </w:tcPr>
          <w:p w14:paraId="3D7A05F7">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1928" w:type="dxa"/>
            <w:gridSpan w:val="3"/>
            <w:tcBorders>
              <w:tl2br w:val="nil"/>
              <w:tr2bl w:val="nil"/>
            </w:tcBorders>
            <w:shd w:val="clear" w:color="auto" w:fill="auto"/>
            <w:vAlign w:val="center"/>
          </w:tcPr>
          <w:p w14:paraId="14284390">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1810" w:type="dxa"/>
            <w:gridSpan w:val="2"/>
            <w:tcBorders>
              <w:tl2br w:val="nil"/>
              <w:tr2bl w:val="nil"/>
            </w:tcBorders>
            <w:shd w:val="clear" w:color="auto" w:fill="auto"/>
            <w:vAlign w:val="center"/>
          </w:tcPr>
          <w:p w14:paraId="6EAE02B9">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ND</w:t>
            </w:r>
          </w:p>
        </w:tc>
        <w:tc>
          <w:tcPr>
            <w:tcW w:w="1870" w:type="dxa"/>
            <w:tcBorders>
              <w:tl2br w:val="nil"/>
              <w:tr2bl w:val="nil"/>
            </w:tcBorders>
            <w:shd w:val="clear" w:color="auto" w:fill="auto"/>
            <w:vAlign w:val="center"/>
          </w:tcPr>
          <w:p w14:paraId="3C92A0FA">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ND</w:t>
            </w:r>
          </w:p>
        </w:tc>
      </w:tr>
      <w:tr w14:paraId="23538B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319BF83D">
            <w:pPr>
              <w:jc w:val="center"/>
              <w:rPr>
                <w:rFonts w:hint="eastAsia" w:ascii="Times New Roman" w:hAnsi="Times New Roman" w:cs="Times New Roman" w:eastAsiaTheme="minorEastAsia"/>
                <w:kern w:val="2"/>
                <w:sz w:val="21"/>
                <w:szCs w:val="21"/>
                <w:lang w:val="en-US" w:eastAsia="zh-CN" w:bidi="ar-SA"/>
              </w:rPr>
            </w:pPr>
            <w:r>
              <w:rPr>
                <w:rFonts w:hint="eastAsia" w:ascii="宋体" w:hAnsi="宋体" w:eastAsia="宋体" w:cs="宋体"/>
                <w:color w:val="000000"/>
                <w:kern w:val="0"/>
                <w:sz w:val="22"/>
                <w:szCs w:val="22"/>
                <w:highlight w:val="none"/>
                <w:lang w:bidi="ar"/>
              </w:rPr>
              <w:t>铜</w:t>
            </w:r>
            <w:r>
              <w:rPr>
                <w:rFonts w:ascii="Times New Roman" w:hAnsi="Times New Roman" w:cs="Times New Roman"/>
                <w:szCs w:val="21"/>
                <w:highlight w:val="none"/>
              </w:rPr>
              <w:t xml:space="preserve"> (mg/kg)</w:t>
            </w:r>
          </w:p>
        </w:tc>
        <w:tc>
          <w:tcPr>
            <w:tcW w:w="1869" w:type="dxa"/>
            <w:gridSpan w:val="4"/>
            <w:tcBorders>
              <w:tl2br w:val="nil"/>
              <w:tr2bl w:val="nil"/>
            </w:tcBorders>
            <w:shd w:val="clear" w:color="auto" w:fill="auto"/>
            <w:vAlign w:val="center"/>
          </w:tcPr>
          <w:p w14:paraId="43040AB4">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57</w:t>
            </w:r>
          </w:p>
        </w:tc>
        <w:tc>
          <w:tcPr>
            <w:tcW w:w="1928" w:type="dxa"/>
            <w:gridSpan w:val="3"/>
            <w:tcBorders>
              <w:tl2br w:val="nil"/>
              <w:tr2bl w:val="nil"/>
            </w:tcBorders>
            <w:shd w:val="clear" w:color="auto" w:fill="auto"/>
            <w:vAlign w:val="center"/>
          </w:tcPr>
          <w:p w14:paraId="045E44F3">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67</w:t>
            </w:r>
          </w:p>
        </w:tc>
        <w:tc>
          <w:tcPr>
            <w:tcW w:w="1810" w:type="dxa"/>
            <w:gridSpan w:val="2"/>
            <w:tcBorders>
              <w:tl2br w:val="nil"/>
              <w:tr2bl w:val="nil"/>
            </w:tcBorders>
            <w:shd w:val="clear" w:color="auto" w:fill="auto"/>
            <w:vAlign w:val="center"/>
          </w:tcPr>
          <w:p w14:paraId="5317C009">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35</w:t>
            </w:r>
          </w:p>
        </w:tc>
        <w:tc>
          <w:tcPr>
            <w:tcW w:w="1870" w:type="dxa"/>
            <w:tcBorders>
              <w:tl2br w:val="nil"/>
              <w:tr2bl w:val="nil"/>
            </w:tcBorders>
            <w:shd w:val="clear" w:color="auto" w:fill="auto"/>
            <w:vAlign w:val="center"/>
          </w:tcPr>
          <w:p w14:paraId="6D06A7B0">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43</w:t>
            </w:r>
          </w:p>
        </w:tc>
      </w:tr>
      <w:tr w14:paraId="6BF8DC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1E675900">
            <w:pPr>
              <w:jc w:val="center"/>
              <w:rPr>
                <w:rFonts w:hint="eastAsia" w:ascii="Times New Roman" w:hAnsi="Times New Roman" w:cs="Times New Roman" w:eastAsiaTheme="minorEastAsia"/>
                <w:kern w:val="2"/>
                <w:sz w:val="21"/>
                <w:szCs w:val="21"/>
                <w:lang w:val="en-US" w:eastAsia="zh-CN" w:bidi="ar-SA"/>
              </w:rPr>
            </w:pPr>
            <w:r>
              <w:rPr>
                <w:rFonts w:ascii="Times New Roman" w:hAnsi="Times New Roman" w:cs="Times New Roman"/>
                <w:szCs w:val="21"/>
                <w:highlight w:val="none"/>
              </w:rPr>
              <w:t>铅 (mg/kg)</w:t>
            </w:r>
          </w:p>
        </w:tc>
        <w:tc>
          <w:tcPr>
            <w:tcW w:w="1869" w:type="dxa"/>
            <w:gridSpan w:val="4"/>
            <w:tcBorders>
              <w:tl2br w:val="nil"/>
              <w:tr2bl w:val="nil"/>
            </w:tcBorders>
            <w:shd w:val="clear" w:color="auto" w:fill="auto"/>
            <w:vAlign w:val="center"/>
          </w:tcPr>
          <w:p w14:paraId="2A58C00B">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23</w:t>
            </w:r>
          </w:p>
        </w:tc>
        <w:tc>
          <w:tcPr>
            <w:tcW w:w="1928" w:type="dxa"/>
            <w:gridSpan w:val="3"/>
            <w:tcBorders>
              <w:tl2br w:val="nil"/>
              <w:tr2bl w:val="nil"/>
            </w:tcBorders>
            <w:shd w:val="clear" w:color="auto" w:fill="auto"/>
            <w:vAlign w:val="center"/>
          </w:tcPr>
          <w:p w14:paraId="5785D718">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30</w:t>
            </w:r>
          </w:p>
        </w:tc>
        <w:tc>
          <w:tcPr>
            <w:tcW w:w="1810" w:type="dxa"/>
            <w:gridSpan w:val="2"/>
            <w:tcBorders>
              <w:tl2br w:val="nil"/>
              <w:tr2bl w:val="nil"/>
            </w:tcBorders>
            <w:shd w:val="clear" w:color="auto" w:fill="auto"/>
            <w:vAlign w:val="center"/>
          </w:tcPr>
          <w:p w14:paraId="7B28D91B">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22</w:t>
            </w:r>
          </w:p>
        </w:tc>
        <w:tc>
          <w:tcPr>
            <w:tcW w:w="1870" w:type="dxa"/>
            <w:tcBorders>
              <w:tl2br w:val="nil"/>
              <w:tr2bl w:val="nil"/>
            </w:tcBorders>
            <w:shd w:val="clear" w:color="auto" w:fill="auto"/>
            <w:vAlign w:val="center"/>
          </w:tcPr>
          <w:p w14:paraId="2DC2DE6C">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44</w:t>
            </w:r>
          </w:p>
        </w:tc>
      </w:tr>
      <w:tr w14:paraId="159163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60A0FDA9">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highlight w:val="none"/>
                <w:lang w:val="en-US" w:eastAsia="zh-CN"/>
              </w:rPr>
              <w:t>汞 (mg/kg)</w:t>
            </w:r>
          </w:p>
        </w:tc>
        <w:tc>
          <w:tcPr>
            <w:tcW w:w="1869" w:type="dxa"/>
            <w:gridSpan w:val="4"/>
            <w:tcBorders>
              <w:tl2br w:val="nil"/>
              <w:tr2bl w:val="nil"/>
            </w:tcBorders>
            <w:shd w:val="clear" w:color="auto" w:fill="auto"/>
            <w:vAlign w:val="center"/>
          </w:tcPr>
          <w:p w14:paraId="56C3CBB3">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0.029</w:t>
            </w:r>
          </w:p>
        </w:tc>
        <w:tc>
          <w:tcPr>
            <w:tcW w:w="1928" w:type="dxa"/>
            <w:gridSpan w:val="3"/>
            <w:tcBorders>
              <w:tl2br w:val="nil"/>
              <w:tr2bl w:val="nil"/>
            </w:tcBorders>
            <w:shd w:val="clear" w:color="auto" w:fill="auto"/>
            <w:vAlign w:val="center"/>
          </w:tcPr>
          <w:p w14:paraId="08AA33D9">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0.048</w:t>
            </w:r>
          </w:p>
        </w:tc>
        <w:tc>
          <w:tcPr>
            <w:tcW w:w="1810" w:type="dxa"/>
            <w:gridSpan w:val="2"/>
            <w:tcBorders>
              <w:tl2br w:val="nil"/>
              <w:tr2bl w:val="nil"/>
            </w:tcBorders>
            <w:shd w:val="clear" w:color="auto" w:fill="auto"/>
            <w:vAlign w:val="center"/>
          </w:tcPr>
          <w:p w14:paraId="0D1F4110">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0.085</w:t>
            </w:r>
          </w:p>
        </w:tc>
        <w:tc>
          <w:tcPr>
            <w:tcW w:w="1870" w:type="dxa"/>
            <w:tcBorders>
              <w:tl2br w:val="nil"/>
              <w:tr2bl w:val="nil"/>
            </w:tcBorders>
            <w:shd w:val="clear" w:color="auto" w:fill="auto"/>
            <w:vAlign w:val="center"/>
          </w:tcPr>
          <w:p w14:paraId="62E7B3BD">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0.067</w:t>
            </w:r>
          </w:p>
        </w:tc>
      </w:tr>
      <w:tr w14:paraId="751596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0F33B11D">
            <w:pPr>
              <w:jc w:val="center"/>
              <w:rPr>
                <w:rFonts w:hint="eastAsia" w:ascii="Times New Roman" w:hAnsi="Times New Roman" w:cs="Times New Roman" w:eastAsiaTheme="minorEastAsia"/>
                <w:kern w:val="2"/>
                <w:sz w:val="21"/>
                <w:szCs w:val="21"/>
                <w:lang w:val="en-US" w:eastAsia="zh-CN" w:bidi="ar-SA"/>
              </w:rPr>
            </w:pPr>
            <w:r>
              <w:rPr>
                <w:rFonts w:ascii="Times New Roman" w:hAnsi="Times New Roman" w:cs="Times New Roman"/>
                <w:szCs w:val="21"/>
                <w:highlight w:val="none"/>
              </w:rPr>
              <w:t>镍 (mg/kg)</w:t>
            </w:r>
          </w:p>
        </w:tc>
        <w:tc>
          <w:tcPr>
            <w:tcW w:w="1869" w:type="dxa"/>
            <w:gridSpan w:val="4"/>
            <w:tcBorders>
              <w:tl2br w:val="nil"/>
              <w:tr2bl w:val="nil"/>
            </w:tcBorders>
            <w:shd w:val="clear" w:color="auto" w:fill="auto"/>
            <w:vAlign w:val="center"/>
          </w:tcPr>
          <w:p w14:paraId="6B5DB023">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69</w:t>
            </w:r>
          </w:p>
        </w:tc>
        <w:tc>
          <w:tcPr>
            <w:tcW w:w="1928" w:type="dxa"/>
            <w:gridSpan w:val="3"/>
            <w:tcBorders>
              <w:tl2br w:val="nil"/>
              <w:tr2bl w:val="nil"/>
            </w:tcBorders>
            <w:shd w:val="clear" w:color="auto" w:fill="auto"/>
            <w:vAlign w:val="center"/>
          </w:tcPr>
          <w:p w14:paraId="002764DB">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60</w:t>
            </w:r>
          </w:p>
        </w:tc>
        <w:tc>
          <w:tcPr>
            <w:tcW w:w="1810" w:type="dxa"/>
            <w:gridSpan w:val="2"/>
            <w:tcBorders>
              <w:tl2br w:val="nil"/>
              <w:tr2bl w:val="nil"/>
            </w:tcBorders>
            <w:shd w:val="clear" w:color="auto" w:fill="auto"/>
            <w:vAlign w:val="center"/>
          </w:tcPr>
          <w:p w14:paraId="528477FF">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37</w:t>
            </w:r>
          </w:p>
        </w:tc>
        <w:tc>
          <w:tcPr>
            <w:tcW w:w="1870" w:type="dxa"/>
            <w:tcBorders>
              <w:tl2br w:val="nil"/>
              <w:tr2bl w:val="nil"/>
            </w:tcBorders>
            <w:shd w:val="clear" w:color="auto" w:fill="auto"/>
            <w:vAlign w:val="center"/>
          </w:tcPr>
          <w:p w14:paraId="39885836">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w:t>
            </w:r>
          </w:p>
        </w:tc>
      </w:tr>
      <w:tr w14:paraId="2BAAD6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3A08965C">
            <w:pPr>
              <w:jc w:val="center"/>
              <w:rPr>
                <w:rFonts w:hint="eastAsia" w:ascii="Times New Roman" w:hAnsi="Times New Roman" w:eastAsia="宋体" w:cs="Times New Roman"/>
                <w:color w:val="000000"/>
                <w:kern w:val="2"/>
                <w:sz w:val="21"/>
                <w:szCs w:val="21"/>
                <w:highlight w:val="none"/>
                <w:lang w:val="en-US" w:eastAsia="zh-CN" w:bidi="ar-SA"/>
              </w:rPr>
            </w:pPr>
            <w:r>
              <w:rPr>
                <w:rFonts w:ascii="Times New Roman" w:hAnsi="Times New Roman" w:cs="Times New Roman"/>
                <w:szCs w:val="21"/>
              </w:rPr>
              <w:t>石油烃 (C</w:t>
            </w:r>
            <w:r>
              <w:rPr>
                <w:rFonts w:ascii="Times New Roman" w:hAnsi="Times New Roman" w:cs="Times New Roman"/>
                <w:szCs w:val="21"/>
                <w:vertAlign w:val="subscript"/>
              </w:rPr>
              <w:t>10</w:t>
            </w:r>
            <w:r>
              <w:rPr>
                <w:rFonts w:ascii="Times New Roman" w:hAnsi="Times New Roman" w:cs="Times New Roman"/>
                <w:szCs w:val="21"/>
              </w:rPr>
              <w:t>-C</w:t>
            </w:r>
            <w:r>
              <w:rPr>
                <w:rFonts w:ascii="Times New Roman" w:hAnsi="Times New Roman" w:cs="Times New Roman"/>
                <w:szCs w:val="21"/>
                <w:vertAlign w:val="subscript"/>
              </w:rPr>
              <w:t>40</w:t>
            </w:r>
            <w:r>
              <w:rPr>
                <w:rFonts w:ascii="Times New Roman" w:hAnsi="Times New Roman" w:cs="Times New Roman"/>
                <w:szCs w:val="21"/>
              </w:rPr>
              <w:t>) （mg/kg）</w:t>
            </w:r>
          </w:p>
        </w:tc>
        <w:tc>
          <w:tcPr>
            <w:tcW w:w="1869" w:type="dxa"/>
            <w:gridSpan w:val="4"/>
            <w:tcBorders>
              <w:tl2br w:val="nil"/>
              <w:tr2bl w:val="nil"/>
            </w:tcBorders>
            <w:shd w:val="clear" w:color="auto" w:fill="auto"/>
            <w:vAlign w:val="center"/>
          </w:tcPr>
          <w:p w14:paraId="00D54BF9">
            <w:pPr>
              <w:widowControl/>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22</w:t>
            </w:r>
          </w:p>
        </w:tc>
        <w:tc>
          <w:tcPr>
            <w:tcW w:w="1928" w:type="dxa"/>
            <w:gridSpan w:val="3"/>
            <w:tcBorders>
              <w:tl2br w:val="nil"/>
              <w:tr2bl w:val="nil"/>
            </w:tcBorders>
            <w:shd w:val="clear" w:color="auto" w:fill="auto"/>
            <w:vAlign w:val="center"/>
          </w:tcPr>
          <w:p w14:paraId="0502D3EE">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w:t>
            </w:r>
          </w:p>
        </w:tc>
        <w:tc>
          <w:tcPr>
            <w:tcW w:w="1810" w:type="dxa"/>
            <w:gridSpan w:val="2"/>
            <w:tcBorders>
              <w:tl2br w:val="nil"/>
              <w:tr2bl w:val="nil"/>
            </w:tcBorders>
            <w:shd w:val="clear" w:color="auto" w:fill="auto"/>
            <w:vAlign w:val="center"/>
          </w:tcPr>
          <w:p w14:paraId="16DB7B7C">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w:t>
            </w:r>
          </w:p>
        </w:tc>
        <w:tc>
          <w:tcPr>
            <w:tcW w:w="1870" w:type="dxa"/>
            <w:tcBorders>
              <w:tl2br w:val="nil"/>
              <w:tr2bl w:val="nil"/>
            </w:tcBorders>
            <w:shd w:val="clear" w:color="auto" w:fill="auto"/>
            <w:vAlign w:val="center"/>
          </w:tcPr>
          <w:p w14:paraId="00597680">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23</w:t>
            </w:r>
          </w:p>
        </w:tc>
      </w:tr>
      <w:tr w14:paraId="1642A1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962" w:type="dxa"/>
            <w:tcBorders>
              <w:tl2br w:val="nil"/>
              <w:tr2bl w:val="nil"/>
            </w:tcBorders>
            <w:vAlign w:val="center"/>
          </w:tcPr>
          <w:p w14:paraId="5CC5851F">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样品标识</w:t>
            </w:r>
          </w:p>
        </w:tc>
        <w:tc>
          <w:tcPr>
            <w:tcW w:w="1869" w:type="dxa"/>
            <w:gridSpan w:val="4"/>
            <w:tcBorders>
              <w:tl2br w:val="nil"/>
              <w:tr2bl w:val="nil"/>
            </w:tcBorders>
            <w:vAlign w:val="center"/>
          </w:tcPr>
          <w:p w14:paraId="4871693B">
            <w:pPr>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251028T05S（2#厂区内0.5-1.5m）</w:t>
            </w:r>
          </w:p>
        </w:tc>
        <w:tc>
          <w:tcPr>
            <w:tcW w:w="1928" w:type="dxa"/>
            <w:gridSpan w:val="3"/>
            <w:tcBorders>
              <w:tl2br w:val="nil"/>
              <w:tr2bl w:val="nil"/>
            </w:tcBorders>
            <w:vAlign w:val="center"/>
          </w:tcPr>
          <w:p w14:paraId="33AFBD58">
            <w:pPr>
              <w:jc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251028T06S（2#厂区内1.5-3.0m）</w:t>
            </w:r>
          </w:p>
        </w:tc>
        <w:tc>
          <w:tcPr>
            <w:tcW w:w="1810" w:type="dxa"/>
            <w:gridSpan w:val="2"/>
            <w:tcBorders>
              <w:tl2br w:val="nil"/>
              <w:tr2bl w:val="nil"/>
            </w:tcBorders>
            <w:vAlign w:val="center"/>
          </w:tcPr>
          <w:p w14:paraId="3E05AB7E">
            <w:pPr>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251028T07S（3#厂区内0-0.5m）</w:t>
            </w:r>
          </w:p>
        </w:tc>
        <w:tc>
          <w:tcPr>
            <w:tcW w:w="1870" w:type="dxa"/>
            <w:tcBorders>
              <w:tl2br w:val="nil"/>
              <w:tr2bl w:val="nil"/>
            </w:tcBorders>
            <w:vAlign w:val="center"/>
          </w:tcPr>
          <w:p w14:paraId="402B3A76">
            <w:pPr>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251028T08S（3#厂区内0.5-1.5m）</w:t>
            </w:r>
          </w:p>
        </w:tc>
      </w:tr>
      <w:tr w14:paraId="7A72A0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962" w:type="dxa"/>
            <w:vMerge w:val="restart"/>
            <w:tcBorders>
              <w:tl2br w:val="nil"/>
              <w:tr2bl w:val="nil"/>
            </w:tcBorders>
            <w:vAlign w:val="center"/>
          </w:tcPr>
          <w:p w14:paraId="72D41F39">
            <w:pPr>
              <w:jc w:val="center"/>
              <w:rPr>
                <w:rFonts w:hint="eastAsia" w:ascii="Times New Roman" w:hAnsi="Times New Roman" w:cs="Times New Roman"/>
                <w:color w:val="auto"/>
                <w:sz w:val="21"/>
                <w:szCs w:val="21"/>
                <w:highlight w:val="none"/>
                <w:lang w:val="en-US" w:eastAsia="zh-CN"/>
              </w:rPr>
            </w:pPr>
            <w:r>
              <w:rPr>
                <w:sz w:val="21"/>
              </w:rPr>
              <mc:AlternateContent>
                <mc:Choice Requires="wps">
                  <w:drawing>
                    <wp:anchor distT="0" distB="0" distL="114300" distR="114300" simplePos="0" relativeHeight="251681792" behindDoc="0" locked="0" layoutInCell="1" allowOverlap="1">
                      <wp:simplePos x="0" y="0"/>
                      <wp:positionH relativeFrom="column">
                        <wp:posOffset>-62865</wp:posOffset>
                      </wp:positionH>
                      <wp:positionV relativeFrom="paragraph">
                        <wp:posOffset>4445</wp:posOffset>
                      </wp:positionV>
                      <wp:extent cx="1243965" cy="565150"/>
                      <wp:effectExtent l="2540" t="5715" r="10795" b="19685"/>
                      <wp:wrapNone/>
                      <wp:docPr id="47" name="直接连接符 47"/>
                      <wp:cNvGraphicFramePr/>
                      <a:graphic xmlns:a="http://schemas.openxmlformats.org/drawingml/2006/main">
                        <a:graphicData uri="http://schemas.microsoft.com/office/word/2010/wordprocessingShape">
                          <wps:wsp>
                            <wps:cNvCnPr/>
                            <wps:spPr>
                              <a:xfrm>
                                <a:off x="0" y="0"/>
                                <a:ext cx="1243965" cy="56515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95pt;margin-top:0.35pt;height:44.5pt;width:97.95pt;z-index:251681792;mso-width-relative:page;mso-height-relative:page;" filled="f" stroked="t" coordsize="21600,21600" o:gfxdata="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YgNbU&#10;1gAAAAYBAAAPAAAAAAAAAAEAIAAAACIAAABkcnMvZG93bnJldi54bWxQSwECFAAUAAAACACHTuJA&#10;79JoGuoBAAC5AwAADgAAAAAAAAABACAAAAAlAQAAZHJzL2Uyb0RvYy54bWxQSwUGAAAAAAYABgBZ&#10;AQAAgQUAAAAA&#10;">
                      <v:fill on="f" focussize="0,0"/>
                      <v:stroke weight="1pt" color="#000000 [3213]" miterlimit="8" joinstyle="miter"/>
                      <v:imagedata o:title=""/>
                      <o:lock v:ext="edit" aspectratio="f"/>
                    </v:line>
                  </w:pict>
                </mc:Fallback>
              </mc:AlternateContent>
            </w:r>
            <w:r>
              <w:rPr>
                <w:rFonts w:hint="eastAsia" w:ascii="Times New Roman" w:hAnsi="Times New Roman" w:cs="Times New Roman"/>
                <w:color w:val="auto"/>
                <w:sz w:val="21"/>
                <w:szCs w:val="21"/>
                <w:highlight w:val="none"/>
                <w:lang w:val="en-US" w:eastAsia="zh-CN"/>
              </w:rPr>
              <mc:AlternateContent>
                <mc:Choice Requires="wps">
                  <w:drawing>
                    <wp:anchor distT="0" distB="0" distL="114300" distR="114300" simplePos="0" relativeHeight="251670528" behindDoc="0" locked="0" layoutInCell="1" allowOverlap="1">
                      <wp:simplePos x="0" y="0"/>
                      <wp:positionH relativeFrom="column">
                        <wp:posOffset>415925</wp:posOffset>
                      </wp:positionH>
                      <wp:positionV relativeFrom="paragraph">
                        <wp:posOffset>40005</wp:posOffset>
                      </wp:positionV>
                      <wp:extent cx="781050" cy="352425"/>
                      <wp:effectExtent l="0" t="0" r="0" b="0"/>
                      <wp:wrapNone/>
                      <wp:docPr id="39" name="文本框 211"/>
                      <wp:cNvGraphicFramePr/>
                      <a:graphic xmlns:a="http://schemas.openxmlformats.org/drawingml/2006/main">
                        <a:graphicData uri="http://schemas.microsoft.com/office/word/2010/wordprocessingShape">
                          <wps:wsp>
                            <wps:cNvSpPr txBox="1"/>
                            <wps:spPr>
                              <a:xfrm>
                                <a:off x="0" y="0"/>
                                <a:ext cx="781050" cy="352425"/>
                              </a:xfrm>
                              <a:prstGeom prst="rect">
                                <a:avLst/>
                              </a:prstGeom>
                              <a:noFill/>
                              <a:ln w="15875">
                                <a:noFill/>
                              </a:ln>
                            </wps:spPr>
                            <wps:txbx>
                              <w:txbxContent>
                                <w:p w14:paraId="2F79D85F">
                                  <w:r>
                                    <w:rPr>
                                      <w:rFonts w:hint="eastAsia"/>
                                    </w:rPr>
                                    <w:t>检测结果</w:t>
                                  </w:r>
                                </w:p>
                              </w:txbxContent>
                            </wps:txbx>
                            <wps:bodyPr upright="1"/>
                          </wps:wsp>
                        </a:graphicData>
                      </a:graphic>
                    </wp:anchor>
                  </w:drawing>
                </mc:Choice>
                <mc:Fallback>
                  <w:pict>
                    <v:shape id="文本框 211" o:spid="_x0000_s1026" o:spt="202" type="#_x0000_t202" style="position:absolute;left:0pt;margin-left:32.75pt;margin-top:3.15pt;height:27.75pt;width:61.5pt;z-index:251670528;mso-width-relative:page;mso-height-relative:page;" filled="f" stroked="f" coordsize="21600,21600" o:gfxdata="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YlTh7dcAAAAHAQAADwAAAAAAAAABACAAAAAiAAAAZHJzL2Rvd25yZXYueG1sUEsBAhQAFAAA&#10;AAgAh07iQMbYO163AQAAWgMAAA4AAAAAAAAAAQAgAAAAJgEAAGRycy9lMm9Eb2MueG1sUEsFBgAA&#10;AAAGAAYAWQEAAE8FAAAAAA==&#10;">
                      <v:fill on="f" focussize="0,0"/>
                      <v:stroke on="f" weight="1.25pt"/>
                      <v:imagedata o:title=""/>
                      <o:lock v:ext="edit" aspectratio="f"/>
                      <v:textbox>
                        <w:txbxContent>
                          <w:p w14:paraId="2F79D85F">
                            <w:r>
                              <w:rPr>
                                <w:rFonts w:hint="eastAsia"/>
                              </w:rPr>
                              <w:t>检测结果</w:t>
                            </w:r>
                          </w:p>
                        </w:txbxContent>
                      </v:textbox>
                    </v:shape>
                  </w:pict>
                </mc:Fallback>
              </mc:AlternateContent>
            </w:r>
            <w:r>
              <w:rPr>
                <w:rFonts w:hint="eastAsia" w:ascii="Times New Roman" w:hAnsi="Times New Roman" w:cs="Times New Roman"/>
                <w:color w:val="auto"/>
                <w:sz w:val="21"/>
                <w:szCs w:val="21"/>
                <w:highlight w:val="none"/>
                <w:lang w:val="en-US" w:eastAsia="zh-CN"/>
              </w:rPr>
              <mc:AlternateContent>
                <mc:Choice Requires="wps">
                  <w:drawing>
                    <wp:anchor distT="0" distB="0" distL="114300" distR="114300" simplePos="0" relativeHeight="251671552" behindDoc="0" locked="0" layoutInCell="1" allowOverlap="1">
                      <wp:simplePos x="0" y="0"/>
                      <wp:positionH relativeFrom="column">
                        <wp:posOffset>-38100</wp:posOffset>
                      </wp:positionH>
                      <wp:positionV relativeFrom="paragraph">
                        <wp:posOffset>185420</wp:posOffset>
                      </wp:positionV>
                      <wp:extent cx="781050" cy="352425"/>
                      <wp:effectExtent l="0" t="0" r="0" b="0"/>
                      <wp:wrapNone/>
                      <wp:docPr id="40" name="文本框 210"/>
                      <wp:cNvGraphicFramePr/>
                      <a:graphic xmlns:a="http://schemas.openxmlformats.org/drawingml/2006/main">
                        <a:graphicData uri="http://schemas.microsoft.com/office/word/2010/wordprocessingShape">
                          <wps:wsp>
                            <wps:cNvSpPr txBox="1"/>
                            <wps:spPr>
                              <a:xfrm>
                                <a:off x="0" y="0"/>
                                <a:ext cx="781050" cy="352425"/>
                              </a:xfrm>
                              <a:prstGeom prst="rect">
                                <a:avLst/>
                              </a:prstGeom>
                              <a:noFill/>
                              <a:ln w="15875">
                                <a:noFill/>
                              </a:ln>
                            </wps:spPr>
                            <wps:txbx>
                              <w:txbxContent>
                                <w:p w14:paraId="34DAE8A5">
                                  <w:r>
                                    <w:rPr>
                                      <w:rFonts w:hint="eastAsia"/>
                                    </w:rPr>
                                    <w:t>项目</w:t>
                                  </w:r>
                                </w:p>
                              </w:txbxContent>
                            </wps:txbx>
                            <wps:bodyPr upright="1"/>
                          </wps:wsp>
                        </a:graphicData>
                      </a:graphic>
                    </wp:anchor>
                  </w:drawing>
                </mc:Choice>
                <mc:Fallback>
                  <w:pict>
                    <v:shape id="文本框 210" o:spid="_x0000_s1026" o:spt="202" type="#_x0000_t202" style="position:absolute;left:0pt;margin-left:-3pt;margin-top:14.6pt;height:27.75pt;width:61.5pt;z-index:251671552;mso-width-relative:page;mso-height-relative:page;" filled="f" stroked="f" coordsize="21600,21600" o:gfxdata="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mTRC32wAAAAgBAAAPAAAAAAAAAAEAIAAAACIAAABkcnMvZG93bnJldi54bWxQSwECFAAU&#10;AAAACACHTuJAd8OyM7UBAABaAwAADgAAAAAAAAABACAAAAAqAQAAZHJzL2Uyb0RvYy54bWxQSwUG&#10;AAAAAAYABgBZAQAAUQUAAAAA&#10;">
                      <v:fill on="f" focussize="0,0"/>
                      <v:stroke on="f" weight="1.25pt"/>
                      <v:imagedata o:title=""/>
                      <o:lock v:ext="edit" aspectratio="f"/>
                      <v:textbox>
                        <w:txbxContent>
                          <w:p w14:paraId="34DAE8A5">
                            <w:r>
                              <w:rPr>
                                <w:rFonts w:hint="eastAsia"/>
                              </w:rPr>
                              <w:t>项目</w:t>
                            </w:r>
                          </w:p>
                        </w:txbxContent>
                      </v:textbox>
                    </v:shape>
                  </w:pict>
                </mc:Fallback>
              </mc:AlternateContent>
            </w:r>
          </w:p>
        </w:tc>
        <w:tc>
          <w:tcPr>
            <w:tcW w:w="7477" w:type="dxa"/>
            <w:gridSpan w:val="10"/>
            <w:tcBorders>
              <w:tl2br w:val="nil"/>
              <w:tr2bl w:val="nil"/>
            </w:tcBorders>
            <w:vAlign w:val="center"/>
          </w:tcPr>
          <w:p w14:paraId="6E4D6CDE">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样品编号</w:t>
            </w:r>
          </w:p>
        </w:tc>
      </w:tr>
      <w:tr w14:paraId="69DF67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1962" w:type="dxa"/>
            <w:vMerge w:val="continue"/>
            <w:tcBorders>
              <w:tl2br w:val="nil"/>
              <w:tr2bl w:val="nil"/>
            </w:tcBorders>
            <w:vAlign w:val="center"/>
          </w:tcPr>
          <w:p w14:paraId="50C15186">
            <w:pPr>
              <w:jc w:val="center"/>
              <w:rPr>
                <w:rFonts w:hint="eastAsia" w:ascii="Times New Roman" w:hAnsi="Times New Roman" w:cs="Times New Roman"/>
                <w:color w:val="auto"/>
                <w:sz w:val="21"/>
                <w:szCs w:val="21"/>
                <w:highlight w:val="none"/>
                <w:lang w:val="en-US" w:eastAsia="zh-CN"/>
              </w:rPr>
            </w:pPr>
          </w:p>
        </w:tc>
        <w:tc>
          <w:tcPr>
            <w:tcW w:w="1869" w:type="dxa"/>
            <w:gridSpan w:val="4"/>
            <w:tcBorders>
              <w:tl2br w:val="nil"/>
              <w:tr2bl w:val="nil"/>
            </w:tcBorders>
            <w:vAlign w:val="center"/>
          </w:tcPr>
          <w:p w14:paraId="1FF40DFB">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W25103007-TR-7</w:t>
            </w:r>
            <w:r>
              <w:rPr>
                <w:rFonts w:hint="eastAsia" w:ascii="Times New Roman" w:hAnsi="Times New Roman" w:cs="Times New Roman"/>
                <w:highlight w:val="none"/>
                <w:lang w:val="en-US" w:eastAsia="zh-CN"/>
              </w:rPr>
              <w:t>11</w:t>
            </w:r>
          </w:p>
        </w:tc>
        <w:tc>
          <w:tcPr>
            <w:tcW w:w="1928" w:type="dxa"/>
            <w:gridSpan w:val="3"/>
            <w:tcBorders>
              <w:tl2br w:val="nil"/>
              <w:tr2bl w:val="nil"/>
            </w:tcBorders>
            <w:vAlign w:val="center"/>
          </w:tcPr>
          <w:p w14:paraId="3BC13F81">
            <w:pPr>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W25103007-TR-8</w:t>
            </w:r>
            <w:r>
              <w:rPr>
                <w:rFonts w:hint="eastAsia" w:ascii="Times New Roman" w:hAnsi="Times New Roman" w:cs="Times New Roman"/>
                <w:highlight w:val="none"/>
                <w:lang w:val="en-US" w:eastAsia="zh-CN"/>
              </w:rPr>
              <w:t>11</w:t>
            </w:r>
          </w:p>
        </w:tc>
        <w:tc>
          <w:tcPr>
            <w:tcW w:w="1810" w:type="dxa"/>
            <w:gridSpan w:val="2"/>
            <w:tcBorders>
              <w:tl2br w:val="nil"/>
              <w:tr2bl w:val="nil"/>
            </w:tcBorders>
            <w:shd w:val="clear" w:color="auto" w:fill="auto"/>
            <w:vAlign w:val="center"/>
          </w:tcPr>
          <w:p w14:paraId="4D76227D">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W25103007-TR-9</w:t>
            </w:r>
            <w:r>
              <w:rPr>
                <w:rFonts w:hint="eastAsia" w:ascii="Times New Roman" w:hAnsi="Times New Roman" w:cs="Times New Roman"/>
                <w:highlight w:val="none"/>
                <w:lang w:val="en-US" w:eastAsia="zh-CN"/>
              </w:rPr>
              <w:t>11</w:t>
            </w:r>
          </w:p>
        </w:tc>
        <w:tc>
          <w:tcPr>
            <w:tcW w:w="1870" w:type="dxa"/>
            <w:tcBorders>
              <w:tl2br w:val="nil"/>
              <w:tr2bl w:val="nil"/>
            </w:tcBorders>
            <w:shd w:val="clear" w:color="auto" w:fill="auto"/>
            <w:vAlign w:val="center"/>
          </w:tcPr>
          <w:p w14:paraId="4D3C0CF2">
            <w:pPr>
              <w:jc w:val="center"/>
              <w:rPr>
                <w:rFonts w:hint="eastAsia" w:ascii="Times New Roman" w:hAnsi="Times New Roman" w:cs="Times New Roman" w:eastAsiaTheme="minorEastAsia"/>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W25103007-TR-10</w:t>
            </w:r>
            <w:r>
              <w:rPr>
                <w:rFonts w:hint="eastAsia" w:ascii="Times New Roman" w:hAnsi="Times New Roman" w:cs="Times New Roman"/>
                <w:highlight w:val="none"/>
                <w:lang w:val="en-US" w:eastAsia="zh-CN"/>
              </w:rPr>
              <w:t>11</w:t>
            </w:r>
          </w:p>
        </w:tc>
      </w:tr>
      <w:tr w14:paraId="137844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962" w:type="dxa"/>
            <w:tcBorders>
              <w:tl2br w:val="nil"/>
              <w:tr2bl w:val="nil"/>
            </w:tcBorders>
            <w:shd w:val="clear" w:color="auto" w:fill="auto"/>
            <w:vAlign w:val="center"/>
          </w:tcPr>
          <w:p w14:paraId="00173245">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highlight w:val="none"/>
                <w:lang w:val="en-US" w:eastAsia="zh-CN"/>
              </w:rPr>
              <w:t>砷 (mg/kg)</w:t>
            </w:r>
          </w:p>
        </w:tc>
        <w:tc>
          <w:tcPr>
            <w:tcW w:w="1869" w:type="dxa"/>
            <w:gridSpan w:val="4"/>
            <w:tcBorders>
              <w:tl2br w:val="nil"/>
              <w:tr2bl w:val="nil"/>
            </w:tcBorders>
            <w:shd w:val="clear" w:color="auto" w:fill="auto"/>
            <w:vAlign w:val="center"/>
          </w:tcPr>
          <w:p w14:paraId="7172A5FE">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8.39</w:t>
            </w:r>
          </w:p>
        </w:tc>
        <w:tc>
          <w:tcPr>
            <w:tcW w:w="1928" w:type="dxa"/>
            <w:gridSpan w:val="3"/>
            <w:tcBorders>
              <w:tl2br w:val="nil"/>
              <w:tr2bl w:val="nil"/>
            </w:tcBorders>
            <w:shd w:val="clear" w:color="auto" w:fill="auto"/>
            <w:vAlign w:val="center"/>
          </w:tcPr>
          <w:p w14:paraId="54A4670F">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7.52</w:t>
            </w:r>
          </w:p>
        </w:tc>
        <w:tc>
          <w:tcPr>
            <w:tcW w:w="1810" w:type="dxa"/>
            <w:gridSpan w:val="2"/>
            <w:tcBorders>
              <w:tl2br w:val="nil"/>
              <w:tr2bl w:val="nil"/>
            </w:tcBorders>
            <w:shd w:val="clear" w:color="auto" w:fill="auto"/>
            <w:vAlign w:val="center"/>
          </w:tcPr>
          <w:p w14:paraId="2BC471A6">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8.40</w:t>
            </w:r>
          </w:p>
        </w:tc>
        <w:tc>
          <w:tcPr>
            <w:tcW w:w="1870" w:type="dxa"/>
            <w:tcBorders>
              <w:tl2br w:val="nil"/>
              <w:tr2bl w:val="nil"/>
            </w:tcBorders>
            <w:shd w:val="clear" w:color="auto" w:fill="auto"/>
            <w:vAlign w:val="center"/>
          </w:tcPr>
          <w:p w14:paraId="62611CCA">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8.88</w:t>
            </w:r>
          </w:p>
        </w:tc>
      </w:tr>
      <w:tr w14:paraId="6F6E24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162A306D">
            <w:pPr>
              <w:jc w:val="center"/>
              <w:rPr>
                <w:rFonts w:hint="eastAsia" w:ascii="Times New Roman" w:hAnsi="Times New Roman" w:cs="Times New Roman" w:eastAsiaTheme="minorEastAsia"/>
                <w:kern w:val="2"/>
                <w:sz w:val="21"/>
                <w:szCs w:val="21"/>
                <w:lang w:val="en-US" w:eastAsia="zh-CN" w:bidi="ar-SA"/>
              </w:rPr>
            </w:pPr>
            <w:r>
              <w:rPr>
                <w:rFonts w:ascii="Times New Roman" w:hAnsi="Times New Roman" w:cs="Times New Roman"/>
                <w:szCs w:val="21"/>
                <w:highlight w:val="none"/>
              </w:rPr>
              <w:t>镉 (mg/kg)</w:t>
            </w:r>
          </w:p>
        </w:tc>
        <w:tc>
          <w:tcPr>
            <w:tcW w:w="1869" w:type="dxa"/>
            <w:gridSpan w:val="4"/>
            <w:tcBorders>
              <w:tl2br w:val="nil"/>
              <w:tr2bl w:val="nil"/>
            </w:tcBorders>
            <w:shd w:val="clear" w:color="auto" w:fill="auto"/>
            <w:vAlign w:val="center"/>
          </w:tcPr>
          <w:p w14:paraId="7D999221">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0.25</w:t>
            </w:r>
          </w:p>
        </w:tc>
        <w:tc>
          <w:tcPr>
            <w:tcW w:w="1928" w:type="dxa"/>
            <w:gridSpan w:val="3"/>
            <w:tcBorders>
              <w:tl2br w:val="nil"/>
              <w:tr2bl w:val="nil"/>
            </w:tcBorders>
            <w:shd w:val="clear" w:color="auto" w:fill="auto"/>
            <w:vAlign w:val="center"/>
          </w:tcPr>
          <w:p w14:paraId="03D40695">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0.27</w:t>
            </w:r>
          </w:p>
        </w:tc>
        <w:tc>
          <w:tcPr>
            <w:tcW w:w="1810" w:type="dxa"/>
            <w:gridSpan w:val="2"/>
            <w:tcBorders>
              <w:tl2br w:val="nil"/>
              <w:tr2bl w:val="nil"/>
            </w:tcBorders>
            <w:shd w:val="clear" w:color="auto" w:fill="auto"/>
            <w:vAlign w:val="center"/>
          </w:tcPr>
          <w:p w14:paraId="6D0C6CA0">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0.32</w:t>
            </w:r>
          </w:p>
        </w:tc>
        <w:tc>
          <w:tcPr>
            <w:tcW w:w="1870" w:type="dxa"/>
            <w:tcBorders>
              <w:tl2br w:val="nil"/>
              <w:tr2bl w:val="nil"/>
            </w:tcBorders>
            <w:shd w:val="clear" w:color="auto" w:fill="auto"/>
            <w:vAlign w:val="center"/>
          </w:tcPr>
          <w:p w14:paraId="4F037FCC">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0.28</w:t>
            </w:r>
          </w:p>
        </w:tc>
      </w:tr>
      <w:tr w14:paraId="6CC229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1E0907AB">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六价铬</w:t>
            </w:r>
            <w:r>
              <w:rPr>
                <w:rFonts w:ascii="Times New Roman" w:hAnsi="Times New Roman" w:cs="Times New Roman"/>
                <w:szCs w:val="21"/>
                <w:highlight w:val="none"/>
              </w:rPr>
              <w:t xml:space="preserve"> (mg/kg)</w:t>
            </w:r>
          </w:p>
        </w:tc>
        <w:tc>
          <w:tcPr>
            <w:tcW w:w="1869" w:type="dxa"/>
            <w:gridSpan w:val="4"/>
            <w:tcBorders>
              <w:tl2br w:val="nil"/>
              <w:tr2bl w:val="nil"/>
            </w:tcBorders>
            <w:shd w:val="clear" w:color="auto" w:fill="auto"/>
            <w:vAlign w:val="center"/>
          </w:tcPr>
          <w:p w14:paraId="59C89F38">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1928" w:type="dxa"/>
            <w:gridSpan w:val="3"/>
            <w:tcBorders>
              <w:tl2br w:val="nil"/>
              <w:tr2bl w:val="nil"/>
            </w:tcBorders>
            <w:shd w:val="clear" w:color="auto" w:fill="auto"/>
            <w:vAlign w:val="center"/>
          </w:tcPr>
          <w:p w14:paraId="67F783EC">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1810" w:type="dxa"/>
            <w:gridSpan w:val="2"/>
            <w:tcBorders>
              <w:tl2br w:val="nil"/>
              <w:tr2bl w:val="nil"/>
            </w:tcBorders>
            <w:shd w:val="clear" w:color="auto" w:fill="auto"/>
            <w:vAlign w:val="center"/>
          </w:tcPr>
          <w:p w14:paraId="0C6DAEF6">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1870" w:type="dxa"/>
            <w:tcBorders>
              <w:tl2br w:val="nil"/>
              <w:tr2bl w:val="nil"/>
            </w:tcBorders>
            <w:shd w:val="clear" w:color="auto" w:fill="auto"/>
            <w:vAlign w:val="center"/>
          </w:tcPr>
          <w:p w14:paraId="4CD8C727">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38EFC7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5B9B4D90">
            <w:pPr>
              <w:jc w:val="center"/>
              <w:rPr>
                <w:rFonts w:hint="eastAsia" w:ascii="Times New Roman" w:hAnsi="Times New Roman" w:cs="Times New Roman" w:eastAsiaTheme="minorEastAsia"/>
                <w:kern w:val="2"/>
                <w:sz w:val="21"/>
                <w:szCs w:val="21"/>
                <w:lang w:val="en-US" w:eastAsia="zh-CN" w:bidi="ar-SA"/>
              </w:rPr>
            </w:pPr>
            <w:r>
              <w:rPr>
                <w:rFonts w:hint="eastAsia" w:ascii="宋体" w:hAnsi="宋体" w:eastAsia="宋体" w:cs="宋体"/>
                <w:color w:val="000000"/>
                <w:kern w:val="0"/>
                <w:sz w:val="22"/>
                <w:szCs w:val="22"/>
                <w:highlight w:val="none"/>
                <w:lang w:bidi="ar"/>
              </w:rPr>
              <w:t>铜</w:t>
            </w:r>
            <w:r>
              <w:rPr>
                <w:rFonts w:ascii="Times New Roman" w:hAnsi="Times New Roman" w:cs="Times New Roman"/>
                <w:szCs w:val="21"/>
                <w:highlight w:val="none"/>
              </w:rPr>
              <w:t xml:space="preserve"> (mg/kg)</w:t>
            </w:r>
          </w:p>
        </w:tc>
        <w:tc>
          <w:tcPr>
            <w:tcW w:w="1869" w:type="dxa"/>
            <w:gridSpan w:val="4"/>
            <w:tcBorders>
              <w:tl2br w:val="nil"/>
              <w:tr2bl w:val="nil"/>
            </w:tcBorders>
            <w:shd w:val="clear" w:color="auto" w:fill="auto"/>
            <w:vAlign w:val="center"/>
          </w:tcPr>
          <w:p w14:paraId="56DC674D">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49</w:t>
            </w:r>
          </w:p>
        </w:tc>
        <w:tc>
          <w:tcPr>
            <w:tcW w:w="1928" w:type="dxa"/>
            <w:gridSpan w:val="3"/>
            <w:tcBorders>
              <w:tl2br w:val="nil"/>
              <w:tr2bl w:val="nil"/>
            </w:tcBorders>
            <w:shd w:val="clear" w:color="auto" w:fill="auto"/>
            <w:vAlign w:val="center"/>
          </w:tcPr>
          <w:p w14:paraId="6E4FDF42">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43</w:t>
            </w:r>
          </w:p>
        </w:tc>
        <w:tc>
          <w:tcPr>
            <w:tcW w:w="1810" w:type="dxa"/>
            <w:gridSpan w:val="2"/>
            <w:tcBorders>
              <w:tl2br w:val="nil"/>
              <w:tr2bl w:val="nil"/>
            </w:tcBorders>
            <w:shd w:val="clear" w:color="auto" w:fill="auto"/>
            <w:vAlign w:val="center"/>
          </w:tcPr>
          <w:p w14:paraId="7B67FD1F">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43</w:t>
            </w:r>
          </w:p>
        </w:tc>
        <w:tc>
          <w:tcPr>
            <w:tcW w:w="1870" w:type="dxa"/>
            <w:tcBorders>
              <w:tl2br w:val="nil"/>
              <w:tr2bl w:val="nil"/>
            </w:tcBorders>
            <w:shd w:val="clear" w:color="auto" w:fill="auto"/>
            <w:vAlign w:val="center"/>
          </w:tcPr>
          <w:p w14:paraId="139B645B">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38</w:t>
            </w:r>
          </w:p>
        </w:tc>
      </w:tr>
      <w:tr w14:paraId="13FD35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180B76EE">
            <w:pPr>
              <w:jc w:val="center"/>
              <w:rPr>
                <w:rFonts w:hint="eastAsia" w:ascii="Times New Roman" w:hAnsi="Times New Roman" w:cs="Times New Roman" w:eastAsiaTheme="minorEastAsia"/>
                <w:kern w:val="2"/>
                <w:sz w:val="21"/>
                <w:szCs w:val="21"/>
                <w:lang w:val="en-US" w:eastAsia="zh-CN" w:bidi="ar-SA"/>
              </w:rPr>
            </w:pPr>
            <w:r>
              <w:rPr>
                <w:rFonts w:ascii="Times New Roman" w:hAnsi="Times New Roman" w:cs="Times New Roman"/>
                <w:szCs w:val="21"/>
                <w:highlight w:val="none"/>
              </w:rPr>
              <w:t>铅 (mg/kg)</w:t>
            </w:r>
          </w:p>
        </w:tc>
        <w:tc>
          <w:tcPr>
            <w:tcW w:w="1869" w:type="dxa"/>
            <w:gridSpan w:val="4"/>
            <w:tcBorders>
              <w:tl2br w:val="nil"/>
              <w:tr2bl w:val="nil"/>
            </w:tcBorders>
            <w:shd w:val="clear" w:color="auto" w:fill="auto"/>
            <w:vAlign w:val="center"/>
          </w:tcPr>
          <w:p w14:paraId="3ECC517A">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36</w:t>
            </w:r>
          </w:p>
        </w:tc>
        <w:tc>
          <w:tcPr>
            <w:tcW w:w="1928" w:type="dxa"/>
            <w:gridSpan w:val="3"/>
            <w:tcBorders>
              <w:tl2br w:val="nil"/>
              <w:tr2bl w:val="nil"/>
            </w:tcBorders>
            <w:shd w:val="clear" w:color="auto" w:fill="auto"/>
            <w:vAlign w:val="center"/>
          </w:tcPr>
          <w:p w14:paraId="571B65F0">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29</w:t>
            </w:r>
          </w:p>
        </w:tc>
        <w:tc>
          <w:tcPr>
            <w:tcW w:w="1810" w:type="dxa"/>
            <w:gridSpan w:val="2"/>
            <w:tcBorders>
              <w:tl2br w:val="nil"/>
              <w:tr2bl w:val="nil"/>
            </w:tcBorders>
            <w:shd w:val="clear" w:color="auto" w:fill="auto"/>
            <w:vAlign w:val="center"/>
          </w:tcPr>
          <w:p w14:paraId="7B786172">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39</w:t>
            </w:r>
          </w:p>
        </w:tc>
        <w:tc>
          <w:tcPr>
            <w:tcW w:w="1870" w:type="dxa"/>
            <w:tcBorders>
              <w:tl2br w:val="nil"/>
              <w:tr2bl w:val="nil"/>
            </w:tcBorders>
            <w:shd w:val="clear" w:color="auto" w:fill="auto"/>
            <w:vAlign w:val="center"/>
          </w:tcPr>
          <w:p w14:paraId="0CAB43FF">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61</w:t>
            </w:r>
          </w:p>
        </w:tc>
      </w:tr>
      <w:tr w14:paraId="4C8A6C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15" w:hRule="atLeast"/>
        </w:trPr>
        <w:tc>
          <w:tcPr>
            <w:tcW w:w="1962" w:type="dxa"/>
            <w:tcBorders>
              <w:tl2br w:val="nil"/>
              <w:tr2bl w:val="nil"/>
            </w:tcBorders>
            <w:shd w:val="clear" w:color="auto" w:fill="auto"/>
            <w:vAlign w:val="center"/>
          </w:tcPr>
          <w:p w14:paraId="024335DB">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highlight w:val="none"/>
                <w:lang w:val="en-US" w:eastAsia="zh-CN"/>
              </w:rPr>
              <w:t>汞 (mg/kg)</w:t>
            </w:r>
          </w:p>
        </w:tc>
        <w:tc>
          <w:tcPr>
            <w:tcW w:w="1869" w:type="dxa"/>
            <w:gridSpan w:val="4"/>
            <w:tcBorders>
              <w:tl2br w:val="nil"/>
              <w:tr2bl w:val="nil"/>
            </w:tcBorders>
            <w:shd w:val="clear" w:color="auto" w:fill="auto"/>
            <w:vAlign w:val="center"/>
          </w:tcPr>
          <w:p w14:paraId="301FB3A7">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0.066</w:t>
            </w:r>
          </w:p>
        </w:tc>
        <w:tc>
          <w:tcPr>
            <w:tcW w:w="1928" w:type="dxa"/>
            <w:gridSpan w:val="3"/>
            <w:tcBorders>
              <w:tl2br w:val="nil"/>
              <w:tr2bl w:val="nil"/>
            </w:tcBorders>
            <w:shd w:val="clear" w:color="auto" w:fill="auto"/>
            <w:vAlign w:val="center"/>
          </w:tcPr>
          <w:p w14:paraId="60D2B57C">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0.065</w:t>
            </w:r>
          </w:p>
        </w:tc>
        <w:tc>
          <w:tcPr>
            <w:tcW w:w="1810" w:type="dxa"/>
            <w:gridSpan w:val="2"/>
            <w:tcBorders>
              <w:tl2br w:val="nil"/>
              <w:tr2bl w:val="nil"/>
            </w:tcBorders>
            <w:shd w:val="clear" w:color="auto" w:fill="auto"/>
            <w:vAlign w:val="center"/>
          </w:tcPr>
          <w:p w14:paraId="6A6D0A67">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0.049</w:t>
            </w:r>
          </w:p>
        </w:tc>
        <w:tc>
          <w:tcPr>
            <w:tcW w:w="1870" w:type="dxa"/>
            <w:tcBorders>
              <w:tl2br w:val="nil"/>
              <w:tr2bl w:val="nil"/>
            </w:tcBorders>
            <w:shd w:val="clear" w:color="auto" w:fill="auto"/>
            <w:vAlign w:val="center"/>
          </w:tcPr>
          <w:p w14:paraId="08FB81EE">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0.054</w:t>
            </w:r>
          </w:p>
        </w:tc>
      </w:tr>
      <w:tr w14:paraId="19C5A1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11DE6CF0">
            <w:pPr>
              <w:jc w:val="center"/>
              <w:rPr>
                <w:rFonts w:hint="eastAsia" w:ascii="Times New Roman" w:hAnsi="Times New Roman" w:cs="Times New Roman" w:eastAsiaTheme="minorEastAsia"/>
                <w:kern w:val="2"/>
                <w:sz w:val="21"/>
                <w:szCs w:val="21"/>
                <w:lang w:val="en-US" w:eastAsia="zh-CN" w:bidi="ar-SA"/>
              </w:rPr>
            </w:pPr>
            <w:r>
              <w:rPr>
                <w:rFonts w:ascii="Times New Roman" w:hAnsi="Times New Roman" w:cs="Times New Roman"/>
                <w:szCs w:val="21"/>
                <w:highlight w:val="none"/>
              </w:rPr>
              <w:t>镍 (mg/kg)</w:t>
            </w:r>
          </w:p>
        </w:tc>
        <w:tc>
          <w:tcPr>
            <w:tcW w:w="1869" w:type="dxa"/>
            <w:gridSpan w:val="4"/>
            <w:tcBorders>
              <w:tl2br w:val="nil"/>
              <w:tr2bl w:val="nil"/>
            </w:tcBorders>
            <w:shd w:val="clear" w:color="auto" w:fill="auto"/>
            <w:vAlign w:val="center"/>
          </w:tcPr>
          <w:p w14:paraId="6801BD32">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38</w:t>
            </w:r>
          </w:p>
        </w:tc>
        <w:tc>
          <w:tcPr>
            <w:tcW w:w="1928" w:type="dxa"/>
            <w:gridSpan w:val="3"/>
            <w:tcBorders>
              <w:tl2br w:val="nil"/>
              <w:tr2bl w:val="nil"/>
            </w:tcBorders>
            <w:shd w:val="clear" w:color="auto" w:fill="auto"/>
            <w:vAlign w:val="center"/>
          </w:tcPr>
          <w:p w14:paraId="71818854">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33</w:t>
            </w:r>
          </w:p>
        </w:tc>
        <w:tc>
          <w:tcPr>
            <w:tcW w:w="1810" w:type="dxa"/>
            <w:gridSpan w:val="2"/>
            <w:tcBorders>
              <w:tl2br w:val="nil"/>
              <w:tr2bl w:val="nil"/>
            </w:tcBorders>
            <w:shd w:val="clear" w:color="auto" w:fill="auto"/>
            <w:vAlign w:val="center"/>
          </w:tcPr>
          <w:p w14:paraId="2242647A">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51</w:t>
            </w:r>
          </w:p>
        </w:tc>
        <w:tc>
          <w:tcPr>
            <w:tcW w:w="1870" w:type="dxa"/>
            <w:tcBorders>
              <w:tl2br w:val="nil"/>
              <w:tr2bl w:val="nil"/>
            </w:tcBorders>
            <w:shd w:val="clear" w:color="auto" w:fill="auto"/>
            <w:vAlign w:val="center"/>
          </w:tcPr>
          <w:p w14:paraId="736DB3B4">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45</w:t>
            </w:r>
          </w:p>
        </w:tc>
      </w:tr>
      <w:tr w14:paraId="322220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35E4B8C9">
            <w:pPr>
              <w:jc w:val="center"/>
              <w:rPr>
                <w:rFonts w:hint="eastAsia" w:ascii="Times New Roman" w:hAnsi="Times New Roman" w:eastAsia="宋体" w:cs="Times New Roman"/>
                <w:color w:val="000000"/>
                <w:kern w:val="2"/>
                <w:sz w:val="21"/>
                <w:szCs w:val="21"/>
                <w:highlight w:val="none"/>
                <w:lang w:val="en-US" w:eastAsia="zh-CN" w:bidi="ar-SA"/>
              </w:rPr>
            </w:pPr>
            <w:r>
              <w:rPr>
                <w:rFonts w:ascii="Times New Roman" w:hAnsi="Times New Roman" w:cs="Times New Roman"/>
                <w:szCs w:val="21"/>
              </w:rPr>
              <w:t>石油烃 (C</w:t>
            </w:r>
            <w:r>
              <w:rPr>
                <w:rFonts w:ascii="Times New Roman" w:hAnsi="Times New Roman" w:cs="Times New Roman"/>
                <w:szCs w:val="21"/>
                <w:vertAlign w:val="subscript"/>
              </w:rPr>
              <w:t>10</w:t>
            </w:r>
            <w:r>
              <w:rPr>
                <w:rFonts w:ascii="Times New Roman" w:hAnsi="Times New Roman" w:cs="Times New Roman"/>
                <w:szCs w:val="21"/>
              </w:rPr>
              <w:t>-C</w:t>
            </w:r>
            <w:r>
              <w:rPr>
                <w:rFonts w:ascii="Times New Roman" w:hAnsi="Times New Roman" w:cs="Times New Roman"/>
                <w:szCs w:val="21"/>
                <w:vertAlign w:val="subscript"/>
              </w:rPr>
              <w:t>40</w:t>
            </w:r>
            <w:r>
              <w:rPr>
                <w:rFonts w:ascii="Times New Roman" w:hAnsi="Times New Roman" w:cs="Times New Roman"/>
                <w:szCs w:val="21"/>
              </w:rPr>
              <w:t>) （mg/kg）</w:t>
            </w:r>
          </w:p>
        </w:tc>
        <w:tc>
          <w:tcPr>
            <w:tcW w:w="1869" w:type="dxa"/>
            <w:gridSpan w:val="4"/>
            <w:tcBorders>
              <w:tl2br w:val="nil"/>
              <w:tr2bl w:val="nil"/>
            </w:tcBorders>
            <w:shd w:val="clear" w:color="auto" w:fill="auto"/>
            <w:vAlign w:val="center"/>
          </w:tcPr>
          <w:p w14:paraId="69DB7082">
            <w:pPr>
              <w:widowControl/>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bCs/>
                <w:color w:val="auto"/>
                <w:sz w:val="21"/>
                <w:szCs w:val="21"/>
                <w:lang w:val="en-US" w:eastAsia="zh-CN"/>
              </w:rPr>
              <w:t>18</w:t>
            </w:r>
          </w:p>
        </w:tc>
        <w:tc>
          <w:tcPr>
            <w:tcW w:w="1928" w:type="dxa"/>
            <w:gridSpan w:val="3"/>
            <w:tcBorders>
              <w:tl2br w:val="nil"/>
              <w:tr2bl w:val="nil"/>
            </w:tcBorders>
            <w:shd w:val="clear" w:color="auto" w:fill="auto"/>
            <w:vAlign w:val="center"/>
          </w:tcPr>
          <w:p w14:paraId="4630C1B3">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w:t>
            </w:r>
          </w:p>
        </w:tc>
        <w:tc>
          <w:tcPr>
            <w:tcW w:w="1810" w:type="dxa"/>
            <w:gridSpan w:val="2"/>
            <w:tcBorders>
              <w:tl2br w:val="nil"/>
              <w:tr2bl w:val="nil"/>
            </w:tcBorders>
            <w:shd w:val="clear" w:color="auto" w:fill="auto"/>
            <w:vAlign w:val="center"/>
          </w:tcPr>
          <w:p w14:paraId="5094C5D7">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19</w:t>
            </w:r>
          </w:p>
        </w:tc>
        <w:tc>
          <w:tcPr>
            <w:tcW w:w="1870" w:type="dxa"/>
            <w:tcBorders>
              <w:tl2br w:val="nil"/>
              <w:tr2bl w:val="nil"/>
            </w:tcBorders>
            <w:shd w:val="clear" w:color="auto" w:fill="auto"/>
            <w:vAlign w:val="center"/>
          </w:tcPr>
          <w:p w14:paraId="7C8141E8">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17</w:t>
            </w:r>
          </w:p>
        </w:tc>
      </w:tr>
      <w:tr w14:paraId="6CD277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1962" w:type="dxa"/>
            <w:tcBorders>
              <w:tl2br w:val="nil"/>
              <w:tr2bl w:val="nil"/>
            </w:tcBorders>
            <w:vAlign w:val="center"/>
          </w:tcPr>
          <w:p w14:paraId="5A864259">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接样时间</w:t>
            </w:r>
          </w:p>
        </w:tc>
        <w:tc>
          <w:tcPr>
            <w:tcW w:w="7477" w:type="dxa"/>
            <w:gridSpan w:val="10"/>
            <w:tcBorders>
              <w:tl2br w:val="nil"/>
              <w:tr2bl w:val="nil"/>
            </w:tcBorders>
            <w:vAlign w:val="center"/>
          </w:tcPr>
          <w:p w14:paraId="43CF74F7">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000000"/>
                <w:kern w:val="2"/>
                <w:sz w:val="21"/>
                <w:szCs w:val="21"/>
                <w:highlight w:val="none"/>
                <w:lang w:val="en-US" w:eastAsia="zh-CN" w:bidi="ar-SA"/>
              </w:rPr>
              <w:t>2025.10.31</w:t>
            </w:r>
          </w:p>
        </w:tc>
      </w:tr>
      <w:tr w14:paraId="16F733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962" w:type="dxa"/>
            <w:tcBorders>
              <w:tl2br w:val="nil"/>
              <w:tr2bl w:val="nil"/>
            </w:tcBorders>
            <w:vAlign w:val="center"/>
          </w:tcPr>
          <w:p w14:paraId="44B1F7D3">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样品标识</w:t>
            </w:r>
          </w:p>
        </w:tc>
        <w:tc>
          <w:tcPr>
            <w:tcW w:w="1869" w:type="dxa"/>
            <w:gridSpan w:val="4"/>
            <w:tcBorders>
              <w:tl2br w:val="nil"/>
              <w:tr2bl w:val="nil"/>
            </w:tcBorders>
            <w:vAlign w:val="center"/>
          </w:tcPr>
          <w:p w14:paraId="56253DF9">
            <w:pPr>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251028T09S（3#厂区内1.5-3.0m）</w:t>
            </w:r>
          </w:p>
        </w:tc>
        <w:tc>
          <w:tcPr>
            <w:tcW w:w="1869" w:type="dxa"/>
            <w:gridSpan w:val="2"/>
            <w:tcBorders>
              <w:tl2br w:val="nil"/>
              <w:tr2bl w:val="nil"/>
            </w:tcBorders>
            <w:vAlign w:val="center"/>
          </w:tcPr>
          <w:p w14:paraId="66A4669F">
            <w:pPr>
              <w:jc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251028T10S（4#厂区内0-0.5m）</w:t>
            </w:r>
          </w:p>
        </w:tc>
        <w:tc>
          <w:tcPr>
            <w:tcW w:w="1869" w:type="dxa"/>
            <w:gridSpan w:val="3"/>
            <w:tcBorders>
              <w:tl2br w:val="nil"/>
              <w:tr2bl w:val="nil"/>
            </w:tcBorders>
            <w:vAlign w:val="center"/>
          </w:tcPr>
          <w:p w14:paraId="271297BC">
            <w:pPr>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251028T11S（4#厂区内0.5-1.5m）</w:t>
            </w:r>
          </w:p>
        </w:tc>
        <w:tc>
          <w:tcPr>
            <w:tcW w:w="1870" w:type="dxa"/>
            <w:tcBorders>
              <w:tl2br w:val="nil"/>
              <w:tr2bl w:val="nil"/>
            </w:tcBorders>
            <w:vAlign w:val="center"/>
          </w:tcPr>
          <w:p w14:paraId="407D090C">
            <w:pPr>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251028T12S（4#厂区内1.5-3.0m）</w:t>
            </w:r>
          </w:p>
        </w:tc>
      </w:tr>
      <w:tr w14:paraId="73D2DE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962" w:type="dxa"/>
            <w:vMerge w:val="restart"/>
            <w:tcBorders>
              <w:tl2br w:val="nil"/>
              <w:tr2bl w:val="nil"/>
            </w:tcBorders>
            <w:vAlign w:val="center"/>
          </w:tcPr>
          <w:p w14:paraId="2259D183">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mc:AlternateContent>
                <mc:Choice Requires="wps">
                  <w:drawing>
                    <wp:anchor distT="0" distB="0" distL="114300" distR="114300" simplePos="0" relativeHeight="251676672" behindDoc="0" locked="0" layoutInCell="1" allowOverlap="1">
                      <wp:simplePos x="0" y="0"/>
                      <wp:positionH relativeFrom="column">
                        <wp:posOffset>319405</wp:posOffset>
                      </wp:positionH>
                      <wp:positionV relativeFrom="paragraph">
                        <wp:posOffset>13335</wp:posOffset>
                      </wp:positionV>
                      <wp:extent cx="781050" cy="352425"/>
                      <wp:effectExtent l="0" t="0" r="0" b="0"/>
                      <wp:wrapNone/>
                      <wp:docPr id="41" name="文本框 211"/>
                      <wp:cNvGraphicFramePr/>
                      <a:graphic xmlns:a="http://schemas.openxmlformats.org/drawingml/2006/main">
                        <a:graphicData uri="http://schemas.microsoft.com/office/word/2010/wordprocessingShape">
                          <wps:wsp>
                            <wps:cNvSpPr txBox="1"/>
                            <wps:spPr>
                              <a:xfrm>
                                <a:off x="0" y="0"/>
                                <a:ext cx="781050" cy="352425"/>
                              </a:xfrm>
                              <a:prstGeom prst="rect">
                                <a:avLst/>
                              </a:prstGeom>
                              <a:noFill/>
                              <a:ln w="15875">
                                <a:noFill/>
                              </a:ln>
                            </wps:spPr>
                            <wps:txbx>
                              <w:txbxContent>
                                <w:p w14:paraId="2330FD35">
                                  <w:r>
                                    <w:rPr>
                                      <w:rFonts w:hint="eastAsia"/>
                                    </w:rPr>
                                    <w:t>检测结果</w:t>
                                  </w:r>
                                </w:p>
                              </w:txbxContent>
                            </wps:txbx>
                            <wps:bodyPr upright="1"/>
                          </wps:wsp>
                        </a:graphicData>
                      </a:graphic>
                    </wp:anchor>
                  </w:drawing>
                </mc:Choice>
                <mc:Fallback>
                  <w:pict>
                    <v:shape id="文本框 211" o:spid="_x0000_s1026" o:spt="202" type="#_x0000_t202" style="position:absolute;left:0pt;margin-left:25.15pt;margin-top:1.05pt;height:27.75pt;width:61.5pt;z-index:251676672;mso-width-relative:page;mso-height-relative:page;" filled="f" stroked="f" coordsize="21600,21600" o:gfxdata="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CVNqgLYAAAABwEAAA8AAAAAAAAAAQAgAAAAIgAAAGRycy9kb3ducmV2LnhtbFBLAQIUABQA&#10;AAAIAIdO4kDOEBNgtwEAAFoDAAAOAAAAAAAAAAEAIAAAACcBAABkcnMvZTJvRG9jLnhtbFBLBQYA&#10;AAAABgAGAFkBAABQBQAAAAA=&#10;">
                      <v:fill on="f" focussize="0,0"/>
                      <v:stroke on="f" weight="1.25pt"/>
                      <v:imagedata o:title=""/>
                      <o:lock v:ext="edit" aspectratio="f"/>
                      <v:textbox>
                        <w:txbxContent>
                          <w:p w14:paraId="2330FD35">
                            <w:r>
                              <w:rPr>
                                <w:rFonts w:hint="eastAsia"/>
                              </w:rPr>
                              <w:t>检测结果</w:t>
                            </w:r>
                          </w:p>
                        </w:txbxContent>
                      </v:textbox>
                    </v:shape>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-62865</wp:posOffset>
                      </wp:positionH>
                      <wp:positionV relativeFrom="paragraph">
                        <wp:posOffset>13335</wp:posOffset>
                      </wp:positionV>
                      <wp:extent cx="1226185" cy="553720"/>
                      <wp:effectExtent l="2540" t="5715" r="9525" b="12065"/>
                      <wp:wrapNone/>
                      <wp:docPr id="48" name="直接连接符 48"/>
                      <wp:cNvGraphicFramePr/>
                      <a:graphic xmlns:a="http://schemas.openxmlformats.org/drawingml/2006/main">
                        <a:graphicData uri="http://schemas.microsoft.com/office/word/2010/wordprocessingShape">
                          <wps:wsp>
                            <wps:cNvCnPr/>
                            <wps:spPr>
                              <a:xfrm>
                                <a:off x="0" y="0"/>
                                <a:ext cx="1226185" cy="55372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95pt;margin-top:1.05pt;height:43.6pt;width:96.55pt;z-index:251682816;mso-width-relative:page;mso-height-relative:page;" filled="f" stroked="t" coordsize="21600,21600" o:gfxdata="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6tWe&#10;TNcAAAAHAQAADwAAAAAAAAABACAAAAAiAAAAZHJzL2Rvd25yZXYueG1sUEsBAhQAFAAAAAgAh07i&#10;QBz8otfqAQAAuQMAAA4AAAAAAAAAAQAgAAAAJgEAAGRycy9lMm9Eb2MueG1sUEsFBgAAAAAGAAYA&#10;WQEAAIIFAAAAAA==&#10;">
                      <v:fill on="f" focussize="0,0"/>
                      <v:stroke weight="1pt" color="#000000 [3213]" miterlimit="8" joinstyle="miter"/>
                      <v:imagedata o:title=""/>
                      <o:lock v:ext="edit" aspectratio="f"/>
                    </v:line>
                  </w:pict>
                </mc:Fallback>
              </mc:AlternateContent>
            </w:r>
            <w:r>
              <w:rPr>
                <w:rFonts w:hint="eastAsia" w:ascii="Times New Roman" w:hAnsi="Times New Roman" w:cs="Times New Roman"/>
                <w:color w:val="auto"/>
                <w:sz w:val="21"/>
                <w:szCs w:val="21"/>
                <w:highlight w:val="none"/>
                <w:lang w:val="en-US" w:eastAsia="zh-CN"/>
              </w:rPr>
              <mc:AlternateContent>
                <mc:Choice Requires="wps">
                  <w:drawing>
                    <wp:anchor distT="0" distB="0" distL="114300" distR="114300" simplePos="0" relativeHeight="251677696" behindDoc="0" locked="0" layoutInCell="1" allowOverlap="1">
                      <wp:simplePos x="0" y="0"/>
                      <wp:positionH relativeFrom="column">
                        <wp:posOffset>-38100</wp:posOffset>
                      </wp:positionH>
                      <wp:positionV relativeFrom="paragraph">
                        <wp:posOffset>185420</wp:posOffset>
                      </wp:positionV>
                      <wp:extent cx="781050" cy="352425"/>
                      <wp:effectExtent l="0" t="0" r="0" b="0"/>
                      <wp:wrapNone/>
                      <wp:docPr id="42" name="文本框 210"/>
                      <wp:cNvGraphicFramePr/>
                      <a:graphic xmlns:a="http://schemas.openxmlformats.org/drawingml/2006/main">
                        <a:graphicData uri="http://schemas.microsoft.com/office/word/2010/wordprocessingShape">
                          <wps:wsp>
                            <wps:cNvSpPr txBox="1"/>
                            <wps:spPr>
                              <a:xfrm>
                                <a:off x="0" y="0"/>
                                <a:ext cx="781050" cy="352425"/>
                              </a:xfrm>
                              <a:prstGeom prst="rect">
                                <a:avLst/>
                              </a:prstGeom>
                              <a:noFill/>
                              <a:ln w="15875">
                                <a:noFill/>
                              </a:ln>
                            </wps:spPr>
                            <wps:txbx>
                              <w:txbxContent>
                                <w:p w14:paraId="7D5E6E4D">
                                  <w:r>
                                    <w:rPr>
                                      <w:rFonts w:hint="eastAsia"/>
                                    </w:rPr>
                                    <w:t>项目</w:t>
                                  </w:r>
                                </w:p>
                              </w:txbxContent>
                            </wps:txbx>
                            <wps:bodyPr upright="1"/>
                          </wps:wsp>
                        </a:graphicData>
                      </a:graphic>
                    </wp:anchor>
                  </w:drawing>
                </mc:Choice>
                <mc:Fallback>
                  <w:pict>
                    <v:shape id="文本框 210" o:spid="_x0000_s1026" o:spt="202" type="#_x0000_t202" style="position:absolute;left:0pt;margin-left:-3pt;margin-top:14.6pt;height:27.75pt;width:61.5pt;z-index:251677696;mso-width-relative:page;mso-height-relative:page;" filled="f" stroked="f" coordsize="21600,21600" o:gfxdata="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5k0Qt9sAAAAIAQAADwAAAAAAAAABACAAAAAiAAAAZHJzL2Rvd25yZXYueG1sUEsBAhQA&#10;FAAAAAgAh07iQO9ohS62AQAAWgMAAA4AAAAAAAAAAQAgAAAAKgEAAGRycy9lMm9Eb2MueG1sUEsF&#10;BgAAAAAGAAYAWQEAAFIFAAAAAA==&#10;">
                      <v:fill on="f" focussize="0,0"/>
                      <v:stroke on="f" weight="1.25pt"/>
                      <v:imagedata o:title=""/>
                      <o:lock v:ext="edit" aspectratio="f"/>
                      <v:textbox>
                        <w:txbxContent>
                          <w:p w14:paraId="7D5E6E4D">
                            <w:r>
                              <w:rPr>
                                <w:rFonts w:hint="eastAsia"/>
                              </w:rPr>
                              <w:t>项目</w:t>
                            </w:r>
                          </w:p>
                        </w:txbxContent>
                      </v:textbox>
                    </v:shape>
                  </w:pict>
                </mc:Fallback>
              </mc:AlternateContent>
            </w:r>
          </w:p>
        </w:tc>
        <w:tc>
          <w:tcPr>
            <w:tcW w:w="7477" w:type="dxa"/>
            <w:gridSpan w:val="10"/>
            <w:tcBorders>
              <w:tl2br w:val="nil"/>
              <w:tr2bl w:val="nil"/>
            </w:tcBorders>
            <w:vAlign w:val="center"/>
          </w:tcPr>
          <w:p w14:paraId="22DA7E3E">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样品编号</w:t>
            </w:r>
          </w:p>
        </w:tc>
      </w:tr>
      <w:tr w14:paraId="7237A3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1962" w:type="dxa"/>
            <w:vMerge w:val="continue"/>
            <w:tcBorders>
              <w:tl2br w:val="nil"/>
              <w:tr2bl w:val="nil"/>
            </w:tcBorders>
            <w:vAlign w:val="center"/>
          </w:tcPr>
          <w:p w14:paraId="701E007C">
            <w:pPr>
              <w:jc w:val="center"/>
              <w:rPr>
                <w:rFonts w:hint="eastAsia" w:ascii="Times New Roman" w:hAnsi="Times New Roman" w:cs="Times New Roman"/>
                <w:color w:val="auto"/>
                <w:sz w:val="21"/>
                <w:szCs w:val="21"/>
                <w:highlight w:val="none"/>
                <w:lang w:val="en-US" w:eastAsia="zh-CN"/>
              </w:rPr>
            </w:pPr>
          </w:p>
        </w:tc>
        <w:tc>
          <w:tcPr>
            <w:tcW w:w="1869" w:type="dxa"/>
            <w:gridSpan w:val="4"/>
            <w:tcBorders>
              <w:tl2br w:val="nil"/>
              <w:tr2bl w:val="nil"/>
            </w:tcBorders>
            <w:vAlign w:val="center"/>
          </w:tcPr>
          <w:p w14:paraId="20401C83">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W25103007-TR-11</w:t>
            </w:r>
            <w:r>
              <w:rPr>
                <w:rFonts w:hint="eastAsia" w:ascii="Times New Roman" w:hAnsi="Times New Roman" w:cs="Times New Roman"/>
                <w:highlight w:val="none"/>
                <w:lang w:val="en-US" w:eastAsia="zh-CN"/>
              </w:rPr>
              <w:t>11</w:t>
            </w:r>
          </w:p>
        </w:tc>
        <w:tc>
          <w:tcPr>
            <w:tcW w:w="1869" w:type="dxa"/>
            <w:gridSpan w:val="2"/>
            <w:tcBorders>
              <w:tl2br w:val="nil"/>
              <w:tr2bl w:val="nil"/>
            </w:tcBorders>
            <w:vAlign w:val="center"/>
          </w:tcPr>
          <w:p w14:paraId="09604C26">
            <w:pPr>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W25103007-TR-12</w:t>
            </w:r>
            <w:r>
              <w:rPr>
                <w:rFonts w:hint="eastAsia" w:ascii="Times New Roman" w:hAnsi="Times New Roman" w:cs="Times New Roman"/>
                <w:highlight w:val="none"/>
                <w:lang w:val="en-US" w:eastAsia="zh-CN"/>
              </w:rPr>
              <w:t>11</w:t>
            </w:r>
          </w:p>
        </w:tc>
        <w:tc>
          <w:tcPr>
            <w:tcW w:w="1869" w:type="dxa"/>
            <w:gridSpan w:val="3"/>
            <w:tcBorders>
              <w:tl2br w:val="nil"/>
              <w:tr2bl w:val="nil"/>
            </w:tcBorders>
            <w:shd w:val="clear" w:color="auto" w:fill="auto"/>
            <w:vAlign w:val="center"/>
          </w:tcPr>
          <w:p w14:paraId="10D095C0">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W25103007-TR-13</w:t>
            </w:r>
            <w:r>
              <w:rPr>
                <w:rFonts w:hint="eastAsia" w:ascii="Times New Roman" w:hAnsi="Times New Roman" w:cs="Times New Roman"/>
                <w:highlight w:val="none"/>
                <w:lang w:val="en-US" w:eastAsia="zh-CN"/>
              </w:rPr>
              <w:t>11</w:t>
            </w:r>
          </w:p>
        </w:tc>
        <w:tc>
          <w:tcPr>
            <w:tcW w:w="1870" w:type="dxa"/>
            <w:tcBorders>
              <w:tl2br w:val="nil"/>
              <w:tr2bl w:val="nil"/>
            </w:tcBorders>
            <w:shd w:val="clear" w:color="auto" w:fill="auto"/>
            <w:vAlign w:val="center"/>
          </w:tcPr>
          <w:p w14:paraId="58DAC266">
            <w:pPr>
              <w:jc w:val="center"/>
              <w:rPr>
                <w:rFonts w:hint="eastAsia" w:ascii="Times New Roman" w:hAnsi="Times New Roman" w:cs="Times New Roman" w:eastAsiaTheme="minorEastAsia"/>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W25103007-TR-14</w:t>
            </w:r>
            <w:r>
              <w:rPr>
                <w:rFonts w:hint="eastAsia" w:ascii="Times New Roman" w:hAnsi="Times New Roman" w:cs="Times New Roman"/>
                <w:highlight w:val="none"/>
                <w:lang w:val="en-US" w:eastAsia="zh-CN"/>
              </w:rPr>
              <w:t>11</w:t>
            </w:r>
          </w:p>
        </w:tc>
      </w:tr>
      <w:tr w14:paraId="3C9E67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962" w:type="dxa"/>
            <w:tcBorders>
              <w:tl2br w:val="nil"/>
              <w:tr2bl w:val="nil"/>
            </w:tcBorders>
            <w:shd w:val="clear" w:color="auto" w:fill="auto"/>
            <w:vAlign w:val="center"/>
          </w:tcPr>
          <w:p w14:paraId="00CB7694">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highlight w:val="none"/>
                <w:lang w:val="en-US" w:eastAsia="zh-CN"/>
              </w:rPr>
              <w:t>砷 (mg/kg)</w:t>
            </w:r>
          </w:p>
        </w:tc>
        <w:tc>
          <w:tcPr>
            <w:tcW w:w="1869" w:type="dxa"/>
            <w:gridSpan w:val="4"/>
            <w:tcBorders>
              <w:tl2br w:val="nil"/>
              <w:tr2bl w:val="nil"/>
            </w:tcBorders>
            <w:shd w:val="clear" w:color="auto" w:fill="auto"/>
            <w:vAlign w:val="center"/>
          </w:tcPr>
          <w:p w14:paraId="4F8BF45A">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7.94</w:t>
            </w:r>
          </w:p>
        </w:tc>
        <w:tc>
          <w:tcPr>
            <w:tcW w:w="1869" w:type="dxa"/>
            <w:gridSpan w:val="2"/>
            <w:tcBorders>
              <w:tl2br w:val="nil"/>
              <w:tr2bl w:val="nil"/>
            </w:tcBorders>
            <w:shd w:val="clear" w:color="auto" w:fill="auto"/>
            <w:vAlign w:val="center"/>
          </w:tcPr>
          <w:p w14:paraId="4CB47117">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8.05</w:t>
            </w:r>
          </w:p>
        </w:tc>
        <w:tc>
          <w:tcPr>
            <w:tcW w:w="1869" w:type="dxa"/>
            <w:gridSpan w:val="3"/>
            <w:tcBorders>
              <w:tl2br w:val="nil"/>
              <w:tr2bl w:val="nil"/>
            </w:tcBorders>
            <w:shd w:val="clear" w:color="auto" w:fill="auto"/>
            <w:vAlign w:val="center"/>
          </w:tcPr>
          <w:p w14:paraId="464BF6DB">
            <w:pPr>
              <w:bidi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6.98</w:t>
            </w:r>
          </w:p>
        </w:tc>
        <w:tc>
          <w:tcPr>
            <w:tcW w:w="1870" w:type="dxa"/>
            <w:tcBorders>
              <w:tl2br w:val="nil"/>
              <w:tr2bl w:val="nil"/>
            </w:tcBorders>
            <w:shd w:val="clear" w:color="auto" w:fill="auto"/>
            <w:vAlign w:val="center"/>
          </w:tcPr>
          <w:p w14:paraId="616CA0DE">
            <w:pPr>
              <w:bidi w:val="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8.43</w:t>
            </w:r>
          </w:p>
        </w:tc>
      </w:tr>
      <w:tr w14:paraId="275535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042AED36">
            <w:pPr>
              <w:jc w:val="center"/>
              <w:rPr>
                <w:rFonts w:hint="eastAsia" w:ascii="Times New Roman" w:hAnsi="Times New Roman" w:cs="Times New Roman" w:eastAsiaTheme="minorEastAsia"/>
                <w:kern w:val="2"/>
                <w:sz w:val="21"/>
                <w:szCs w:val="21"/>
                <w:lang w:val="en-US" w:eastAsia="zh-CN" w:bidi="ar-SA"/>
              </w:rPr>
            </w:pPr>
            <w:r>
              <w:rPr>
                <w:rFonts w:ascii="Times New Roman" w:hAnsi="Times New Roman" w:cs="Times New Roman"/>
                <w:szCs w:val="21"/>
                <w:highlight w:val="none"/>
              </w:rPr>
              <w:t>镉 (mg/kg)</w:t>
            </w:r>
          </w:p>
        </w:tc>
        <w:tc>
          <w:tcPr>
            <w:tcW w:w="1869" w:type="dxa"/>
            <w:gridSpan w:val="4"/>
            <w:tcBorders>
              <w:tl2br w:val="nil"/>
              <w:tr2bl w:val="nil"/>
            </w:tcBorders>
            <w:shd w:val="clear" w:color="auto" w:fill="auto"/>
            <w:vAlign w:val="center"/>
          </w:tcPr>
          <w:p w14:paraId="7A2137C6">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0.21</w:t>
            </w:r>
          </w:p>
        </w:tc>
        <w:tc>
          <w:tcPr>
            <w:tcW w:w="1869" w:type="dxa"/>
            <w:gridSpan w:val="2"/>
            <w:tcBorders>
              <w:tl2br w:val="nil"/>
              <w:tr2bl w:val="nil"/>
            </w:tcBorders>
            <w:shd w:val="clear" w:color="auto" w:fill="auto"/>
            <w:vAlign w:val="center"/>
          </w:tcPr>
          <w:p w14:paraId="65AFAD7A">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0.19</w:t>
            </w:r>
          </w:p>
        </w:tc>
        <w:tc>
          <w:tcPr>
            <w:tcW w:w="1869" w:type="dxa"/>
            <w:gridSpan w:val="3"/>
            <w:tcBorders>
              <w:tl2br w:val="nil"/>
              <w:tr2bl w:val="nil"/>
            </w:tcBorders>
            <w:shd w:val="clear" w:color="auto" w:fill="auto"/>
            <w:vAlign w:val="center"/>
          </w:tcPr>
          <w:p w14:paraId="5B0D0626">
            <w:pPr>
              <w:bidi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0.20</w:t>
            </w:r>
          </w:p>
        </w:tc>
        <w:tc>
          <w:tcPr>
            <w:tcW w:w="1870" w:type="dxa"/>
            <w:tcBorders>
              <w:tl2br w:val="nil"/>
              <w:tr2bl w:val="nil"/>
            </w:tcBorders>
            <w:shd w:val="clear" w:color="auto" w:fill="auto"/>
            <w:vAlign w:val="center"/>
          </w:tcPr>
          <w:p w14:paraId="75CE5741">
            <w:pPr>
              <w:bidi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lang w:val="en-US" w:eastAsia="zh-CN"/>
              </w:rPr>
              <w:t>0.17</w:t>
            </w:r>
          </w:p>
        </w:tc>
      </w:tr>
      <w:tr w14:paraId="46A200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713F2D98">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六价铬</w:t>
            </w:r>
            <w:r>
              <w:rPr>
                <w:rFonts w:ascii="Times New Roman" w:hAnsi="Times New Roman" w:cs="Times New Roman"/>
                <w:szCs w:val="21"/>
                <w:highlight w:val="none"/>
              </w:rPr>
              <w:t xml:space="preserve"> (mg/kg)</w:t>
            </w:r>
          </w:p>
        </w:tc>
        <w:tc>
          <w:tcPr>
            <w:tcW w:w="1869" w:type="dxa"/>
            <w:gridSpan w:val="4"/>
            <w:tcBorders>
              <w:tl2br w:val="nil"/>
              <w:tr2bl w:val="nil"/>
            </w:tcBorders>
            <w:shd w:val="clear" w:color="auto" w:fill="auto"/>
            <w:vAlign w:val="center"/>
          </w:tcPr>
          <w:p w14:paraId="333A868B">
            <w:pPr>
              <w:widowControl/>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1869" w:type="dxa"/>
            <w:gridSpan w:val="2"/>
            <w:tcBorders>
              <w:tl2br w:val="nil"/>
              <w:tr2bl w:val="nil"/>
            </w:tcBorders>
            <w:shd w:val="clear" w:color="auto" w:fill="auto"/>
            <w:vAlign w:val="center"/>
          </w:tcPr>
          <w:p w14:paraId="10B9C744">
            <w:pPr>
              <w:widowControl/>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1869" w:type="dxa"/>
            <w:gridSpan w:val="3"/>
            <w:tcBorders>
              <w:tl2br w:val="nil"/>
              <w:tr2bl w:val="nil"/>
            </w:tcBorders>
            <w:shd w:val="clear" w:color="auto" w:fill="auto"/>
            <w:vAlign w:val="center"/>
          </w:tcPr>
          <w:p w14:paraId="365477AD">
            <w:pPr>
              <w:widowControl/>
              <w:jc w:val="center"/>
              <w:textAlignment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1870" w:type="dxa"/>
            <w:tcBorders>
              <w:tl2br w:val="nil"/>
              <w:tr2bl w:val="nil"/>
            </w:tcBorders>
            <w:shd w:val="clear" w:color="auto" w:fill="auto"/>
            <w:vAlign w:val="center"/>
          </w:tcPr>
          <w:p w14:paraId="7005E0E4">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ND</w:t>
            </w:r>
          </w:p>
        </w:tc>
      </w:tr>
      <w:tr w14:paraId="161B58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2CE9BF60">
            <w:pPr>
              <w:jc w:val="center"/>
              <w:rPr>
                <w:rFonts w:hint="eastAsia" w:ascii="Times New Roman" w:hAnsi="Times New Roman" w:cs="Times New Roman" w:eastAsiaTheme="minorEastAsia"/>
                <w:kern w:val="2"/>
                <w:sz w:val="21"/>
                <w:szCs w:val="21"/>
                <w:lang w:val="en-US" w:eastAsia="zh-CN" w:bidi="ar-SA"/>
              </w:rPr>
            </w:pPr>
            <w:r>
              <w:rPr>
                <w:rFonts w:hint="eastAsia" w:ascii="宋体" w:hAnsi="宋体" w:eastAsia="宋体" w:cs="宋体"/>
                <w:color w:val="000000"/>
                <w:kern w:val="0"/>
                <w:sz w:val="22"/>
                <w:szCs w:val="22"/>
                <w:highlight w:val="none"/>
                <w:lang w:bidi="ar"/>
              </w:rPr>
              <w:t>铜</w:t>
            </w:r>
            <w:r>
              <w:rPr>
                <w:rFonts w:ascii="Times New Roman" w:hAnsi="Times New Roman" w:cs="Times New Roman"/>
                <w:szCs w:val="21"/>
                <w:highlight w:val="none"/>
              </w:rPr>
              <w:t xml:space="preserve"> (mg/kg)</w:t>
            </w:r>
          </w:p>
        </w:tc>
        <w:tc>
          <w:tcPr>
            <w:tcW w:w="1869" w:type="dxa"/>
            <w:gridSpan w:val="4"/>
            <w:tcBorders>
              <w:tl2br w:val="nil"/>
              <w:tr2bl w:val="nil"/>
            </w:tcBorders>
            <w:shd w:val="clear" w:color="auto" w:fill="auto"/>
            <w:vAlign w:val="center"/>
          </w:tcPr>
          <w:p w14:paraId="7BEDBB92">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35</w:t>
            </w:r>
          </w:p>
        </w:tc>
        <w:tc>
          <w:tcPr>
            <w:tcW w:w="1869" w:type="dxa"/>
            <w:gridSpan w:val="2"/>
            <w:tcBorders>
              <w:tl2br w:val="nil"/>
              <w:tr2bl w:val="nil"/>
            </w:tcBorders>
            <w:shd w:val="clear" w:color="auto" w:fill="auto"/>
            <w:vAlign w:val="center"/>
          </w:tcPr>
          <w:p w14:paraId="12E651F7">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34</w:t>
            </w:r>
          </w:p>
        </w:tc>
        <w:tc>
          <w:tcPr>
            <w:tcW w:w="1869" w:type="dxa"/>
            <w:gridSpan w:val="3"/>
            <w:tcBorders>
              <w:tl2br w:val="nil"/>
              <w:tr2bl w:val="nil"/>
            </w:tcBorders>
            <w:shd w:val="clear" w:color="auto" w:fill="auto"/>
            <w:vAlign w:val="center"/>
          </w:tcPr>
          <w:p w14:paraId="21DA4D57">
            <w:pPr>
              <w:bidi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43</w:t>
            </w:r>
          </w:p>
        </w:tc>
        <w:tc>
          <w:tcPr>
            <w:tcW w:w="1870" w:type="dxa"/>
            <w:tcBorders>
              <w:tl2br w:val="nil"/>
              <w:tr2bl w:val="nil"/>
            </w:tcBorders>
            <w:shd w:val="clear" w:color="auto" w:fill="auto"/>
            <w:vAlign w:val="center"/>
          </w:tcPr>
          <w:p w14:paraId="05B02DE1">
            <w:pPr>
              <w:bidi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 w:val="21"/>
                <w:szCs w:val="21"/>
                <w:lang w:val="en-US" w:eastAsia="zh-CN"/>
              </w:rPr>
              <w:t>29</w:t>
            </w:r>
          </w:p>
        </w:tc>
      </w:tr>
      <w:tr w14:paraId="140306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6E2EB0C0">
            <w:pPr>
              <w:jc w:val="center"/>
              <w:rPr>
                <w:rFonts w:hint="eastAsia" w:ascii="Times New Roman" w:hAnsi="Times New Roman" w:cs="Times New Roman" w:eastAsiaTheme="minorEastAsia"/>
                <w:kern w:val="2"/>
                <w:sz w:val="21"/>
                <w:szCs w:val="21"/>
                <w:lang w:val="en-US" w:eastAsia="zh-CN" w:bidi="ar-SA"/>
              </w:rPr>
            </w:pPr>
            <w:r>
              <w:rPr>
                <w:rFonts w:ascii="Times New Roman" w:hAnsi="Times New Roman" w:cs="Times New Roman"/>
                <w:szCs w:val="21"/>
                <w:highlight w:val="none"/>
              </w:rPr>
              <w:t>铅 (mg/kg)</w:t>
            </w:r>
          </w:p>
        </w:tc>
        <w:tc>
          <w:tcPr>
            <w:tcW w:w="1869" w:type="dxa"/>
            <w:gridSpan w:val="4"/>
            <w:tcBorders>
              <w:tl2br w:val="nil"/>
              <w:tr2bl w:val="nil"/>
            </w:tcBorders>
            <w:shd w:val="clear" w:color="auto" w:fill="auto"/>
            <w:vAlign w:val="center"/>
          </w:tcPr>
          <w:p w14:paraId="7DA23BF2">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24</w:t>
            </w:r>
          </w:p>
        </w:tc>
        <w:tc>
          <w:tcPr>
            <w:tcW w:w="1869" w:type="dxa"/>
            <w:gridSpan w:val="2"/>
            <w:tcBorders>
              <w:tl2br w:val="nil"/>
              <w:tr2bl w:val="nil"/>
            </w:tcBorders>
            <w:shd w:val="clear" w:color="auto" w:fill="auto"/>
            <w:vAlign w:val="center"/>
          </w:tcPr>
          <w:p w14:paraId="1A072B45">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27</w:t>
            </w:r>
          </w:p>
        </w:tc>
        <w:tc>
          <w:tcPr>
            <w:tcW w:w="1869" w:type="dxa"/>
            <w:gridSpan w:val="3"/>
            <w:tcBorders>
              <w:tl2br w:val="nil"/>
              <w:tr2bl w:val="nil"/>
            </w:tcBorders>
            <w:shd w:val="clear" w:color="auto" w:fill="auto"/>
            <w:vAlign w:val="center"/>
          </w:tcPr>
          <w:p w14:paraId="69D019DF">
            <w:pPr>
              <w:bidi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30</w:t>
            </w:r>
          </w:p>
        </w:tc>
        <w:tc>
          <w:tcPr>
            <w:tcW w:w="1870" w:type="dxa"/>
            <w:tcBorders>
              <w:tl2br w:val="nil"/>
              <w:tr2bl w:val="nil"/>
            </w:tcBorders>
            <w:shd w:val="clear" w:color="auto" w:fill="auto"/>
            <w:vAlign w:val="center"/>
          </w:tcPr>
          <w:p w14:paraId="77BC1DDD">
            <w:pPr>
              <w:bidi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35</w:t>
            </w:r>
          </w:p>
        </w:tc>
      </w:tr>
      <w:tr w14:paraId="611236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5B4A365D">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highlight w:val="none"/>
                <w:lang w:val="en-US" w:eastAsia="zh-CN"/>
              </w:rPr>
              <w:t>汞 (mg/kg)</w:t>
            </w:r>
          </w:p>
        </w:tc>
        <w:tc>
          <w:tcPr>
            <w:tcW w:w="1869" w:type="dxa"/>
            <w:gridSpan w:val="4"/>
            <w:tcBorders>
              <w:tl2br w:val="nil"/>
              <w:tr2bl w:val="nil"/>
            </w:tcBorders>
            <w:shd w:val="clear" w:color="auto" w:fill="auto"/>
            <w:vAlign w:val="center"/>
          </w:tcPr>
          <w:p w14:paraId="1DCF0140">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0.067</w:t>
            </w:r>
          </w:p>
        </w:tc>
        <w:tc>
          <w:tcPr>
            <w:tcW w:w="1869" w:type="dxa"/>
            <w:gridSpan w:val="2"/>
            <w:tcBorders>
              <w:tl2br w:val="nil"/>
              <w:tr2bl w:val="nil"/>
            </w:tcBorders>
            <w:shd w:val="clear" w:color="auto" w:fill="auto"/>
            <w:vAlign w:val="center"/>
          </w:tcPr>
          <w:p w14:paraId="584AADD4">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0.085</w:t>
            </w:r>
          </w:p>
        </w:tc>
        <w:tc>
          <w:tcPr>
            <w:tcW w:w="1869" w:type="dxa"/>
            <w:gridSpan w:val="3"/>
            <w:tcBorders>
              <w:tl2br w:val="nil"/>
              <w:tr2bl w:val="nil"/>
            </w:tcBorders>
            <w:shd w:val="clear" w:color="auto" w:fill="auto"/>
            <w:vAlign w:val="center"/>
          </w:tcPr>
          <w:p w14:paraId="5E9E8D90">
            <w:pPr>
              <w:bidi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0.074</w:t>
            </w:r>
          </w:p>
        </w:tc>
        <w:tc>
          <w:tcPr>
            <w:tcW w:w="1870" w:type="dxa"/>
            <w:tcBorders>
              <w:tl2br w:val="nil"/>
              <w:tr2bl w:val="nil"/>
            </w:tcBorders>
            <w:shd w:val="clear" w:color="auto" w:fill="auto"/>
            <w:vAlign w:val="center"/>
          </w:tcPr>
          <w:p w14:paraId="47A41608">
            <w:pPr>
              <w:bidi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0.038</w:t>
            </w:r>
          </w:p>
        </w:tc>
      </w:tr>
      <w:tr w14:paraId="2F9AB9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2A907F13">
            <w:pPr>
              <w:jc w:val="center"/>
              <w:rPr>
                <w:rFonts w:hint="eastAsia" w:ascii="Times New Roman" w:hAnsi="Times New Roman" w:cs="Times New Roman" w:eastAsiaTheme="minorEastAsia"/>
                <w:kern w:val="2"/>
                <w:sz w:val="21"/>
                <w:szCs w:val="21"/>
                <w:lang w:val="en-US" w:eastAsia="zh-CN" w:bidi="ar-SA"/>
              </w:rPr>
            </w:pPr>
            <w:r>
              <w:rPr>
                <w:rFonts w:ascii="Times New Roman" w:hAnsi="Times New Roman" w:cs="Times New Roman"/>
                <w:szCs w:val="21"/>
                <w:highlight w:val="none"/>
              </w:rPr>
              <w:t>镍 (mg/kg)</w:t>
            </w:r>
          </w:p>
        </w:tc>
        <w:tc>
          <w:tcPr>
            <w:tcW w:w="1869" w:type="dxa"/>
            <w:gridSpan w:val="4"/>
            <w:tcBorders>
              <w:tl2br w:val="nil"/>
              <w:tr2bl w:val="nil"/>
            </w:tcBorders>
            <w:shd w:val="clear" w:color="auto" w:fill="auto"/>
            <w:vAlign w:val="center"/>
          </w:tcPr>
          <w:p w14:paraId="6B31E33B">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41</w:t>
            </w:r>
          </w:p>
        </w:tc>
        <w:tc>
          <w:tcPr>
            <w:tcW w:w="1869" w:type="dxa"/>
            <w:gridSpan w:val="2"/>
            <w:tcBorders>
              <w:tl2br w:val="nil"/>
              <w:tr2bl w:val="nil"/>
            </w:tcBorders>
            <w:shd w:val="clear" w:color="auto" w:fill="auto"/>
            <w:vAlign w:val="center"/>
          </w:tcPr>
          <w:p w14:paraId="67C4B87A">
            <w:pPr>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42</w:t>
            </w:r>
          </w:p>
        </w:tc>
        <w:tc>
          <w:tcPr>
            <w:tcW w:w="1869" w:type="dxa"/>
            <w:gridSpan w:val="3"/>
            <w:tcBorders>
              <w:tl2br w:val="nil"/>
              <w:tr2bl w:val="nil"/>
            </w:tcBorders>
            <w:shd w:val="clear" w:color="auto" w:fill="auto"/>
            <w:vAlign w:val="center"/>
          </w:tcPr>
          <w:p w14:paraId="7145D5CC">
            <w:pPr>
              <w:bidi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34</w:t>
            </w:r>
          </w:p>
        </w:tc>
        <w:tc>
          <w:tcPr>
            <w:tcW w:w="1870" w:type="dxa"/>
            <w:tcBorders>
              <w:tl2br w:val="nil"/>
              <w:tr2bl w:val="nil"/>
            </w:tcBorders>
            <w:shd w:val="clear" w:color="auto" w:fill="auto"/>
            <w:vAlign w:val="center"/>
          </w:tcPr>
          <w:p w14:paraId="524C2156">
            <w:pPr>
              <w:bidi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29</w:t>
            </w:r>
          </w:p>
        </w:tc>
      </w:tr>
      <w:tr w14:paraId="2C7EBC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6C43F6C7">
            <w:pPr>
              <w:jc w:val="center"/>
              <w:rPr>
                <w:rFonts w:hint="eastAsia" w:ascii="Times New Roman" w:hAnsi="Times New Roman" w:eastAsia="宋体" w:cs="Times New Roman"/>
                <w:color w:val="000000"/>
                <w:kern w:val="2"/>
                <w:sz w:val="21"/>
                <w:szCs w:val="21"/>
                <w:highlight w:val="none"/>
                <w:lang w:val="en-US" w:eastAsia="zh-CN" w:bidi="ar-SA"/>
              </w:rPr>
            </w:pPr>
            <w:r>
              <w:rPr>
                <w:rFonts w:ascii="Times New Roman" w:hAnsi="Times New Roman" w:cs="Times New Roman"/>
                <w:szCs w:val="21"/>
              </w:rPr>
              <w:t>石油烃 (C</w:t>
            </w:r>
            <w:r>
              <w:rPr>
                <w:rFonts w:ascii="Times New Roman" w:hAnsi="Times New Roman" w:cs="Times New Roman"/>
                <w:szCs w:val="21"/>
                <w:vertAlign w:val="subscript"/>
              </w:rPr>
              <w:t>10</w:t>
            </w:r>
            <w:r>
              <w:rPr>
                <w:rFonts w:ascii="Times New Roman" w:hAnsi="Times New Roman" w:cs="Times New Roman"/>
                <w:szCs w:val="21"/>
              </w:rPr>
              <w:t>-C</w:t>
            </w:r>
            <w:r>
              <w:rPr>
                <w:rFonts w:ascii="Times New Roman" w:hAnsi="Times New Roman" w:cs="Times New Roman"/>
                <w:szCs w:val="21"/>
                <w:vertAlign w:val="subscript"/>
              </w:rPr>
              <w:t>40</w:t>
            </w:r>
            <w:r>
              <w:rPr>
                <w:rFonts w:ascii="Times New Roman" w:hAnsi="Times New Roman" w:cs="Times New Roman"/>
                <w:szCs w:val="21"/>
              </w:rPr>
              <w:t>) （mg/kg）</w:t>
            </w:r>
          </w:p>
        </w:tc>
        <w:tc>
          <w:tcPr>
            <w:tcW w:w="1869" w:type="dxa"/>
            <w:gridSpan w:val="4"/>
            <w:tcBorders>
              <w:tl2br w:val="nil"/>
              <w:tr2bl w:val="nil"/>
            </w:tcBorders>
            <w:shd w:val="clear" w:color="auto" w:fill="auto"/>
            <w:vAlign w:val="center"/>
          </w:tcPr>
          <w:p w14:paraId="28FEA251">
            <w:pPr>
              <w:widowControl/>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bCs/>
                <w:color w:val="auto"/>
                <w:sz w:val="21"/>
                <w:szCs w:val="21"/>
                <w:lang w:val="en-US" w:eastAsia="zh-CN"/>
              </w:rPr>
              <w:t>17</w:t>
            </w:r>
          </w:p>
        </w:tc>
        <w:tc>
          <w:tcPr>
            <w:tcW w:w="1869" w:type="dxa"/>
            <w:gridSpan w:val="2"/>
            <w:tcBorders>
              <w:tl2br w:val="nil"/>
              <w:tr2bl w:val="nil"/>
            </w:tcBorders>
            <w:shd w:val="clear" w:color="auto" w:fill="auto"/>
            <w:vAlign w:val="center"/>
          </w:tcPr>
          <w:p w14:paraId="5F253A78">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22</w:t>
            </w:r>
          </w:p>
        </w:tc>
        <w:tc>
          <w:tcPr>
            <w:tcW w:w="1869" w:type="dxa"/>
            <w:gridSpan w:val="3"/>
            <w:tcBorders>
              <w:tl2br w:val="nil"/>
              <w:tr2bl w:val="nil"/>
            </w:tcBorders>
            <w:shd w:val="clear" w:color="auto" w:fill="auto"/>
            <w:vAlign w:val="center"/>
          </w:tcPr>
          <w:p w14:paraId="2ECD1FF4">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w:t>
            </w:r>
          </w:p>
        </w:tc>
        <w:tc>
          <w:tcPr>
            <w:tcW w:w="1870" w:type="dxa"/>
            <w:tcBorders>
              <w:tl2br w:val="nil"/>
              <w:tr2bl w:val="nil"/>
            </w:tcBorders>
            <w:shd w:val="clear" w:color="auto" w:fill="auto"/>
            <w:vAlign w:val="center"/>
          </w:tcPr>
          <w:p w14:paraId="6FF61C3F">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w:t>
            </w:r>
          </w:p>
        </w:tc>
      </w:tr>
      <w:tr w14:paraId="6E5E3A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962" w:type="dxa"/>
            <w:tcBorders>
              <w:tl2br w:val="nil"/>
              <w:tr2bl w:val="nil"/>
            </w:tcBorders>
            <w:vAlign w:val="center"/>
          </w:tcPr>
          <w:p w14:paraId="07B099B3">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样品标识</w:t>
            </w:r>
          </w:p>
        </w:tc>
        <w:tc>
          <w:tcPr>
            <w:tcW w:w="1869" w:type="dxa"/>
            <w:gridSpan w:val="4"/>
            <w:tcBorders>
              <w:tl2br w:val="nil"/>
              <w:tr2bl w:val="nil"/>
            </w:tcBorders>
            <w:vAlign w:val="center"/>
          </w:tcPr>
          <w:p w14:paraId="6DE0A692">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251028T13S（5#厂区内0-0.5m）</w:t>
            </w:r>
          </w:p>
        </w:tc>
        <w:tc>
          <w:tcPr>
            <w:tcW w:w="1869" w:type="dxa"/>
            <w:gridSpan w:val="2"/>
            <w:tcBorders>
              <w:tl2br w:val="nil"/>
              <w:tr2bl w:val="nil"/>
            </w:tcBorders>
            <w:vAlign w:val="center"/>
          </w:tcPr>
          <w:p w14:paraId="1DB9580E">
            <w:pPr>
              <w:bidi w:val="0"/>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251028T14S（5#厂区内0.5-1.5m）</w:t>
            </w:r>
          </w:p>
        </w:tc>
        <w:tc>
          <w:tcPr>
            <w:tcW w:w="1869" w:type="dxa"/>
            <w:gridSpan w:val="3"/>
            <w:tcBorders>
              <w:tl2br w:val="nil"/>
              <w:tr2bl w:val="nil"/>
            </w:tcBorders>
            <w:vAlign w:val="center"/>
          </w:tcPr>
          <w:p w14:paraId="64DC8CA7">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251028T15S（5#厂区内1.5-3.0m）</w:t>
            </w:r>
          </w:p>
        </w:tc>
        <w:tc>
          <w:tcPr>
            <w:tcW w:w="1870" w:type="dxa"/>
            <w:tcBorders>
              <w:tl2br w:val="nil"/>
              <w:tr2bl w:val="nil"/>
            </w:tcBorders>
            <w:vAlign w:val="center"/>
          </w:tcPr>
          <w:p w14:paraId="282EFE41">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251028T16S（6#厂区内0-0.2m）</w:t>
            </w:r>
          </w:p>
        </w:tc>
      </w:tr>
      <w:tr w14:paraId="756C04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962" w:type="dxa"/>
            <w:vMerge w:val="restart"/>
            <w:tcBorders>
              <w:tl2br w:val="nil"/>
              <w:tr2bl w:val="nil"/>
            </w:tcBorders>
            <w:vAlign w:val="center"/>
          </w:tcPr>
          <w:p w14:paraId="10D9429C">
            <w:pPr>
              <w:jc w:val="center"/>
              <w:rPr>
                <w:rFonts w:hint="eastAsia" w:ascii="Times New Roman" w:hAnsi="Times New Roman" w:cs="Times New Roman"/>
                <w:color w:val="auto"/>
                <w:sz w:val="21"/>
                <w:szCs w:val="21"/>
                <w:highlight w:val="none"/>
                <w:lang w:val="en-US" w:eastAsia="zh-CN"/>
              </w:rPr>
            </w:pPr>
            <w:r>
              <w:rPr>
                <w:sz w:val="21"/>
              </w:rPr>
              <mc:AlternateContent>
                <mc:Choice Requires="wps">
                  <w:drawing>
                    <wp:anchor distT="0" distB="0" distL="114300" distR="114300" simplePos="0" relativeHeight="251685888" behindDoc="0" locked="0" layoutInCell="1" allowOverlap="1">
                      <wp:simplePos x="0" y="0"/>
                      <wp:positionH relativeFrom="column">
                        <wp:posOffset>-29845</wp:posOffset>
                      </wp:positionH>
                      <wp:positionV relativeFrom="paragraph">
                        <wp:posOffset>17780</wp:posOffset>
                      </wp:positionV>
                      <wp:extent cx="1226185" cy="553720"/>
                      <wp:effectExtent l="2540" t="5715" r="9525" b="12065"/>
                      <wp:wrapNone/>
                      <wp:docPr id="51" name="直接连接符 51"/>
                      <wp:cNvGraphicFramePr/>
                      <a:graphic xmlns:a="http://schemas.openxmlformats.org/drawingml/2006/main">
                        <a:graphicData uri="http://schemas.microsoft.com/office/word/2010/wordprocessingShape">
                          <wps:wsp>
                            <wps:cNvCnPr/>
                            <wps:spPr>
                              <a:xfrm>
                                <a:off x="0" y="0"/>
                                <a:ext cx="1226185" cy="55372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35pt;margin-top:1.4pt;height:43.6pt;width:96.55pt;z-index:251685888;mso-width-relative:page;mso-height-relative:page;" filled="f" stroked="t" coordsize="21600,21600" o:gfxdata="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he/vK&#10;1wAAAAcBAAAPAAAAAAAAAAEAIAAAACIAAABkcnMvZG93bnJldi54bWxQSwECFAAUAAAACACHTuJA&#10;7K0tdekBAAC5AwAADgAAAAAAAAABACAAAAAmAQAAZHJzL2Uyb0RvYy54bWxQSwUGAAAAAAYABgBZ&#10;AQAAgQUAAAAA&#10;">
                      <v:fill on="f" focussize="0,0"/>
                      <v:stroke weight="1pt" color="#000000 [3213]" miterlimit="8" joinstyle="miter"/>
                      <v:imagedata o:title=""/>
                      <o:lock v:ext="edit" aspectratio="f"/>
                    </v:line>
                  </w:pict>
                </mc:Fallback>
              </mc:AlternateContent>
            </w:r>
            <w:r>
              <w:rPr>
                <w:rFonts w:hint="eastAsia" w:ascii="Times New Roman" w:hAnsi="Times New Roman" w:cs="Times New Roman"/>
                <w:color w:val="auto"/>
                <w:sz w:val="21"/>
                <w:szCs w:val="21"/>
                <w:highlight w:val="none"/>
                <w:lang w:val="en-US" w:eastAsia="zh-CN"/>
              </w:rPr>
              <mc:AlternateContent>
                <mc:Choice Requires="wps">
                  <w:drawing>
                    <wp:anchor distT="0" distB="0" distL="114300" distR="114300" simplePos="0" relativeHeight="251674624" behindDoc="0" locked="0" layoutInCell="1" allowOverlap="1">
                      <wp:simplePos x="0" y="0"/>
                      <wp:positionH relativeFrom="column">
                        <wp:posOffset>396875</wp:posOffset>
                      </wp:positionH>
                      <wp:positionV relativeFrom="paragraph">
                        <wp:posOffset>11430</wp:posOffset>
                      </wp:positionV>
                      <wp:extent cx="781050" cy="352425"/>
                      <wp:effectExtent l="0" t="0" r="0" b="0"/>
                      <wp:wrapNone/>
                      <wp:docPr id="16" name="文本框 211"/>
                      <wp:cNvGraphicFramePr/>
                      <a:graphic xmlns:a="http://schemas.openxmlformats.org/drawingml/2006/main">
                        <a:graphicData uri="http://schemas.microsoft.com/office/word/2010/wordprocessingShape">
                          <wps:wsp>
                            <wps:cNvSpPr txBox="1"/>
                            <wps:spPr>
                              <a:xfrm>
                                <a:off x="0" y="0"/>
                                <a:ext cx="781050" cy="352425"/>
                              </a:xfrm>
                              <a:prstGeom prst="rect">
                                <a:avLst/>
                              </a:prstGeom>
                              <a:noFill/>
                              <a:ln w="15875">
                                <a:noFill/>
                              </a:ln>
                            </wps:spPr>
                            <wps:txbx>
                              <w:txbxContent>
                                <w:p w14:paraId="2740B6F4">
                                  <w:r>
                                    <w:rPr>
                                      <w:rFonts w:hint="eastAsia"/>
                                    </w:rPr>
                                    <w:t>检测结果</w:t>
                                  </w:r>
                                </w:p>
                              </w:txbxContent>
                            </wps:txbx>
                            <wps:bodyPr upright="1"/>
                          </wps:wsp>
                        </a:graphicData>
                      </a:graphic>
                    </wp:anchor>
                  </w:drawing>
                </mc:Choice>
                <mc:Fallback>
                  <w:pict>
                    <v:shape id="文本框 211" o:spid="_x0000_s1026" o:spt="202" type="#_x0000_t202" style="position:absolute;left:0pt;margin-left:31.25pt;margin-top:0.9pt;height:27.75pt;width:61.5pt;z-index:251674624;mso-width-relative:page;mso-height-relative:page;" filled="f" stroked="f" coordsize="21600,21600" o:gfxdata="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2DtMRNgAAAAHAQAADwAAAAAAAAABACAAAAAiAAAAZHJzL2Rvd25yZXYueG1sUEsBAhQAFAAA&#10;AAgAh07iQB9z7/22AQAAWgMAAA4AAAAAAAAAAQAgAAAAJwEAAGRycy9lMm9Eb2MueG1sUEsFBgAA&#10;AAAGAAYAWQEAAE8FAAAAAA==&#10;">
                      <v:fill on="f" focussize="0,0"/>
                      <v:stroke on="f" weight="1.25pt"/>
                      <v:imagedata o:title=""/>
                      <o:lock v:ext="edit" aspectratio="f"/>
                      <v:textbox>
                        <w:txbxContent>
                          <w:p w14:paraId="2740B6F4">
                            <w:r>
                              <w:rPr>
                                <w:rFonts w:hint="eastAsia"/>
                              </w:rPr>
                              <w:t>检测结果</w:t>
                            </w:r>
                          </w:p>
                        </w:txbxContent>
                      </v:textbox>
                    </v:shape>
                  </w:pict>
                </mc:Fallback>
              </mc:AlternateContent>
            </w:r>
            <w:r>
              <w:rPr>
                <w:rFonts w:hint="eastAsia" w:ascii="Times New Roman" w:hAnsi="Times New Roman" w:cs="Times New Roman"/>
                <w:color w:val="auto"/>
                <w:sz w:val="21"/>
                <w:szCs w:val="21"/>
                <w:highlight w:val="none"/>
                <w:lang w:val="en-US" w:eastAsia="zh-CN"/>
              </w:rPr>
              <mc:AlternateContent>
                <mc:Choice Requires="wps">
                  <w:drawing>
                    <wp:anchor distT="0" distB="0" distL="114300" distR="114300" simplePos="0" relativeHeight="251675648" behindDoc="0" locked="0" layoutInCell="1" allowOverlap="1">
                      <wp:simplePos x="0" y="0"/>
                      <wp:positionH relativeFrom="column">
                        <wp:posOffset>-38100</wp:posOffset>
                      </wp:positionH>
                      <wp:positionV relativeFrom="paragraph">
                        <wp:posOffset>185420</wp:posOffset>
                      </wp:positionV>
                      <wp:extent cx="781050" cy="352425"/>
                      <wp:effectExtent l="0" t="0" r="0" b="0"/>
                      <wp:wrapNone/>
                      <wp:docPr id="43" name="文本框 210"/>
                      <wp:cNvGraphicFramePr/>
                      <a:graphic xmlns:a="http://schemas.openxmlformats.org/drawingml/2006/main">
                        <a:graphicData uri="http://schemas.microsoft.com/office/word/2010/wordprocessingShape">
                          <wps:wsp>
                            <wps:cNvSpPr txBox="1"/>
                            <wps:spPr>
                              <a:xfrm>
                                <a:off x="0" y="0"/>
                                <a:ext cx="781050" cy="352425"/>
                              </a:xfrm>
                              <a:prstGeom prst="rect">
                                <a:avLst/>
                              </a:prstGeom>
                              <a:noFill/>
                              <a:ln w="15875">
                                <a:noFill/>
                              </a:ln>
                            </wps:spPr>
                            <wps:txbx>
                              <w:txbxContent>
                                <w:p w14:paraId="33A6038D">
                                  <w:r>
                                    <w:rPr>
                                      <w:rFonts w:hint="eastAsia"/>
                                    </w:rPr>
                                    <w:t>项目</w:t>
                                  </w:r>
                                </w:p>
                              </w:txbxContent>
                            </wps:txbx>
                            <wps:bodyPr upright="1"/>
                          </wps:wsp>
                        </a:graphicData>
                      </a:graphic>
                    </wp:anchor>
                  </w:drawing>
                </mc:Choice>
                <mc:Fallback>
                  <w:pict>
                    <v:shape id="文本框 210" o:spid="_x0000_s1026" o:spt="202" type="#_x0000_t202" style="position:absolute;left:0pt;margin-left:-3pt;margin-top:14.6pt;height:27.75pt;width:61.5pt;z-index:251675648;mso-width-relative:page;mso-height-relative:page;" filled="f" stroked="f" coordsize="21600,21600" o:gfxdata="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5k0Qt9sAAAAIAQAADwAAAAAAAAABACAAAAAiAAAAZHJzL2Rvd25yZXYueG1sUEsBAhQA&#10;FAAAAAgAh07iQCO9HiC2AQAAWgMAAA4AAAAAAAAAAQAgAAAAKgEAAGRycy9lMm9Eb2MueG1sUEsF&#10;BgAAAAAGAAYAWQEAAFIFAAAAAA==&#10;">
                      <v:fill on="f" focussize="0,0"/>
                      <v:stroke on="f" weight="1.25pt"/>
                      <v:imagedata o:title=""/>
                      <o:lock v:ext="edit" aspectratio="f"/>
                      <v:textbox>
                        <w:txbxContent>
                          <w:p w14:paraId="33A6038D">
                            <w:r>
                              <w:rPr>
                                <w:rFonts w:hint="eastAsia"/>
                              </w:rPr>
                              <w:t>项目</w:t>
                            </w:r>
                          </w:p>
                        </w:txbxContent>
                      </v:textbox>
                    </v:shape>
                  </w:pict>
                </mc:Fallback>
              </mc:AlternateContent>
            </w:r>
          </w:p>
        </w:tc>
        <w:tc>
          <w:tcPr>
            <w:tcW w:w="7477" w:type="dxa"/>
            <w:gridSpan w:val="10"/>
            <w:tcBorders>
              <w:tl2br w:val="nil"/>
              <w:tr2bl w:val="nil"/>
            </w:tcBorders>
            <w:vAlign w:val="center"/>
          </w:tcPr>
          <w:p w14:paraId="7668A4E4">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样品编号</w:t>
            </w:r>
          </w:p>
        </w:tc>
      </w:tr>
      <w:tr w14:paraId="71527D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1962" w:type="dxa"/>
            <w:vMerge w:val="continue"/>
            <w:tcBorders>
              <w:tl2br w:val="nil"/>
              <w:tr2bl w:val="nil"/>
            </w:tcBorders>
            <w:vAlign w:val="center"/>
          </w:tcPr>
          <w:p w14:paraId="76D74F32">
            <w:pPr>
              <w:jc w:val="center"/>
              <w:rPr>
                <w:rFonts w:hint="eastAsia" w:ascii="Times New Roman" w:hAnsi="Times New Roman" w:cs="Times New Roman"/>
                <w:color w:val="auto"/>
                <w:sz w:val="21"/>
                <w:szCs w:val="21"/>
                <w:highlight w:val="none"/>
                <w:lang w:val="en-US" w:eastAsia="zh-CN"/>
              </w:rPr>
            </w:pPr>
          </w:p>
        </w:tc>
        <w:tc>
          <w:tcPr>
            <w:tcW w:w="1869" w:type="dxa"/>
            <w:gridSpan w:val="4"/>
            <w:tcBorders>
              <w:tl2br w:val="nil"/>
              <w:tr2bl w:val="nil"/>
            </w:tcBorders>
            <w:vAlign w:val="center"/>
          </w:tcPr>
          <w:p w14:paraId="7CA8F1CC">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W25103007-TR-15</w:t>
            </w:r>
            <w:r>
              <w:rPr>
                <w:rFonts w:hint="eastAsia" w:ascii="Times New Roman" w:hAnsi="Times New Roman" w:cs="Times New Roman"/>
                <w:highlight w:val="none"/>
                <w:lang w:val="en-US" w:eastAsia="zh-CN"/>
              </w:rPr>
              <w:t>11</w:t>
            </w:r>
          </w:p>
        </w:tc>
        <w:tc>
          <w:tcPr>
            <w:tcW w:w="1869" w:type="dxa"/>
            <w:gridSpan w:val="2"/>
            <w:tcBorders>
              <w:tl2br w:val="nil"/>
              <w:tr2bl w:val="nil"/>
            </w:tcBorders>
            <w:vAlign w:val="center"/>
          </w:tcPr>
          <w:p w14:paraId="23B09082">
            <w:pPr>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W25103007-TR-16</w:t>
            </w:r>
            <w:r>
              <w:rPr>
                <w:rFonts w:hint="eastAsia" w:ascii="Times New Roman" w:hAnsi="Times New Roman" w:cs="Times New Roman"/>
                <w:highlight w:val="none"/>
                <w:lang w:val="en-US" w:eastAsia="zh-CN"/>
              </w:rPr>
              <w:t>11</w:t>
            </w:r>
          </w:p>
        </w:tc>
        <w:tc>
          <w:tcPr>
            <w:tcW w:w="1869" w:type="dxa"/>
            <w:gridSpan w:val="3"/>
            <w:tcBorders>
              <w:tl2br w:val="nil"/>
              <w:tr2bl w:val="nil"/>
            </w:tcBorders>
            <w:shd w:val="clear" w:color="auto" w:fill="auto"/>
            <w:vAlign w:val="center"/>
          </w:tcPr>
          <w:p w14:paraId="4625CB9A">
            <w:pPr>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W25103007-TR-17</w:t>
            </w:r>
            <w:r>
              <w:rPr>
                <w:rFonts w:hint="eastAsia" w:ascii="Times New Roman" w:hAnsi="Times New Roman" w:cs="Times New Roman"/>
                <w:highlight w:val="none"/>
                <w:lang w:val="en-US" w:eastAsia="zh-CN"/>
              </w:rPr>
              <w:t>11</w:t>
            </w:r>
          </w:p>
        </w:tc>
        <w:tc>
          <w:tcPr>
            <w:tcW w:w="1870" w:type="dxa"/>
            <w:tcBorders>
              <w:tl2br w:val="nil"/>
              <w:tr2bl w:val="nil"/>
            </w:tcBorders>
            <w:shd w:val="clear" w:color="auto" w:fill="auto"/>
            <w:vAlign w:val="center"/>
          </w:tcPr>
          <w:p w14:paraId="4FA14041">
            <w:pPr>
              <w:jc w:val="center"/>
              <w:rPr>
                <w:rFonts w:hint="eastAsia" w:ascii="Times New Roman" w:hAnsi="Times New Roman" w:cs="Times New Roman" w:eastAsiaTheme="minorEastAsia"/>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W25103007-TR-18</w:t>
            </w:r>
            <w:r>
              <w:rPr>
                <w:rFonts w:hint="eastAsia" w:ascii="Times New Roman" w:hAnsi="Times New Roman" w:cs="Times New Roman"/>
                <w:highlight w:val="none"/>
                <w:lang w:val="en-US" w:eastAsia="zh-CN"/>
              </w:rPr>
              <w:t>11</w:t>
            </w:r>
          </w:p>
        </w:tc>
      </w:tr>
      <w:tr w14:paraId="62123E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962" w:type="dxa"/>
            <w:tcBorders>
              <w:tl2br w:val="nil"/>
              <w:tr2bl w:val="nil"/>
            </w:tcBorders>
            <w:shd w:val="clear" w:color="auto" w:fill="auto"/>
            <w:vAlign w:val="center"/>
          </w:tcPr>
          <w:p w14:paraId="05F61117">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highlight w:val="none"/>
                <w:lang w:val="en-US" w:eastAsia="zh-CN"/>
              </w:rPr>
              <w:t>砷 (mg/kg)</w:t>
            </w:r>
          </w:p>
        </w:tc>
        <w:tc>
          <w:tcPr>
            <w:tcW w:w="1869" w:type="dxa"/>
            <w:gridSpan w:val="4"/>
            <w:tcBorders>
              <w:tl2br w:val="nil"/>
              <w:tr2bl w:val="nil"/>
            </w:tcBorders>
            <w:shd w:val="clear" w:color="auto" w:fill="auto"/>
            <w:vAlign w:val="center"/>
          </w:tcPr>
          <w:p w14:paraId="21C166B2">
            <w:pPr>
              <w:bidi w:val="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7.65</w:t>
            </w:r>
          </w:p>
        </w:tc>
        <w:tc>
          <w:tcPr>
            <w:tcW w:w="1869" w:type="dxa"/>
            <w:gridSpan w:val="2"/>
            <w:tcBorders>
              <w:tl2br w:val="nil"/>
              <w:tr2bl w:val="nil"/>
            </w:tcBorders>
            <w:shd w:val="clear" w:color="auto" w:fill="auto"/>
            <w:vAlign w:val="center"/>
          </w:tcPr>
          <w:p w14:paraId="0B84ED85">
            <w:pPr>
              <w:bidi w:val="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8.44</w:t>
            </w:r>
          </w:p>
        </w:tc>
        <w:tc>
          <w:tcPr>
            <w:tcW w:w="1869" w:type="dxa"/>
            <w:gridSpan w:val="3"/>
            <w:tcBorders>
              <w:tl2br w:val="nil"/>
              <w:tr2bl w:val="nil"/>
            </w:tcBorders>
            <w:shd w:val="clear" w:color="auto" w:fill="auto"/>
            <w:vAlign w:val="center"/>
          </w:tcPr>
          <w:p w14:paraId="485BE0AC">
            <w:pPr>
              <w:bidi w:val="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8.27</w:t>
            </w:r>
          </w:p>
        </w:tc>
        <w:tc>
          <w:tcPr>
            <w:tcW w:w="1870" w:type="dxa"/>
            <w:tcBorders>
              <w:tl2br w:val="nil"/>
              <w:tr2bl w:val="nil"/>
            </w:tcBorders>
            <w:shd w:val="clear" w:color="auto" w:fill="auto"/>
            <w:vAlign w:val="center"/>
          </w:tcPr>
          <w:p w14:paraId="0A327781">
            <w:pPr>
              <w:bidi w:val="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8.19</w:t>
            </w:r>
          </w:p>
        </w:tc>
      </w:tr>
      <w:tr w14:paraId="3B2913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662F115A">
            <w:pPr>
              <w:jc w:val="center"/>
              <w:rPr>
                <w:rFonts w:hint="eastAsia" w:ascii="Times New Roman" w:hAnsi="Times New Roman" w:cs="Times New Roman" w:eastAsiaTheme="minorEastAsia"/>
                <w:kern w:val="2"/>
                <w:sz w:val="21"/>
                <w:szCs w:val="21"/>
                <w:lang w:val="en-US" w:eastAsia="zh-CN" w:bidi="ar-SA"/>
              </w:rPr>
            </w:pPr>
            <w:r>
              <w:rPr>
                <w:rFonts w:ascii="Times New Roman" w:hAnsi="Times New Roman" w:cs="Times New Roman"/>
                <w:szCs w:val="21"/>
                <w:highlight w:val="none"/>
              </w:rPr>
              <w:t>镉 (mg/kg)</w:t>
            </w:r>
          </w:p>
        </w:tc>
        <w:tc>
          <w:tcPr>
            <w:tcW w:w="1869" w:type="dxa"/>
            <w:gridSpan w:val="4"/>
            <w:tcBorders>
              <w:tl2br w:val="nil"/>
              <w:tr2bl w:val="nil"/>
            </w:tcBorders>
            <w:shd w:val="clear" w:color="auto" w:fill="auto"/>
            <w:vAlign w:val="center"/>
          </w:tcPr>
          <w:p w14:paraId="3974ECCE">
            <w:pPr>
              <w:bidi w:val="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0.19</w:t>
            </w:r>
          </w:p>
        </w:tc>
        <w:tc>
          <w:tcPr>
            <w:tcW w:w="1869" w:type="dxa"/>
            <w:gridSpan w:val="2"/>
            <w:tcBorders>
              <w:tl2br w:val="nil"/>
              <w:tr2bl w:val="nil"/>
            </w:tcBorders>
            <w:shd w:val="clear" w:color="auto" w:fill="auto"/>
            <w:vAlign w:val="center"/>
          </w:tcPr>
          <w:p w14:paraId="41EF56D2">
            <w:pPr>
              <w:bidi w:val="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0.23</w:t>
            </w:r>
          </w:p>
        </w:tc>
        <w:tc>
          <w:tcPr>
            <w:tcW w:w="1869" w:type="dxa"/>
            <w:gridSpan w:val="3"/>
            <w:tcBorders>
              <w:tl2br w:val="nil"/>
              <w:tr2bl w:val="nil"/>
            </w:tcBorders>
            <w:shd w:val="clear" w:color="auto" w:fill="auto"/>
            <w:vAlign w:val="center"/>
          </w:tcPr>
          <w:p w14:paraId="146550A1">
            <w:pPr>
              <w:bidi w:val="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0.27</w:t>
            </w:r>
          </w:p>
        </w:tc>
        <w:tc>
          <w:tcPr>
            <w:tcW w:w="1870" w:type="dxa"/>
            <w:tcBorders>
              <w:tl2br w:val="nil"/>
              <w:tr2bl w:val="nil"/>
            </w:tcBorders>
            <w:shd w:val="clear" w:color="auto" w:fill="auto"/>
            <w:vAlign w:val="center"/>
          </w:tcPr>
          <w:p w14:paraId="52235CB9">
            <w:pPr>
              <w:bidi w:val="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0.23</w:t>
            </w:r>
          </w:p>
        </w:tc>
      </w:tr>
      <w:tr w14:paraId="0CE601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69D91AFC">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六价铬</w:t>
            </w:r>
            <w:r>
              <w:rPr>
                <w:rFonts w:ascii="Times New Roman" w:hAnsi="Times New Roman" w:cs="Times New Roman"/>
                <w:szCs w:val="21"/>
                <w:highlight w:val="none"/>
              </w:rPr>
              <w:t xml:space="preserve"> (mg/kg)</w:t>
            </w:r>
          </w:p>
        </w:tc>
        <w:tc>
          <w:tcPr>
            <w:tcW w:w="1869" w:type="dxa"/>
            <w:gridSpan w:val="4"/>
            <w:tcBorders>
              <w:tl2br w:val="nil"/>
              <w:tr2bl w:val="nil"/>
            </w:tcBorders>
            <w:shd w:val="clear" w:color="auto" w:fill="auto"/>
            <w:vAlign w:val="center"/>
          </w:tcPr>
          <w:p w14:paraId="45958FCE">
            <w:pPr>
              <w:widowControl/>
              <w:jc w:val="center"/>
              <w:textAlignment w:val="center"/>
              <w:rPr>
                <w:rFonts w:hint="default" w:ascii="Times New Roman" w:hAnsi="Times New Roman" w:cs="Times New Roman" w:eastAsiaTheme="minorEastAsia"/>
                <w:color w:val="auto"/>
                <w:kern w:val="2"/>
                <w:sz w:val="21"/>
                <w:szCs w:val="24"/>
                <w:vertAlign w:val="baseline"/>
                <w:lang w:val="en-US" w:eastAsia="zh-CN" w:bidi="ar-SA"/>
              </w:rPr>
            </w:pPr>
            <w:r>
              <w:rPr>
                <w:rFonts w:hint="eastAsia" w:ascii="Times New Roman" w:hAnsi="Times New Roman" w:cs="Times New Roman"/>
                <w:color w:val="auto"/>
                <w:sz w:val="21"/>
                <w:szCs w:val="21"/>
                <w:highlight w:val="none"/>
                <w:lang w:val="en-US" w:eastAsia="zh-CN"/>
              </w:rPr>
              <w:t>ND</w:t>
            </w:r>
          </w:p>
        </w:tc>
        <w:tc>
          <w:tcPr>
            <w:tcW w:w="1869" w:type="dxa"/>
            <w:gridSpan w:val="2"/>
            <w:tcBorders>
              <w:tl2br w:val="nil"/>
              <w:tr2bl w:val="nil"/>
            </w:tcBorders>
            <w:shd w:val="clear" w:color="auto" w:fill="auto"/>
            <w:vAlign w:val="center"/>
          </w:tcPr>
          <w:p w14:paraId="5A4B111C">
            <w:pPr>
              <w:widowControl/>
              <w:jc w:val="center"/>
              <w:textAlignment w:val="center"/>
              <w:rPr>
                <w:rFonts w:hint="default" w:ascii="Times New Roman" w:hAnsi="Times New Roman" w:cs="Times New Roman" w:eastAsiaTheme="minorEastAsia"/>
                <w:color w:val="auto"/>
                <w:kern w:val="2"/>
                <w:sz w:val="21"/>
                <w:szCs w:val="24"/>
                <w:vertAlign w:val="baseline"/>
                <w:lang w:val="en-US" w:eastAsia="zh-CN" w:bidi="ar-SA"/>
              </w:rPr>
            </w:pPr>
            <w:r>
              <w:rPr>
                <w:rFonts w:hint="eastAsia" w:ascii="Times New Roman" w:hAnsi="Times New Roman" w:cs="Times New Roman"/>
                <w:color w:val="auto"/>
                <w:sz w:val="21"/>
                <w:szCs w:val="21"/>
                <w:highlight w:val="none"/>
                <w:lang w:val="en-US" w:eastAsia="zh-CN"/>
              </w:rPr>
              <w:t>ND</w:t>
            </w:r>
          </w:p>
        </w:tc>
        <w:tc>
          <w:tcPr>
            <w:tcW w:w="1869" w:type="dxa"/>
            <w:gridSpan w:val="3"/>
            <w:tcBorders>
              <w:tl2br w:val="nil"/>
              <w:tr2bl w:val="nil"/>
            </w:tcBorders>
            <w:shd w:val="clear" w:color="auto" w:fill="auto"/>
            <w:vAlign w:val="center"/>
          </w:tcPr>
          <w:p w14:paraId="1788895A">
            <w:pPr>
              <w:widowControl/>
              <w:jc w:val="center"/>
              <w:textAlignment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1870" w:type="dxa"/>
            <w:tcBorders>
              <w:tl2br w:val="nil"/>
              <w:tr2bl w:val="nil"/>
            </w:tcBorders>
            <w:shd w:val="clear" w:color="auto" w:fill="auto"/>
            <w:vAlign w:val="center"/>
          </w:tcPr>
          <w:p w14:paraId="18615716">
            <w:pPr>
              <w:widowControl/>
              <w:jc w:val="center"/>
              <w:textAlignment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r>
      <w:tr w14:paraId="667C29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30ED52EB">
            <w:pPr>
              <w:jc w:val="center"/>
              <w:rPr>
                <w:rFonts w:hint="eastAsia" w:ascii="Times New Roman" w:hAnsi="Times New Roman" w:cs="Times New Roman" w:eastAsiaTheme="minorEastAsia"/>
                <w:kern w:val="2"/>
                <w:sz w:val="21"/>
                <w:szCs w:val="21"/>
                <w:lang w:val="en-US" w:eastAsia="zh-CN" w:bidi="ar-SA"/>
              </w:rPr>
            </w:pPr>
            <w:r>
              <w:rPr>
                <w:rFonts w:hint="eastAsia" w:ascii="宋体" w:hAnsi="宋体" w:eastAsia="宋体" w:cs="宋体"/>
                <w:color w:val="000000"/>
                <w:kern w:val="0"/>
                <w:sz w:val="22"/>
                <w:szCs w:val="22"/>
                <w:highlight w:val="none"/>
                <w:lang w:bidi="ar"/>
              </w:rPr>
              <w:t>铜</w:t>
            </w:r>
            <w:r>
              <w:rPr>
                <w:rFonts w:ascii="Times New Roman" w:hAnsi="Times New Roman" w:cs="Times New Roman"/>
                <w:szCs w:val="21"/>
                <w:highlight w:val="none"/>
              </w:rPr>
              <w:t xml:space="preserve"> (mg/kg)</w:t>
            </w:r>
          </w:p>
        </w:tc>
        <w:tc>
          <w:tcPr>
            <w:tcW w:w="1869" w:type="dxa"/>
            <w:gridSpan w:val="4"/>
            <w:tcBorders>
              <w:tl2br w:val="nil"/>
              <w:tr2bl w:val="nil"/>
            </w:tcBorders>
            <w:shd w:val="clear" w:color="auto" w:fill="auto"/>
            <w:vAlign w:val="center"/>
          </w:tcPr>
          <w:p w14:paraId="2A1D9013">
            <w:pPr>
              <w:bidi w:val="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31</w:t>
            </w:r>
          </w:p>
        </w:tc>
        <w:tc>
          <w:tcPr>
            <w:tcW w:w="1869" w:type="dxa"/>
            <w:gridSpan w:val="2"/>
            <w:tcBorders>
              <w:tl2br w:val="nil"/>
              <w:tr2bl w:val="nil"/>
            </w:tcBorders>
            <w:shd w:val="clear" w:color="auto" w:fill="auto"/>
            <w:vAlign w:val="center"/>
          </w:tcPr>
          <w:p w14:paraId="41D39155">
            <w:pPr>
              <w:bidi w:val="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28</w:t>
            </w:r>
          </w:p>
        </w:tc>
        <w:tc>
          <w:tcPr>
            <w:tcW w:w="1869" w:type="dxa"/>
            <w:gridSpan w:val="3"/>
            <w:tcBorders>
              <w:tl2br w:val="nil"/>
              <w:tr2bl w:val="nil"/>
            </w:tcBorders>
            <w:shd w:val="clear" w:color="auto" w:fill="auto"/>
            <w:vAlign w:val="center"/>
          </w:tcPr>
          <w:p w14:paraId="70CEC026">
            <w:pPr>
              <w:bidi w:val="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31</w:t>
            </w:r>
          </w:p>
        </w:tc>
        <w:tc>
          <w:tcPr>
            <w:tcW w:w="1870" w:type="dxa"/>
            <w:tcBorders>
              <w:tl2br w:val="nil"/>
              <w:tr2bl w:val="nil"/>
            </w:tcBorders>
            <w:shd w:val="clear" w:color="auto" w:fill="auto"/>
            <w:vAlign w:val="center"/>
          </w:tcPr>
          <w:p w14:paraId="0AE4E69D">
            <w:pPr>
              <w:bidi w:val="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38</w:t>
            </w:r>
          </w:p>
        </w:tc>
      </w:tr>
      <w:tr w14:paraId="420BB0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116A216A">
            <w:pPr>
              <w:jc w:val="center"/>
              <w:rPr>
                <w:rFonts w:hint="eastAsia" w:ascii="Times New Roman" w:hAnsi="Times New Roman" w:cs="Times New Roman" w:eastAsiaTheme="minorEastAsia"/>
                <w:kern w:val="2"/>
                <w:sz w:val="21"/>
                <w:szCs w:val="21"/>
                <w:lang w:val="en-US" w:eastAsia="zh-CN" w:bidi="ar-SA"/>
              </w:rPr>
            </w:pPr>
            <w:r>
              <w:rPr>
                <w:rFonts w:ascii="Times New Roman" w:hAnsi="Times New Roman" w:cs="Times New Roman"/>
                <w:szCs w:val="21"/>
                <w:highlight w:val="none"/>
              </w:rPr>
              <w:t>铅 (mg/kg)</w:t>
            </w:r>
          </w:p>
        </w:tc>
        <w:tc>
          <w:tcPr>
            <w:tcW w:w="1869" w:type="dxa"/>
            <w:gridSpan w:val="4"/>
            <w:tcBorders>
              <w:tl2br w:val="nil"/>
              <w:tr2bl w:val="nil"/>
            </w:tcBorders>
            <w:shd w:val="clear" w:color="auto" w:fill="auto"/>
            <w:vAlign w:val="center"/>
          </w:tcPr>
          <w:p w14:paraId="1C0F71B2">
            <w:pPr>
              <w:bidi w:val="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31</w:t>
            </w:r>
          </w:p>
        </w:tc>
        <w:tc>
          <w:tcPr>
            <w:tcW w:w="1869" w:type="dxa"/>
            <w:gridSpan w:val="2"/>
            <w:tcBorders>
              <w:tl2br w:val="nil"/>
              <w:tr2bl w:val="nil"/>
            </w:tcBorders>
            <w:shd w:val="clear" w:color="auto" w:fill="auto"/>
            <w:vAlign w:val="center"/>
          </w:tcPr>
          <w:p w14:paraId="7611BA07">
            <w:pPr>
              <w:bidi w:val="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28</w:t>
            </w:r>
          </w:p>
        </w:tc>
        <w:tc>
          <w:tcPr>
            <w:tcW w:w="1869" w:type="dxa"/>
            <w:gridSpan w:val="3"/>
            <w:tcBorders>
              <w:tl2br w:val="nil"/>
              <w:tr2bl w:val="nil"/>
            </w:tcBorders>
            <w:shd w:val="clear" w:color="auto" w:fill="auto"/>
            <w:vAlign w:val="center"/>
          </w:tcPr>
          <w:p w14:paraId="4C80163A">
            <w:pPr>
              <w:bidi w:val="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32</w:t>
            </w:r>
          </w:p>
        </w:tc>
        <w:tc>
          <w:tcPr>
            <w:tcW w:w="1870" w:type="dxa"/>
            <w:tcBorders>
              <w:tl2br w:val="nil"/>
              <w:tr2bl w:val="nil"/>
            </w:tcBorders>
            <w:shd w:val="clear" w:color="auto" w:fill="auto"/>
            <w:vAlign w:val="center"/>
          </w:tcPr>
          <w:p w14:paraId="07C88795">
            <w:pPr>
              <w:bidi w:val="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37</w:t>
            </w:r>
          </w:p>
        </w:tc>
      </w:tr>
      <w:tr w14:paraId="78DAD8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1C4402E4">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highlight w:val="none"/>
                <w:lang w:val="en-US" w:eastAsia="zh-CN"/>
              </w:rPr>
              <w:t>汞 (mg/kg)</w:t>
            </w:r>
          </w:p>
        </w:tc>
        <w:tc>
          <w:tcPr>
            <w:tcW w:w="1869" w:type="dxa"/>
            <w:gridSpan w:val="4"/>
            <w:tcBorders>
              <w:tl2br w:val="nil"/>
              <w:tr2bl w:val="nil"/>
            </w:tcBorders>
            <w:shd w:val="clear" w:color="auto" w:fill="auto"/>
            <w:vAlign w:val="center"/>
          </w:tcPr>
          <w:p w14:paraId="30AA36C5">
            <w:pPr>
              <w:bidi w:val="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0.102</w:t>
            </w:r>
          </w:p>
        </w:tc>
        <w:tc>
          <w:tcPr>
            <w:tcW w:w="1869" w:type="dxa"/>
            <w:gridSpan w:val="2"/>
            <w:tcBorders>
              <w:tl2br w:val="nil"/>
              <w:tr2bl w:val="nil"/>
            </w:tcBorders>
            <w:shd w:val="clear" w:color="auto" w:fill="auto"/>
            <w:vAlign w:val="center"/>
          </w:tcPr>
          <w:p w14:paraId="272CAEA8">
            <w:pPr>
              <w:bidi w:val="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0.087</w:t>
            </w:r>
          </w:p>
        </w:tc>
        <w:tc>
          <w:tcPr>
            <w:tcW w:w="1869" w:type="dxa"/>
            <w:gridSpan w:val="3"/>
            <w:tcBorders>
              <w:tl2br w:val="nil"/>
              <w:tr2bl w:val="nil"/>
            </w:tcBorders>
            <w:shd w:val="clear" w:color="auto" w:fill="auto"/>
            <w:vAlign w:val="center"/>
          </w:tcPr>
          <w:p w14:paraId="7DC5DA8E">
            <w:pPr>
              <w:bidi w:val="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0.082</w:t>
            </w:r>
          </w:p>
        </w:tc>
        <w:tc>
          <w:tcPr>
            <w:tcW w:w="1870" w:type="dxa"/>
            <w:tcBorders>
              <w:tl2br w:val="nil"/>
              <w:tr2bl w:val="nil"/>
            </w:tcBorders>
            <w:shd w:val="clear" w:color="auto" w:fill="auto"/>
            <w:vAlign w:val="center"/>
          </w:tcPr>
          <w:p w14:paraId="0AF22741">
            <w:pPr>
              <w:bidi w:val="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0.098</w:t>
            </w:r>
          </w:p>
        </w:tc>
      </w:tr>
      <w:tr w14:paraId="3D88A6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359BD0BA">
            <w:pPr>
              <w:jc w:val="center"/>
              <w:rPr>
                <w:rFonts w:hint="eastAsia" w:ascii="Times New Roman" w:hAnsi="Times New Roman" w:cs="Times New Roman" w:eastAsiaTheme="minorEastAsia"/>
                <w:kern w:val="2"/>
                <w:sz w:val="21"/>
                <w:szCs w:val="21"/>
                <w:lang w:val="en-US" w:eastAsia="zh-CN" w:bidi="ar-SA"/>
              </w:rPr>
            </w:pPr>
            <w:r>
              <w:rPr>
                <w:rFonts w:ascii="Times New Roman" w:hAnsi="Times New Roman" w:cs="Times New Roman"/>
                <w:szCs w:val="21"/>
                <w:highlight w:val="none"/>
              </w:rPr>
              <w:t>镍 (mg/kg)</w:t>
            </w:r>
          </w:p>
        </w:tc>
        <w:tc>
          <w:tcPr>
            <w:tcW w:w="1869" w:type="dxa"/>
            <w:gridSpan w:val="4"/>
            <w:tcBorders>
              <w:tl2br w:val="nil"/>
              <w:tr2bl w:val="nil"/>
            </w:tcBorders>
            <w:shd w:val="clear" w:color="auto" w:fill="auto"/>
            <w:vAlign w:val="center"/>
          </w:tcPr>
          <w:p w14:paraId="122346BF">
            <w:pPr>
              <w:bidi w:val="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34</w:t>
            </w:r>
          </w:p>
        </w:tc>
        <w:tc>
          <w:tcPr>
            <w:tcW w:w="1869" w:type="dxa"/>
            <w:gridSpan w:val="2"/>
            <w:tcBorders>
              <w:tl2br w:val="nil"/>
              <w:tr2bl w:val="nil"/>
            </w:tcBorders>
            <w:shd w:val="clear" w:color="auto" w:fill="auto"/>
            <w:vAlign w:val="center"/>
          </w:tcPr>
          <w:p w14:paraId="497935A6">
            <w:pPr>
              <w:bidi w:val="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31</w:t>
            </w:r>
          </w:p>
        </w:tc>
        <w:tc>
          <w:tcPr>
            <w:tcW w:w="1869" w:type="dxa"/>
            <w:gridSpan w:val="3"/>
            <w:tcBorders>
              <w:tl2br w:val="nil"/>
              <w:tr2bl w:val="nil"/>
            </w:tcBorders>
            <w:shd w:val="clear" w:color="auto" w:fill="auto"/>
            <w:vAlign w:val="center"/>
          </w:tcPr>
          <w:p w14:paraId="0306C7D3">
            <w:pPr>
              <w:bidi w:val="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38</w:t>
            </w:r>
          </w:p>
        </w:tc>
        <w:tc>
          <w:tcPr>
            <w:tcW w:w="1870" w:type="dxa"/>
            <w:tcBorders>
              <w:tl2br w:val="nil"/>
              <w:tr2bl w:val="nil"/>
            </w:tcBorders>
            <w:shd w:val="clear" w:color="auto" w:fill="auto"/>
            <w:vAlign w:val="center"/>
          </w:tcPr>
          <w:p w14:paraId="129C229E">
            <w:pPr>
              <w:bidi w:val="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 w:val="21"/>
                <w:szCs w:val="21"/>
                <w:lang w:val="en-US" w:eastAsia="zh-CN"/>
              </w:rPr>
              <w:t>34</w:t>
            </w:r>
          </w:p>
        </w:tc>
      </w:tr>
      <w:tr w14:paraId="4CB707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962" w:type="dxa"/>
            <w:tcBorders>
              <w:tl2br w:val="nil"/>
              <w:tr2bl w:val="nil"/>
            </w:tcBorders>
            <w:shd w:val="clear" w:color="auto" w:fill="auto"/>
            <w:vAlign w:val="center"/>
          </w:tcPr>
          <w:p w14:paraId="41A6139C">
            <w:pPr>
              <w:jc w:val="center"/>
              <w:rPr>
                <w:rFonts w:hint="eastAsia" w:ascii="Times New Roman" w:hAnsi="Times New Roman" w:eastAsia="宋体" w:cs="Times New Roman"/>
                <w:color w:val="000000"/>
                <w:kern w:val="2"/>
                <w:sz w:val="21"/>
                <w:szCs w:val="21"/>
                <w:highlight w:val="none"/>
                <w:lang w:val="en-US" w:eastAsia="zh-CN" w:bidi="ar-SA"/>
              </w:rPr>
            </w:pPr>
            <w:r>
              <w:rPr>
                <w:rFonts w:ascii="Times New Roman" w:hAnsi="Times New Roman" w:cs="Times New Roman"/>
                <w:szCs w:val="21"/>
              </w:rPr>
              <w:t>石油烃 (C</w:t>
            </w:r>
            <w:r>
              <w:rPr>
                <w:rFonts w:ascii="Times New Roman" w:hAnsi="Times New Roman" w:cs="Times New Roman"/>
                <w:szCs w:val="21"/>
                <w:vertAlign w:val="subscript"/>
              </w:rPr>
              <w:t>10</w:t>
            </w:r>
            <w:r>
              <w:rPr>
                <w:rFonts w:ascii="Times New Roman" w:hAnsi="Times New Roman" w:cs="Times New Roman"/>
                <w:szCs w:val="21"/>
              </w:rPr>
              <w:t>-C</w:t>
            </w:r>
            <w:r>
              <w:rPr>
                <w:rFonts w:ascii="Times New Roman" w:hAnsi="Times New Roman" w:cs="Times New Roman"/>
                <w:szCs w:val="21"/>
                <w:vertAlign w:val="subscript"/>
              </w:rPr>
              <w:t>40</w:t>
            </w:r>
            <w:r>
              <w:rPr>
                <w:rFonts w:ascii="Times New Roman" w:hAnsi="Times New Roman" w:cs="Times New Roman"/>
                <w:szCs w:val="21"/>
              </w:rPr>
              <w:t>) （mg/kg）</w:t>
            </w:r>
          </w:p>
        </w:tc>
        <w:tc>
          <w:tcPr>
            <w:tcW w:w="1869" w:type="dxa"/>
            <w:gridSpan w:val="4"/>
            <w:tcBorders>
              <w:tl2br w:val="nil"/>
              <w:tr2bl w:val="nil"/>
            </w:tcBorders>
            <w:shd w:val="clear" w:color="auto" w:fill="auto"/>
            <w:vAlign w:val="center"/>
          </w:tcPr>
          <w:p w14:paraId="35D45763">
            <w:pPr>
              <w:widowControl/>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bCs/>
                <w:color w:val="auto"/>
                <w:sz w:val="21"/>
                <w:szCs w:val="21"/>
                <w:lang w:val="en-US" w:eastAsia="zh-CN"/>
              </w:rPr>
              <w:t>18</w:t>
            </w:r>
          </w:p>
        </w:tc>
        <w:tc>
          <w:tcPr>
            <w:tcW w:w="1869" w:type="dxa"/>
            <w:gridSpan w:val="2"/>
            <w:tcBorders>
              <w:tl2br w:val="nil"/>
              <w:tr2bl w:val="nil"/>
            </w:tcBorders>
            <w:shd w:val="clear" w:color="auto" w:fill="auto"/>
            <w:vAlign w:val="center"/>
          </w:tcPr>
          <w:p w14:paraId="409492ED">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w:t>
            </w:r>
          </w:p>
        </w:tc>
        <w:tc>
          <w:tcPr>
            <w:tcW w:w="1869" w:type="dxa"/>
            <w:gridSpan w:val="3"/>
            <w:tcBorders>
              <w:tl2br w:val="nil"/>
              <w:tr2bl w:val="nil"/>
            </w:tcBorders>
            <w:shd w:val="clear" w:color="auto" w:fill="auto"/>
            <w:vAlign w:val="center"/>
          </w:tcPr>
          <w:p w14:paraId="58BD669D">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17</w:t>
            </w:r>
          </w:p>
        </w:tc>
        <w:tc>
          <w:tcPr>
            <w:tcW w:w="1870" w:type="dxa"/>
            <w:tcBorders>
              <w:tl2br w:val="nil"/>
              <w:tr2bl w:val="nil"/>
            </w:tcBorders>
            <w:shd w:val="clear" w:color="auto" w:fill="auto"/>
            <w:vAlign w:val="center"/>
          </w:tcPr>
          <w:p w14:paraId="0989314E">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25</w:t>
            </w:r>
          </w:p>
        </w:tc>
      </w:tr>
      <w:tr w14:paraId="529579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2549" w:type="dxa"/>
            <w:gridSpan w:val="2"/>
            <w:tcBorders>
              <w:tl2br w:val="nil"/>
              <w:tr2bl w:val="nil"/>
            </w:tcBorders>
            <w:vAlign w:val="center"/>
          </w:tcPr>
          <w:p w14:paraId="2E00FB66">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样品标识</w:t>
            </w:r>
          </w:p>
        </w:tc>
        <w:tc>
          <w:tcPr>
            <w:tcW w:w="2166" w:type="dxa"/>
            <w:gridSpan w:val="4"/>
            <w:tcBorders>
              <w:tl2br w:val="nil"/>
              <w:tr2bl w:val="nil"/>
            </w:tcBorders>
            <w:vAlign w:val="center"/>
          </w:tcPr>
          <w:p w14:paraId="5FE61DCA">
            <w:pPr>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251028T22S（8#厂区外东南侧农田0-0.2m）</w:t>
            </w:r>
          </w:p>
        </w:tc>
        <w:tc>
          <w:tcPr>
            <w:tcW w:w="2166" w:type="dxa"/>
            <w:gridSpan w:val="3"/>
            <w:tcBorders>
              <w:tl2br w:val="nil"/>
              <w:tr2bl w:val="nil"/>
            </w:tcBorders>
            <w:vAlign w:val="center"/>
          </w:tcPr>
          <w:p w14:paraId="3A5A2482">
            <w:pPr>
              <w:jc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251028T23S（10#厂区外西北侧农田0-0.2m）</w:t>
            </w:r>
          </w:p>
        </w:tc>
        <w:tc>
          <w:tcPr>
            <w:tcW w:w="2558" w:type="dxa"/>
            <w:gridSpan w:val="2"/>
            <w:tcBorders>
              <w:tl2br w:val="nil"/>
              <w:tr2bl w:val="nil"/>
            </w:tcBorders>
            <w:vAlign w:val="center"/>
          </w:tcPr>
          <w:p w14:paraId="3A1638E9">
            <w:pPr>
              <w:jc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251028T24S（11#厂区外西南侧农田0-0.2m）</w:t>
            </w:r>
          </w:p>
        </w:tc>
      </w:tr>
      <w:tr w14:paraId="0099C1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2549" w:type="dxa"/>
            <w:gridSpan w:val="2"/>
            <w:vMerge w:val="restart"/>
            <w:tcBorders>
              <w:tl2br w:val="nil"/>
              <w:tr2bl w:val="nil"/>
            </w:tcBorders>
            <w:vAlign w:val="center"/>
          </w:tcPr>
          <w:p w14:paraId="740CEE52">
            <w:pPr>
              <w:jc w:val="center"/>
              <w:rPr>
                <w:rFonts w:hint="eastAsia" w:ascii="Times New Roman" w:hAnsi="Times New Roman" w:cs="Times New Roman"/>
                <w:color w:val="auto"/>
                <w:sz w:val="21"/>
                <w:szCs w:val="21"/>
                <w:highlight w:val="none"/>
                <w:lang w:val="en-US" w:eastAsia="zh-CN"/>
              </w:rPr>
            </w:pPr>
            <w:r>
              <w:rPr>
                <w:sz w:val="21"/>
              </w:rPr>
              <mc:AlternateContent>
                <mc:Choice Requires="wps">
                  <w:drawing>
                    <wp:anchor distT="0" distB="0" distL="114300" distR="114300" simplePos="0" relativeHeight="251680768" behindDoc="0" locked="0" layoutInCell="1" allowOverlap="1">
                      <wp:simplePos x="0" y="0"/>
                      <wp:positionH relativeFrom="column">
                        <wp:posOffset>-62865</wp:posOffset>
                      </wp:positionH>
                      <wp:positionV relativeFrom="paragraph">
                        <wp:posOffset>10795</wp:posOffset>
                      </wp:positionV>
                      <wp:extent cx="1607185" cy="458470"/>
                      <wp:effectExtent l="1905" t="6350" r="10160" b="11430"/>
                      <wp:wrapNone/>
                      <wp:docPr id="46" name="直接连接符 46"/>
                      <wp:cNvGraphicFramePr/>
                      <a:graphic xmlns:a="http://schemas.openxmlformats.org/drawingml/2006/main">
                        <a:graphicData uri="http://schemas.microsoft.com/office/word/2010/wordprocessingShape">
                          <wps:wsp>
                            <wps:cNvCnPr/>
                            <wps:spPr>
                              <a:xfrm>
                                <a:off x="880745" y="3300730"/>
                                <a:ext cx="1607185" cy="45847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95pt;margin-top:0.85pt;height:36.1pt;width:126.55pt;z-index:251680768;mso-width-relative:page;mso-height-relative:page;" filled="f" stroked="t" coordsize="21600,21600" o:gfxdata="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eas5BNcAAAAHAQAADwAAAAAAAAABACAAAAAiAAAAZHJzL2Rvd25yZXYueG1sUEsB&#10;AhQAFAAAAAgAh07iQKNjfen2AQAAxAMAAA4AAAAAAAAAAQAgAAAAJgEAAGRycy9lMm9Eb2MueG1s&#10;UEsFBgAAAAAGAAYAWQEAAI4FAAAAAA==&#10;">
                      <v:fill on="f" focussize="0,0"/>
                      <v:stroke weight="1pt" color="#000000 [3213]" miterlimit="8" joinstyle="miter"/>
                      <v:imagedata o:title=""/>
                      <o:lock v:ext="edit" aspectratio="f"/>
                    </v:line>
                  </w:pict>
                </mc:Fallback>
              </mc:AlternateContent>
            </w:r>
            <w:r>
              <w:rPr>
                <w:rFonts w:hint="eastAsia" w:ascii="Times New Roman" w:hAnsi="Times New Roman" w:cs="Times New Roman"/>
                <w:color w:val="auto"/>
                <w:sz w:val="21"/>
                <w:szCs w:val="21"/>
                <w:highlight w:val="none"/>
                <w:lang w:val="en-US" w:eastAsia="zh-CN"/>
              </w:rPr>
              <mc:AlternateContent>
                <mc:Choice Requires="wps">
                  <w:drawing>
                    <wp:anchor distT="0" distB="0" distL="114300" distR="114300" simplePos="0" relativeHeight="251678720" behindDoc="0" locked="0" layoutInCell="1" allowOverlap="1">
                      <wp:simplePos x="0" y="0"/>
                      <wp:positionH relativeFrom="column">
                        <wp:posOffset>737870</wp:posOffset>
                      </wp:positionH>
                      <wp:positionV relativeFrom="paragraph">
                        <wp:posOffset>-2540</wp:posOffset>
                      </wp:positionV>
                      <wp:extent cx="781050" cy="352425"/>
                      <wp:effectExtent l="0" t="0" r="0" b="0"/>
                      <wp:wrapNone/>
                      <wp:docPr id="44" name="文本框 211"/>
                      <wp:cNvGraphicFramePr/>
                      <a:graphic xmlns:a="http://schemas.openxmlformats.org/drawingml/2006/main">
                        <a:graphicData uri="http://schemas.microsoft.com/office/word/2010/wordprocessingShape">
                          <wps:wsp>
                            <wps:cNvSpPr txBox="1"/>
                            <wps:spPr>
                              <a:xfrm>
                                <a:off x="0" y="0"/>
                                <a:ext cx="781050" cy="352425"/>
                              </a:xfrm>
                              <a:prstGeom prst="rect">
                                <a:avLst/>
                              </a:prstGeom>
                              <a:noFill/>
                              <a:ln w="15875">
                                <a:noFill/>
                              </a:ln>
                            </wps:spPr>
                            <wps:txbx>
                              <w:txbxContent>
                                <w:p w14:paraId="14F930A3">
                                  <w:r>
                                    <w:rPr>
                                      <w:rFonts w:hint="eastAsia"/>
                                    </w:rPr>
                                    <w:t>检测结果</w:t>
                                  </w:r>
                                </w:p>
                              </w:txbxContent>
                            </wps:txbx>
                            <wps:bodyPr upright="1"/>
                          </wps:wsp>
                        </a:graphicData>
                      </a:graphic>
                    </wp:anchor>
                  </w:drawing>
                </mc:Choice>
                <mc:Fallback>
                  <w:pict>
                    <v:shape id="文本框 211" o:spid="_x0000_s1026" o:spt="202" type="#_x0000_t202" style="position:absolute;left:0pt;margin-left:58.1pt;margin-top:-0.2pt;height:27.75pt;width:61.5pt;z-index:251678720;mso-width-relative:page;mso-height-relative:page;" filled="f" stroked="f" coordsize="21600,21600" o:gfxdata="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29+fetoAAAAIAQAADwAAAAAAAAABACAAAAAiAAAAZHJzL2Rvd25yZXYueG1sUEsBAhQA&#10;FAAAAAgAh07iQDKS51S3AQAAWgMAAA4AAAAAAAAAAQAgAAAAKQEAAGRycy9lMm9Eb2MueG1sUEsF&#10;BgAAAAAGAAYAWQEAAFIFAAAAAA==&#10;">
                      <v:fill on="f" focussize="0,0"/>
                      <v:stroke on="f" weight="1.25pt"/>
                      <v:imagedata o:title=""/>
                      <o:lock v:ext="edit" aspectratio="f"/>
                      <v:textbox>
                        <w:txbxContent>
                          <w:p w14:paraId="14F930A3">
                            <w:r>
                              <w:rPr>
                                <w:rFonts w:hint="eastAsia"/>
                              </w:rPr>
                              <w:t>检测结果</w:t>
                            </w:r>
                          </w:p>
                        </w:txbxContent>
                      </v:textbox>
                    </v:shape>
                  </w:pict>
                </mc:Fallback>
              </mc:AlternateContent>
            </w:r>
            <w:r>
              <w:rPr>
                <w:rFonts w:hint="eastAsia" w:ascii="Times New Roman" w:hAnsi="Times New Roman" w:cs="Times New Roman"/>
                <w:color w:val="auto"/>
                <w:sz w:val="21"/>
                <w:szCs w:val="21"/>
                <w:highlight w:val="none"/>
                <w:lang w:val="en-US" w:eastAsia="zh-CN"/>
              </w:rPr>
              <mc:AlternateContent>
                <mc:Choice Requires="wps">
                  <w:drawing>
                    <wp:anchor distT="0" distB="0" distL="114300" distR="114300" simplePos="0" relativeHeight="251679744" behindDoc="0" locked="0" layoutInCell="1" allowOverlap="1">
                      <wp:simplePos x="0" y="0"/>
                      <wp:positionH relativeFrom="column">
                        <wp:posOffset>-38100</wp:posOffset>
                      </wp:positionH>
                      <wp:positionV relativeFrom="paragraph">
                        <wp:posOffset>185420</wp:posOffset>
                      </wp:positionV>
                      <wp:extent cx="781050" cy="352425"/>
                      <wp:effectExtent l="0" t="0" r="0" b="0"/>
                      <wp:wrapNone/>
                      <wp:docPr id="45" name="文本框 210"/>
                      <wp:cNvGraphicFramePr/>
                      <a:graphic xmlns:a="http://schemas.openxmlformats.org/drawingml/2006/main">
                        <a:graphicData uri="http://schemas.microsoft.com/office/word/2010/wordprocessingShape">
                          <wps:wsp>
                            <wps:cNvSpPr txBox="1"/>
                            <wps:spPr>
                              <a:xfrm>
                                <a:off x="0" y="0"/>
                                <a:ext cx="781050" cy="352425"/>
                              </a:xfrm>
                              <a:prstGeom prst="rect">
                                <a:avLst/>
                              </a:prstGeom>
                              <a:noFill/>
                              <a:ln w="15875">
                                <a:noFill/>
                              </a:ln>
                            </wps:spPr>
                            <wps:txbx>
                              <w:txbxContent>
                                <w:p w14:paraId="743F2CB0">
                                  <w:r>
                                    <w:rPr>
                                      <w:rFonts w:hint="eastAsia"/>
                                    </w:rPr>
                                    <w:t>项目</w:t>
                                  </w:r>
                                </w:p>
                              </w:txbxContent>
                            </wps:txbx>
                            <wps:bodyPr upright="1"/>
                          </wps:wsp>
                        </a:graphicData>
                      </a:graphic>
                    </wp:anchor>
                  </w:drawing>
                </mc:Choice>
                <mc:Fallback>
                  <w:pict>
                    <v:shape id="文本框 210" o:spid="_x0000_s1026" o:spt="202" type="#_x0000_t202" style="position:absolute;left:0pt;margin-left:-3pt;margin-top:14.6pt;height:27.75pt;width:61.5pt;z-index:251679744;mso-width-relative:page;mso-height-relative:page;" filled="f" stroked="f" coordsize="21600,21600" o:gfxdata="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5k0Qt9sAAAAIAQAADwAAAAAAAAABACAAAAAiAAAAZHJzL2Rvd25yZXYueG1sUEsBAhQA&#10;FAAAAAgAh07iQItBRge2AQAAWgMAAA4AAAAAAAAAAQAgAAAAKgEAAGRycy9lMm9Eb2MueG1sUEsF&#10;BgAAAAAGAAYAWQEAAFIFAAAAAA==&#10;">
                      <v:fill on="f" focussize="0,0"/>
                      <v:stroke on="f" weight="1.25pt"/>
                      <v:imagedata o:title=""/>
                      <o:lock v:ext="edit" aspectratio="f"/>
                      <v:textbox>
                        <w:txbxContent>
                          <w:p w14:paraId="743F2CB0">
                            <w:r>
                              <w:rPr>
                                <w:rFonts w:hint="eastAsia"/>
                              </w:rPr>
                              <w:t>项目</w:t>
                            </w:r>
                          </w:p>
                        </w:txbxContent>
                      </v:textbox>
                    </v:shape>
                  </w:pict>
                </mc:Fallback>
              </mc:AlternateContent>
            </w:r>
          </w:p>
        </w:tc>
        <w:tc>
          <w:tcPr>
            <w:tcW w:w="6890" w:type="dxa"/>
            <w:gridSpan w:val="9"/>
            <w:tcBorders>
              <w:tl2br w:val="nil"/>
              <w:tr2bl w:val="nil"/>
            </w:tcBorders>
            <w:vAlign w:val="center"/>
          </w:tcPr>
          <w:p w14:paraId="6E02B569">
            <w:pPr>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样品编号</w:t>
            </w:r>
          </w:p>
        </w:tc>
      </w:tr>
      <w:tr w14:paraId="2522AC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549" w:type="dxa"/>
            <w:gridSpan w:val="2"/>
            <w:vMerge w:val="continue"/>
            <w:tcBorders>
              <w:tl2br w:val="nil"/>
              <w:tr2bl w:val="nil"/>
            </w:tcBorders>
            <w:vAlign w:val="center"/>
          </w:tcPr>
          <w:p w14:paraId="2D2467A8">
            <w:pPr>
              <w:jc w:val="center"/>
              <w:rPr>
                <w:rFonts w:hint="eastAsia" w:ascii="Times New Roman" w:hAnsi="Times New Roman" w:cs="Times New Roman"/>
                <w:color w:val="auto"/>
                <w:sz w:val="21"/>
                <w:szCs w:val="21"/>
                <w:highlight w:val="none"/>
                <w:lang w:val="en-US" w:eastAsia="zh-CN"/>
              </w:rPr>
            </w:pPr>
          </w:p>
        </w:tc>
        <w:tc>
          <w:tcPr>
            <w:tcW w:w="2166" w:type="dxa"/>
            <w:gridSpan w:val="4"/>
            <w:tcBorders>
              <w:tl2br w:val="nil"/>
              <w:tr2bl w:val="nil"/>
            </w:tcBorders>
            <w:vAlign w:val="center"/>
          </w:tcPr>
          <w:p w14:paraId="62A28DA4">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W25103007-TR-19</w:t>
            </w:r>
            <w:r>
              <w:rPr>
                <w:rFonts w:hint="eastAsia" w:ascii="Times New Roman" w:hAnsi="Times New Roman" w:cs="Times New Roman"/>
                <w:highlight w:val="none"/>
                <w:lang w:val="en-US" w:eastAsia="zh-CN"/>
              </w:rPr>
              <w:t>11</w:t>
            </w:r>
          </w:p>
        </w:tc>
        <w:tc>
          <w:tcPr>
            <w:tcW w:w="2166" w:type="dxa"/>
            <w:gridSpan w:val="3"/>
            <w:tcBorders>
              <w:tl2br w:val="nil"/>
              <w:tr2bl w:val="nil"/>
            </w:tcBorders>
            <w:vAlign w:val="center"/>
          </w:tcPr>
          <w:p w14:paraId="62B55BEE">
            <w:pPr>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W25103007-TR-20</w:t>
            </w:r>
            <w:r>
              <w:rPr>
                <w:rFonts w:hint="eastAsia" w:ascii="Times New Roman" w:hAnsi="Times New Roman" w:cs="Times New Roman"/>
                <w:highlight w:val="none"/>
                <w:lang w:val="en-US" w:eastAsia="zh-CN"/>
              </w:rPr>
              <w:t>11</w:t>
            </w:r>
          </w:p>
        </w:tc>
        <w:tc>
          <w:tcPr>
            <w:tcW w:w="2558" w:type="dxa"/>
            <w:gridSpan w:val="2"/>
            <w:tcBorders>
              <w:tl2br w:val="nil"/>
              <w:tr2bl w:val="nil"/>
            </w:tcBorders>
            <w:vAlign w:val="center"/>
          </w:tcPr>
          <w:p w14:paraId="70BA505C">
            <w:pPr>
              <w:jc w:val="cente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W25103007-TR-21</w:t>
            </w:r>
            <w:r>
              <w:rPr>
                <w:rFonts w:hint="eastAsia" w:ascii="Times New Roman" w:hAnsi="Times New Roman" w:cs="Times New Roman"/>
                <w:highlight w:val="none"/>
                <w:lang w:val="en-US" w:eastAsia="zh-CN"/>
              </w:rPr>
              <w:t>11</w:t>
            </w:r>
          </w:p>
        </w:tc>
      </w:tr>
      <w:tr w14:paraId="72863D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549" w:type="dxa"/>
            <w:gridSpan w:val="2"/>
            <w:tcBorders>
              <w:tl2br w:val="nil"/>
              <w:tr2bl w:val="nil"/>
            </w:tcBorders>
            <w:shd w:val="clear" w:color="auto" w:fill="auto"/>
            <w:vAlign w:val="center"/>
          </w:tcPr>
          <w:p w14:paraId="4C377044">
            <w:pPr>
              <w:widowControl/>
              <w:jc w:val="center"/>
              <w:textAlignment w:val="center"/>
              <w:rPr>
                <w:rFonts w:hint="eastAsia"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szCs w:val="21"/>
              </w:rPr>
              <w:t>镉（</w:t>
            </w:r>
            <w:r>
              <w:rPr>
                <w:rFonts w:ascii="Times New Roman" w:hAnsi="Times New Roman" w:cs="Times New Roman"/>
                <w:szCs w:val="21"/>
                <w:lang w:bidi="ar"/>
              </w:rPr>
              <w:t>mg/kg</w:t>
            </w:r>
            <w:r>
              <w:rPr>
                <w:rFonts w:ascii="Times New Roman" w:hAnsi="Times New Roman" w:cs="Times New Roman"/>
                <w:szCs w:val="21"/>
              </w:rPr>
              <w:t>）</w:t>
            </w:r>
          </w:p>
        </w:tc>
        <w:tc>
          <w:tcPr>
            <w:tcW w:w="2166" w:type="dxa"/>
            <w:gridSpan w:val="4"/>
            <w:tcBorders>
              <w:tl2br w:val="nil"/>
              <w:tr2bl w:val="nil"/>
            </w:tcBorders>
            <w:shd w:val="clear" w:color="auto" w:fill="auto"/>
            <w:vAlign w:val="center"/>
          </w:tcPr>
          <w:p w14:paraId="09585FFA">
            <w:pPr>
              <w:widowControl/>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000000"/>
                <w:szCs w:val="21"/>
                <w:lang w:val="en-US" w:eastAsia="zh-CN"/>
              </w:rPr>
              <w:t>0.26</w:t>
            </w:r>
          </w:p>
        </w:tc>
        <w:tc>
          <w:tcPr>
            <w:tcW w:w="2166" w:type="dxa"/>
            <w:gridSpan w:val="3"/>
            <w:tcBorders>
              <w:tl2br w:val="nil"/>
              <w:tr2bl w:val="nil"/>
            </w:tcBorders>
            <w:shd w:val="clear" w:color="auto" w:fill="auto"/>
            <w:vAlign w:val="center"/>
          </w:tcPr>
          <w:p w14:paraId="29B96D4F">
            <w:pPr>
              <w:widowControl/>
              <w:jc w:val="center"/>
              <w:textAlignment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000000"/>
                <w:szCs w:val="21"/>
                <w:lang w:val="en-US" w:eastAsia="zh-CN"/>
              </w:rPr>
              <w:t>0.24</w:t>
            </w:r>
          </w:p>
        </w:tc>
        <w:tc>
          <w:tcPr>
            <w:tcW w:w="2558" w:type="dxa"/>
            <w:gridSpan w:val="2"/>
            <w:tcBorders>
              <w:tl2br w:val="nil"/>
              <w:tr2bl w:val="nil"/>
            </w:tcBorders>
            <w:shd w:val="clear" w:color="auto" w:fill="auto"/>
            <w:vAlign w:val="center"/>
          </w:tcPr>
          <w:p w14:paraId="115E3934">
            <w:pPr>
              <w:widowControl/>
              <w:jc w:val="center"/>
              <w:textAlignment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000000"/>
                <w:szCs w:val="21"/>
                <w:lang w:val="en-US" w:eastAsia="zh-CN"/>
              </w:rPr>
              <w:t>0.19</w:t>
            </w:r>
          </w:p>
        </w:tc>
      </w:tr>
      <w:tr w14:paraId="284DE7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549" w:type="dxa"/>
            <w:gridSpan w:val="2"/>
            <w:tcBorders>
              <w:tl2br w:val="nil"/>
              <w:tr2bl w:val="nil"/>
            </w:tcBorders>
            <w:shd w:val="clear" w:color="auto" w:fill="auto"/>
            <w:vAlign w:val="center"/>
          </w:tcPr>
          <w:p w14:paraId="7CD773FF">
            <w:pPr>
              <w:widowControl/>
              <w:jc w:val="center"/>
              <w:textAlignment w:val="center"/>
              <w:rPr>
                <w:rFonts w:hint="eastAsia" w:asciiTheme="minorHAnsi" w:hAnsiTheme="minorHAnsi" w:eastAsiaTheme="minorEastAsia" w:cstheme="minorBidi"/>
                <w:kern w:val="2"/>
                <w:sz w:val="21"/>
                <w:szCs w:val="24"/>
                <w:highlight w:val="none"/>
                <w:lang w:val="en-US" w:eastAsia="zh-CN" w:bidi="ar-SA"/>
              </w:rPr>
            </w:pPr>
            <w:r>
              <w:rPr>
                <w:rFonts w:ascii="Times New Roman" w:hAnsi="Times New Roman" w:cs="Times New Roman"/>
                <w:szCs w:val="21"/>
              </w:rPr>
              <w:t>汞（</w:t>
            </w:r>
            <w:r>
              <w:rPr>
                <w:rFonts w:ascii="Times New Roman" w:hAnsi="Times New Roman" w:cs="Times New Roman"/>
                <w:szCs w:val="21"/>
                <w:lang w:bidi="ar"/>
              </w:rPr>
              <w:t>mg/kg</w:t>
            </w:r>
            <w:r>
              <w:rPr>
                <w:rFonts w:ascii="Times New Roman" w:hAnsi="Times New Roman" w:cs="Times New Roman"/>
                <w:szCs w:val="21"/>
              </w:rPr>
              <w:t>）</w:t>
            </w:r>
          </w:p>
        </w:tc>
        <w:tc>
          <w:tcPr>
            <w:tcW w:w="2166" w:type="dxa"/>
            <w:gridSpan w:val="4"/>
            <w:tcBorders>
              <w:tl2br w:val="nil"/>
              <w:tr2bl w:val="nil"/>
            </w:tcBorders>
            <w:shd w:val="clear" w:color="auto" w:fill="auto"/>
            <w:vAlign w:val="center"/>
          </w:tcPr>
          <w:p w14:paraId="064C9B5E">
            <w:pPr>
              <w:widowControl/>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000000"/>
                <w:szCs w:val="21"/>
                <w:lang w:val="en-US" w:eastAsia="zh-CN"/>
              </w:rPr>
              <w:t>0.046</w:t>
            </w:r>
          </w:p>
        </w:tc>
        <w:tc>
          <w:tcPr>
            <w:tcW w:w="2166" w:type="dxa"/>
            <w:gridSpan w:val="3"/>
            <w:tcBorders>
              <w:tl2br w:val="nil"/>
              <w:tr2bl w:val="nil"/>
            </w:tcBorders>
            <w:shd w:val="clear" w:color="auto" w:fill="auto"/>
            <w:vAlign w:val="center"/>
          </w:tcPr>
          <w:p w14:paraId="07FEC982">
            <w:pPr>
              <w:widowControl/>
              <w:jc w:val="center"/>
              <w:textAlignment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000000"/>
                <w:szCs w:val="21"/>
                <w:lang w:val="en-US" w:eastAsia="zh-CN"/>
              </w:rPr>
              <w:t>0.037</w:t>
            </w:r>
          </w:p>
        </w:tc>
        <w:tc>
          <w:tcPr>
            <w:tcW w:w="2558" w:type="dxa"/>
            <w:gridSpan w:val="2"/>
            <w:tcBorders>
              <w:tl2br w:val="nil"/>
              <w:tr2bl w:val="nil"/>
            </w:tcBorders>
            <w:shd w:val="clear" w:color="auto" w:fill="auto"/>
            <w:vAlign w:val="center"/>
          </w:tcPr>
          <w:p w14:paraId="7AF9160A">
            <w:pPr>
              <w:widowControl/>
              <w:jc w:val="center"/>
              <w:textAlignment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000000"/>
                <w:szCs w:val="21"/>
                <w:lang w:val="en-US" w:eastAsia="zh-CN"/>
              </w:rPr>
              <w:t>0.058</w:t>
            </w:r>
          </w:p>
        </w:tc>
      </w:tr>
      <w:tr w14:paraId="53F8C5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549" w:type="dxa"/>
            <w:gridSpan w:val="2"/>
            <w:tcBorders>
              <w:tl2br w:val="nil"/>
              <w:tr2bl w:val="nil"/>
            </w:tcBorders>
            <w:shd w:val="clear" w:color="auto" w:fill="auto"/>
            <w:vAlign w:val="center"/>
          </w:tcPr>
          <w:p w14:paraId="3BF4780F">
            <w:pPr>
              <w:widowControl/>
              <w:jc w:val="center"/>
              <w:textAlignment w:val="center"/>
              <w:rPr>
                <w:rFonts w:hint="eastAsia" w:asciiTheme="minorHAnsi" w:hAnsiTheme="minorHAnsi" w:eastAsiaTheme="minorEastAsia" w:cstheme="minorBidi"/>
                <w:kern w:val="2"/>
                <w:sz w:val="21"/>
                <w:szCs w:val="24"/>
                <w:highlight w:val="none"/>
                <w:lang w:val="en-US" w:eastAsia="zh-CN" w:bidi="ar-SA"/>
              </w:rPr>
            </w:pPr>
            <w:r>
              <w:rPr>
                <w:rFonts w:ascii="Times New Roman" w:hAnsi="Times New Roman" w:cs="Times New Roman"/>
                <w:szCs w:val="21"/>
              </w:rPr>
              <w:t>砷（</w:t>
            </w:r>
            <w:r>
              <w:rPr>
                <w:rFonts w:ascii="Times New Roman" w:hAnsi="Times New Roman" w:cs="Times New Roman"/>
                <w:szCs w:val="21"/>
                <w:lang w:bidi="ar"/>
              </w:rPr>
              <w:t>mg/kg</w:t>
            </w:r>
            <w:r>
              <w:rPr>
                <w:rFonts w:ascii="Times New Roman" w:hAnsi="Times New Roman" w:cs="Times New Roman"/>
                <w:szCs w:val="21"/>
              </w:rPr>
              <w:t>）</w:t>
            </w:r>
          </w:p>
        </w:tc>
        <w:tc>
          <w:tcPr>
            <w:tcW w:w="2166" w:type="dxa"/>
            <w:gridSpan w:val="4"/>
            <w:tcBorders>
              <w:tl2br w:val="nil"/>
              <w:tr2bl w:val="nil"/>
            </w:tcBorders>
            <w:shd w:val="clear" w:color="auto" w:fill="auto"/>
            <w:vAlign w:val="center"/>
          </w:tcPr>
          <w:p w14:paraId="538FEB0D">
            <w:pPr>
              <w:widowControl/>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000000"/>
                <w:szCs w:val="21"/>
                <w:lang w:val="en-US" w:eastAsia="zh-CN"/>
              </w:rPr>
              <w:t>8.62</w:t>
            </w:r>
          </w:p>
        </w:tc>
        <w:tc>
          <w:tcPr>
            <w:tcW w:w="2166" w:type="dxa"/>
            <w:gridSpan w:val="3"/>
            <w:tcBorders>
              <w:tl2br w:val="nil"/>
              <w:tr2bl w:val="nil"/>
            </w:tcBorders>
            <w:shd w:val="clear" w:color="auto" w:fill="auto"/>
            <w:vAlign w:val="center"/>
          </w:tcPr>
          <w:p w14:paraId="747230CB">
            <w:pPr>
              <w:widowControl/>
              <w:jc w:val="center"/>
              <w:textAlignment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000000"/>
                <w:szCs w:val="21"/>
                <w:lang w:val="en-US" w:eastAsia="zh-CN"/>
              </w:rPr>
              <w:t>6.68</w:t>
            </w:r>
          </w:p>
        </w:tc>
        <w:tc>
          <w:tcPr>
            <w:tcW w:w="2558" w:type="dxa"/>
            <w:gridSpan w:val="2"/>
            <w:tcBorders>
              <w:tl2br w:val="nil"/>
              <w:tr2bl w:val="nil"/>
            </w:tcBorders>
            <w:shd w:val="clear" w:color="auto" w:fill="auto"/>
            <w:vAlign w:val="center"/>
          </w:tcPr>
          <w:p w14:paraId="1B0D8791">
            <w:pPr>
              <w:widowControl/>
              <w:jc w:val="center"/>
              <w:textAlignment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000000"/>
                <w:szCs w:val="21"/>
                <w:lang w:val="en-US" w:eastAsia="zh-CN"/>
              </w:rPr>
              <w:t>7.73</w:t>
            </w:r>
          </w:p>
        </w:tc>
      </w:tr>
      <w:tr w14:paraId="210FB9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25" w:hRule="atLeast"/>
        </w:trPr>
        <w:tc>
          <w:tcPr>
            <w:tcW w:w="2549" w:type="dxa"/>
            <w:gridSpan w:val="2"/>
            <w:tcBorders>
              <w:tl2br w:val="nil"/>
              <w:tr2bl w:val="nil"/>
            </w:tcBorders>
            <w:shd w:val="clear" w:color="auto" w:fill="auto"/>
            <w:vAlign w:val="center"/>
          </w:tcPr>
          <w:p w14:paraId="1AF3EE7A">
            <w:pPr>
              <w:widowControl/>
              <w:jc w:val="center"/>
              <w:textAlignment w:val="center"/>
              <w:rPr>
                <w:rFonts w:hint="eastAsia" w:asciiTheme="minorHAnsi" w:hAnsiTheme="minorHAnsi" w:eastAsiaTheme="minorEastAsia" w:cstheme="minorBidi"/>
                <w:kern w:val="2"/>
                <w:sz w:val="21"/>
                <w:szCs w:val="24"/>
                <w:highlight w:val="none"/>
                <w:lang w:val="en-US" w:eastAsia="zh-CN" w:bidi="ar-SA"/>
              </w:rPr>
            </w:pPr>
            <w:r>
              <w:rPr>
                <w:rFonts w:ascii="Times New Roman" w:hAnsi="Times New Roman" w:cs="Times New Roman"/>
                <w:szCs w:val="21"/>
              </w:rPr>
              <w:t>铅（</w:t>
            </w:r>
            <w:r>
              <w:rPr>
                <w:rFonts w:ascii="Times New Roman" w:hAnsi="Times New Roman" w:cs="Times New Roman"/>
                <w:szCs w:val="21"/>
                <w:lang w:bidi="ar"/>
              </w:rPr>
              <w:t>mg/kg</w:t>
            </w:r>
            <w:r>
              <w:rPr>
                <w:rFonts w:ascii="Times New Roman" w:hAnsi="Times New Roman" w:cs="Times New Roman"/>
                <w:szCs w:val="21"/>
              </w:rPr>
              <w:t>）</w:t>
            </w:r>
          </w:p>
        </w:tc>
        <w:tc>
          <w:tcPr>
            <w:tcW w:w="2166" w:type="dxa"/>
            <w:gridSpan w:val="4"/>
            <w:tcBorders>
              <w:tl2br w:val="nil"/>
              <w:tr2bl w:val="nil"/>
            </w:tcBorders>
            <w:shd w:val="clear" w:color="auto" w:fill="auto"/>
            <w:vAlign w:val="center"/>
          </w:tcPr>
          <w:p w14:paraId="16CEAC3B">
            <w:pPr>
              <w:widowControl/>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000000"/>
                <w:szCs w:val="21"/>
                <w:lang w:val="en-US" w:eastAsia="zh-CN"/>
              </w:rPr>
              <w:t>73</w:t>
            </w:r>
          </w:p>
        </w:tc>
        <w:tc>
          <w:tcPr>
            <w:tcW w:w="2166" w:type="dxa"/>
            <w:gridSpan w:val="3"/>
            <w:tcBorders>
              <w:tl2br w:val="nil"/>
              <w:tr2bl w:val="nil"/>
            </w:tcBorders>
            <w:shd w:val="clear" w:color="auto" w:fill="auto"/>
            <w:vAlign w:val="center"/>
          </w:tcPr>
          <w:p w14:paraId="7984B5B2">
            <w:pPr>
              <w:widowControl/>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000000"/>
                <w:szCs w:val="21"/>
                <w:lang w:val="en-US" w:eastAsia="zh-CN"/>
              </w:rPr>
              <w:t>59</w:t>
            </w:r>
          </w:p>
        </w:tc>
        <w:tc>
          <w:tcPr>
            <w:tcW w:w="2558" w:type="dxa"/>
            <w:gridSpan w:val="2"/>
            <w:tcBorders>
              <w:tl2br w:val="nil"/>
              <w:tr2bl w:val="nil"/>
            </w:tcBorders>
            <w:shd w:val="clear" w:color="auto" w:fill="auto"/>
            <w:vAlign w:val="center"/>
          </w:tcPr>
          <w:p w14:paraId="4C98191A">
            <w:pPr>
              <w:widowControl/>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000000"/>
                <w:szCs w:val="21"/>
                <w:lang w:val="en-US" w:eastAsia="zh-CN"/>
              </w:rPr>
              <w:t>41</w:t>
            </w:r>
          </w:p>
        </w:tc>
      </w:tr>
      <w:tr w14:paraId="760DA1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549" w:type="dxa"/>
            <w:gridSpan w:val="2"/>
            <w:tcBorders>
              <w:tl2br w:val="nil"/>
              <w:tr2bl w:val="nil"/>
            </w:tcBorders>
            <w:shd w:val="clear" w:color="auto" w:fill="auto"/>
            <w:vAlign w:val="center"/>
          </w:tcPr>
          <w:p w14:paraId="5C26C459">
            <w:pPr>
              <w:widowControl/>
              <w:jc w:val="center"/>
              <w:textAlignment w:val="center"/>
              <w:rPr>
                <w:rFonts w:hint="eastAsia" w:asciiTheme="minorHAnsi" w:hAnsiTheme="minorHAnsi" w:eastAsiaTheme="minorEastAsia" w:cstheme="minorBidi"/>
                <w:kern w:val="2"/>
                <w:sz w:val="21"/>
                <w:szCs w:val="24"/>
                <w:highlight w:val="none"/>
                <w:lang w:val="en-US" w:eastAsia="zh-CN" w:bidi="ar-SA"/>
              </w:rPr>
            </w:pPr>
            <w:r>
              <w:rPr>
                <w:rFonts w:ascii="Times New Roman" w:hAnsi="Times New Roman" w:cs="Times New Roman"/>
                <w:szCs w:val="21"/>
              </w:rPr>
              <w:t>铬（</w:t>
            </w:r>
            <w:r>
              <w:rPr>
                <w:rFonts w:ascii="Times New Roman" w:hAnsi="Times New Roman" w:cs="Times New Roman"/>
                <w:szCs w:val="21"/>
                <w:lang w:bidi="ar"/>
              </w:rPr>
              <w:t>mg/kg</w:t>
            </w:r>
            <w:r>
              <w:rPr>
                <w:rFonts w:ascii="Times New Roman" w:hAnsi="Times New Roman" w:cs="Times New Roman"/>
                <w:szCs w:val="21"/>
              </w:rPr>
              <w:t>）</w:t>
            </w:r>
          </w:p>
        </w:tc>
        <w:tc>
          <w:tcPr>
            <w:tcW w:w="2166" w:type="dxa"/>
            <w:gridSpan w:val="4"/>
            <w:tcBorders>
              <w:tl2br w:val="nil"/>
              <w:tr2bl w:val="nil"/>
            </w:tcBorders>
            <w:shd w:val="clear" w:color="auto" w:fill="auto"/>
            <w:vAlign w:val="center"/>
          </w:tcPr>
          <w:p w14:paraId="73991D25">
            <w:pPr>
              <w:widowControl/>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000000"/>
                <w:szCs w:val="21"/>
                <w:lang w:val="en-US" w:eastAsia="zh-CN"/>
              </w:rPr>
              <w:t>30</w:t>
            </w:r>
          </w:p>
        </w:tc>
        <w:tc>
          <w:tcPr>
            <w:tcW w:w="2166" w:type="dxa"/>
            <w:gridSpan w:val="3"/>
            <w:tcBorders>
              <w:tl2br w:val="nil"/>
              <w:tr2bl w:val="nil"/>
            </w:tcBorders>
            <w:shd w:val="clear" w:color="auto" w:fill="auto"/>
            <w:vAlign w:val="center"/>
          </w:tcPr>
          <w:p w14:paraId="2F1AD989">
            <w:pPr>
              <w:widowControl/>
              <w:jc w:val="center"/>
              <w:textAlignment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000000"/>
                <w:szCs w:val="21"/>
                <w:lang w:val="en-US" w:eastAsia="zh-CN"/>
              </w:rPr>
              <w:t>26</w:t>
            </w:r>
          </w:p>
        </w:tc>
        <w:tc>
          <w:tcPr>
            <w:tcW w:w="2558" w:type="dxa"/>
            <w:gridSpan w:val="2"/>
            <w:tcBorders>
              <w:tl2br w:val="nil"/>
              <w:tr2bl w:val="nil"/>
            </w:tcBorders>
            <w:shd w:val="clear" w:color="auto" w:fill="auto"/>
            <w:vAlign w:val="center"/>
          </w:tcPr>
          <w:p w14:paraId="31CEC6FA">
            <w:pPr>
              <w:widowControl/>
              <w:jc w:val="center"/>
              <w:textAlignment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000000"/>
                <w:szCs w:val="21"/>
                <w:lang w:val="en-US" w:eastAsia="zh-CN"/>
              </w:rPr>
              <w:t>34</w:t>
            </w:r>
          </w:p>
        </w:tc>
      </w:tr>
      <w:tr w14:paraId="1E94FE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549" w:type="dxa"/>
            <w:gridSpan w:val="2"/>
            <w:tcBorders>
              <w:tl2br w:val="nil"/>
              <w:tr2bl w:val="nil"/>
            </w:tcBorders>
            <w:shd w:val="clear" w:color="auto" w:fill="auto"/>
            <w:vAlign w:val="center"/>
          </w:tcPr>
          <w:p w14:paraId="42248B15">
            <w:pPr>
              <w:widowControl/>
              <w:jc w:val="center"/>
              <w:textAlignment w:val="center"/>
              <w:rPr>
                <w:rFonts w:hint="eastAsia" w:asciiTheme="minorHAnsi" w:hAnsiTheme="minorHAnsi" w:eastAsiaTheme="minorEastAsia" w:cstheme="minorBidi"/>
                <w:kern w:val="2"/>
                <w:sz w:val="21"/>
                <w:szCs w:val="24"/>
                <w:highlight w:val="none"/>
                <w:lang w:val="en-US" w:eastAsia="zh-CN" w:bidi="ar-SA"/>
              </w:rPr>
            </w:pPr>
            <w:r>
              <w:rPr>
                <w:rFonts w:ascii="Times New Roman" w:hAnsi="Times New Roman" w:cs="Times New Roman"/>
                <w:szCs w:val="21"/>
              </w:rPr>
              <w:t>铜（</w:t>
            </w:r>
            <w:r>
              <w:rPr>
                <w:rFonts w:ascii="Times New Roman" w:hAnsi="Times New Roman" w:cs="Times New Roman"/>
                <w:szCs w:val="21"/>
                <w:lang w:bidi="ar"/>
              </w:rPr>
              <w:t>mg/kg</w:t>
            </w:r>
            <w:r>
              <w:rPr>
                <w:rFonts w:ascii="Times New Roman" w:hAnsi="Times New Roman" w:cs="Times New Roman"/>
                <w:szCs w:val="21"/>
              </w:rPr>
              <w:t>）</w:t>
            </w:r>
          </w:p>
        </w:tc>
        <w:tc>
          <w:tcPr>
            <w:tcW w:w="2166" w:type="dxa"/>
            <w:gridSpan w:val="4"/>
            <w:tcBorders>
              <w:tl2br w:val="nil"/>
              <w:tr2bl w:val="nil"/>
            </w:tcBorders>
            <w:shd w:val="clear" w:color="auto" w:fill="auto"/>
            <w:vAlign w:val="center"/>
          </w:tcPr>
          <w:p w14:paraId="4AB75D75">
            <w:pPr>
              <w:widowControl/>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000000"/>
                <w:szCs w:val="21"/>
                <w:lang w:val="en-US" w:eastAsia="zh-CN"/>
              </w:rPr>
              <w:t>32</w:t>
            </w:r>
          </w:p>
        </w:tc>
        <w:tc>
          <w:tcPr>
            <w:tcW w:w="2166" w:type="dxa"/>
            <w:gridSpan w:val="3"/>
            <w:tcBorders>
              <w:tl2br w:val="nil"/>
              <w:tr2bl w:val="nil"/>
            </w:tcBorders>
            <w:shd w:val="clear" w:color="auto" w:fill="auto"/>
            <w:vAlign w:val="center"/>
          </w:tcPr>
          <w:p w14:paraId="4BAC2DD7">
            <w:pPr>
              <w:widowControl/>
              <w:jc w:val="center"/>
              <w:textAlignment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000000"/>
                <w:szCs w:val="21"/>
                <w:lang w:val="en-US" w:eastAsia="zh-CN"/>
              </w:rPr>
              <w:t>26</w:t>
            </w:r>
          </w:p>
        </w:tc>
        <w:tc>
          <w:tcPr>
            <w:tcW w:w="2558" w:type="dxa"/>
            <w:gridSpan w:val="2"/>
            <w:tcBorders>
              <w:tl2br w:val="nil"/>
              <w:tr2bl w:val="nil"/>
            </w:tcBorders>
            <w:shd w:val="clear" w:color="auto" w:fill="auto"/>
            <w:vAlign w:val="center"/>
          </w:tcPr>
          <w:p w14:paraId="006D8CA2">
            <w:pPr>
              <w:widowControl/>
              <w:jc w:val="center"/>
              <w:textAlignment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000000"/>
                <w:szCs w:val="21"/>
                <w:lang w:val="en-US" w:eastAsia="zh-CN"/>
              </w:rPr>
              <w:t>42</w:t>
            </w:r>
          </w:p>
        </w:tc>
      </w:tr>
      <w:tr w14:paraId="2ECC65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549" w:type="dxa"/>
            <w:gridSpan w:val="2"/>
            <w:tcBorders>
              <w:tl2br w:val="nil"/>
              <w:tr2bl w:val="nil"/>
            </w:tcBorders>
            <w:shd w:val="clear" w:color="auto" w:fill="auto"/>
            <w:vAlign w:val="center"/>
          </w:tcPr>
          <w:p w14:paraId="49A2E108">
            <w:pPr>
              <w:widowControl/>
              <w:jc w:val="center"/>
              <w:textAlignment w:val="center"/>
              <w:rPr>
                <w:rFonts w:hint="eastAsia" w:ascii="Times New Roman" w:hAnsi="Times New Roman" w:eastAsia="宋体" w:cs="Times New Roman"/>
                <w:color w:val="000000"/>
                <w:kern w:val="2"/>
                <w:sz w:val="21"/>
                <w:szCs w:val="21"/>
                <w:highlight w:val="none"/>
                <w:lang w:val="en-US" w:eastAsia="zh-CN" w:bidi="ar-SA"/>
              </w:rPr>
            </w:pPr>
            <w:r>
              <w:rPr>
                <w:rFonts w:ascii="Times New Roman" w:hAnsi="Times New Roman" w:cs="Times New Roman"/>
                <w:szCs w:val="21"/>
              </w:rPr>
              <w:t>锌（</w:t>
            </w:r>
            <w:r>
              <w:rPr>
                <w:rFonts w:ascii="Times New Roman" w:hAnsi="Times New Roman" w:cs="Times New Roman"/>
                <w:szCs w:val="21"/>
                <w:lang w:bidi="ar"/>
              </w:rPr>
              <w:t>mg/kg</w:t>
            </w:r>
            <w:r>
              <w:rPr>
                <w:rFonts w:ascii="Times New Roman" w:hAnsi="Times New Roman" w:cs="Times New Roman"/>
                <w:szCs w:val="21"/>
              </w:rPr>
              <w:t>）</w:t>
            </w:r>
          </w:p>
        </w:tc>
        <w:tc>
          <w:tcPr>
            <w:tcW w:w="2166" w:type="dxa"/>
            <w:gridSpan w:val="4"/>
            <w:tcBorders>
              <w:tl2br w:val="nil"/>
              <w:tr2bl w:val="nil"/>
            </w:tcBorders>
            <w:shd w:val="clear" w:color="auto" w:fill="auto"/>
            <w:vAlign w:val="center"/>
          </w:tcPr>
          <w:p w14:paraId="447D1AB9">
            <w:pPr>
              <w:widowControl/>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000000"/>
                <w:szCs w:val="21"/>
                <w:lang w:val="en-US" w:eastAsia="zh-CN"/>
              </w:rPr>
              <w:t>94</w:t>
            </w:r>
          </w:p>
        </w:tc>
        <w:tc>
          <w:tcPr>
            <w:tcW w:w="2166" w:type="dxa"/>
            <w:gridSpan w:val="3"/>
            <w:tcBorders>
              <w:tl2br w:val="nil"/>
              <w:tr2bl w:val="nil"/>
            </w:tcBorders>
            <w:shd w:val="clear" w:color="auto" w:fill="auto"/>
            <w:vAlign w:val="center"/>
          </w:tcPr>
          <w:p w14:paraId="7B0518BD">
            <w:pPr>
              <w:widowControl/>
              <w:jc w:val="center"/>
              <w:textAlignment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000000"/>
                <w:szCs w:val="21"/>
                <w:lang w:val="en-US" w:eastAsia="zh-CN"/>
              </w:rPr>
              <w:t>121</w:t>
            </w:r>
          </w:p>
        </w:tc>
        <w:tc>
          <w:tcPr>
            <w:tcW w:w="2558" w:type="dxa"/>
            <w:gridSpan w:val="2"/>
            <w:tcBorders>
              <w:tl2br w:val="nil"/>
              <w:tr2bl w:val="nil"/>
            </w:tcBorders>
            <w:shd w:val="clear" w:color="auto" w:fill="auto"/>
            <w:vAlign w:val="center"/>
          </w:tcPr>
          <w:p w14:paraId="4C66D3BF">
            <w:pPr>
              <w:widowControl/>
              <w:jc w:val="center"/>
              <w:textAlignment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000000"/>
                <w:szCs w:val="21"/>
                <w:lang w:val="en-US" w:eastAsia="zh-CN"/>
              </w:rPr>
              <w:t>114</w:t>
            </w:r>
          </w:p>
        </w:tc>
      </w:tr>
      <w:tr w14:paraId="08E47D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549" w:type="dxa"/>
            <w:gridSpan w:val="2"/>
            <w:tcBorders>
              <w:tl2br w:val="nil"/>
              <w:tr2bl w:val="nil"/>
            </w:tcBorders>
            <w:shd w:val="clear" w:color="auto" w:fill="auto"/>
            <w:vAlign w:val="center"/>
          </w:tcPr>
          <w:p w14:paraId="66FB2302">
            <w:pPr>
              <w:widowControl/>
              <w:jc w:val="center"/>
              <w:textAlignment w:val="center"/>
              <w:rPr>
                <w:rFonts w:hint="eastAsia" w:ascii="Times New Roman" w:hAnsi="Times New Roman" w:eastAsia="宋体" w:cs="Times New Roman"/>
                <w:color w:val="000000"/>
                <w:kern w:val="2"/>
                <w:sz w:val="21"/>
                <w:szCs w:val="21"/>
                <w:highlight w:val="none"/>
                <w:lang w:val="en-US" w:eastAsia="zh-CN" w:bidi="ar-SA"/>
              </w:rPr>
            </w:pPr>
            <w:r>
              <w:rPr>
                <w:rFonts w:ascii="Times New Roman" w:hAnsi="Times New Roman" w:cs="Times New Roman"/>
                <w:szCs w:val="21"/>
              </w:rPr>
              <w:t>镍（</w:t>
            </w:r>
            <w:r>
              <w:rPr>
                <w:rFonts w:ascii="Times New Roman" w:hAnsi="Times New Roman" w:cs="Times New Roman"/>
                <w:szCs w:val="21"/>
                <w:lang w:bidi="ar"/>
              </w:rPr>
              <w:t>mg/kg</w:t>
            </w:r>
            <w:r>
              <w:rPr>
                <w:rFonts w:ascii="Times New Roman" w:hAnsi="Times New Roman" w:cs="Times New Roman"/>
                <w:szCs w:val="21"/>
              </w:rPr>
              <w:t>）</w:t>
            </w:r>
          </w:p>
        </w:tc>
        <w:tc>
          <w:tcPr>
            <w:tcW w:w="2166" w:type="dxa"/>
            <w:gridSpan w:val="4"/>
            <w:tcBorders>
              <w:tl2br w:val="nil"/>
              <w:tr2bl w:val="nil"/>
            </w:tcBorders>
            <w:shd w:val="clear" w:color="auto" w:fill="auto"/>
            <w:vAlign w:val="center"/>
          </w:tcPr>
          <w:p w14:paraId="5A46FF4A">
            <w:pPr>
              <w:widowControl/>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000000"/>
                <w:szCs w:val="21"/>
                <w:lang w:val="en-US" w:eastAsia="zh-CN"/>
              </w:rPr>
              <w:t>52</w:t>
            </w:r>
          </w:p>
        </w:tc>
        <w:tc>
          <w:tcPr>
            <w:tcW w:w="2166" w:type="dxa"/>
            <w:gridSpan w:val="3"/>
            <w:tcBorders>
              <w:tl2br w:val="nil"/>
              <w:tr2bl w:val="nil"/>
            </w:tcBorders>
            <w:shd w:val="clear" w:color="auto" w:fill="auto"/>
            <w:vAlign w:val="center"/>
          </w:tcPr>
          <w:p w14:paraId="5249221B">
            <w:pPr>
              <w:widowControl/>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000000"/>
                <w:szCs w:val="21"/>
                <w:highlight w:val="none"/>
                <w:lang w:val="en-US" w:eastAsia="zh-CN"/>
              </w:rPr>
              <w:t>65</w:t>
            </w:r>
          </w:p>
        </w:tc>
        <w:tc>
          <w:tcPr>
            <w:tcW w:w="2558" w:type="dxa"/>
            <w:gridSpan w:val="2"/>
            <w:tcBorders>
              <w:tl2br w:val="nil"/>
              <w:tr2bl w:val="nil"/>
            </w:tcBorders>
            <w:shd w:val="clear" w:color="auto" w:fill="auto"/>
            <w:vAlign w:val="center"/>
          </w:tcPr>
          <w:p w14:paraId="530B37CA">
            <w:pPr>
              <w:widowControl/>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000000"/>
                <w:szCs w:val="21"/>
                <w:highlight w:val="none"/>
                <w:lang w:val="en-US" w:eastAsia="zh-CN"/>
              </w:rPr>
              <w:t>87</w:t>
            </w:r>
          </w:p>
        </w:tc>
      </w:tr>
      <w:tr w14:paraId="56629B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549" w:type="dxa"/>
            <w:gridSpan w:val="2"/>
            <w:tcBorders>
              <w:tl2br w:val="nil"/>
              <w:tr2bl w:val="nil"/>
            </w:tcBorders>
            <w:shd w:val="clear" w:color="auto" w:fill="auto"/>
            <w:vAlign w:val="center"/>
          </w:tcPr>
          <w:p w14:paraId="77F6C721">
            <w:pPr>
              <w:jc w:val="center"/>
              <w:rPr>
                <w:rFonts w:hint="default" w:ascii="Times New Roman" w:hAnsi="Times New Roman" w:eastAsia="宋体" w:cs="Times New Roman"/>
                <w:color w:val="000000"/>
                <w:kern w:val="2"/>
                <w:sz w:val="21"/>
                <w:szCs w:val="21"/>
                <w:highlight w:val="none"/>
                <w:lang w:val="en-US" w:eastAsia="zh-CN" w:bidi="ar-SA"/>
              </w:rPr>
            </w:pPr>
            <w:r>
              <w:rPr>
                <w:rFonts w:ascii="Times New Roman" w:hAnsi="Times New Roman" w:eastAsia="宋体" w:cs="Times New Roman"/>
                <w:szCs w:val="21"/>
              </w:rPr>
              <w:t>pH</w:t>
            </w:r>
            <w:r>
              <w:rPr>
                <w:rFonts w:hint="eastAsia" w:ascii="Times New Roman" w:hAnsi="Times New Roman" w:cs="Times New Roman"/>
                <w:szCs w:val="21"/>
              </w:rPr>
              <w:t>（无量纲）</w:t>
            </w:r>
          </w:p>
        </w:tc>
        <w:tc>
          <w:tcPr>
            <w:tcW w:w="2166" w:type="dxa"/>
            <w:gridSpan w:val="4"/>
            <w:tcBorders>
              <w:tl2br w:val="nil"/>
              <w:tr2bl w:val="nil"/>
            </w:tcBorders>
            <w:shd w:val="clear" w:color="auto" w:fill="auto"/>
            <w:vAlign w:val="center"/>
          </w:tcPr>
          <w:p w14:paraId="748C2F48">
            <w:pPr>
              <w:jc w:val="center"/>
              <w:rPr>
                <w:rFonts w:hint="default" w:ascii="Times New Roman" w:hAnsi="Times New Roman" w:cs="Times New Roman" w:eastAsiaTheme="minorEastAsia"/>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7.47</w:t>
            </w:r>
          </w:p>
        </w:tc>
        <w:tc>
          <w:tcPr>
            <w:tcW w:w="2166" w:type="dxa"/>
            <w:gridSpan w:val="3"/>
            <w:tcBorders>
              <w:tl2br w:val="nil"/>
              <w:tr2bl w:val="nil"/>
            </w:tcBorders>
            <w:shd w:val="clear" w:color="auto" w:fill="auto"/>
            <w:vAlign w:val="center"/>
          </w:tcPr>
          <w:p w14:paraId="1BA132FE">
            <w:pPr>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7.49</w:t>
            </w:r>
          </w:p>
        </w:tc>
        <w:tc>
          <w:tcPr>
            <w:tcW w:w="2558" w:type="dxa"/>
            <w:gridSpan w:val="2"/>
            <w:tcBorders>
              <w:tl2br w:val="nil"/>
              <w:tr2bl w:val="nil"/>
            </w:tcBorders>
            <w:shd w:val="clear" w:color="auto" w:fill="auto"/>
            <w:vAlign w:val="center"/>
          </w:tcPr>
          <w:p w14:paraId="1082279A">
            <w:pPr>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7.54</w:t>
            </w:r>
          </w:p>
        </w:tc>
      </w:tr>
      <w:tr w14:paraId="64EC30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549" w:type="dxa"/>
            <w:gridSpan w:val="2"/>
            <w:tcBorders>
              <w:tl2br w:val="nil"/>
              <w:tr2bl w:val="nil"/>
            </w:tcBorders>
            <w:shd w:val="clear" w:color="auto" w:fill="auto"/>
            <w:vAlign w:val="center"/>
          </w:tcPr>
          <w:p w14:paraId="6AED94B3">
            <w:pPr>
              <w:jc w:val="center"/>
              <w:rPr>
                <w:rFonts w:hint="eastAsia" w:ascii="Times New Roman" w:hAnsi="Times New Roman" w:eastAsia="宋体" w:cs="Times New Roman"/>
                <w:color w:val="000000"/>
                <w:kern w:val="2"/>
                <w:sz w:val="21"/>
                <w:szCs w:val="21"/>
                <w:highlight w:val="none"/>
                <w:lang w:val="en-US" w:eastAsia="zh-CN" w:bidi="ar-SA"/>
              </w:rPr>
            </w:pPr>
            <w:r>
              <w:rPr>
                <w:rFonts w:ascii="Times New Roman" w:hAnsi="Times New Roman" w:cs="Times New Roman"/>
                <w:szCs w:val="21"/>
              </w:rPr>
              <w:t>石油烃(C</w:t>
            </w:r>
            <w:r>
              <w:rPr>
                <w:rFonts w:ascii="Times New Roman" w:hAnsi="Times New Roman" w:cs="Times New Roman"/>
                <w:szCs w:val="21"/>
                <w:vertAlign w:val="subscript"/>
              </w:rPr>
              <w:t>10</w:t>
            </w:r>
            <w:r>
              <w:rPr>
                <w:rFonts w:ascii="Times New Roman" w:hAnsi="Times New Roman" w:cs="Times New Roman"/>
                <w:szCs w:val="21"/>
              </w:rPr>
              <w:t>-C</w:t>
            </w:r>
            <w:r>
              <w:rPr>
                <w:rFonts w:ascii="Times New Roman" w:hAnsi="Times New Roman" w:cs="Times New Roman"/>
                <w:szCs w:val="21"/>
                <w:vertAlign w:val="subscript"/>
              </w:rPr>
              <w:t>40</w:t>
            </w:r>
            <w:r>
              <w:rPr>
                <w:rFonts w:ascii="Times New Roman" w:hAnsi="Times New Roman" w:cs="Times New Roman"/>
                <w:szCs w:val="21"/>
              </w:rPr>
              <w:t>)（mg/kg）</w:t>
            </w:r>
          </w:p>
        </w:tc>
        <w:tc>
          <w:tcPr>
            <w:tcW w:w="2166" w:type="dxa"/>
            <w:gridSpan w:val="4"/>
            <w:tcBorders>
              <w:tl2br w:val="nil"/>
              <w:tr2bl w:val="nil"/>
            </w:tcBorders>
            <w:shd w:val="clear" w:color="auto" w:fill="auto"/>
            <w:vAlign w:val="center"/>
          </w:tcPr>
          <w:p w14:paraId="135EB5FB">
            <w:pPr>
              <w:widowControl/>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13</w:t>
            </w:r>
          </w:p>
        </w:tc>
        <w:tc>
          <w:tcPr>
            <w:tcW w:w="2166" w:type="dxa"/>
            <w:gridSpan w:val="3"/>
            <w:tcBorders>
              <w:tl2br w:val="nil"/>
              <w:tr2bl w:val="nil"/>
            </w:tcBorders>
            <w:shd w:val="clear" w:color="auto" w:fill="auto"/>
            <w:vAlign w:val="center"/>
          </w:tcPr>
          <w:p w14:paraId="191CB1DE">
            <w:pPr>
              <w:widowControl/>
              <w:jc w:val="center"/>
              <w:textAlignment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14</w:t>
            </w:r>
          </w:p>
        </w:tc>
        <w:tc>
          <w:tcPr>
            <w:tcW w:w="2558" w:type="dxa"/>
            <w:gridSpan w:val="2"/>
            <w:tcBorders>
              <w:tl2br w:val="nil"/>
              <w:tr2bl w:val="nil"/>
            </w:tcBorders>
            <w:shd w:val="clear" w:color="auto" w:fill="auto"/>
            <w:vAlign w:val="center"/>
          </w:tcPr>
          <w:p w14:paraId="3B3649AC">
            <w:pPr>
              <w:widowControl/>
              <w:jc w:val="center"/>
              <w:textAlignment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16</w:t>
            </w:r>
          </w:p>
        </w:tc>
      </w:tr>
      <w:tr w14:paraId="33E374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439" w:type="dxa"/>
            <w:gridSpan w:val="11"/>
            <w:tcBorders>
              <w:tl2br w:val="nil"/>
              <w:tr2bl w:val="nil"/>
            </w:tcBorders>
            <w:vAlign w:val="center"/>
          </w:tcPr>
          <w:p w14:paraId="76366C8E">
            <w:pPr>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备注：ND表示未检出。</w:t>
            </w:r>
          </w:p>
        </w:tc>
      </w:tr>
    </w:tbl>
    <w:p w14:paraId="5D36F0E9">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eastAsia"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4.2.5.3土壤环境质量现状评价</w:t>
      </w:r>
    </w:p>
    <w:p w14:paraId="746491C5">
      <w:pPr>
        <w:pStyle w:val="62"/>
        <w:keepNext w:val="0"/>
        <w:keepLines w:val="0"/>
        <w:pageBreakBefore w:val="0"/>
        <w:wordWrap/>
        <w:overflowPunct/>
        <w:topLinePunct w:val="0"/>
        <w:bidi w:val="0"/>
        <w:snapToGrid w:val="0"/>
        <w:spacing w:line="360" w:lineRule="auto"/>
        <w:ind w:firstLine="480"/>
        <w:rPr>
          <w:rFonts w:hint="default" w:ascii="Times New Roman" w:hAnsi="Times New Roman" w:eastAsia="宋体" w:cs="Times New Roman"/>
          <w:color w:val="auto"/>
          <w:sz w:val="24"/>
          <w:szCs w:val="24"/>
          <w:highlight w:val="none"/>
          <w:lang w:val="en-US" w:eastAsia="zh-CN"/>
        </w:rPr>
      </w:pPr>
      <w:r>
        <w:rPr>
          <w:rFonts w:hint="eastAsia" w:eastAsia="宋体" w:cs="Times New Roman"/>
          <w:color w:val="auto"/>
          <w:sz w:val="24"/>
          <w:szCs w:val="24"/>
          <w:highlight w:val="none"/>
          <w:lang w:val="en-US" w:eastAsia="zh-CN"/>
        </w:rPr>
        <w:t>1、评价方法</w:t>
      </w:r>
    </w:p>
    <w:p w14:paraId="54B68494">
      <w:pPr>
        <w:pStyle w:val="62"/>
        <w:keepNext w:val="0"/>
        <w:keepLines w:val="0"/>
        <w:pageBreakBefore w:val="0"/>
        <w:wordWrap/>
        <w:overflowPunct/>
        <w:topLinePunct w:val="0"/>
        <w:bidi w:val="0"/>
        <w:snapToGrid w:val="0"/>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土壤质量评价采用单因子标准指数法进行评价。</w:t>
      </w:r>
    </w:p>
    <w:p w14:paraId="761B6BA6">
      <w:pPr>
        <w:pStyle w:val="62"/>
        <w:keepNext w:val="0"/>
        <w:keepLines w:val="0"/>
        <w:pageBreakBefore w:val="0"/>
        <w:wordWrap/>
        <w:overflowPunct/>
        <w:topLinePunct w:val="0"/>
        <w:bidi w:val="0"/>
        <w:snapToGrid w:val="0"/>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单因子标准指数法评价公式如下：</w:t>
      </w:r>
    </w:p>
    <w:p w14:paraId="073556BC">
      <w:pPr>
        <w:pStyle w:val="62"/>
        <w:keepNext w:val="0"/>
        <w:keepLines w:val="0"/>
        <w:pageBreakBefore w:val="0"/>
        <w:wordWrap/>
        <w:overflowPunct/>
        <w:topLinePunct w:val="0"/>
        <w:bidi w:val="0"/>
        <w:snapToGrid w:val="0"/>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P</w:t>
      </w:r>
      <w:r>
        <w:rPr>
          <w:rFonts w:hint="default" w:ascii="Times New Roman" w:hAnsi="Times New Roman" w:eastAsia="宋体" w:cs="Times New Roman"/>
          <w:color w:val="auto"/>
          <w:sz w:val="24"/>
          <w:szCs w:val="24"/>
          <w:highlight w:val="none"/>
          <w:vertAlign w:val="subscript"/>
        </w:rPr>
        <w:t>i</w:t>
      </w:r>
      <w:r>
        <w:rPr>
          <w:rFonts w:hint="default" w:ascii="Times New Roman" w:hAnsi="Times New Roman" w:eastAsia="宋体" w:cs="Times New Roman"/>
          <w:color w:val="auto"/>
          <w:sz w:val="24"/>
          <w:szCs w:val="24"/>
          <w:highlight w:val="none"/>
        </w:rPr>
        <w:t>=C</w:t>
      </w:r>
      <w:r>
        <w:rPr>
          <w:rFonts w:hint="default" w:ascii="Times New Roman" w:hAnsi="Times New Roman" w:eastAsia="宋体" w:cs="Times New Roman"/>
          <w:color w:val="auto"/>
          <w:sz w:val="24"/>
          <w:szCs w:val="24"/>
          <w:highlight w:val="none"/>
          <w:vertAlign w:val="subscript"/>
        </w:rPr>
        <w:t>i</w:t>
      </w:r>
      <w:r>
        <w:rPr>
          <w:rFonts w:hint="default" w:ascii="Times New Roman" w:hAnsi="Times New Roman" w:eastAsia="宋体" w:cs="Times New Roman"/>
          <w:color w:val="auto"/>
          <w:sz w:val="24"/>
          <w:szCs w:val="24"/>
          <w:highlight w:val="none"/>
        </w:rPr>
        <w:t>/S</w:t>
      </w:r>
      <w:r>
        <w:rPr>
          <w:rFonts w:hint="default" w:ascii="Times New Roman" w:hAnsi="Times New Roman" w:eastAsia="宋体" w:cs="Times New Roman"/>
          <w:color w:val="auto"/>
          <w:sz w:val="24"/>
          <w:szCs w:val="24"/>
          <w:highlight w:val="none"/>
          <w:vertAlign w:val="subscript"/>
        </w:rPr>
        <w:t>i</w:t>
      </w:r>
    </w:p>
    <w:p w14:paraId="6E61AF15">
      <w:pPr>
        <w:pStyle w:val="62"/>
        <w:keepNext w:val="0"/>
        <w:keepLines w:val="0"/>
        <w:pageBreakBefore w:val="0"/>
        <w:wordWrap/>
        <w:overflowPunct/>
        <w:topLinePunct w:val="0"/>
        <w:bidi w:val="0"/>
        <w:snapToGrid w:val="0"/>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式中：P</w:t>
      </w:r>
      <w:r>
        <w:rPr>
          <w:rFonts w:hint="default" w:ascii="Times New Roman" w:hAnsi="Times New Roman" w:eastAsia="宋体" w:cs="Times New Roman"/>
          <w:color w:val="auto"/>
          <w:sz w:val="24"/>
          <w:szCs w:val="24"/>
          <w:highlight w:val="none"/>
          <w:vertAlign w:val="subscript"/>
        </w:rPr>
        <w:t>i</w:t>
      </w:r>
      <w:r>
        <w:rPr>
          <w:rFonts w:hint="default" w:ascii="Times New Roman" w:hAnsi="Times New Roman" w:eastAsia="宋体" w:cs="Times New Roman"/>
          <w:color w:val="auto"/>
          <w:sz w:val="24"/>
          <w:szCs w:val="24"/>
          <w:highlight w:val="none"/>
        </w:rPr>
        <w:t>――土壤污染物的标准指数，标准指数大于1，说明土壤已受到污染物的污染；</w:t>
      </w:r>
    </w:p>
    <w:p w14:paraId="6D405DFB">
      <w:pPr>
        <w:pStyle w:val="62"/>
        <w:keepNext w:val="0"/>
        <w:keepLines w:val="0"/>
        <w:pageBreakBefore w:val="0"/>
        <w:wordWrap/>
        <w:overflowPunct/>
        <w:topLinePunct w:val="0"/>
        <w:bidi w:val="0"/>
        <w:snapToGrid w:val="0"/>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C</w:t>
      </w:r>
      <w:r>
        <w:rPr>
          <w:rFonts w:hint="default" w:ascii="Times New Roman" w:hAnsi="Times New Roman" w:eastAsia="宋体" w:cs="Times New Roman"/>
          <w:color w:val="auto"/>
          <w:sz w:val="24"/>
          <w:szCs w:val="24"/>
          <w:highlight w:val="none"/>
          <w:vertAlign w:val="subscript"/>
        </w:rPr>
        <w:t>i</w:t>
      </w:r>
      <w:r>
        <w:rPr>
          <w:rFonts w:hint="default" w:ascii="Times New Roman" w:hAnsi="Times New Roman" w:eastAsia="宋体" w:cs="Times New Roman"/>
          <w:color w:val="auto"/>
          <w:sz w:val="24"/>
          <w:szCs w:val="24"/>
          <w:highlight w:val="none"/>
        </w:rPr>
        <w:t>――土壤中污染物的含量，mg/kg；</w:t>
      </w:r>
    </w:p>
    <w:p w14:paraId="63E30F2A">
      <w:pPr>
        <w:keepNext w:val="0"/>
        <w:keepLines w:val="0"/>
        <w:pageBreakBefore w:val="0"/>
        <w:wordWrap/>
        <w:overflowPunct/>
        <w:topLinePunct w:val="0"/>
        <w:bidi w:val="0"/>
        <w:snapToGrid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highlight w:val="none"/>
        </w:rPr>
        <w:t>S</w:t>
      </w:r>
      <w:r>
        <w:rPr>
          <w:rFonts w:hint="default" w:ascii="Times New Roman" w:hAnsi="Times New Roman" w:eastAsia="宋体" w:cs="Times New Roman"/>
          <w:color w:val="auto"/>
          <w:sz w:val="24"/>
          <w:szCs w:val="24"/>
          <w:highlight w:val="none"/>
          <w:vertAlign w:val="subscript"/>
        </w:rPr>
        <w:t>i</w:t>
      </w:r>
      <w:r>
        <w:rPr>
          <w:rFonts w:hint="default" w:ascii="Times New Roman" w:hAnsi="Times New Roman" w:eastAsia="宋体" w:cs="Times New Roman"/>
          <w:color w:val="auto"/>
          <w:sz w:val="24"/>
          <w:szCs w:val="24"/>
          <w:highlight w:val="none"/>
        </w:rPr>
        <w:t>――土壤质量标准，mg/kg。</w:t>
      </w:r>
    </w:p>
    <w:p w14:paraId="584C4695">
      <w:pPr>
        <w:pStyle w:val="18"/>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2、评价标准</w:t>
      </w:r>
    </w:p>
    <w:p w14:paraId="2AD0B301">
      <w:pPr>
        <w:pStyle w:val="18"/>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《土壤环境质量 建设用地土壤污染风险管控标准》（GB36600-2018）第二类用地中的筛选值</w:t>
      </w:r>
      <w:r>
        <w:rPr>
          <w:rFonts w:hint="eastAsia" w:ascii="Times New Roman" w:hAnsi="Times New Roman" w:cs="Times New Roman"/>
          <w:color w:val="auto"/>
          <w:sz w:val="24"/>
          <w:szCs w:val="24"/>
          <w:lang w:val="en-US" w:eastAsia="zh-CN"/>
        </w:rPr>
        <w:t>，《土壤环境质量 农用地土壤污染风险管控标准（试行）》（GB15618-2018）表1农用地土壤污染风险筛选值。</w:t>
      </w:r>
    </w:p>
    <w:p w14:paraId="6634FA94">
      <w:pPr>
        <w:pStyle w:val="62"/>
        <w:keepNext w:val="0"/>
        <w:keepLines w:val="0"/>
        <w:pageBreakBefore w:val="0"/>
        <w:wordWrap/>
        <w:overflowPunct/>
        <w:topLinePunct w:val="0"/>
        <w:bidi w:val="0"/>
        <w:snapToGrid w:val="0"/>
        <w:spacing w:line="360" w:lineRule="auto"/>
        <w:ind w:firstLine="48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3、评价结果</w:t>
      </w:r>
    </w:p>
    <w:p w14:paraId="411FE1CD">
      <w:pPr>
        <w:pStyle w:val="61"/>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Arial" w:cs="Times New Roman"/>
          <w:snapToGrid w:val="0"/>
          <w:color w:val="auto"/>
          <w:kern w:val="0"/>
          <w:sz w:val="24"/>
          <w:szCs w:val="24"/>
          <w:lang w:val="en-US" w:eastAsia="zh-CN" w:bidi="ar-SA"/>
        </w:rPr>
      </w:pPr>
      <w:r>
        <w:rPr>
          <w:rFonts w:hint="eastAsia" w:ascii="Times New Roman" w:hAnsi="Times New Roman" w:eastAsia="Arial" w:cs="Times New Roman"/>
          <w:snapToGrid w:val="0"/>
          <w:color w:val="auto"/>
          <w:kern w:val="0"/>
          <w:sz w:val="24"/>
          <w:szCs w:val="24"/>
          <w:lang w:val="en-US" w:eastAsia="zh-CN" w:bidi="ar-SA"/>
        </w:rPr>
        <w:t>项目评价区土壤中挥发性和半挥发性有机物均未检出，故本次评价针对已检出项目进行标准指数计算，</w:t>
      </w:r>
      <w:r>
        <w:rPr>
          <w:rFonts w:hint="default" w:ascii="Times New Roman" w:hAnsi="Times New Roman" w:eastAsia="Arial" w:cs="Times New Roman"/>
          <w:snapToGrid w:val="0"/>
          <w:color w:val="auto"/>
          <w:kern w:val="0"/>
          <w:sz w:val="24"/>
          <w:szCs w:val="24"/>
          <w:lang w:val="en-GB" w:eastAsia="zh-CN" w:bidi="ar-SA"/>
        </w:rPr>
        <w:t>土壤评价</w:t>
      </w:r>
      <w:r>
        <w:rPr>
          <w:rFonts w:hint="eastAsia" w:ascii="Times New Roman" w:hAnsi="Times New Roman" w:eastAsia="Arial" w:cs="Times New Roman"/>
          <w:snapToGrid w:val="0"/>
          <w:color w:val="auto"/>
          <w:kern w:val="0"/>
          <w:sz w:val="24"/>
          <w:szCs w:val="24"/>
          <w:lang w:val="en-US" w:eastAsia="zh-CN" w:bidi="ar-SA"/>
        </w:rPr>
        <w:t>结果</w:t>
      </w:r>
      <w:r>
        <w:rPr>
          <w:rFonts w:hint="default" w:ascii="Times New Roman" w:hAnsi="Times New Roman" w:eastAsia="Arial" w:cs="Times New Roman"/>
          <w:snapToGrid w:val="0"/>
          <w:color w:val="auto"/>
          <w:kern w:val="0"/>
          <w:sz w:val="24"/>
          <w:szCs w:val="24"/>
          <w:lang w:val="en-GB" w:eastAsia="zh-CN" w:bidi="ar-SA"/>
        </w:rPr>
        <w:t>见表</w:t>
      </w:r>
      <w:r>
        <w:rPr>
          <w:rFonts w:hint="eastAsia" w:ascii="Times New Roman" w:hAnsi="Times New Roman" w:eastAsia="Arial" w:cs="Times New Roman"/>
          <w:snapToGrid w:val="0"/>
          <w:color w:val="auto"/>
          <w:kern w:val="0"/>
          <w:sz w:val="24"/>
          <w:szCs w:val="24"/>
          <w:lang w:val="en-US" w:eastAsia="zh-CN" w:bidi="ar-SA"/>
        </w:rPr>
        <w:t>4.2-2</w:t>
      </w:r>
      <w:r>
        <w:rPr>
          <w:rFonts w:hint="eastAsia" w:eastAsia="Arial" w:cs="Times New Roman"/>
          <w:snapToGrid w:val="0"/>
          <w:color w:val="auto"/>
          <w:kern w:val="0"/>
          <w:sz w:val="24"/>
          <w:szCs w:val="24"/>
          <w:lang w:val="en-US" w:eastAsia="zh-CN" w:bidi="ar-SA"/>
        </w:rPr>
        <w:t>4</w:t>
      </w:r>
      <w:r>
        <w:rPr>
          <w:rFonts w:hint="eastAsia" w:ascii="Times New Roman" w:hAnsi="Times New Roman" w:eastAsia="Arial" w:cs="Times New Roman"/>
          <w:snapToGrid w:val="0"/>
          <w:color w:val="auto"/>
          <w:kern w:val="0"/>
          <w:sz w:val="24"/>
          <w:szCs w:val="24"/>
          <w:lang w:val="en-US" w:eastAsia="zh-CN" w:bidi="ar-SA"/>
        </w:rPr>
        <w:t>。</w:t>
      </w:r>
    </w:p>
    <w:p w14:paraId="4840A3A3">
      <w:pPr>
        <w:pStyle w:val="61"/>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Arial" w:cs="Times New Roman"/>
          <w:b/>
          <w:bCs/>
          <w:snapToGrid w:val="0"/>
          <w:color w:val="auto"/>
          <w:kern w:val="0"/>
          <w:sz w:val="24"/>
          <w:szCs w:val="24"/>
          <w:highlight w:val="none"/>
          <w:lang w:val="en-US" w:eastAsia="zh-CN" w:bidi="ar-SA"/>
        </w:rPr>
      </w:pPr>
      <w:r>
        <w:rPr>
          <w:rFonts w:hint="eastAsia" w:ascii="Times New Roman" w:hAnsi="Times New Roman" w:eastAsia="Arial" w:cs="Times New Roman"/>
          <w:b/>
          <w:bCs/>
          <w:snapToGrid w:val="0"/>
          <w:color w:val="auto"/>
          <w:kern w:val="0"/>
          <w:sz w:val="24"/>
          <w:szCs w:val="24"/>
          <w:highlight w:val="none"/>
          <w:lang w:val="en-US" w:eastAsia="zh-CN" w:bidi="ar-SA"/>
        </w:rPr>
        <w:t>表4.2-</w:t>
      </w:r>
      <w:r>
        <w:rPr>
          <w:rFonts w:hint="eastAsia" w:eastAsia="Arial" w:cs="Times New Roman"/>
          <w:b/>
          <w:bCs/>
          <w:snapToGrid w:val="0"/>
          <w:color w:val="auto"/>
          <w:kern w:val="0"/>
          <w:sz w:val="24"/>
          <w:szCs w:val="24"/>
          <w:highlight w:val="none"/>
          <w:lang w:val="en-US" w:eastAsia="zh-CN" w:bidi="ar-SA"/>
        </w:rPr>
        <w:t>24</w:t>
      </w:r>
      <w:r>
        <w:rPr>
          <w:rFonts w:hint="eastAsia" w:ascii="Times New Roman" w:hAnsi="Times New Roman" w:eastAsia="Arial" w:cs="Times New Roman"/>
          <w:b/>
          <w:bCs/>
          <w:snapToGrid w:val="0"/>
          <w:color w:val="auto"/>
          <w:kern w:val="0"/>
          <w:sz w:val="24"/>
          <w:szCs w:val="24"/>
          <w:highlight w:val="none"/>
          <w:lang w:val="en-US" w:eastAsia="zh-CN" w:bidi="ar-SA"/>
        </w:rPr>
        <w:t xml:space="preserve">   土壤标准指数表</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75"/>
        <w:gridCol w:w="708"/>
        <w:gridCol w:w="708"/>
        <w:gridCol w:w="708"/>
        <w:gridCol w:w="708"/>
        <w:gridCol w:w="708"/>
        <w:gridCol w:w="794"/>
        <w:gridCol w:w="710"/>
        <w:gridCol w:w="710"/>
        <w:gridCol w:w="710"/>
        <w:gridCol w:w="978"/>
      </w:tblGrid>
      <w:tr w14:paraId="0CF3AD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3C84D8C9">
            <w:pPr>
              <w:bidi w:val="0"/>
              <w:jc w:val="center"/>
              <w:rPr>
                <w:rFonts w:hint="default" w:ascii="Times New Roman" w:hAnsi="Times New Roman" w:eastAsia="宋体" w:cs="Times New Roman"/>
              </w:rPr>
            </w:pPr>
            <w:bookmarkStart w:id="36" w:name="_Toc11424"/>
            <w:r>
              <w:rPr>
                <w:rFonts w:hint="default" w:ascii="Times New Roman" w:hAnsi="Times New Roman" w:eastAsia="宋体" w:cs="Times New Roman"/>
              </w:rPr>
              <w:t>项目</w:t>
            </w:r>
            <w:bookmarkEnd w:id="36"/>
          </w:p>
        </w:tc>
        <w:tc>
          <w:tcPr>
            <w:tcW w:w="429" w:type="pct"/>
            <w:tcBorders>
              <w:left w:val="single" w:color="000000" w:sz="4" w:space="0"/>
              <w:tl2br w:val="nil"/>
              <w:tr2bl w:val="nil"/>
            </w:tcBorders>
            <w:noWrap w:val="0"/>
            <w:vAlign w:val="center"/>
          </w:tcPr>
          <w:p w14:paraId="047DCCB3">
            <w:pPr>
              <w:bidi w:val="0"/>
              <w:jc w:val="center"/>
              <w:rPr>
                <w:rFonts w:hint="default" w:ascii="Times New Roman" w:hAnsi="Times New Roman" w:eastAsia="宋体" w:cs="Times New Roman"/>
                <w:lang w:val="en-US" w:eastAsia="zh-CN"/>
              </w:rPr>
            </w:pPr>
            <w:bookmarkStart w:id="37" w:name="_Toc13775"/>
            <w:r>
              <w:rPr>
                <w:rFonts w:hint="default" w:ascii="Times New Roman" w:hAnsi="Times New Roman" w:eastAsia="宋体" w:cs="Times New Roman"/>
                <w:lang w:val="en-US" w:eastAsia="zh-CN"/>
              </w:rPr>
              <w:t>砷</w:t>
            </w:r>
            <w:bookmarkEnd w:id="37"/>
          </w:p>
        </w:tc>
        <w:tc>
          <w:tcPr>
            <w:tcW w:w="429" w:type="pct"/>
            <w:tcBorders>
              <w:right w:val="single" w:color="000000" w:sz="4" w:space="0"/>
              <w:tl2br w:val="nil"/>
              <w:tr2bl w:val="nil"/>
            </w:tcBorders>
            <w:noWrap w:val="0"/>
            <w:vAlign w:val="center"/>
          </w:tcPr>
          <w:p w14:paraId="6A805D3A">
            <w:pPr>
              <w:bidi w:val="0"/>
              <w:jc w:val="center"/>
              <w:rPr>
                <w:rFonts w:hint="default" w:ascii="Times New Roman" w:hAnsi="Times New Roman" w:eastAsia="宋体" w:cs="Times New Roman"/>
                <w:lang w:val="en-US" w:eastAsia="zh-CN"/>
              </w:rPr>
            </w:pPr>
            <w:bookmarkStart w:id="38" w:name="_Toc13305"/>
            <w:r>
              <w:rPr>
                <w:rFonts w:hint="default" w:ascii="Times New Roman" w:hAnsi="Times New Roman" w:eastAsia="宋体" w:cs="Times New Roman"/>
                <w:lang w:val="en-US" w:eastAsia="zh-CN"/>
              </w:rPr>
              <w:t>镉</w:t>
            </w:r>
            <w:bookmarkEnd w:id="38"/>
          </w:p>
        </w:tc>
        <w:tc>
          <w:tcPr>
            <w:tcW w:w="429" w:type="pct"/>
            <w:tcBorders>
              <w:left w:val="single" w:color="000000" w:sz="4" w:space="0"/>
              <w:tl2br w:val="nil"/>
              <w:tr2bl w:val="nil"/>
            </w:tcBorders>
            <w:noWrap w:val="0"/>
            <w:vAlign w:val="center"/>
          </w:tcPr>
          <w:p w14:paraId="4B402E16">
            <w:pPr>
              <w:bidi w:val="0"/>
              <w:jc w:val="center"/>
              <w:rPr>
                <w:rFonts w:hint="default" w:ascii="Times New Roman" w:hAnsi="Times New Roman" w:eastAsia="宋体" w:cs="Times New Roman"/>
                <w:lang w:val="en-US" w:eastAsia="zh-CN"/>
              </w:rPr>
            </w:pPr>
            <w:bookmarkStart w:id="39" w:name="_Toc28873"/>
            <w:r>
              <w:rPr>
                <w:rFonts w:hint="default" w:ascii="Times New Roman" w:hAnsi="Times New Roman" w:eastAsia="宋体" w:cs="Times New Roman"/>
                <w:lang w:val="en-US" w:eastAsia="zh-CN"/>
              </w:rPr>
              <w:t>六价铬</w:t>
            </w:r>
            <w:bookmarkEnd w:id="39"/>
          </w:p>
        </w:tc>
        <w:tc>
          <w:tcPr>
            <w:tcW w:w="429" w:type="pct"/>
            <w:tcBorders>
              <w:left w:val="single" w:color="000000" w:sz="4" w:space="0"/>
              <w:tl2br w:val="nil"/>
              <w:tr2bl w:val="nil"/>
            </w:tcBorders>
            <w:noWrap w:val="0"/>
            <w:vAlign w:val="center"/>
          </w:tcPr>
          <w:p w14:paraId="539952B9">
            <w:pPr>
              <w:bidi w:val="0"/>
              <w:jc w:val="center"/>
              <w:rPr>
                <w:rFonts w:hint="default" w:ascii="Times New Roman" w:hAnsi="Times New Roman" w:eastAsia="宋体" w:cs="Times New Roman"/>
                <w:lang w:val="en-US" w:eastAsia="zh-CN"/>
              </w:rPr>
            </w:pPr>
            <w:bookmarkStart w:id="40" w:name="_Toc18211"/>
            <w:r>
              <w:rPr>
                <w:rFonts w:hint="default" w:ascii="Times New Roman" w:hAnsi="Times New Roman" w:eastAsia="宋体" w:cs="Times New Roman"/>
                <w:lang w:eastAsia="zh-CN"/>
              </w:rPr>
              <w:t>铜</w:t>
            </w:r>
            <w:bookmarkEnd w:id="40"/>
          </w:p>
        </w:tc>
        <w:tc>
          <w:tcPr>
            <w:tcW w:w="429" w:type="pct"/>
            <w:tcBorders>
              <w:right w:val="single" w:color="000000" w:sz="4" w:space="0"/>
              <w:tl2br w:val="nil"/>
              <w:tr2bl w:val="nil"/>
            </w:tcBorders>
            <w:noWrap w:val="0"/>
            <w:vAlign w:val="center"/>
          </w:tcPr>
          <w:p w14:paraId="79CF635E">
            <w:pPr>
              <w:bidi w:val="0"/>
              <w:jc w:val="center"/>
              <w:rPr>
                <w:rFonts w:hint="default" w:ascii="Times New Roman" w:hAnsi="Times New Roman" w:eastAsia="宋体" w:cs="Times New Roman"/>
                <w:lang w:val="en-US" w:eastAsia="zh-CN"/>
              </w:rPr>
            </w:pPr>
            <w:bookmarkStart w:id="41" w:name="_Toc17833"/>
            <w:r>
              <w:rPr>
                <w:rFonts w:hint="default" w:ascii="Times New Roman" w:hAnsi="Times New Roman" w:eastAsia="宋体" w:cs="Times New Roman"/>
              </w:rPr>
              <w:t>铅</w:t>
            </w:r>
            <w:bookmarkEnd w:id="41"/>
          </w:p>
        </w:tc>
        <w:tc>
          <w:tcPr>
            <w:tcW w:w="430" w:type="pct"/>
            <w:tcBorders>
              <w:left w:val="single" w:color="000000" w:sz="4" w:space="0"/>
              <w:tl2br w:val="nil"/>
              <w:tr2bl w:val="nil"/>
            </w:tcBorders>
            <w:noWrap w:val="0"/>
            <w:vAlign w:val="center"/>
          </w:tcPr>
          <w:p w14:paraId="4697562B">
            <w:pPr>
              <w:bidi w:val="0"/>
              <w:jc w:val="center"/>
              <w:rPr>
                <w:rFonts w:hint="default" w:ascii="Times New Roman" w:hAnsi="Times New Roman" w:eastAsia="宋体" w:cs="Times New Roman"/>
                <w:lang w:val="en-US" w:eastAsia="zh-CN"/>
              </w:rPr>
            </w:pPr>
            <w:bookmarkStart w:id="42" w:name="_Toc3464"/>
            <w:r>
              <w:rPr>
                <w:rFonts w:hint="default" w:ascii="Times New Roman" w:hAnsi="Times New Roman" w:eastAsia="宋体" w:cs="Times New Roman"/>
                <w:lang w:val="en-US" w:eastAsia="zh-CN"/>
              </w:rPr>
              <w:t>汞</w:t>
            </w:r>
            <w:bookmarkEnd w:id="42"/>
          </w:p>
        </w:tc>
        <w:tc>
          <w:tcPr>
            <w:tcW w:w="430" w:type="pct"/>
            <w:tcBorders>
              <w:right w:val="single" w:color="000000" w:sz="4" w:space="0"/>
              <w:tl2br w:val="nil"/>
              <w:tr2bl w:val="nil"/>
            </w:tcBorders>
            <w:noWrap w:val="0"/>
            <w:vAlign w:val="center"/>
          </w:tcPr>
          <w:p w14:paraId="5689DB38">
            <w:pPr>
              <w:bidi w:val="0"/>
              <w:jc w:val="center"/>
              <w:rPr>
                <w:rFonts w:hint="default" w:ascii="Times New Roman" w:hAnsi="Times New Roman" w:eastAsia="宋体" w:cs="Times New Roman"/>
                <w:lang w:val="en-US" w:eastAsia="zh-CN"/>
              </w:rPr>
            </w:pPr>
            <w:bookmarkStart w:id="43" w:name="_Toc21250"/>
            <w:r>
              <w:rPr>
                <w:rFonts w:hint="default" w:ascii="Times New Roman" w:hAnsi="Times New Roman" w:eastAsia="宋体" w:cs="Times New Roman"/>
              </w:rPr>
              <w:t>镍</w:t>
            </w:r>
            <w:bookmarkEnd w:id="43"/>
          </w:p>
        </w:tc>
        <w:tc>
          <w:tcPr>
            <w:tcW w:w="430" w:type="pct"/>
            <w:tcBorders>
              <w:left w:val="single" w:color="000000" w:sz="4" w:space="0"/>
              <w:tl2br w:val="nil"/>
              <w:tr2bl w:val="nil"/>
            </w:tcBorders>
            <w:noWrap w:val="0"/>
            <w:vAlign w:val="center"/>
          </w:tcPr>
          <w:p w14:paraId="0F277C0C">
            <w:pPr>
              <w:bidi w:val="0"/>
              <w:jc w:val="center"/>
              <w:rPr>
                <w:rFonts w:hint="default" w:ascii="Times New Roman" w:hAnsi="Times New Roman" w:eastAsia="宋体" w:cs="Times New Roman"/>
                <w:lang w:val="en-US" w:eastAsia="zh-CN"/>
              </w:rPr>
            </w:pPr>
            <w:bookmarkStart w:id="44" w:name="_Toc13570"/>
            <w:r>
              <w:rPr>
                <w:rFonts w:hint="default" w:ascii="Times New Roman" w:hAnsi="Times New Roman" w:eastAsia="宋体" w:cs="Times New Roman"/>
              </w:rPr>
              <w:t>铬</w:t>
            </w:r>
            <w:bookmarkEnd w:id="44"/>
          </w:p>
        </w:tc>
        <w:tc>
          <w:tcPr>
            <w:tcW w:w="430" w:type="pct"/>
            <w:tcBorders>
              <w:left w:val="single" w:color="000000" w:sz="4" w:space="0"/>
              <w:tl2br w:val="nil"/>
              <w:tr2bl w:val="nil"/>
            </w:tcBorders>
            <w:noWrap w:val="0"/>
            <w:vAlign w:val="center"/>
          </w:tcPr>
          <w:p w14:paraId="2E9F8F26">
            <w:pPr>
              <w:bidi w:val="0"/>
              <w:jc w:val="center"/>
              <w:rPr>
                <w:rFonts w:hint="default" w:ascii="Times New Roman" w:hAnsi="Times New Roman" w:eastAsia="宋体" w:cs="Times New Roman"/>
                <w:lang w:val="en-US" w:eastAsia="zh-CN"/>
              </w:rPr>
            </w:pPr>
            <w:bookmarkStart w:id="45" w:name="_Toc6830"/>
            <w:r>
              <w:rPr>
                <w:rFonts w:hint="default" w:ascii="Times New Roman" w:hAnsi="Times New Roman" w:eastAsia="宋体" w:cs="Times New Roman"/>
              </w:rPr>
              <w:t>锌</w:t>
            </w:r>
            <w:bookmarkEnd w:id="45"/>
          </w:p>
        </w:tc>
        <w:tc>
          <w:tcPr>
            <w:tcW w:w="482" w:type="pct"/>
            <w:tcBorders>
              <w:left w:val="single" w:color="000000" w:sz="4" w:space="0"/>
              <w:tl2br w:val="nil"/>
              <w:tr2bl w:val="nil"/>
            </w:tcBorders>
            <w:noWrap w:val="0"/>
            <w:vAlign w:val="center"/>
          </w:tcPr>
          <w:p w14:paraId="4D00D818">
            <w:pPr>
              <w:bidi w:val="0"/>
              <w:jc w:val="center"/>
              <w:rPr>
                <w:rFonts w:hint="default" w:ascii="Times New Roman" w:hAnsi="Times New Roman" w:eastAsia="宋体" w:cs="Times New Roman"/>
                <w:lang w:val="en-US" w:eastAsia="zh-CN"/>
              </w:rPr>
            </w:pPr>
            <w:bookmarkStart w:id="46" w:name="_Toc7638"/>
            <w:r>
              <w:rPr>
                <w:rFonts w:hint="default" w:ascii="Times New Roman" w:hAnsi="Times New Roman" w:eastAsia="宋体" w:cs="Times New Roman"/>
              </w:rPr>
              <w:t>石油烃(C</w:t>
            </w:r>
            <w:r>
              <w:rPr>
                <w:rFonts w:hint="default" w:ascii="Times New Roman" w:hAnsi="Times New Roman" w:eastAsia="宋体" w:cs="Times New Roman"/>
                <w:vertAlign w:val="subscript"/>
              </w:rPr>
              <w:t>10</w:t>
            </w:r>
            <w:r>
              <w:rPr>
                <w:rFonts w:hint="default" w:ascii="Times New Roman" w:hAnsi="Times New Roman" w:eastAsia="宋体" w:cs="Times New Roman"/>
              </w:rPr>
              <w:t>-C</w:t>
            </w:r>
            <w:r>
              <w:rPr>
                <w:rFonts w:hint="default" w:ascii="Times New Roman" w:hAnsi="Times New Roman" w:eastAsia="宋体" w:cs="Times New Roman"/>
                <w:vertAlign w:val="subscript"/>
              </w:rPr>
              <w:t>40</w:t>
            </w:r>
            <w:r>
              <w:rPr>
                <w:rFonts w:hint="default" w:ascii="Times New Roman" w:hAnsi="Times New Roman" w:eastAsia="宋体" w:cs="Times New Roman"/>
              </w:rPr>
              <w:t>)</w:t>
            </w:r>
            <w:bookmarkEnd w:id="46"/>
          </w:p>
        </w:tc>
      </w:tr>
      <w:tr w14:paraId="43938C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65C51194">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1#厂区内0-0.5m</w:t>
            </w:r>
          </w:p>
        </w:tc>
        <w:tc>
          <w:tcPr>
            <w:tcW w:w="429" w:type="pct"/>
            <w:tcBorders>
              <w:left w:val="single" w:color="000000" w:sz="4" w:space="0"/>
              <w:tl2br w:val="nil"/>
              <w:tr2bl w:val="nil"/>
            </w:tcBorders>
            <w:noWrap w:val="0"/>
            <w:vAlign w:val="center"/>
          </w:tcPr>
          <w:p w14:paraId="26391EF0">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0.125</w:t>
            </w:r>
          </w:p>
        </w:tc>
        <w:tc>
          <w:tcPr>
            <w:tcW w:w="429" w:type="pct"/>
            <w:tcBorders>
              <w:right w:val="single" w:color="000000" w:sz="4" w:space="0"/>
              <w:tl2br w:val="nil"/>
              <w:tr2bl w:val="nil"/>
            </w:tcBorders>
            <w:noWrap w:val="0"/>
            <w:vAlign w:val="center"/>
          </w:tcPr>
          <w:p w14:paraId="1960F352">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c>
          <w:tcPr>
            <w:tcW w:w="429" w:type="pct"/>
            <w:tcBorders>
              <w:left w:val="single" w:color="000000" w:sz="4" w:space="0"/>
              <w:tl2br w:val="nil"/>
              <w:tr2bl w:val="nil"/>
            </w:tcBorders>
            <w:noWrap w:val="0"/>
            <w:vAlign w:val="center"/>
          </w:tcPr>
          <w:p w14:paraId="5EBC9CC1">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7C51CF74">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0.003</w:t>
            </w:r>
          </w:p>
        </w:tc>
        <w:tc>
          <w:tcPr>
            <w:tcW w:w="429" w:type="pct"/>
            <w:tcBorders>
              <w:right w:val="single" w:color="000000" w:sz="4" w:space="0"/>
              <w:tl2br w:val="nil"/>
              <w:tr2bl w:val="nil"/>
            </w:tcBorders>
            <w:noWrap w:val="0"/>
            <w:vAlign w:val="center"/>
          </w:tcPr>
          <w:p w14:paraId="39B5146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0.029</w:t>
            </w:r>
          </w:p>
        </w:tc>
        <w:tc>
          <w:tcPr>
            <w:tcW w:w="430" w:type="pct"/>
            <w:tcBorders>
              <w:left w:val="single" w:color="000000" w:sz="4" w:space="0"/>
              <w:tl2br w:val="nil"/>
              <w:tr2bl w:val="nil"/>
            </w:tcBorders>
            <w:noWrap w:val="0"/>
            <w:vAlign w:val="center"/>
          </w:tcPr>
          <w:p w14:paraId="62E757C7">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0.0008</w:t>
            </w:r>
          </w:p>
        </w:tc>
        <w:tc>
          <w:tcPr>
            <w:tcW w:w="430" w:type="pct"/>
            <w:tcBorders>
              <w:right w:val="single" w:color="000000" w:sz="4" w:space="0"/>
              <w:tl2br w:val="nil"/>
              <w:tr2bl w:val="nil"/>
            </w:tcBorders>
            <w:noWrap w:val="0"/>
            <w:vAlign w:val="center"/>
          </w:tcPr>
          <w:p w14:paraId="73EE1DF4">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0.077</w:t>
            </w:r>
          </w:p>
        </w:tc>
        <w:tc>
          <w:tcPr>
            <w:tcW w:w="430" w:type="pct"/>
            <w:tcBorders>
              <w:left w:val="single" w:color="000000" w:sz="4" w:space="0"/>
              <w:tl2br w:val="nil"/>
              <w:tr2bl w:val="nil"/>
            </w:tcBorders>
            <w:noWrap w:val="0"/>
            <w:vAlign w:val="center"/>
          </w:tcPr>
          <w:p w14:paraId="464A6505">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30" w:type="pct"/>
            <w:tcBorders>
              <w:left w:val="single" w:color="000000" w:sz="4" w:space="0"/>
              <w:tl2br w:val="nil"/>
              <w:tr2bl w:val="nil"/>
            </w:tcBorders>
            <w:noWrap w:val="0"/>
            <w:vAlign w:val="center"/>
          </w:tcPr>
          <w:p w14:paraId="44C7C215">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82" w:type="pct"/>
            <w:tcBorders>
              <w:left w:val="single" w:color="000000" w:sz="4" w:space="0"/>
              <w:tl2br w:val="nil"/>
              <w:tr2bl w:val="nil"/>
            </w:tcBorders>
            <w:noWrap w:val="0"/>
            <w:vAlign w:val="center"/>
          </w:tcPr>
          <w:p w14:paraId="4D5C8047">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0.005</w:t>
            </w:r>
          </w:p>
        </w:tc>
      </w:tr>
      <w:tr w14:paraId="486F4F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6B605857">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color w:val="auto"/>
                <w:sz w:val="21"/>
                <w:szCs w:val="21"/>
                <w:highlight w:val="none"/>
                <w:vertAlign w:val="baseline"/>
                <w:lang w:val="en-US" w:eastAsia="zh-CN"/>
              </w:rPr>
              <w:t>1#厂区内0.5-1.5m</w:t>
            </w:r>
          </w:p>
        </w:tc>
        <w:tc>
          <w:tcPr>
            <w:tcW w:w="429" w:type="pct"/>
            <w:tcBorders>
              <w:left w:val="single" w:color="000000" w:sz="4" w:space="0"/>
              <w:tl2br w:val="nil"/>
              <w:tr2bl w:val="nil"/>
            </w:tcBorders>
            <w:noWrap w:val="0"/>
            <w:vAlign w:val="center"/>
          </w:tcPr>
          <w:p w14:paraId="28D94B37">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0.155</w:t>
            </w:r>
          </w:p>
        </w:tc>
        <w:tc>
          <w:tcPr>
            <w:tcW w:w="429" w:type="pct"/>
            <w:tcBorders>
              <w:right w:val="single" w:color="000000" w:sz="4" w:space="0"/>
              <w:tl2br w:val="nil"/>
              <w:tr2bl w:val="nil"/>
            </w:tcBorders>
            <w:noWrap w:val="0"/>
            <w:vAlign w:val="center"/>
          </w:tcPr>
          <w:p w14:paraId="03555F87">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c>
          <w:tcPr>
            <w:tcW w:w="429" w:type="pct"/>
            <w:tcBorders>
              <w:left w:val="single" w:color="000000" w:sz="4" w:space="0"/>
              <w:tl2br w:val="nil"/>
              <w:tr2bl w:val="nil"/>
            </w:tcBorders>
            <w:noWrap w:val="0"/>
            <w:vAlign w:val="center"/>
          </w:tcPr>
          <w:p w14:paraId="6AC70FC0">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205D8E7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c>
          <w:tcPr>
            <w:tcW w:w="429" w:type="pct"/>
            <w:tcBorders>
              <w:right w:val="single" w:color="000000" w:sz="4" w:space="0"/>
              <w:tl2br w:val="nil"/>
              <w:tr2bl w:val="nil"/>
            </w:tcBorders>
            <w:noWrap w:val="0"/>
            <w:vAlign w:val="center"/>
          </w:tcPr>
          <w:p w14:paraId="17F69CA0">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0.038</w:t>
            </w:r>
          </w:p>
        </w:tc>
        <w:tc>
          <w:tcPr>
            <w:tcW w:w="430" w:type="pct"/>
            <w:tcBorders>
              <w:left w:val="single" w:color="000000" w:sz="4" w:space="0"/>
              <w:tl2br w:val="nil"/>
              <w:tr2bl w:val="nil"/>
            </w:tcBorders>
            <w:noWrap w:val="0"/>
            <w:vAlign w:val="center"/>
          </w:tcPr>
          <w:p w14:paraId="196AFBE1">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0.001</w:t>
            </w:r>
          </w:p>
        </w:tc>
        <w:tc>
          <w:tcPr>
            <w:tcW w:w="430" w:type="pct"/>
            <w:tcBorders>
              <w:right w:val="single" w:color="000000" w:sz="4" w:space="0"/>
              <w:tl2br w:val="nil"/>
              <w:tr2bl w:val="nil"/>
            </w:tcBorders>
            <w:noWrap w:val="0"/>
            <w:vAlign w:val="center"/>
          </w:tcPr>
          <w:p w14:paraId="2F9C1CAE">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0.067</w:t>
            </w:r>
          </w:p>
        </w:tc>
        <w:tc>
          <w:tcPr>
            <w:tcW w:w="430" w:type="pct"/>
            <w:tcBorders>
              <w:left w:val="single" w:color="000000" w:sz="4" w:space="0"/>
              <w:tl2br w:val="nil"/>
              <w:tr2bl w:val="nil"/>
            </w:tcBorders>
            <w:noWrap w:val="0"/>
            <w:vAlign w:val="center"/>
          </w:tcPr>
          <w:p w14:paraId="38E159FF">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30" w:type="pct"/>
            <w:tcBorders>
              <w:left w:val="single" w:color="000000" w:sz="4" w:space="0"/>
              <w:tl2br w:val="nil"/>
              <w:tr2bl w:val="nil"/>
            </w:tcBorders>
            <w:noWrap w:val="0"/>
            <w:vAlign w:val="center"/>
          </w:tcPr>
          <w:p w14:paraId="1826C3D6">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82" w:type="pct"/>
            <w:tcBorders>
              <w:left w:val="single" w:color="000000" w:sz="4" w:space="0"/>
              <w:tl2br w:val="nil"/>
              <w:tr2bl w:val="nil"/>
            </w:tcBorders>
            <w:noWrap w:val="0"/>
            <w:vAlign w:val="center"/>
          </w:tcPr>
          <w:p w14:paraId="4A0D4F21">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r>
      <w:tr w14:paraId="27E859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236E4FE3">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color w:val="auto"/>
                <w:sz w:val="21"/>
                <w:szCs w:val="21"/>
                <w:highlight w:val="none"/>
                <w:vertAlign w:val="baseline"/>
                <w:lang w:val="en-US" w:eastAsia="zh-CN"/>
              </w:rPr>
              <w:t>1#厂区内1.5-3.0m</w:t>
            </w:r>
          </w:p>
        </w:tc>
        <w:tc>
          <w:tcPr>
            <w:tcW w:w="429" w:type="pct"/>
            <w:tcBorders>
              <w:left w:val="single" w:color="000000" w:sz="4" w:space="0"/>
              <w:tl2br w:val="nil"/>
              <w:tr2bl w:val="nil"/>
            </w:tcBorders>
            <w:noWrap w:val="0"/>
            <w:vAlign w:val="center"/>
          </w:tcPr>
          <w:p w14:paraId="11741FCF">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0.141</w:t>
            </w:r>
          </w:p>
        </w:tc>
        <w:tc>
          <w:tcPr>
            <w:tcW w:w="429" w:type="pct"/>
            <w:tcBorders>
              <w:right w:val="single" w:color="000000" w:sz="4" w:space="0"/>
              <w:tl2br w:val="nil"/>
              <w:tr2bl w:val="nil"/>
            </w:tcBorders>
            <w:noWrap w:val="0"/>
            <w:vAlign w:val="center"/>
          </w:tcPr>
          <w:p w14:paraId="100D7059">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0.003</w:t>
            </w:r>
          </w:p>
        </w:tc>
        <w:tc>
          <w:tcPr>
            <w:tcW w:w="429" w:type="pct"/>
            <w:tcBorders>
              <w:left w:val="single" w:color="000000" w:sz="4" w:space="0"/>
              <w:tl2br w:val="nil"/>
              <w:tr2bl w:val="nil"/>
            </w:tcBorders>
            <w:noWrap w:val="0"/>
            <w:vAlign w:val="center"/>
          </w:tcPr>
          <w:p w14:paraId="78D0018B">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19E696E8">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29" w:type="pct"/>
            <w:tcBorders>
              <w:right w:val="single" w:color="000000" w:sz="4" w:space="0"/>
              <w:tl2br w:val="nil"/>
              <w:tr2bl w:val="nil"/>
            </w:tcBorders>
            <w:noWrap w:val="0"/>
            <w:vAlign w:val="center"/>
          </w:tcPr>
          <w:p w14:paraId="6100E74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0.028</w:t>
            </w:r>
          </w:p>
        </w:tc>
        <w:tc>
          <w:tcPr>
            <w:tcW w:w="430" w:type="pct"/>
            <w:tcBorders>
              <w:left w:val="single" w:color="000000" w:sz="4" w:space="0"/>
              <w:tl2br w:val="nil"/>
              <w:tr2bl w:val="nil"/>
            </w:tcBorders>
            <w:noWrap w:val="0"/>
            <w:vAlign w:val="center"/>
          </w:tcPr>
          <w:p w14:paraId="1C0D333D">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30" w:type="pct"/>
            <w:tcBorders>
              <w:right w:val="single" w:color="000000" w:sz="4" w:space="0"/>
              <w:tl2br w:val="nil"/>
              <w:tr2bl w:val="nil"/>
            </w:tcBorders>
            <w:noWrap w:val="0"/>
            <w:vAlign w:val="center"/>
          </w:tcPr>
          <w:p w14:paraId="4DD869D2">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0.041</w:t>
            </w:r>
          </w:p>
        </w:tc>
        <w:tc>
          <w:tcPr>
            <w:tcW w:w="430" w:type="pct"/>
            <w:tcBorders>
              <w:left w:val="single" w:color="000000" w:sz="4" w:space="0"/>
              <w:tl2br w:val="nil"/>
              <w:tr2bl w:val="nil"/>
            </w:tcBorders>
            <w:noWrap w:val="0"/>
            <w:vAlign w:val="center"/>
          </w:tcPr>
          <w:p w14:paraId="3DE7DB51">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30" w:type="pct"/>
            <w:tcBorders>
              <w:left w:val="single" w:color="000000" w:sz="4" w:space="0"/>
              <w:tl2br w:val="nil"/>
              <w:tr2bl w:val="nil"/>
            </w:tcBorders>
            <w:noWrap w:val="0"/>
            <w:vAlign w:val="center"/>
          </w:tcPr>
          <w:p w14:paraId="3A403A36">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82" w:type="pct"/>
            <w:tcBorders>
              <w:left w:val="single" w:color="000000" w:sz="4" w:space="0"/>
              <w:tl2br w:val="nil"/>
              <w:tr2bl w:val="nil"/>
            </w:tcBorders>
            <w:noWrap w:val="0"/>
            <w:vAlign w:val="center"/>
          </w:tcPr>
          <w:p w14:paraId="598618E5">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r>
      <w:tr w14:paraId="02C761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34135B0E">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sz w:val="21"/>
                <w:szCs w:val="21"/>
                <w:highlight w:val="none"/>
                <w:vertAlign w:val="baseline"/>
                <w:lang w:val="en-US" w:eastAsia="zh-CN"/>
              </w:rPr>
              <w:t>2#厂区内0-0.5m</w:t>
            </w:r>
          </w:p>
        </w:tc>
        <w:tc>
          <w:tcPr>
            <w:tcW w:w="429" w:type="pct"/>
            <w:tcBorders>
              <w:left w:val="single" w:color="000000" w:sz="4" w:space="0"/>
              <w:tl2br w:val="nil"/>
              <w:tr2bl w:val="nil"/>
            </w:tcBorders>
            <w:noWrap w:val="0"/>
            <w:vAlign w:val="center"/>
          </w:tcPr>
          <w:p w14:paraId="06B45031">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0.152</w:t>
            </w:r>
          </w:p>
        </w:tc>
        <w:tc>
          <w:tcPr>
            <w:tcW w:w="429" w:type="pct"/>
            <w:tcBorders>
              <w:right w:val="single" w:color="000000" w:sz="4" w:space="0"/>
              <w:tl2br w:val="nil"/>
              <w:tr2bl w:val="nil"/>
            </w:tcBorders>
            <w:noWrap w:val="0"/>
            <w:vAlign w:val="center"/>
          </w:tcPr>
          <w:p w14:paraId="20A41B4E">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c>
          <w:tcPr>
            <w:tcW w:w="429" w:type="pct"/>
            <w:tcBorders>
              <w:left w:val="single" w:color="000000" w:sz="4" w:space="0"/>
              <w:tl2br w:val="nil"/>
              <w:tr2bl w:val="nil"/>
            </w:tcBorders>
            <w:noWrap w:val="0"/>
            <w:vAlign w:val="center"/>
          </w:tcPr>
          <w:p w14:paraId="2A549068">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7F69A2CE">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29" w:type="pct"/>
            <w:tcBorders>
              <w:right w:val="single" w:color="000000" w:sz="4" w:space="0"/>
              <w:tl2br w:val="nil"/>
              <w:tr2bl w:val="nil"/>
            </w:tcBorders>
            <w:noWrap w:val="0"/>
            <w:vAlign w:val="center"/>
          </w:tcPr>
          <w:p w14:paraId="579AB670">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0.055</w:t>
            </w:r>
          </w:p>
        </w:tc>
        <w:tc>
          <w:tcPr>
            <w:tcW w:w="430" w:type="pct"/>
            <w:tcBorders>
              <w:left w:val="single" w:color="000000" w:sz="4" w:space="0"/>
              <w:tl2br w:val="nil"/>
              <w:tr2bl w:val="nil"/>
            </w:tcBorders>
            <w:noWrap w:val="0"/>
            <w:vAlign w:val="center"/>
          </w:tcPr>
          <w:p w14:paraId="6C7C4C15">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30" w:type="pct"/>
            <w:tcBorders>
              <w:right w:val="single" w:color="000000" w:sz="4" w:space="0"/>
              <w:tl2br w:val="nil"/>
              <w:tr2bl w:val="nil"/>
            </w:tcBorders>
            <w:noWrap w:val="0"/>
            <w:vAlign w:val="center"/>
          </w:tcPr>
          <w:p w14:paraId="57CB4CF3">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0.044</w:t>
            </w:r>
          </w:p>
        </w:tc>
        <w:tc>
          <w:tcPr>
            <w:tcW w:w="430" w:type="pct"/>
            <w:tcBorders>
              <w:left w:val="single" w:color="000000" w:sz="4" w:space="0"/>
              <w:tl2br w:val="nil"/>
              <w:tr2bl w:val="nil"/>
            </w:tcBorders>
            <w:noWrap w:val="0"/>
            <w:vAlign w:val="center"/>
          </w:tcPr>
          <w:p w14:paraId="10B00BF1">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30" w:type="pct"/>
            <w:tcBorders>
              <w:left w:val="single" w:color="000000" w:sz="4" w:space="0"/>
              <w:tl2br w:val="nil"/>
              <w:tr2bl w:val="nil"/>
            </w:tcBorders>
            <w:noWrap w:val="0"/>
            <w:vAlign w:val="center"/>
          </w:tcPr>
          <w:p w14:paraId="5C45801D">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82" w:type="pct"/>
            <w:tcBorders>
              <w:left w:val="single" w:color="000000" w:sz="4" w:space="0"/>
              <w:tl2br w:val="nil"/>
              <w:tr2bl w:val="nil"/>
            </w:tcBorders>
            <w:noWrap w:val="0"/>
            <w:vAlign w:val="center"/>
          </w:tcPr>
          <w:p w14:paraId="19E05FB9">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0.005</w:t>
            </w:r>
          </w:p>
        </w:tc>
      </w:tr>
      <w:tr w14:paraId="6A9D97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1490D7DB">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sz w:val="21"/>
                <w:szCs w:val="21"/>
                <w:highlight w:val="none"/>
                <w:vertAlign w:val="baseline"/>
                <w:lang w:val="en-US" w:eastAsia="zh-CN"/>
              </w:rPr>
              <w:t>2#厂区内0.5-1.5m</w:t>
            </w:r>
          </w:p>
        </w:tc>
        <w:tc>
          <w:tcPr>
            <w:tcW w:w="429" w:type="pct"/>
            <w:tcBorders>
              <w:left w:val="single" w:color="000000" w:sz="4" w:space="0"/>
              <w:tl2br w:val="nil"/>
              <w:tr2bl w:val="nil"/>
            </w:tcBorders>
            <w:noWrap w:val="0"/>
            <w:vAlign w:val="center"/>
          </w:tcPr>
          <w:p w14:paraId="326EAEA2">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0.14</w:t>
            </w:r>
          </w:p>
        </w:tc>
        <w:tc>
          <w:tcPr>
            <w:tcW w:w="429" w:type="pct"/>
            <w:tcBorders>
              <w:right w:val="single" w:color="000000" w:sz="4" w:space="0"/>
              <w:tl2br w:val="nil"/>
              <w:tr2bl w:val="nil"/>
            </w:tcBorders>
            <w:noWrap w:val="0"/>
            <w:vAlign w:val="center"/>
          </w:tcPr>
          <w:p w14:paraId="35961839">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c>
          <w:tcPr>
            <w:tcW w:w="429" w:type="pct"/>
            <w:tcBorders>
              <w:left w:val="single" w:color="000000" w:sz="4" w:space="0"/>
              <w:tl2br w:val="nil"/>
              <w:tr2bl w:val="nil"/>
            </w:tcBorders>
            <w:noWrap w:val="0"/>
            <w:vAlign w:val="center"/>
          </w:tcPr>
          <w:p w14:paraId="6041F196">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7AC990B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0.003</w:t>
            </w:r>
          </w:p>
        </w:tc>
        <w:tc>
          <w:tcPr>
            <w:tcW w:w="429" w:type="pct"/>
            <w:tcBorders>
              <w:right w:val="single" w:color="000000" w:sz="4" w:space="0"/>
              <w:tl2br w:val="nil"/>
              <w:tr2bl w:val="nil"/>
            </w:tcBorders>
            <w:noWrap w:val="0"/>
            <w:vAlign w:val="center"/>
          </w:tcPr>
          <w:p w14:paraId="1E67C314">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0.045</w:t>
            </w:r>
          </w:p>
        </w:tc>
        <w:tc>
          <w:tcPr>
            <w:tcW w:w="430" w:type="pct"/>
            <w:tcBorders>
              <w:left w:val="single" w:color="000000" w:sz="4" w:space="0"/>
              <w:tl2br w:val="nil"/>
              <w:tr2bl w:val="nil"/>
            </w:tcBorders>
            <w:noWrap w:val="0"/>
            <w:vAlign w:val="center"/>
          </w:tcPr>
          <w:p w14:paraId="7496FA06">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30" w:type="pct"/>
            <w:tcBorders>
              <w:right w:val="single" w:color="000000" w:sz="4" w:space="0"/>
              <w:tl2br w:val="nil"/>
              <w:tr2bl w:val="nil"/>
            </w:tcBorders>
            <w:noWrap w:val="0"/>
            <w:vAlign w:val="center"/>
          </w:tcPr>
          <w:p w14:paraId="04B6C75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0.042</w:t>
            </w:r>
          </w:p>
        </w:tc>
        <w:tc>
          <w:tcPr>
            <w:tcW w:w="430" w:type="pct"/>
            <w:tcBorders>
              <w:left w:val="single" w:color="000000" w:sz="4" w:space="0"/>
              <w:tl2br w:val="nil"/>
              <w:tr2bl w:val="nil"/>
            </w:tcBorders>
            <w:noWrap w:val="0"/>
            <w:vAlign w:val="center"/>
          </w:tcPr>
          <w:p w14:paraId="53DB440C">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30" w:type="pct"/>
            <w:tcBorders>
              <w:left w:val="single" w:color="000000" w:sz="4" w:space="0"/>
              <w:tl2br w:val="nil"/>
              <w:tr2bl w:val="nil"/>
            </w:tcBorders>
            <w:noWrap w:val="0"/>
            <w:vAlign w:val="center"/>
          </w:tcPr>
          <w:p w14:paraId="5F1847C8">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82" w:type="pct"/>
            <w:tcBorders>
              <w:left w:val="single" w:color="000000" w:sz="4" w:space="0"/>
              <w:tl2br w:val="nil"/>
              <w:tr2bl w:val="nil"/>
            </w:tcBorders>
            <w:noWrap w:val="0"/>
            <w:vAlign w:val="center"/>
          </w:tcPr>
          <w:p w14:paraId="7766862D">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r>
      <w:tr w14:paraId="11D4CD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7869DEC1">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sz w:val="21"/>
                <w:szCs w:val="21"/>
                <w:highlight w:val="none"/>
                <w:vertAlign w:val="baseline"/>
                <w:lang w:val="en-US" w:eastAsia="zh-CN"/>
              </w:rPr>
              <w:t>2#厂区内1.5-3.0m</w:t>
            </w:r>
          </w:p>
        </w:tc>
        <w:tc>
          <w:tcPr>
            <w:tcW w:w="429" w:type="pct"/>
            <w:tcBorders>
              <w:left w:val="single" w:color="000000" w:sz="4" w:space="0"/>
              <w:tl2br w:val="nil"/>
              <w:tr2bl w:val="nil"/>
            </w:tcBorders>
            <w:noWrap w:val="0"/>
            <w:vAlign w:val="center"/>
          </w:tcPr>
          <w:p w14:paraId="66D66D06">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0.125</w:t>
            </w:r>
          </w:p>
        </w:tc>
        <w:tc>
          <w:tcPr>
            <w:tcW w:w="429" w:type="pct"/>
            <w:tcBorders>
              <w:right w:val="single" w:color="000000" w:sz="4" w:space="0"/>
              <w:tl2br w:val="nil"/>
              <w:tr2bl w:val="nil"/>
            </w:tcBorders>
            <w:noWrap w:val="0"/>
            <w:vAlign w:val="center"/>
          </w:tcPr>
          <w:p w14:paraId="3E92E95C">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0.003</w:t>
            </w:r>
          </w:p>
        </w:tc>
        <w:tc>
          <w:tcPr>
            <w:tcW w:w="429" w:type="pct"/>
            <w:tcBorders>
              <w:left w:val="single" w:color="000000" w:sz="4" w:space="0"/>
              <w:tl2br w:val="nil"/>
              <w:tr2bl w:val="nil"/>
            </w:tcBorders>
            <w:noWrap w:val="0"/>
            <w:vAlign w:val="center"/>
          </w:tcPr>
          <w:p w14:paraId="509F1822">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433DB916">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29" w:type="pct"/>
            <w:tcBorders>
              <w:right w:val="single" w:color="000000" w:sz="4" w:space="0"/>
              <w:tl2br w:val="nil"/>
              <w:tr2bl w:val="nil"/>
            </w:tcBorders>
            <w:noWrap w:val="0"/>
            <w:vAlign w:val="center"/>
          </w:tcPr>
          <w:p w14:paraId="64C8D582">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0.036</w:t>
            </w:r>
          </w:p>
        </w:tc>
        <w:tc>
          <w:tcPr>
            <w:tcW w:w="430" w:type="pct"/>
            <w:tcBorders>
              <w:left w:val="single" w:color="000000" w:sz="4" w:space="0"/>
              <w:tl2br w:val="nil"/>
              <w:tr2bl w:val="nil"/>
            </w:tcBorders>
            <w:noWrap w:val="0"/>
            <w:vAlign w:val="center"/>
          </w:tcPr>
          <w:p w14:paraId="3F0DDD88">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30" w:type="pct"/>
            <w:tcBorders>
              <w:right w:val="single" w:color="000000" w:sz="4" w:space="0"/>
              <w:tl2br w:val="nil"/>
              <w:tr2bl w:val="nil"/>
            </w:tcBorders>
            <w:noWrap w:val="0"/>
            <w:vAlign w:val="center"/>
          </w:tcPr>
          <w:p w14:paraId="0E73F068">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0.037</w:t>
            </w:r>
          </w:p>
        </w:tc>
        <w:tc>
          <w:tcPr>
            <w:tcW w:w="430" w:type="pct"/>
            <w:tcBorders>
              <w:left w:val="single" w:color="000000" w:sz="4" w:space="0"/>
              <w:tl2br w:val="nil"/>
              <w:tr2bl w:val="nil"/>
            </w:tcBorders>
            <w:noWrap w:val="0"/>
            <w:vAlign w:val="center"/>
          </w:tcPr>
          <w:p w14:paraId="79665C46">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30" w:type="pct"/>
            <w:tcBorders>
              <w:left w:val="single" w:color="000000" w:sz="4" w:space="0"/>
              <w:tl2br w:val="nil"/>
              <w:tr2bl w:val="nil"/>
            </w:tcBorders>
            <w:noWrap w:val="0"/>
            <w:vAlign w:val="center"/>
          </w:tcPr>
          <w:p w14:paraId="36DCC242">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82" w:type="pct"/>
            <w:tcBorders>
              <w:left w:val="single" w:color="000000" w:sz="4" w:space="0"/>
              <w:tl2br w:val="nil"/>
              <w:tr2bl w:val="nil"/>
            </w:tcBorders>
            <w:shd w:val="clear" w:color="auto" w:fill="auto"/>
            <w:noWrap w:val="0"/>
            <w:vAlign w:val="center"/>
          </w:tcPr>
          <w:p w14:paraId="495876AF">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snapToGrid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r>
      <w:tr w14:paraId="4B6119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6A4045D1">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sz w:val="21"/>
                <w:szCs w:val="21"/>
                <w:highlight w:val="none"/>
                <w:vertAlign w:val="baseline"/>
                <w:lang w:val="en-US" w:eastAsia="zh-CN"/>
              </w:rPr>
              <w:t>3#厂区内0-0.5m</w:t>
            </w:r>
          </w:p>
        </w:tc>
        <w:tc>
          <w:tcPr>
            <w:tcW w:w="429" w:type="pct"/>
            <w:tcBorders>
              <w:left w:val="single" w:color="000000" w:sz="4" w:space="0"/>
              <w:tl2br w:val="nil"/>
              <w:tr2bl w:val="nil"/>
            </w:tcBorders>
            <w:noWrap w:val="0"/>
            <w:vAlign w:val="center"/>
          </w:tcPr>
          <w:p w14:paraId="4E35579F">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0.14</w:t>
            </w:r>
          </w:p>
        </w:tc>
        <w:tc>
          <w:tcPr>
            <w:tcW w:w="429" w:type="pct"/>
            <w:tcBorders>
              <w:right w:val="single" w:color="000000" w:sz="4" w:space="0"/>
              <w:tl2br w:val="nil"/>
              <w:tr2bl w:val="nil"/>
            </w:tcBorders>
            <w:noWrap w:val="0"/>
            <w:vAlign w:val="center"/>
          </w:tcPr>
          <w:p w14:paraId="7E316400">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0.005</w:t>
            </w:r>
          </w:p>
        </w:tc>
        <w:tc>
          <w:tcPr>
            <w:tcW w:w="429" w:type="pct"/>
            <w:tcBorders>
              <w:left w:val="single" w:color="000000" w:sz="4" w:space="0"/>
              <w:tl2br w:val="nil"/>
              <w:tr2bl w:val="nil"/>
            </w:tcBorders>
            <w:noWrap w:val="0"/>
            <w:vAlign w:val="center"/>
          </w:tcPr>
          <w:p w14:paraId="1D8467E7">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44F0CBFD">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29" w:type="pct"/>
            <w:tcBorders>
              <w:right w:val="single" w:color="000000" w:sz="4" w:space="0"/>
              <w:tl2br w:val="nil"/>
              <w:tr2bl w:val="nil"/>
            </w:tcBorders>
            <w:noWrap w:val="0"/>
            <w:vAlign w:val="center"/>
          </w:tcPr>
          <w:p w14:paraId="42D08BDC">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30" w:type="pct"/>
            <w:tcBorders>
              <w:left w:val="single" w:color="000000" w:sz="4" w:space="0"/>
              <w:tl2br w:val="nil"/>
              <w:tr2bl w:val="nil"/>
            </w:tcBorders>
            <w:noWrap w:val="0"/>
            <w:vAlign w:val="center"/>
          </w:tcPr>
          <w:p w14:paraId="5E2528F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0.001</w:t>
            </w:r>
          </w:p>
        </w:tc>
        <w:tc>
          <w:tcPr>
            <w:tcW w:w="430" w:type="pct"/>
            <w:tcBorders>
              <w:right w:val="single" w:color="000000" w:sz="4" w:space="0"/>
              <w:tl2br w:val="nil"/>
              <w:tr2bl w:val="nil"/>
            </w:tcBorders>
            <w:noWrap w:val="0"/>
            <w:vAlign w:val="center"/>
          </w:tcPr>
          <w:p w14:paraId="4791C1B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0.057</w:t>
            </w:r>
          </w:p>
        </w:tc>
        <w:tc>
          <w:tcPr>
            <w:tcW w:w="430" w:type="pct"/>
            <w:tcBorders>
              <w:left w:val="single" w:color="000000" w:sz="4" w:space="0"/>
              <w:tl2br w:val="nil"/>
              <w:tr2bl w:val="nil"/>
            </w:tcBorders>
            <w:noWrap w:val="0"/>
            <w:vAlign w:val="center"/>
          </w:tcPr>
          <w:p w14:paraId="0C942874">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30" w:type="pct"/>
            <w:tcBorders>
              <w:left w:val="single" w:color="000000" w:sz="4" w:space="0"/>
              <w:tl2br w:val="nil"/>
              <w:tr2bl w:val="nil"/>
            </w:tcBorders>
            <w:noWrap w:val="0"/>
            <w:vAlign w:val="center"/>
          </w:tcPr>
          <w:p w14:paraId="4074E8F1">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82" w:type="pct"/>
            <w:tcBorders>
              <w:left w:val="single" w:color="000000" w:sz="4" w:space="0"/>
              <w:tl2br w:val="nil"/>
              <w:tr2bl w:val="nil"/>
            </w:tcBorders>
            <w:shd w:val="clear" w:color="auto" w:fill="auto"/>
            <w:noWrap w:val="0"/>
            <w:vAlign w:val="center"/>
          </w:tcPr>
          <w:p w14:paraId="7531EA2B">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snapToGrid w:val="0"/>
                <w:color w:val="auto"/>
                <w:kern w:val="2"/>
                <w:sz w:val="21"/>
                <w:szCs w:val="21"/>
                <w:lang w:val="en-US" w:eastAsia="zh-CN" w:bidi="ar-SA"/>
              </w:rPr>
            </w:pPr>
            <w:r>
              <w:rPr>
                <w:rFonts w:hint="eastAsia" w:ascii="Times New Roman" w:hAnsi="Times New Roman" w:eastAsia="宋体" w:cs="Times New Roman"/>
                <w:b w:val="0"/>
                <w:bCs w:val="0"/>
                <w:snapToGrid w:val="0"/>
                <w:color w:val="auto"/>
                <w:kern w:val="2"/>
                <w:sz w:val="21"/>
                <w:szCs w:val="21"/>
                <w:lang w:val="en-US" w:eastAsia="zh-CN" w:bidi="ar-SA"/>
              </w:rPr>
              <w:t>0.004</w:t>
            </w:r>
          </w:p>
        </w:tc>
      </w:tr>
      <w:tr w14:paraId="1E19D5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5332409F">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sz w:val="21"/>
                <w:szCs w:val="21"/>
                <w:highlight w:val="none"/>
                <w:vertAlign w:val="baseline"/>
                <w:lang w:val="en-US" w:eastAsia="zh-CN"/>
              </w:rPr>
              <w:t>3#厂区内0.5-1.5m</w:t>
            </w:r>
          </w:p>
        </w:tc>
        <w:tc>
          <w:tcPr>
            <w:tcW w:w="429" w:type="pct"/>
            <w:tcBorders>
              <w:left w:val="single" w:color="000000" w:sz="4" w:space="0"/>
              <w:tl2br w:val="nil"/>
              <w:tr2bl w:val="nil"/>
            </w:tcBorders>
            <w:noWrap w:val="0"/>
            <w:vAlign w:val="center"/>
          </w:tcPr>
          <w:p w14:paraId="1012B0EF">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0.148</w:t>
            </w:r>
          </w:p>
        </w:tc>
        <w:tc>
          <w:tcPr>
            <w:tcW w:w="429" w:type="pct"/>
            <w:tcBorders>
              <w:right w:val="single" w:color="000000" w:sz="4" w:space="0"/>
              <w:tl2br w:val="nil"/>
              <w:tr2bl w:val="nil"/>
            </w:tcBorders>
            <w:noWrap w:val="0"/>
            <w:vAlign w:val="center"/>
          </w:tcPr>
          <w:p w14:paraId="1C349909">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c>
          <w:tcPr>
            <w:tcW w:w="429" w:type="pct"/>
            <w:tcBorders>
              <w:left w:val="single" w:color="000000" w:sz="4" w:space="0"/>
              <w:tl2br w:val="nil"/>
              <w:tr2bl w:val="nil"/>
            </w:tcBorders>
            <w:noWrap w:val="0"/>
            <w:vAlign w:val="center"/>
          </w:tcPr>
          <w:p w14:paraId="033F535D">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530110D1">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29" w:type="pct"/>
            <w:tcBorders>
              <w:right w:val="single" w:color="000000" w:sz="4" w:space="0"/>
              <w:tl2br w:val="nil"/>
              <w:tr2bl w:val="nil"/>
            </w:tcBorders>
            <w:noWrap w:val="0"/>
            <w:vAlign w:val="center"/>
          </w:tcPr>
          <w:p w14:paraId="56822E92">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0.076</w:t>
            </w:r>
          </w:p>
        </w:tc>
        <w:tc>
          <w:tcPr>
            <w:tcW w:w="430" w:type="pct"/>
            <w:tcBorders>
              <w:left w:val="single" w:color="000000" w:sz="4" w:space="0"/>
              <w:tl2br w:val="nil"/>
              <w:tr2bl w:val="nil"/>
            </w:tcBorders>
            <w:noWrap w:val="0"/>
            <w:vAlign w:val="center"/>
          </w:tcPr>
          <w:p w14:paraId="720ED0E1">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0.001</w:t>
            </w:r>
          </w:p>
        </w:tc>
        <w:tc>
          <w:tcPr>
            <w:tcW w:w="430" w:type="pct"/>
            <w:tcBorders>
              <w:right w:val="single" w:color="000000" w:sz="4" w:space="0"/>
              <w:tl2br w:val="nil"/>
              <w:tr2bl w:val="nil"/>
            </w:tcBorders>
            <w:noWrap w:val="0"/>
            <w:vAlign w:val="center"/>
          </w:tcPr>
          <w:p w14:paraId="38957866">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0.05</w:t>
            </w:r>
          </w:p>
        </w:tc>
        <w:tc>
          <w:tcPr>
            <w:tcW w:w="430" w:type="pct"/>
            <w:tcBorders>
              <w:left w:val="single" w:color="000000" w:sz="4" w:space="0"/>
              <w:tl2br w:val="nil"/>
              <w:tr2bl w:val="nil"/>
            </w:tcBorders>
            <w:noWrap w:val="0"/>
            <w:vAlign w:val="center"/>
          </w:tcPr>
          <w:p w14:paraId="1124DF07">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30" w:type="pct"/>
            <w:tcBorders>
              <w:left w:val="single" w:color="000000" w:sz="4" w:space="0"/>
              <w:tl2br w:val="nil"/>
              <w:tr2bl w:val="nil"/>
            </w:tcBorders>
            <w:noWrap w:val="0"/>
            <w:vAlign w:val="center"/>
          </w:tcPr>
          <w:p w14:paraId="2A604B19">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82" w:type="pct"/>
            <w:tcBorders>
              <w:left w:val="single" w:color="000000" w:sz="4" w:space="0"/>
              <w:tl2br w:val="nil"/>
              <w:tr2bl w:val="nil"/>
            </w:tcBorders>
            <w:noWrap w:val="0"/>
            <w:vAlign w:val="center"/>
          </w:tcPr>
          <w:p w14:paraId="4967083F">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snapToGrid w:val="0"/>
                <w:color w:val="auto"/>
                <w:kern w:val="2"/>
                <w:sz w:val="21"/>
                <w:szCs w:val="21"/>
                <w:lang w:val="en-US" w:eastAsia="zh-CN" w:bidi="ar-SA"/>
              </w:rPr>
              <w:t>0.004</w:t>
            </w:r>
          </w:p>
        </w:tc>
      </w:tr>
      <w:tr w14:paraId="4B603D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54AFC22D">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sz w:val="21"/>
                <w:szCs w:val="21"/>
                <w:highlight w:val="none"/>
                <w:vertAlign w:val="baseline"/>
                <w:lang w:val="en-US" w:eastAsia="zh-CN"/>
              </w:rPr>
              <w:t>3#厂区内1.5-3.0m</w:t>
            </w:r>
          </w:p>
        </w:tc>
        <w:tc>
          <w:tcPr>
            <w:tcW w:w="429" w:type="pct"/>
            <w:tcBorders>
              <w:left w:val="single" w:color="000000" w:sz="4" w:space="0"/>
              <w:tl2br w:val="nil"/>
              <w:tr2bl w:val="nil"/>
            </w:tcBorders>
            <w:noWrap w:val="0"/>
            <w:vAlign w:val="center"/>
          </w:tcPr>
          <w:p w14:paraId="5853CF05">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0.132</w:t>
            </w:r>
          </w:p>
        </w:tc>
        <w:tc>
          <w:tcPr>
            <w:tcW w:w="429" w:type="pct"/>
            <w:tcBorders>
              <w:right w:val="single" w:color="000000" w:sz="4" w:space="0"/>
              <w:tl2br w:val="nil"/>
              <w:tr2bl w:val="nil"/>
            </w:tcBorders>
            <w:noWrap w:val="0"/>
            <w:vAlign w:val="center"/>
          </w:tcPr>
          <w:p w14:paraId="63074E55">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0.003</w:t>
            </w:r>
          </w:p>
        </w:tc>
        <w:tc>
          <w:tcPr>
            <w:tcW w:w="429" w:type="pct"/>
            <w:tcBorders>
              <w:left w:val="single" w:color="000000" w:sz="4" w:space="0"/>
              <w:tl2br w:val="nil"/>
              <w:tr2bl w:val="nil"/>
            </w:tcBorders>
            <w:noWrap w:val="0"/>
            <w:vAlign w:val="center"/>
          </w:tcPr>
          <w:p w14:paraId="25030B3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2BB54245">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29" w:type="pct"/>
            <w:tcBorders>
              <w:right w:val="single" w:color="000000" w:sz="4" w:space="0"/>
              <w:tl2br w:val="nil"/>
              <w:tr2bl w:val="nil"/>
            </w:tcBorders>
            <w:noWrap w:val="0"/>
            <w:vAlign w:val="center"/>
          </w:tcPr>
          <w:p w14:paraId="33EEDAEC">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0.03</w:t>
            </w:r>
          </w:p>
        </w:tc>
        <w:tc>
          <w:tcPr>
            <w:tcW w:w="430" w:type="pct"/>
            <w:tcBorders>
              <w:left w:val="single" w:color="000000" w:sz="4" w:space="0"/>
              <w:tl2br w:val="nil"/>
              <w:tr2bl w:val="nil"/>
            </w:tcBorders>
            <w:noWrap w:val="0"/>
            <w:vAlign w:val="center"/>
          </w:tcPr>
          <w:p w14:paraId="33518CDF">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30" w:type="pct"/>
            <w:tcBorders>
              <w:right w:val="single" w:color="000000" w:sz="4" w:space="0"/>
              <w:tl2br w:val="nil"/>
              <w:tr2bl w:val="nil"/>
            </w:tcBorders>
            <w:noWrap w:val="0"/>
            <w:vAlign w:val="center"/>
          </w:tcPr>
          <w:p w14:paraId="42EF7092">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0.046</w:t>
            </w:r>
          </w:p>
        </w:tc>
        <w:tc>
          <w:tcPr>
            <w:tcW w:w="430" w:type="pct"/>
            <w:tcBorders>
              <w:left w:val="single" w:color="000000" w:sz="4" w:space="0"/>
              <w:tl2br w:val="nil"/>
              <w:tr2bl w:val="nil"/>
            </w:tcBorders>
            <w:noWrap w:val="0"/>
            <w:vAlign w:val="center"/>
          </w:tcPr>
          <w:p w14:paraId="0BD89E19">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30" w:type="pct"/>
            <w:tcBorders>
              <w:left w:val="single" w:color="000000" w:sz="4" w:space="0"/>
              <w:tl2br w:val="nil"/>
              <w:tr2bl w:val="nil"/>
            </w:tcBorders>
            <w:noWrap w:val="0"/>
            <w:vAlign w:val="center"/>
          </w:tcPr>
          <w:p w14:paraId="7BD47832">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82" w:type="pct"/>
            <w:tcBorders>
              <w:left w:val="single" w:color="000000" w:sz="4" w:space="0"/>
              <w:tl2br w:val="nil"/>
              <w:tr2bl w:val="nil"/>
            </w:tcBorders>
            <w:noWrap w:val="0"/>
            <w:vAlign w:val="center"/>
          </w:tcPr>
          <w:p w14:paraId="73E2E6AC">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r>
      <w:tr w14:paraId="7EFAED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4BF15D46">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sz w:val="21"/>
                <w:szCs w:val="21"/>
                <w:highlight w:val="none"/>
                <w:vertAlign w:val="baseline"/>
                <w:lang w:val="en-US" w:eastAsia="zh-CN"/>
              </w:rPr>
              <w:t>4#厂区内0-0.5m</w:t>
            </w:r>
          </w:p>
        </w:tc>
        <w:tc>
          <w:tcPr>
            <w:tcW w:w="429" w:type="pct"/>
            <w:tcBorders>
              <w:left w:val="single" w:color="000000" w:sz="4" w:space="0"/>
              <w:tl2br w:val="nil"/>
              <w:tr2bl w:val="nil"/>
            </w:tcBorders>
            <w:noWrap w:val="0"/>
            <w:vAlign w:val="center"/>
          </w:tcPr>
          <w:p w14:paraId="71DC0AA1">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0.134</w:t>
            </w:r>
          </w:p>
        </w:tc>
        <w:tc>
          <w:tcPr>
            <w:tcW w:w="429" w:type="pct"/>
            <w:tcBorders>
              <w:right w:val="single" w:color="000000" w:sz="4" w:space="0"/>
              <w:tl2br w:val="nil"/>
              <w:tr2bl w:val="nil"/>
            </w:tcBorders>
            <w:noWrap w:val="0"/>
            <w:vAlign w:val="center"/>
          </w:tcPr>
          <w:p w14:paraId="30ED4927">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0.003</w:t>
            </w:r>
          </w:p>
        </w:tc>
        <w:tc>
          <w:tcPr>
            <w:tcW w:w="429" w:type="pct"/>
            <w:tcBorders>
              <w:left w:val="single" w:color="000000" w:sz="4" w:space="0"/>
              <w:tl2br w:val="nil"/>
              <w:tr2bl w:val="nil"/>
            </w:tcBorders>
            <w:noWrap w:val="0"/>
            <w:vAlign w:val="center"/>
          </w:tcPr>
          <w:p w14:paraId="721358D0">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5D2E4091">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29" w:type="pct"/>
            <w:tcBorders>
              <w:right w:val="single" w:color="000000" w:sz="4" w:space="0"/>
              <w:tl2br w:val="nil"/>
              <w:tr2bl w:val="nil"/>
            </w:tcBorders>
            <w:noWrap w:val="0"/>
            <w:vAlign w:val="center"/>
          </w:tcPr>
          <w:p w14:paraId="2B7F08EB">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0.034</w:t>
            </w:r>
          </w:p>
        </w:tc>
        <w:tc>
          <w:tcPr>
            <w:tcW w:w="430" w:type="pct"/>
            <w:tcBorders>
              <w:left w:val="single" w:color="000000" w:sz="4" w:space="0"/>
              <w:tl2br w:val="nil"/>
              <w:tr2bl w:val="nil"/>
            </w:tcBorders>
            <w:noWrap w:val="0"/>
            <w:vAlign w:val="center"/>
          </w:tcPr>
          <w:p w14:paraId="1411400B">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30" w:type="pct"/>
            <w:tcBorders>
              <w:right w:val="single" w:color="000000" w:sz="4" w:space="0"/>
              <w:tl2br w:val="nil"/>
              <w:tr2bl w:val="nil"/>
            </w:tcBorders>
            <w:noWrap w:val="0"/>
            <w:vAlign w:val="center"/>
          </w:tcPr>
          <w:p w14:paraId="5E6C0854">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0.047</w:t>
            </w:r>
          </w:p>
        </w:tc>
        <w:tc>
          <w:tcPr>
            <w:tcW w:w="430" w:type="pct"/>
            <w:tcBorders>
              <w:left w:val="single" w:color="000000" w:sz="4" w:space="0"/>
              <w:tl2br w:val="nil"/>
              <w:tr2bl w:val="nil"/>
            </w:tcBorders>
            <w:noWrap w:val="0"/>
            <w:vAlign w:val="center"/>
          </w:tcPr>
          <w:p w14:paraId="385BAF87">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30" w:type="pct"/>
            <w:tcBorders>
              <w:left w:val="single" w:color="000000" w:sz="4" w:space="0"/>
              <w:tl2br w:val="nil"/>
              <w:tr2bl w:val="nil"/>
            </w:tcBorders>
            <w:noWrap w:val="0"/>
            <w:vAlign w:val="center"/>
          </w:tcPr>
          <w:p w14:paraId="460BCE2F">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82" w:type="pct"/>
            <w:tcBorders>
              <w:left w:val="single" w:color="000000" w:sz="4" w:space="0"/>
              <w:tl2br w:val="nil"/>
              <w:tr2bl w:val="nil"/>
            </w:tcBorders>
            <w:noWrap w:val="0"/>
            <w:vAlign w:val="center"/>
          </w:tcPr>
          <w:p w14:paraId="39F5789F">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0.005</w:t>
            </w:r>
          </w:p>
        </w:tc>
      </w:tr>
      <w:tr w14:paraId="61912B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7FE007F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sz w:val="21"/>
                <w:szCs w:val="21"/>
                <w:highlight w:val="none"/>
                <w:vertAlign w:val="baseline"/>
                <w:lang w:val="en-US" w:eastAsia="zh-CN"/>
              </w:rPr>
              <w:t>4#厂区内0.5-1.5m</w:t>
            </w:r>
          </w:p>
        </w:tc>
        <w:tc>
          <w:tcPr>
            <w:tcW w:w="429" w:type="pct"/>
            <w:tcBorders>
              <w:left w:val="single" w:color="000000" w:sz="4" w:space="0"/>
              <w:tl2br w:val="nil"/>
              <w:tr2bl w:val="nil"/>
            </w:tcBorders>
            <w:noWrap w:val="0"/>
            <w:vAlign w:val="center"/>
          </w:tcPr>
          <w:p w14:paraId="3BD0A030">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0.116</w:t>
            </w:r>
          </w:p>
        </w:tc>
        <w:tc>
          <w:tcPr>
            <w:tcW w:w="429" w:type="pct"/>
            <w:tcBorders>
              <w:right w:val="single" w:color="000000" w:sz="4" w:space="0"/>
              <w:tl2br w:val="nil"/>
              <w:tr2bl w:val="nil"/>
            </w:tcBorders>
            <w:noWrap w:val="0"/>
            <w:vAlign w:val="center"/>
          </w:tcPr>
          <w:p w14:paraId="5E48646F">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0.003</w:t>
            </w:r>
          </w:p>
        </w:tc>
        <w:tc>
          <w:tcPr>
            <w:tcW w:w="429" w:type="pct"/>
            <w:tcBorders>
              <w:left w:val="single" w:color="000000" w:sz="4" w:space="0"/>
              <w:tl2br w:val="nil"/>
              <w:tr2bl w:val="nil"/>
            </w:tcBorders>
            <w:noWrap w:val="0"/>
            <w:vAlign w:val="center"/>
          </w:tcPr>
          <w:p w14:paraId="5A8A8745">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59C9A762">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29" w:type="pct"/>
            <w:tcBorders>
              <w:right w:val="single" w:color="000000" w:sz="4" w:space="0"/>
              <w:tl2br w:val="nil"/>
              <w:tr2bl w:val="nil"/>
            </w:tcBorders>
            <w:noWrap w:val="0"/>
            <w:vAlign w:val="center"/>
          </w:tcPr>
          <w:p w14:paraId="37FAF82F">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0.038</w:t>
            </w:r>
          </w:p>
        </w:tc>
        <w:tc>
          <w:tcPr>
            <w:tcW w:w="430" w:type="pct"/>
            <w:tcBorders>
              <w:left w:val="single" w:color="000000" w:sz="4" w:space="0"/>
              <w:tl2br w:val="nil"/>
              <w:tr2bl w:val="nil"/>
            </w:tcBorders>
            <w:noWrap w:val="0"/>
            <w:vAlign w:val="center"/>
          </w:tcPr>
          <w:p w14:paraId="4BCB0C80">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30" w:type="pct"/>
            <w:tcBorders>
              <w:right w:val="single" w:color="000000" w:sz="4" w:space="0"/>
              <w:tl2br w:val="nil"/>
              <w:tr2bl w:val="nil"/>
            </w:tcBorders>
            <w:noWrap w:val="0"/>
            <w:vAlign w:val="center"/>
          </w:tcPr>
          <w:p w14:paraId="2AEBE445">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0.047</w:t>
            </w:r>
          </w:p>
        </w:tc>
        <w:tc>
          <w:tcPr>
            <w:tcW w:w="430" w:type="pct"/>
            <w:tcBorders>
              <w:left w:val="single" w:color="000000" w:sz="4" w:space="0"/>
              <w:tl2br w:val="nil"/>
              <w:tr2bl w:val="nil"/>
            </w:tcBorders>
            <w:noWrap w:val="0"/>
            <w:vAlign w:val="center"/>
          </w:tcPr>
          <w:p w14:paraId="0F2CE6CE">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30" w:type="pct"/>
            <w:tcBorders>
              <w:left w:val="single" w:color="000000" w:sz="4" w:space="0"/>
              <w:tl2br w:val="nil"/>
              <w:tr2bl w:val="nil"/>
            </w:tcBorders>
            <w:noWrap w:val="0"/>
            <w:vAlign w:val="center"/>
          </w:tcPr>
          <w:p w14:paraId="125C812C">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82" w:type="pct"/>
            <w:tcBorders>
              <w:left w:val="single" w:color="000000" w:sz="4" w:space="0"/>
              <w:tl2br w:val="nil"/>
              <w:tr2bl w:val="nil"/>
            </w:tcBorders>
            <w:noWrap w:val="0"/>
            <w:vAlign w:val="center"/>
          </w:tcPr>
          <w:p w14:paraId="36B77840">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r>
      <w:tr w14:paraId="44019E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0AC239E2">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sz w:val="21"/>
                <w:szCs w:val="21"/>
                <w:highlight w:val="none"/>
                <w:vertAlign w:val="baseline"/>
                <w:lang w:val="en-US" w:eastAsia="zh-CN"/>
              </w:rPr>
              <w:t>4#厂区内1.5-3.0m</w:t>
            </w:r>
          </w:p>
        </w:tc>
        <w:tc>
          <w:tcPr>
            <w:tcW w:w="429" w:type="pct"/>
            <w:tcBorders>
              <w:left w:val="single" w:color="000000" w:sz="4" w:space="0"/>
              <w:tl2br w:val="nil"/>
              <w:tr2bl w:val="nil"/>
            </w:tcBorders>
            <w:noWrap w:val="0"/>
            <w:vAlign w:val="center"/>
          </w:tcPr>
          <w:p w14:paraId="25E9BEB8">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0.141</w:t>
            </w:r>
          </w:p>
        </w:tc>
        <w:tc>
          <w:tcPr>
            <w:tcW w:w="429" w:type="pct"/>
            <w:tcBorders>
              <w:right w:val="single" w:color="000000" w:sz="4" w:space="0"/>
              <w:tl2br w:val="nil"/>
              <w:tr2bl w:val="nil"/>
            </w:tcBorders>
            <w:noWrap w:val="0"/>
            <w:vAlign w:val="center"/>
          </w:tcPr>
          <w:p w14:paraId="55701A3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0.003</w:t>
            </w:r>
          </w:p>
        </w:tc>
        <w:tc>
          <w:tcPr>
            <w:tcW w:w="429" w:type="pct"/>
            <w:tcBorders>
              <w:left w:val="single" w:color="000000" w:sz="4" w:space="0"/>
              <w:tl2br w:val="nil"/>
              <w:tr2bl w:val="nil"/>
            </w:tcBorders>
            <w:noWrap w:val="0"/>
            <w:vAlign w:val="center"/>
          </w:tcPr>
          <w:p w14:paraId="41EF3917">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168D4769">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29" w:type="pct"/>
            <w:tcBorders>
              <w:right w:val="single" w:color="000000" w:sz="4" w:space="0"/>
              <w:tl2br w:val="nil"/>
              <w:tr2bl w:val="nil"/>
            </w:tcBorders>
            <w:noWrap w:val="0"/>
            <w:vAlign w:val="center"/>
          </w:tcPr>
          <w:p w14:paraId="6B25D989">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0.044</w:t>
            </w:r>
          </w:p>
        </w:tc>
        <w:tc>
          <w:tcPr>
            <w:tcW w:w="430" w:type="pct"/>
            <w:tcBorders>
              <w:left w:val="single" w:color="000000" w:sz="4" w:space="0"/>
              <w:tl2br w:val="nil"/>
              <w:tr2bl w:val="nil"/>
            </w:tcBorders>
            <w:noWrap w:val="0"/>
            <w:vAlign w:val="center"/>
          </w:tcPr>
          <w:p w14:paraId="14F15F09">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0.001</w:t>
            </w:r>
          </w:p>
        </w:tc>
        <w:tc>
          <w:tcPr>
            <w:tcW w:w="430" w:type="pct"/>
            <w:tcBorders>
              <w:right w:val="single" w:color="000000" w:sz="4" w:space="0"/>
              <w:tl2br w:val="nil"/>
              <w:tr2bl w:val="nil"/>
            </w:tcBorders>
            <w:noWrap w:val="0"/>
            <w:vAlign w:val="center"/>
          </w:tcPr>
          <w:p w14:paraId="1E257F66">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0.032</w:t>
            </w:r>
          </w:p>
        </w:tc>
        <w:tc>
          <w:tcPr>
            <w:tcW w:w="792" w:type="dxa"/>
            <w:tcBorders>
              <w:left w:val="single" w:color="000000" w:sz="4" w:space="0"/>
              <w:tl2br w:val="nil"/>
              <w:tr2bl w:val="nil"/>
            </w:tcBorders>
            <w:noWrap w:val="0"/>
            <w:vAlign w:val="center"/>
          </w:tcPr>
          <w:p w14:paraId="637D1E21">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792" w:type="dxa"/>
            <w:tcBorders>
              <w:left w:val="single" w:color="000000" w:sz="4" w:space="0"/>
              <w:tl2br w:val="nil"/>
              <w:tr2bl w:val="nil"/>
            </w:tcBorders>
            <w:noWrap w:val="0"/>
            <w:vAlign w:val="center"/>
          </w:tcPr>
          <w:p w14:paraId="40648BD2">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82" w:type="pct"/>
            <w:tcBorders>
              <w:left w:val="single" w:color="000000" w:sz="4" w:space="0"/>
              <w:tl2br w:val="nil"/>
              <w:tr2bl w:val="nil"/>
            </w:tcBorders>
            <w:noWrap w:val="0"/>
            <w:vAlign w:val="center"/>
          </w:tcPr>
          <w:p w14:paraId="3F5663B3">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r>
      <w:tr w14:paraId="430954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5F0FF0DE">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sz w:val="21"/>
                <w:szCs w:val="21"/>
                <w:highlight w:val="none"/>
                <w:lang w:val="en-US" w:eastAsia="zh-CN"/>
              </w:rPr>
              <w:t>5#厂区内0-0.5m</w:t>
            </w:r>
          </w:p>
        </w:tc>
        <w:tc>
          <w:tcPr>
            <w:tcW w:w="429" w:type="pct"/>
            <w:tcBorders>
              <w:left w:val="single" w:color="000000" w:sz="4" w:space="0"/>
              <w:tl2br w:val="nil"/>
              <w:tr2bl w:val="nil"/>
            </w:tcBorders>
            <w:noWrap w:val="0"/>
            <w:vAlign w:val="center"/>
          </w:tcPr>
          <w:p w14:paraId="51DB5D9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0.128</w:t>
            </w:r>
          </w:p>
        </w:tc>
        <w:tc>
          <w:tcPr>
            <w:tcW w:w="429" w:type="pct"/>
            <w:tcBorders>
              <w:right w:val="single" w:color="000000" w:sz="4" w:space="0"/>
              <w:tl2br w:val="nil"/>
              <w:tr2bl w:val="nil"/>
            </w:tcBorders>
            <w:noWrap w:val="0"/>
            <w:vAlign w:val="center"/>
          </w:tcPr>
          <w:p w14:paraId="7BA80A3B">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0.003</w:t>
            </w:r>
          </w:p>
        </w:tc>
        <w:tc>
          <w:tcPr>
            <w:tcW w:w="429" w:type="pct"/>
            <w:tcBorders>
              <w:left w:val="single" w:color="000000" w:sz="4" w:space="0"/>
              <w:tl2br w:val="nil"/>
              <w:tr2bl w:val="nil"/>
            </w:tcBorders>
            <w:noWrap w:val="0"/>
            <w:vAlign w:val="center"/>
          </w:tcPr>
          <w:p w14:paraId="43365454">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135861A0">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29" w:type="pct"/>
            <w:tcBorders>
              <w:right w:val="single" w:color="000000" w:sz="4" w:space="0"/>
              <w:tl2br w:val="nil"/>
              <w:tr2bl w:val="nil"/>
            </w:tcBorders>
            <w:noWrap w:val="0"/>
            <w:vAlign w:val="center"/>
          </w:tcPr>
          <w:p w14:paraId="1F73AA8B">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0.039</w:t>
            </w:r>
          </w:p>
        </w:tc>
        <w:tc>
          <w:tcPr>
            <w:tcW w:w="430" w:type="pct"/>
            <w:tcBorders>
              <w:left w:val="single" w:color="000000" w:sz="4" w:space="0"/>
              <w:tl2br w:val="nil"/>
              <w:tr2bl w:val="nil"/>
            </w:tcBorders>
            <w:noWrap w:val="0"/>
            <w:vAlign w:val="center"/>
          </w:tcPr>
          <w:p w14:paraId="22FCE3E6">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0.003</w:t>
            </w:r>
          </w:p>
        </w:tc>
        <w:tc>
          <w:tcPr>
            <w:tcW w:w="430" w:type="pct"/>
            <w:tcBorders>
              <w:right w:val="single" w:color="000000" w:sz="4" w:space="0"/>
              <w:tl2br w:val="nil"/>
              <w:tr2bl w:val="nil"/>
            </w:tcBorders>
            <w:noWrap w:val="0"/>
            <w:vAlign w:val="center"/>
          </w:tcPr>
          <w:p w14:paraId="69D9F1C7">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0.038</w:t>
            </w:r>
          </w:p>
        </w:tc>
        <w:tc>
          <w:tcPr>
            <w:tcW w:w="792" w:type="dxa"/>
            <w:tcBorders>
              <w:left w:val="single" w:color="000000" w:sz="4" w:space="0"/>
              <w:tl2br w:val="nil"/>
              <w:tr2bl w:val="nil"/>
            </w:tcBorders>
            <w:noWrap w:val="0"/>
            <w:vAlign w:val="center"/>
          </w:tcPr>
          <w:p w14:paraId="74138218">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792" w:type="dxa"/>
            <w:tcBorders>
              <w:left w:val="single" w:color="000000" w:sz="4" w:space="0"/>
              <w:tl2br w:val="nil"/>
              <w:tr2bl w:val="nil"/>
            </w:tcBorders>
            <w:noWrap w:val="0"/>
            <w:vAlign w:val="center"/>
          </w:tcPr>
          <w:p w14:paraId="018846CF">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82" w:type="pct"/>
            <w:tcBorders>
              <w:left w:val="single" w:color="000000" w:sz="4" w:space="0"/>
              <w:tl2br w:val="nil"/>
              <w:tr2bl w:val="nil"/>
            </w:tcBorders>
            <w:noWrap w:val="0"/>
            <w:vAlign w:val="center"/>
          </w:tcPr>
          <w:p w14:paraId="62F3C0B1">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r>
      <w:tr w14:paraId="543EA5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50FD5751">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sz w:val="21"/>
                <w:szCs w:val="21"/>
                <w:highlight w:val="none"/>
                <w:lang w:val="en-US" w:eastAsia="zh-CN"/>
              </w:rPr>
              <w:t>5#厂区内0.5-1.5m</w:t>
            </w:r>
          </w:p>
        </w:tc>
        <w:tc>
          <w:tcPr>
            <w:tcW w:w="429" w:type="pct"/>
            <w:tcBorders>
              <w:left w:val="single" w:color="000000" w:sz="4" w:space="0"/>
              <w:tl2br w:val="nil"/>
              <w:tr2bl w:val="nil"/>
            </w:tcBorders>
            <w:noWrap w:val="0"/>
            <w:vAlign w:val="center"/>
          </w:tcPr>
          <w:p w14:paraId="1C1862A9">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0.141</w:t>
            </w:r>
          </w:p>
        </w:tc>
        <w:tc>
          <w:tcPr>
            <w:tcW w:w="429" w:type="pct"/>
            <w:tcBorders>
              <w:right w:val="single" w:color="000000" w:sz="4" w:space="0"/>
              <w:tl2br w:val="nil"/>
              <w:tr2bl w:val="nil"/>
            </w:tcBorders>
            <w:noWrap w:val="0"/>
            <w:vAlign w:val="center"/>
          </w:tcPr>
          <w:p w14:paraId="2601893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c>
          <w:tcPr>
            <w:tcW w:w="429" w:type="pct"/>
            <w:tcBorders>
              <w:left w:val="single" w:color="000000" w:sz="4" w:space="0"/>
              <w:tl2br w:val="nil"/>
              <w:tr2bl w:val="nil"/>
            </w:tcBorders>
            <w:noWrap w:val="0"/>
            <w:vAlign w:val="center"/>
          </w:tcPr>
          <w:p w14:paraId="65FA7715">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5FBA9E3D">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29" w:type="pct"/>
            <w:tcBorders>
              <w:right w:val="single" w:color="000000" w:sz="4" w:space="0"/>
              <w:tl2br w:val="nil"/>
              <w:tr2bl w:val="nil"/>
            </w:tcBorders>
            <w:noWrap w:val="0"/>
            <w:vAlign w:val="center"/>
          </w:tcPr>
          <w:p w14:paraId="28FE6F57">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0.035</w:t>
            </w:r>
          </w:p>
        </w:tc>
        <w:tc>
          <w:tcPr>
            <w:tcW w:w="430" w:type="pct"/>
            <w:tcBorders>
              <w:left w:val="single" w:color="000000" w:sz="4" w:space="0"/>
              <w:tl2br w:val="nil"/>
              <w:tr2bl w:val="nil"/>
            </w:tcBorders>
            <w:noWrap w:val="0"/>
            <w:vAlign w:val="center"/>
          </w:tcPr>
          <w:p w14:paraId="213FCBBB">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30" w:type="pct"/>
            <w:tcBorders>
              <w:right w:val="single" w:color="000000" w:sz="4" w:space="0"/>
              <w:tl2br w:val="nil"/>
              <w:tr2bl w:val="nil"/>
            </w:tcBorders>
            <w:noWrap w:val="0"/>
            <w:vAlign w:val="center"/>
          </w:tcPr>
          <w:p w14:paraId="3FF7B593">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0.034</w:t>
            </w:r>
          </w:p>
        </w:tc>
        <w:tc>
          <w:tcPr>
            <w:tcW w:w="792" w:type="dxa"/>
            <w:tcBorders>
              <w:left w:val="single" w:color="000000" w:sz="4" w:space="0"/>
              <w:tl2br w:val="nil"/>
              <w:tr2bl w:val="nil"/>
            </w:tcBorders>
            <w:noWrap w:val="0"/>
            <w:vAlign w:val="center"/>
          </w:tcPr>
          <w:p w14:paraId="0BAF9EA8">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792" w:type="dxa"/>
            <w:tcBorders>
              <w:left w:val="single" w:color="000000" w:sz="4" w:space="0"/>
              <w:tl2br w:val="nil"/>
              <w:tr2bl w:val="nil"/>
            </w:tcBorders>
            <w:noWrap w:val="0"/>
            <w:vAlign w:val="center"/>
          </w:tcPr>
          <w:p w14:paraId="7D812579">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82" w:type="pct"/>
            <w:tcBorders>
              <w:left w:val="single" w:color="000000" w:sz="4" w:space="0"/>
              <w:tl2br w:val="nil"/>
              <w:tr2bl w:val="nil"/>
            </w:tcBorders>
            <w:noWrap w:val="0"/>
            <w:vAlign w:val="center"/>
          </w:tcPr>
          <w:p w14:paraId="6272699F">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r>
      <w:tr w14:paraId="7FEF99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54104607">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sz w:val="21"/>
                <w:szCs w:val="21"/>
                <w:highlight w:val="none"/>
                <w:lang w:val="en-US" w:eastAsia="zh-CN"/>
              </w:rPr>
              <w:t>5#厂区内1.5-3.0m</w:t>
            </w:r>
          </w:p>
        </w:tc>
        <w:tc>
          <w:tcPr>
            <w:tcW w:w="429" w:type="pct"/>
            <w:tcBorders>
              <w:left w:val="single" w:color="000000" w:sz="4" w:space="0"/>
              <w:tl2br w:val="nil"/>
              <w:tr2bl w:val="nil"/>
            </w:tcBorders>
            <w:noWrap w:val="0"/>
            <w:vAlign w:val="center"/>
          </w:tcPr>
          <w:p w14:paraId="7DD7926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0.138</w:t>
            </w:r>
          </w:p>
        </w:tc>
        <w:tc>
          <w:tcPr>
            <w:tcW w:w="429" w:type="pct"/>
            <w:tcBorders>
              <w:right w:val="single" w:color="000000" w:sz="4" w:space="0"/>
              <w:tl2br w:val="nil"/>
              <w:tr2bl w:val="nil"/>
            </w:tcBorders>
            <w:noWrap w:val="0"/>
            <w:vAlign w:val="center"/>
          </w:tcPr>
          <w:p w14:paraId="748FCF7C">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c>
          <w:tcPr>
            <w:tcW w:w="429" w:type="pct"/>
            <w:tcBorders>
              <w:left w:val="single" w:color="000000" w:sz="4" w:space="0"/>
              <w:tl2br w:val="nil"/>
              <w:tr2bl w:val="nil"/>
            </w:tcBorders>
            <w:noWrap w:val="0"/>
            <w:vAlign w:val="center"/>
          </w:tcPr>
          <w:p w14:paraId="3756219E">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5077A543">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29" w:type="pct"/>
            <w:tcBorders>
              <w:right w:val="single" w:color="000000" w:sz="4" w:space="0"/>
              <w:tl2br w:val="nil"/>
              <w:tr2bl w:val="nil"/>
            </w:tcBorders>
            <w:noWrap w:val="0"/>
            <w:vAlign w:val="center"/>
          </w:tcPr>
          <w:p w14:paraId="212EC46B">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0.04</w:t>
            </w:r>
          </w:p>
        </w:tc>
        <w:tc>
          <w:tcPr>
            <w:tcW w:w="430" w:type="pct"/>
            <w:tcBorders>
              <w:left w:val="single" w:color="000000" w:sz="4" w:space="0"/>
              <w:tl2br w:val="nil"/>
              <w:tr2bl w:val="nil"/>
            </w:tcBorders>
            <w:noWrap w:val="0"/>
            <w:vAlign w:val="center"/>
          </w:tcPr>
          <w:p w14:paraId="78150060">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30" w:type="pct"/>
            <w:tcBorders>
              <w:right w:val="single" w:color="000000" w:sz="4" w:space="0"/>
              <w:tl2br w:val="nil"/>
              <w:tr2bl w:val="nil"/>
            </w:tcBorders>
            <w:noWrap w:val="0"/>
            <w:vAlign w:val="center"/>
          </w:tcPr>
          <w:p w14:paraId="4D230C55">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0.042</w:t>
            </w:r>
          </w:p>
        </w:tc>
        <w:tc>
          <w:tcPr>
            <w:tcW w:w="792" w:type="dxa"/>
            <w:tcBorders>
              <w:left w:val="single" w:color="000000" w:sz="4" w:space="0"/>
              <w:tl2br w:val="nil"/>
              <w:tr2bl w:val="nil"/>
            </w:tcBorders>
            <w:noWrap w:val="0"/>
            <w:vAlign w:val="center"/>
          </w:tcPr>
          <w:p w14:paraId="3E97D209">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792" w:type="dxa"/>
            <w:tcBorders>
              <w:left w:val="single" w:color="000000" w:sz="4" w:space="0"/>
              <w:tl2br w:val="nil"/>
              <w:tr2bl w:val="nil"/>
            </w:tcBorders>
            <w:noWrap w:val="0"/>
            <w:vAlign w:val="center"/>
          </w:tcPr>
          <w:p w14:paraId="4DA0FEF5">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82" w:type="pct"/>
            <w:tcBorders>
              <w:left w:val="single" w:color="000000" w:sz="4" w:space="0"/>
              <w:tl2br w:val="nil"/>
              <w:tr2bl w:val="nil"/>
            </w:tcBorders>
            <w:noWrap w:val="0"/>
            <w:vAlign w:val="center"/>
          </w:tcPr>
          <w:p w14:paraId="500FF97C">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r>
      <w:tr w14:paraId="792B54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73BAE298">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sz w:val="21"/>
                <w:szCs w:val="21"/>
                <w:highlight w:val="none"/>
                <w:lang w:val="en-US" w:eastAsia="zh-CN"/>
              </w:rPr>
              <w:t>6#厂区内0-0.2m</w:t>
            </w:r>
          </w:p>
        </w:tc>
        <w:tc>
          <w:tcPr>
            <w:tcW w:w="429" w:type="pct"/>
            <w:tcBorders>
              <w:left w:val="single" w:color="000000" w:sz="4" w:space="0"/>
              <w:tl2br w:val="nil"/>
              <w:tr2bl w:val="nil"/>
            </w:tcBorders>
            <w:noWrap w:val="0"/>
            <w:vAlign w:val="center"/>
          </w:tcPr>
          <w:p w14:paraId="2A7D17CC">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0.137</w:t>
            </w:r>
          </w:p>
        </w:tc>
        <w:tc>
          <w:tcPr>
            <w:tcW w:w="429" w:type="pct"/>
            <w:tcBorders>
              <w:right w:val="single" w:color="000000" w:sz="4" w:space="0"/>
              <w:tl2br w:val="nil"/>
              <w:tr2bl w:val="nil"/>
            </w:tcBorders>
            <w:noWrap w:val="0"/>
            <w:vAlign w:val="center"/>
          </w:tcPr>
          <w:p w14:paraId="68CFC22E">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0.004</w:t>
            </w:r>
          </w:p>
        </w:tc>
        <w:tc>
          <w:tcPr>
            <w:tcW w:w="429" w:type="pct"/>
            <w:tcBorders>
              <w:left w:val="single" w:color="000000" w:sz="4" w:space="0"/>
              <w:tl2br w:val="nil"/>
              <w:tr2bl w:val="nil"/>
            </w:tcBorders>
            <w:noWrap w:val="0"/>
            <w:vAlign w:val="center"/>
          </w:tcPr>
          <w:p w14:paraId="1528210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14A7C55D">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29" w:type="pct"/>
            <w:tcBorders>
              <w:right w:val="single" w:color="000000" w:sz="4" w:space="0"/>
              <w:tl2br w:val="nil"/>
              <w:tr2bl w:val="nil"/>
            </w:tcBorders>
            <w:noWrap w:val="0"/>
            <w:vAlign w:val="center"/>
          </w:tcPr>
          <w:p w14:paraId="53C28215">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0.046</w:t>
            </w:r>
          </w:p>
        </w:tc>
        <w:tc>
          <w:tcPr>
            <w:tcW w:w="430" w:type="pct"/>
            <w:tcBorders>
              <w:left w:val="single" w:color="000000" w:sz="4" w:space="0"/>
              <w:tl2br w:val="nil"/>
              <w:tr2bl w:val="nil"/>
            </w:tcBorders>
            <w:noWrap w:val="0"/>
            <w:vAlign w:val="center"/>
          </w:tcPr>
          <w:p w14:paraId="132B1446">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0.003</w:t>
            </w:r>
          </w:p>
        </w:tc>
        <w:tc>
          <w:tcPr>
            <w:tcW w:w="430" w:type="pct"/>
            <w:tcBorders>
              <w:right w:val="single" w:color="000000" w:sz="4" w:space="0"/>
              <w:tl2br w:val="nil"/>
              <w:tr2bl w:val="nil"/>
            </w:tcBorders>
            <w:noWrap w:val="0"/>
            <w:vAlign w:val="center"/>
          </w:tcPr>
          <w:p w14:paraId="33F19D0D">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0.038</w:t>
            </w:r>
          </w:p>
        </w:tc>
        <w:tc>
          <w:tcPr>
            <w:tcW w:w="792" w:type="dxa"/>
            <w:tcBorders>
              <w:left w:val="single" w:color="000000" w:sz="4" w:space="0"/>
              <w:tl2br w:val="nil"/>
              <w:tr2bl w:val="nil"/>
            </w:tcBorders>
            <w:noWrap w:val="0"/>
            <w:vAlign w:val="center"/>
          </w:tcPr>
          <w:p w14:paraId="0A255952">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792" w:type="dxa"/>
            <w:tcBorders>
              <w:left w:val="single" w:color="000000" w:sz="4" w:space="0"/>
              <w:tl2br w:val="nil"/>
              <w:tr2bl w:val="nil"/>
            </w:tcBorders>
            <w:noWrap w:val="0"/>
            <w:vAlign w:val="center"/>
          </w:tcPr>
          <w:p w14:paraId="4AAB10E6">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82" w:type="pct"/>
            <w:tcBorders>
              <w:left w:val="single" w:color="000000" w:sz="4" w:space="0"/>
              <w:tl2br w:val="nil"/>
              <w:tr2bl w:val="nil"/>
            </w:tcBorders>
            <w:noWrap w:val="0"/>
            <w:vAlign w:val="center"/>
          </w:tcPr>
          <w:p w14:paraId="7B238C54">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0.006</w:t>
            </w:r>
          </w:p>
        </w:tc>
      </w:tr>
      <w:tr w14:paraId="4F9BFA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6C138270">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sz w:val="21"/>
                <w:szCs w:val="21"/>
                <w:highlight w:val="none"/>
                <w:vertAlign w:val="baseline"/>
                <w:lang w:val="en-US" w:eastAsia="zh-CN"/>
              </w:rPr>
              <w:t>7#厂区内0-0.2m</w:t>
            </w:r>
          </w:p>
        </w:tc>
        <w:tc>
          <w:tcPr>
            <w:tcW w:w="429" w:type="pct"/>
            <w:tcBorders>
              <w:left w:val="single" w:color="000000" w:sz="4" w:space="0"/>
              <w:tl2br w:val="nil"/>
              <w:tr2bl w:val="nil"/>
            </w:tcBorders>
            <w:noWrap w:val="0"/>
            <w:vAlign w:val="center"/>
          </w:tcPr>
          <w:p w14:paraId="4D943B69">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kern w:val="2"/>
                <w:sz w:val="21"/>
                <w:szCs w:val="21"/>
                <w:lang w:val="en-US" w:eastAsia="zh-CN" w:bidi="ar-SA"/>
              </w:rPr>
              <w:t>0.132</w:t>
            </w:r>
          </w:p>
        </w:tc>
        <w:tc>
          <w:tcPr>
            <w:tcW w:w="429" w:type="pct"/>
            <w:tcBorders>
              <w:right w:val="single" w:color="000000" w:sz="4" w:space="0"/>
              <w:tl2br w:val="nil"/>
              <w:tr2bl w:val="nil"/>
            </w:tcBorders>
            <w:noWrap w:val="0"/>
            <w:vAlign w:val="center"/>
          </w:tcPr>
          <w:p w14:paraId="39B327C8">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0.003</w:t>
            </w:r>
          </w:p>
        </w:tc>
        <w:tc>
          <w:tcPr>
            <w:tcW w:w="429" w:type="pct"/>
            <w:tcBorders>
              <w:left w:val="single" w:color="000000" w:sz="4" w:space="0"/>
              <w:tl2br w:val="nil"/>
              <w:tr2bl w:val="nil"/>
            </w:tcBorders>
            <w:noWrap w:val="0"/>
            <w:vAlign w:val="center"/>
          </w:tcPr>
          <w:p w14:paraId="3B355D1B">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40ACAB70">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29" w:type="pct"/>
            <w:tcBorders>
              <w:right w:val="single" w:color="000000" w:sz="4" w:space="0"/>
              <w:tl2br w:val="nil"/>
              <w:tr2bl w:val="nil"/>
            </w:tcBorders>
            <w:noWrap w:val="0"/>
            <w:vAlign w:val="center"/>
          </w:tcPr>
          <w:p w14:paraId="59B17BAC">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0.03</w:t>
            </w:r>
          </w:p>
        </w:tc>
        <w:tc>
          <w:tcPr>
            <w:tcW w:w="430" w:type="pct"/>
            <w:tcBorders>
              <w:left w:val="single" w:color="000000" w:sz="4" w:space="0"/>
              <w:tl2br w:val="nil"/>
              <w:tr2bl w:val="nil"/>
            </w:tcBorders>
            <w:noWrap w:val="0"/>
            <w:vAlign w:val="center"/>
          </w:tcPr>
          <w:p w14:paraId="2ACC81C8">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0.002</w:t>
            </w:r>
          </w:p>
        </w:tc>
        <w:tc>
          <w:tcPr>
            <w:tcW w:w="430" w:type="pct"/>
            <w:tcBorders>
              <w:right w:val="single" w:color="000000" w:sz="4" w:space="0"/>
              <w:tl2br w:val="nil"/>
              <w:tr2bl w:val="nil"/>
            </w:tcBorders>
            <w:noWrap w:val="0"/>
            <w:vAlign w:val="center"/>
          </w:tcPr>
          <w:p w14:paraId="4A14989F">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0.046</w:t>
            </w:r>
          </w:p>
        </w:tc>
        <w:tc>
          <w:tcPr>
            <w:tcW w:w="792" w:type="dxa"/>
            <w:tcBorders>
              <w:left w:val="single" w:color="000000" w:sz="4" w:space="0"/>
              <w:tl2br w:val="nil"/>
              <w:tr2bl w:val="nil"/>
            </w:tcBorders>
            <w:noWrap w:val="0"/>
            <w:vAlign w:val="center"/>
          </w:tcPr>
          <w:p w14:paraId="367379C7">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792" w:type="dxa"/>
            <w:tcBorders>
              <w:left w:val="single" w:color="000000" w:sz="4" w:space="0"/>
              <w:tl2br w:val="nil"/>
              <w:tr2bl w:val="nil"/>
            </w:tcBorders>
            <w:noWrap w:val="0"/>
            <w:vAlign w:val="center"/>
          </w:tcPr>
          <w:p w14:paraId="27570529">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82" w:type="pct"/>
            <w:tcBorders>
              <w:left w:val="single" w:color="000000" w:sz="4" w:space="0"/>
              <w:tl2br w:val="nil"/>
              <w:tr2bl w:val="nil"/>
            </w:tcBorders>
            <w:noWrap w:val="0"/>
            <w:vAlign w:val="center"/>
          </w:tcPr>
          <w:p w14:paraId="74DEDFF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r>
      <w:tr w14:paraId="694255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002A831F">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sz w:val="21"/>
                <w:szCs w:val="21"/>
                <w:highlight w:val="none"/>
                <w:vertAlign w:val="baseline"/>
                <w:lang w:val="en-US" w:eastAsia="zh-CN"/>
              </w:rPr>
              <w:t>8#厂区外东南侧农田0-0.2m</w:t>
            </w:r>
          </w:p>
        </w:tc>
        <w:tc>
          <w:tcPr>
            <w:tcW w:w="429" w:type="pct"/>
            <w:tcBorders>
              <w:left w:val="single" w:color="000000" w:sz="4" w:space="0"/>
              <w:tl2br w:val="nil"/>
              <w:tr2bl w:val="nil"/>
            </w:tcBorders>
            <w:noWrap w:val="0"/>
            <w:vAlign w:val="center"/>
          </w:tcPr>
          <w:p w14:paraId="7502A100">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0.287</w:t>
            </w:r>
          </w:p>
        </w:tc>
        <w:tc>
          <w:tcPr>
            <w:tcW w:w="429" w:type="pct"/>
            <w:tcBorders>
              <w:right w:val="single" w:color="000000" w:sz="4" w:space="0"/>
              <w:tl2br w:val="nil"/>
              <w:tr2bl w:val="nil"/>
            </w:tcBorders>
            <w:noWrap w:val="0"/>
            <w:vAlign w:val="center"/>
          </w:tcPr>
          <w:p w14:paraId="6BC15584">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0.867</w:t>
            </w:r>
          </w:p>
        </w:tc>
        <w:tc>
          <w:tcPr>
            <w:tcW w:w="429" w:type="pct"/>
            <w:tcBorders>
              <w:left w:val="single" w:color="000000" w:sz="4" w:space="0"/>
              <w:tl2br w:val="nil"/>
              <w:tr2bl w:val="nil"/>
            </w:tcBorders>
            <w:noWrap w:val="0"/>
            <w:vAlign w:val="center"/>
          </w:tcPr>
          <w:p w14:paraId="60ED86F3">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10C286A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0.32</w:t>
            </w:r>
          </w:p>
        </w:tc>
        <w:tc>
          <w:tcPr>
            <w:tcW w:w="429" w:type="pct"/>
            <w:tcBorders>
              <w:right w:val="single" w:color="000000" w:sz="4" w:space="0"/>
              <w:tl2br w:val="nil"/>
              <w:tr2bl w:val="nil"/>
            </w:tcBorders>
            <w:noWrap w:val="0"/>
            <w:vAlign w:val="center"/>
          </w:tcPr>
          <w:p w14:paraId="11B85179">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0.608</w:t>
            </w:r>
          </w:p>
        </w:tc>
        <w:tc>
          <w:tcPr>
            <w:tcW w:w="430" w:type="pct"/>
            <w:tcBorders>
              <w:left w:val="single" w:color="000000" w:sz="4" w:space="0"/>
              <w:tl2br w:val="nil"/>
              <w:tr2bl w:val="nil"/>
            </w:tcBorders>
            <w:noWrap w:val="0"/>
            <w:vAlign w:val="center"/>
          </w:tcPr>
          <w:p w14:paraId="5E7A50DB">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0.019</w:t>
            </w:r>
          </w:p>
        </w:tc>
        <w:tc>
          <w:tcPr>
            <w:tcW w:w="430" w:type="pct"/>
            <w:tcBorders>
              <w:right w:val="single" w:color="000000" w:sz="4" w:space="0"/>
              <w:tl2br w:val="nil"/>
              <w:tr2bl w:val="nil"/>
            </w:tcBorders>
            <w:noWrap w:val="0"/>
            <w:vAlign w:val="center"/>
          </w:tcPr>
          <w:p w14:paraId="1A414DE2">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0.52</w:t>
            </w:r>
          </w:p>
        </w:tc>
        <w:tc>
          <w:tcPr>
            <w:tcW w:w="430" w:type="pct"/>
            <w:tcBorders>
              <w:left w:val="single" w:color="000000" w:sz="4" w:space="0"/>
              <w:tl2br w:val="nil"/>
              <w:tr2bl w:val="nil"/>
            </w:tcBorders>
            <w:noWrap w:val="0"/>
            <w:vAlign w:val="center"/>
          </w:tcPr>
          <w:p w14:paraId="49063D35">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0.15</w:t>
            </w:r>
          </w:p>
        </w:tc>
        <w:tc>
          <w:tcPr>
            <w:tcW w:w="430" w:type="pct"/>
            <w:tcBorders>
              <w:left w:val="single" w:color="000000" w:sz="4" w:space="0"/>
              <w:tl2br w:val="nil"/>
              <w:tr2bl w:val="nil"/>
            </w:tcBorders>
            <w:noWrap w:val="0"/>
            <w:vAlign w:val="center"/>
          </w:tcPr>
          <w:p w14:paraId="77F52C34">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0.376</w:t>
            </w:r>
          </w:p>
        </w:tc>
        <w:tc>
          <w:tcPr>
            <w:tcW w:w="482" w:type="pct"/>
            <w:tcBorders>
              <w:left w:val="single" w:color="000000" w:sz="4" w:space="0"/>
              <w:tl2br w:val="nil"/>
              <w:tr2bl w:val="nil"/>
            </w:tcBorders>
            <w:noWrap w:val="0"/>
            <w:vAlign w:val="center"/>
          </w:tcPr>
          <w:p w14:paraId="28E6A809">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r>
      <w:tr w14:paraId="32F4E9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shd w:val="clear" w:color="auto" w:fill="auto"/>
            <w:noWrap w:val="0"/>
            <w:vAlign w:val="center"/>
          </w:tcPr>
          <w:p w14:paraId="42169112">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snapToGrid w:val="0"/>
                <w:color w:val="auto"/>
                <w:kern w:val="0"/>
                <w:sz w:val="21"/>
                <w:szCs w:val="21"/>
                <w:lang w:val="en-US" w:eastAsia="en-US" w:bidi="ar-SA"/>
              </w:rPr>
            </w:pPr>
            <w:r>
              <w:rPr>
                <w:rFonts w:hint="default" w:ascii="Times New Roman" w:hAnsi="Times New Roman" w:cs="Times New Roman"/>
                <w:color w:val="auto"/>
                <w:sz w:val="21"/>
                <w:szCs w:val="21"/>
                <w:highlight w:val="none"/>
                <w:vertAlign w:val="baseline"/>
                <w:lang w:val="en-US" w:eastAsia="zh-CN"/>
              </w:rPr>
              <w:t>9#厂区外东南侧张达屯0-0.2m</w:t>
            </w:r>
          </w:p>
        </w:tc>
        <w:tc>
          <w:tcPr>
            <w:tcW w:w="429" w:type="pct"/>
            <w:tcBorders>
              <w:left w:val="single" w:color="000000" w:sz="4" w:space="0"/>
              <w:tl2br w:val="nil"/>
              <w:tr2bl w:val="nil"/>
            </w:tcBorders>
            <w:noWrap w:val="0"/>
            <w:vAlign w:val="center"/>
          </w:tcPr>
          <w:p w14:paraId="77341DFE">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highlight w:val="green"/>
                <w:lang w:val="en-US"/>
              </w:rPr>
            </w:pPr>
            <w:r>
              <w:rPr>
                <w:rFonts w:hint="eastAsia" w:ascii="Times New Roman" w:hAnsi="Times New Roman" w:eastAsia="宋体" w:cs="Times New Roman"/>
                <w:b w:val="0"/>
                <w:bCs w:val="0"/>
                <w:color w:val="auto"/>
                <w:kern w:val="2"/>
                <w:sz w:val="21"/>
                <w:szCs w:val="21"/>
                <w:highlight w:val="none"/>
                <w:lang w:val="en-US" w:eastAsia="zh-CN" w:bidi="ar-SA"/>
              </w:rPr>
              <w:t>0.403</w:t>
            </w:r>
          </w:p>
        </w:tc>
        <w:tc>
          <w:tcPr>
            <w:tcW w:w="429" w:type="pct"/>
            <w:tcBorders>
              <w:right w:val="single" w:color="000000" w:sz="4" w:space="0"/>
              <w:tl2br w:val="nil"/>
              <w:tr2bl w:val="nil"/>
            </w:tcBorders>
            <w:noWrap w:val="0"/>
            <w:vAlign w:val="center"/>
          </w:tcPr>
          <w:p w14:paraId="17F701E9">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0.01</w:t>
            </w:r>
          </w:p>
        </w:tc>
        <w:tc>
          <w:tcPr>
            <w:tcW w:w="429" w:type="pct"/>
            <w:tcBorders>
              <w:left w:val="single" w:color="000000" w:sz="4" w:space="0"/>
              <w:tl2br w:val="nil"/>
              <w:tr2bl w:val="nil"/>
            </w:tcBorders>
            <w:noWrap w:val="0"/>
            <w:vAlign w:val="center"/>
          </w:tcPr>
          <w:p w14:paraId="7295DB6E">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w:t>
            </w:r>
          </w:p>
        </w:tc>
        <w:tc>
          <w:tcPr>
            <w:tcW w:w="429" w:type="pct"/>
            <w:tcBorders>
              <w:left w:val="single" w:color="000000" w:sz="4" w:space="0"/>
              <w:tl2br w:val="nil"/>
              <w:tr2bl w:val="nil"/>
            </w:tcBorders>
            <w:noWrap w:val="0"/>
            <w:vAlign w:val="center"/>
          </w:tcPr>
          <w:p w14:paraId="3E8CE2D2">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highlight w:val="green"/>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0.017</w:t>
            </w:r>
          </w:p>
        </w:tc>
        <w:tc>
          <w:tcPr>
            <w:tcW w:w="429" w:type="pct"/>
            <w:tcBorders>
              <w:right w:val="single" w:color="000000" w:sz="4" w:space="0"/>
              <w:tl2br w:val="nil"/>
              <w:tr2bl w:val="nil"/>
            </w:tcBorders>
            <w:noWrap w:val="0"/>
            <w:vAlign w:val="center"/>
          </w:tcPr>
          <w:p w14:paraId="0B069964">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0.068</w:t>
            </w:r>
          </w:p>
        </w:tc>
        <w:tc>
          <w:tcPr>
            <w:tcW w:w="430" w:type="pct"/>
            <w:tcBorders>
              <w:left w:val="single" w:color="000000" w:sz="4" w:space="0"/>
              <w:tl2br w:val="nil"/>
              <w:tr2bl w:val="nil"/>
            </w:tcBorders>
            <w:noWrap w:val="0"/>
            <w:vAlign w:val="center"/>
          </w:tcPr>
          <w:p w14:paraId="52EF6DCB">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0.011</w:t>
            </w:r>
          </w:p>
        </w:tc>
        <w:tc>
          <w:tcPr>
            <w:tcW w:w="430" w:type="pct"/>
            <w:tcBorders>
              <w:right w:val="single" w:color="000000" w:sz="4" w:space="0"/>
              <w:tl2br w:val="nil"/>
              <w:tr2bl w:val="nil"/>
            </w:tcBorders>
            <w:noWrap w:val="0"/>
            <w:vAlign w:val="center"/>
          </w:tcPr>
          <w:p w14:paraId="27D61C1E">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0.28</w:t>
            </w:r>
          </w:p>
        </w:tc>
        <w:tc>
          <w:tcPr>
            <w:tcW w:w="430" w:type="pct"/>
            <w:tcBorders>
              <w:left w:val="single" w:color="000000" w:sz="4" w:space="0"/>
              <w:tl2br w:val="nil"/>
              <w:tr2bl w:val="nil"/>
            </w:tcBorders>
            <w:noWrap w:val="0"/>
            <w:vAlign w:val="center"/>
          </w:tcPr>
          <w:p w14:paraId="3CE8C90E">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30" w:type="pct"/>
            <w:tcBorders>
              <w:left w:val="single" w:color="000000" w:sz="4" w:space="0"/>
              <w:tl2br w:val="nil"/>
              <w:tr2bl w:val="nil"/>
            </w:tcBorders>
            <w:noWrap w:val="0"/>
            <w:vAlign w:val="center"/>
          </w:tcPr>
          <w:p w14:paraId="189D4627">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82" w:type="pct"/>
            <w:tcBorders>
              <w:left w:val="single" w:color="000000" w:sz="4" w:space="0"/>
              <w:tl2br w:val="nil"/>
              <w:tr2bl w:val="nil"/>
            </w:tcBorders>
            <w:noWrap w:val="0"/>
            <w:vAlign w:val="center"/>
          </w:tcPr>
          <w:p w14:paraId="00CFE184">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r>
      <w:tr w14:paraId="32C771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20E02600">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sz w:val="21"/>
                <w:szCs w:val="21"/>
                <w:highlight w:val="none"/>
                <w:vertAlign w:val="baseline"/>
                <w:lang w:val="en-US" w:eastAsia="zh-CN"/>
              </w:rPr>
              <w:t>10#厂区外西北侧农田0-0.2m</w:t>
            </w:r>
          </w:p>
        </w:tc>
        <w:tc>
          <w:tcPr>
            <w:tcW w:w="429" w:type="pct"/>
            <w:tcBorders>
              <w:left w:val="single" w:color="000000" w:sz="4" w:space="0"/>
              <w:tl2br w:val="nil"/>
              <w:tr2bl w:val="nil"/>
            </w:tcBorders>
            <w:noWrap w:val="0"/>
            <w:vAlign w:val="center"/>
          </w:tcPr>
          <w:p w14:paraId="382AB182">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0.223</w:t>
            </w:r>
          </w:p>
        </w:tc>
        <w:tc>
          <w:tcPr>
            <w:tcW w:w="429" w:type="pct"/>
            <w:tcBorders>
              <w:right w:val="single" w:color="000000" w:sz="4" w:space="0"/>
              <w:tl2br w:val="nil"/>
              <w:tr2bl w:val="nil"/>
            </w:tcBorders>
            <w:noWrap w:val="0"/>
            <w:vAlign w:val="center"/>
          </w:tcPr>
          <w:p w14:paraId="2A3B4C15">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0.8</w:t>
            </w:r>
          </w:p>
        </w:tc>
        <w:tc>
          <w:tcPr>
            <w:tcW w:w="429" w:type="pct"/>
            <w:tcBorders>
              <w:left w:val="single" w:color="000000" w:sz="4" w:space="0"/>
              <w:tl2br w:val="nil"/>
              <w:tr2bl w:val="nil"/>
            </w:tcBorders>
            <w:noWrap w:val="0"/>
            <w:vAlign w:val="center"/>
          </w:tcPr>
          <w:p w14:paraId="200305E7">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2EF5C03F">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0.26</w:t>
            </w:r>
          </w:p>
        </w:tc>
        <w:tc>
          <w:tcPr>
            <w:tcW w:w="429" w:type="pct"/>
            <w:tcBorders>
              <w:right w:val="single" w:color="000000" w:sz="4" w:space="0"/>
              <w:tl2br w:val="nil"/>
              <w:tr2bl w:val="nil"/>
            </w:tcBorders>
            <w:noWrap w:val="0"/>
            <w:vAlign w:val="center"/>
          </w:tcPr>
          <w:p w14:paraId="1DC8B98D">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0.492</w:t>
            </w:r>
          </w:p>
        </w:tc>
        <w:tc>
          <w:tcPr>
            <w:tcW w:w="430" w:type="pct"/>
            <w:tcBorders>
              <w:left w:val="single" w:color="000000" w:sz="4" w:space="0"/>
              <w:tl2br w:val="nil"/>
              <w:tr2bl w:val="nil"/>
            </w:tcBorders>
            <w:noWrap w:val="0"/>
            <w:vAlign w:val="center"/>
          </w:tcPr>
          <w:p w14:paraId="01CE3F36">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0.015</w:t>
            </w:r>
          </w:p>
        </w:tc>
        <w:tc>
          <w:tcPr>
            <w:tcW w:w="430" w:type="pct"/>
            <w:tcBorders>
              <w:right w:val="single" w:color="000000" w:sz="4" w:space="0"/>
              <w:tl2br w:val="nil"/>
              <w:tr2bl w:val="nil"/>
            </w:tcBorders>
            <w:noWrap w:val="0"/>
            <w:vAlign w:val="center"/>
          </w:tcPr>
          <w:p w14:paraId="7CE09D30">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0.65</w:t>
            </w:r>
          </w:p>
        </w:tc>
        <w:tc>
          <w:tcPr>
            <w:tcW w:w="792" w:type="dxa"/>
            <w:tcBorders>
              <w:left w:val="single" w:color="000000" w:sz="4" w:space="0"/>
              <w:tl2br w:val="nil"/>
              <w:tr2bl w:val="nil"/>
            </w:tcBorders>
            <w:noWrap w:val="0"/>
            <w:vAlign w:val="center"/>
          </w:tcPr>
          <w:p w14:paraId="6FDE744F">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0.13</w:t>
            </w:r>
          </w:p>
        </w:tc>
        <w:tc>
          <w:tcPr>
            <w:tcW w:w="430" w:type="pct"/>
            <w:tcBorders>
              <w:left w:val="single" w:color="000000" w:sz="4" w:space="0"/>
              <w:tl2br w:val="nil"/>
              <w:tr2bl w:val="nil"/>
            </w:tcBorders>
            <w:noWrap w:val="0"/>
            <w:vAlign w:val="center"/>
          </w:tcPr>
          <w:p w14:paraId="55030CF1">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0.484</w:t>
            </w:r>
          </w:p>
        </w:tc>
        <w:tc>
          <w:tcPr>
            <w:tcW w:w="482" w:type="pct"/>
            <w:tcBorders>
              <w:left w:val="single" w:color="000000" w:sz="4" w:space="0"/>
              <w:tl2br w:val="nil"/>
              <w:tr2bl w:val="nil"/>
            </w:tcBorders>
            <w:noWrap w:val="0"/>
            <w:vAlign w:val="center"/>
          </w:tcPr>
          <w:p w14:paraId="1E46F08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r>
      <w:tr w14:paraId="0F2BB1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45" w:type="pct"/>
            <w:tcBorders>
              <w:right w:val="single" w:color="000000" w:sz="4" w:space="0"/>
              <w:tl2br w:val="nil"/>
              <w:tr2bl w:val="nil"/>
            </w:tcBorders>
            <w:noWrap w:val="0"/>
            <w:vAlign w:val="center"/>
          </w:tcPr>
          <w:p w14:paraId="24090AD1">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color w:val="auto"/>
                <w:sz w:val="21"/>
                <w:szCs w:val="21"/>
                <w:highlight w:val="none"/>
                <w:vertAlign w:val="baseline"/>
                <w:lang w:val="en-US" w:eastAsia="zh-CN"/>
              </w:rPr>
              <w:t>11#厂区外西南侧农田0-0.2m</w:t>
            </w:r>
          </w:p>
        </w:tc>
        <w:tc>
          <w:tcPr>
            <w:tcW w:w="429" w:type="pct"/>
            <w:tcBorders>
              <w:left w:val="single" w:color="000000" w:sz="4" w:space="0"/>
              <w:tl2br w:val="nil"/>
              <w:tr2bl w:val="nil"/>
            </w:tcBorders>
            <w:noWrap w:val="0"/>
            <w:vAlign w:val="center"/>
          </w:tcPr>
          <w:p w14:paraId="01090E7B">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0.309</w:t>
            </w:r>
          </w:p>
        </w:tc>
        <w:tc>
          <w:tcPr>
            <w:tcW w:w="429" w:type="pct"/>
            <w:tcBorders>
              <w:right w:val="single" w:color="000000" w:sz="4" w:space="0"/>
              <w:tl2br w:val="nil"/>
              <w:tr2bl w:val="nil"/>
            </w:tcBorders>
            <w:noWrap w:val="0"/>
            <w:vAlign w:val="center"/>
          </w:tcPr>
          <w:p w14:paraId="41EDD76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0.317</w:t>
            </w:r>
          </w:p>
        </w:tc>
        <w:tc>
          <w:tcPr>
            <w:tcW w:w="429" w:type="pct"/>
            <w:tcBorders>
              <w:left w:val="single" w:color="000000" w:sz="4" w:space="0"/>
              <w:tl2br w:val="nil"/>
              <w:tr2bl w:val="nil"/>
            </w:tcBorders>
            <w:noWrap w:val="0"/>
            <w:vAlign w:val="center"/>
          </w:tcPr>
          <w:p w14:paraId="613473DA">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c>
          <w:tcPr>
            <w:tcW w:w="429" w:type="pct"/>
            <w:tcBorders>
              <w:left w:val="single" w:color="000000" w:sz="4" w:space="0"/>
              <w:tl2br w:val="nil"/>
              <w:tr2bl w:val="nil"/>
            </w:tcBorders>
            <w:noWrap w:val="0"/>
            <w:vAlign w:val="center"/>
          </w:tcPr>
          <w:p w14:paraId="76809018">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0.42</w:t>
            </w:r>
          </w:p>
        </w:tc>
        <w:tc>
          <w:tcPr>
            <w:tcW w:w="429" w:type="pct"/>
            <w:tcBorders>
              <w:right w:val="single" w:color="000000" w:sz="4" w:space="0"/>
              <w:tl2br w:val="nil"/>
              <w:tr2bl w:val="nil"/>
            </w:tcBorders>
            <w:noWrap w:val="0"/>
            <w:vAlign w:val="center"/>
          </w:tcPr>
          <w:p w14:paraId="6F9008B1">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0.241</w:t>
            </w:r>
          </w:p>
        </w:tc>
        <w:tc>
          <w:tcPr>
            <w:tcW w:w="430" w:type="pct"/>
            <w:tcBorders>
              <w:left w:val="single" w:color="000000" w:sz="4" w:space="0"/>
              <w:tl2br w:val="nil"/>
              <w:tr2bl w:val="nil"/>
            </w:tcBorders>
            <w:noWrap w:val="0"/>
            <w:vAlign w:val="center"/>
          </w:tcPr>
          <w:p w14:paraId="64FA37B8">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0.017</w:t>
            </w:r>
          </w:p>
        </w:tc>
        <w:tc>
          <w:tcPr>
            <w:tcW w:w="430" w:type="pct"/>
            <w:tcBorders>
              <w:right w:val="single" w:color="000000" w:sz="4" w:space="0"/>
              <w:tl2br w:val="nil"/>
              <w:tr2bl w:val="nil"/>
            </w:tcBorders>
            <w:noWrap w:val="0"/>
            <w:vAlign w:val="center"/>
          </w:tcPr>
          <w:p w14:paraId="729A1476">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0.458</w:t>
            </w:r>
          </w:p>
        </w:tc>
        <w:tc>
          <w:tcPr>
            <w:tcW w:w="792" w:type="dxa"/>
            <w:tcBorders>
              <w:left w:val="single" w:color="000000" w:sz="4" w:space="0"/>
              <w:tl2br w:val="nil"/>
              <w:tr2bl w:val="nil"/>
            </w:tcBorders>
            <w:noWrap w:val="0"/>
            <w:vAlign w:val="center"/>
          </w:tcPr>
          <w:p w14:paraId="7B07A1CA">
            <w:pPr>
              <w:keepNext w:val="0"/>
              <w:keepLines w:val="0"/>
              <w:widowControl/>
              <w:suppressLineNumbers w:val="0"/>
              <w:wordWrap/>
              <w:spacing w:line="240" w:lineRule="auto"/>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0.136</w:t>
            </w:r>
          </w:p>
        </w:tc>
        <w:tc>
          <w:tcPr>
            <w:tcW w:w="430" w:type="pct"/>
            <w:tcBorders>
              <w:left w:val="single" w:color="000000" w:sz="4" w:space="0"/>
              <w:tl2br w:val="nil"/>
              <w:tr2bl w:val="nil"/>
            </w:tcBorders>
            <w:noWrap w:val="0"/>
            <w:vAlign w:val="center"/>
          </w:tcPr>
          <w:p w14:paraId="14F52D1E">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0.38</w:t>
            </w:r>
          </w:p>
        </w:tc>
        <w:tc>
          <w:tcPr>
            <w:tcW w:w="482" w:type="pct"/>
            <w:tcBorders>
              <w:left w:val="single" w:color="000000" w:sz="4" w:space="0"/>
              <w:tl2br w:val="nil"/>
              <w:tr2bl w:val="nil"/>
            </w:tcBorders>
            <w:noWrap w:val="0"/>
            <w:vAlign w:val="center"/>
          </w:tcPr>
          <w:p w14:paraId="011E3208">
            <w:pPr>
              <w:keepNext w:val="0"/>
              <w:keepLines w:val="0"/>
              <w:widowControl/>
              <w:suppressLineNumbers w:val="0"/>
              <w:wordWrap/>
              <w:spacing w:line="240" w:lineRule="auto"/>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w:t>
            </w:r>
          </w:p>
        </w:tc>
      </w:tr>
    </w:tbl>
    <w:p w14:paraId="2FC534AE">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4.2.5.</w:t>
      </w:r>
      <w:r>
        <w:rPr>
          <w:rFonts w:hint="eastAsia" w:ascii="Times New Roman" w:hAnsi="Times New Roman" w:eastAsia="宋体" w:cs="Times New Roman"/>
          <w:b/>
          <w:bCs/>
          <w:color w:val="auto"/>
          <w:sz w:val="28"/>
          <w:szCs w:val="28"/>
          <w:lang w:val="en-US" w:eastAsia="zh-CN"/>
        </w:rPr>
        <w:t>4</w:t>
      </w:r>
      <w:r>
        <w:rPr>
          <w:rFonts w:hint="default" w:ascii="Times New Roman" w:hAnsi="Times New Roman" w:eastAsia="宋体" w:cs="Times New Roman"/>
          <w:b/>
          <w:bCs/>
          <w:color w:val="auto"/>
          <w:sz w:val="28"/>
          <w:szCs w:val="28"/>
          <w:lang w:val="en-US" w:eastAsia="zh-CN"/>
        </w:rPr>
        <w:t>土壤环境质量现状评价结论</w:t>
      </w:r>
    </w:p>
    <w:p w14:paraId="42EDDF69">
      <w:pPr>
        <w:pStyle w:val="18"/>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2"/>
          <w:highlight w:val="none"/>
          <w:lang w:val="en-US" w:eastAsia="zh-CN"/>
        </w:rPr>
      </w:pPr>
      <w:r>
        <w:rPr>
          <w:rFonts w:hint="default" w:ascii="Times New Roman" w:hAnsi="Times New Roman" w:cs="Times New Roman"/>
          <w:color w:val="auto"/>
          <w:sz w:val="24"/>
          <w:szCs w:val="22"/>
          <w:highlight w:val="none"/>
          <w:lang w:val="en-US" w:eastAsia="zh-CN"/>
        </w:rPr>
        <w:t>根据评价结果可知，本项目厂界内土壤满足《土壤环境质量 建设用地土壤污染风险管控标准（试行）》（GB36600-2018）表1中第二类用地筛选值指标，评价范围内居民点满足《土壤环境质量 建设用地土壤污染风险管控标准（试行）》（GB36600-2018）表1中第一类用地筛选值指标，评价范围内耕地满足《土壤环境质量 农用地土壤污染风险管控标准（试行）》（GB15618-2018）表1农用地土壤污染风险筛选值要求。</w:t>
      </w:r>
    </w:p>
    <w:p w14:paraId="1767F12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eastAsia" w:ascii="Times New Roman" w:hAnsi="Times New Roman" w:eastAsia="宋体" w:cs="Times New Roman"/>
          <w:b/>
          <w:bCs/>
          <w:snapToGrid w:val="0"/>
          <w:color w:val="auto"/>
          <w:spacing w:val="0"/>
          <w:kern w:val="0"/>
          <w:position w:val="0"/>
          <w:sz w:val="30"/>
          <w:szCs w:val="30"/>
          <w:lang w:val="en-US" w:eastAsia="zh-CN" w:bidi="ar-SA"/>
        </w:rPr>
      </w:pPr>
      <w:r>
        <w:rPr>
          <w:rFonts w:hint="eastAsia" w:ascii="Times New Roman" w:hAnsi="Times New Roman" w:eastAsia="宋体" w:cs="Times New Roman"/>
          <w:b/>
          <w:bCs/>
          <w:snapToGrid w:val="0"/>
          <w:color w:val="auto"/>
          <w:spacing w:val="0"/>
          <w:kern w:val="0"/>
          <w:position w:val="0"/>
          <w:sz w:val="30"/>
          <w:szCs w:val="30"/>
          <w:lang w:val="en-US" w:eastAsia="zh-CN" w:bidi="ar-SA"/>
        </w:rPr>
        <w:t>4</w:t>
      </w:r>
      <w:r>
        <w:rPr>
          <w:rFonts w:hint="default" w:ascii="Times New Roman" w:hAnsi="Times New Roman" w:eastAsia="宋体" w:cs="Times New Roman"/>
          <w:b/>
          <w:bCs/>
          <w:snapToGrid w:val="0"/>
          <w:color w:val="auto"/>
          <w:spacing w:val="0"/>
          <w:kern w:val="0"/>
          <w:position w:val="0"/>
          <w:sz w:val="30"/>
          <w:szCs w:val="30"/>
          <w:lang w:val="en-US" w:eastAsia="zh-CN" w:bidi="ar-SA"/>
        </w:rPr>
        <w:t>.</w:t>
      </w:r>
      <w:r>
        <w:rPr>
          <w:rFonts w:hint="eastAsia" w:ascii="Times New Roman" w:hAnsi="Times New Roman" w:eastAsia="宋体" w:cs="Times New Roman"/>
          <w:b/>
          <w:bCs/>
          <w:snapToGrid w:val="0"/>
          <w:color w:val="auto"/>
          <w:spacing w:val="0"/>
          <w:kern w:val="0"/>
          <w:position w:val="0"/>
          <w:sz w:val="30"/>
          <w:szCs w:val="30"/>
          <w:lang w:val="en-US" w:eastAsia="zh-CN" w:bidi="ar-SA"/>
        </w:rPr>
        <w:t>2.6</w:t>
      </w:r>
      <w:r>
        <w:rPr>
          <w:rFonts w:hint="default" w:ascii="Times New Roman" w:hAnsi="Times New Roman" w:eastAsia="宋体" w:cs="Times New Roman"/>
          <w:b/>
          <w:bCs/>
          <w:snapToGrid w:val="0"/>
          <w:color w:val="auto"/>
          <w:spacing w:val="0"/>
          <w:kern w:val="0"/>
          <w:position w:val="0"/>
          <w:sz w:val="30"/>
          <w:szCs w:val="30"/>
          <w:lang w:val="en-US" w:eastAsia="zh-CN" w:bidi="ar-SA"/>
        </w:rPr>
        <w:t xml:space="preserve"> 生态现状调查与评价</w:t>
      </w:r>
    </w:p>
    <w:p w14:paraId="36AC3B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1、植被及植物资源现状调查</w:t>
      </w:r>
    </w:p>
    <w:p w14:paraId="0A04476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本次评价采用现场踏勘、搜集资料相结合的方式对</w:t>
      </w:r>
      <w:r>
        <w:rPr>
          <w:rFonts w:hint="eastAsia" w:ascii="Times New Roman" w:hAnsi="Times New Roman" w:eastAsia="宋体" w:cs="Times New Roman"/>
          <w:color w:val="auto"/>
          <w:sz w:val="24"/>
          <w:szCs w:val="24"/>
          <w:highlight w:val="none"/>
          <w:lang w:val="en-US" w:eastAsia="zh-CN"/>
        </w:rPr>
        <w:t>项目周边</w:t>
      </w:r>
      <w:r>
        <w:rPr>
          <w:rFonts w:hint="default" w:ascii="Times New Roman" w:hAnsi="Times New Roman" w:eastAsia="宋体" w:cs="Times New Roman"/>
          <w:color w:val="auto"/>
          <w:sz w:val="24"/>
          <w:szCs w:val="24"/>
          <w:highlight w:val="none"/>
        </w:rPr>
        <w:t>的陆生植物进行调查。根据实地调查，</w:t>
      </w:r>
      <w:r>
        <w:rPr>
          <w:rFonts w:hint="eastAsia" w:ascii="Times New Roman" w:hAnsi="Times New Roman" w:eastAsia="宋体" w:cs="Times New Roman"/>
          <w:color w:val="auto"/>
          <w:sz w:val="24"/>
          <w:szCs w:val="24"/>
          <w:highlight w:val="none"/>
          <w:lang w:val="en-US" w:eastAsia="zh-CN"/>
        </w:rPr>
        <w:t>项目周边</w:t>
      </w:r>
      <w:r>
        <w:rPr>
          <w:rFonts w:hint="default" w:ascii="Times New Roman" w:hAnsi="Times New Roman" w:eastAsia="宋体" w:cs="Times New Roman"/>
          <w:color w:val="auto"/>
          <w:sz w:val="24"/>
          <w:szCs w:val="24"/>
          <w:highlight w:val="none"/>
        </w:rPr>
        <w:t>用地范围及周边评价区内受人类开发程度较大，多为农田植被；自然植被分布较少，均为常见植被</w:t>
      </w:r>
      <w:r>
        <w:rPr>
          <w:rFonts w:hint="default" w:ascii="Times New Roman" w:hAnsi="Times New Roman" w:eastAsia="宋体" w:cs="Times New Roman"/>
          <w:color w:val="auto"/>
          <w:sz w:val="24"/>
          <w:szCs w:val="24"/>
          <w:highlight w:val="none"/>
          <w:lang w:eastAsia="zh-CN"/>
        </w:rPr>
        <w:t>。</w:t>
      </w:r>
    </w:p>
    <w:p w14:paraId="11A4460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）植被</w:t>
      </w:r>
    </w:p>
    <w:p w14:paraId="6A60AD9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因为评价范围内均为</w:t>
      </w:r>
      <w:r>
        <w:rPr>
          <w:rFonts w:hint="eastAsia" w:ascii="Times New Roman" w:hAnsi="Times New Roman" w:eastAsia="宋体" w:cs="Times New Roman"/>
          <w:color w:val="auto"/>
          <w:sz w:val="24"/>
          <w:szCs w:val="24"/>
          <w:highlight w:val="none"/>
          <w:lang w:val="en-US" w:eastAsia="zh-CN"/>
        </w:rPr>
        <w:t>经济开发区</w:t>
      </w:r>
      <w:r>
        <w:rPr>
          <w:rFonts w:hint="default" w:ascii="Times New Roman" w:hAnsi="Times New Roman" w:eastAsia="宋体" w:cs="Times New Roman"/>
          <w:color w:val="auto"/>
          <w:sz w:val="24"/>
          <w:szCs w:val="24"/>
          <w:highlight w:val="none"/>
          <w:lang w:eastAsia="zh-CN"/>
        </w:rPr>
        <w:t>企业及道路，少量的植被为路边种植的杨树、榆树和少量桦树及</w:t>
      </w:r>
      <w:r>
        <w:rPr>
          <w:rFonts w:hint="default" w:ascii="Times New Roman" w:hAnsi="Times New Roman" w:eastAsia="宋体" w:cs="Times New Roman"/>
          <w:color w:val="auto"/>
          <w:sz w:val="24"/>
          <w:szCs w:val="24"/>
          <w:highlight w:val="none"/>
        </w:rPr>
        <w:t>苔草。</w:t>
      </w:r>
    </w:p>
    <w:p w14:paraId="2C15F5C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）农田植被</w:t>
      </w:r>
    </w:p>
    <w:p w14:paraId="1808FEB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农田植被所占比例较大，农作物以小麦、大豆、水稻为主，谷子、玉米次之</w:t>
      </w:r>
      <w:r>
        <w:rPr>
          <w:rFonts w:hint="default" w:ascii="Times New Roman" w:hAnsi="Times New Roman" w:eastAsia="宋体" w:cs="Times New Roman"/>
          <w:color w:val="auto"/>
          <w:sz w:val="24"/>
          <w:szCs w:val="24"/>
          <w:highlight w:val="none"/>
          <w:lang w:eastAsia="zh-CN"/>
        </w:rPr>
        <w:t>。</w:t>
      </w:r>
    </w:p>
    <w:p w14:paraId="2E8577D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2、动物现状调查</w:t>
      </w:r>
    </w:p>
    <w:p w14:paraId="74B0D39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厂址周边</w:t>
      </w:r>
      <w:r>
        <w:rPr>
          <w:rFonts w:hint="default" w:ascii="Times New Roman" w:hAnsi="Times New Roman" w:eastAsia="宋体" w:cs="Times New Roman"/>
          <w:color w:val="auto"/>
          <w:sz w:val="24"/>
          <w:szCs w:val="24"/>
          <w:highlight w:val="none"/>
        </w:rPr>
        <w:t>建有国道等道路，居民分布集中，人类活动频繁。根据实地调查、走访相关部门及搜集当地资料，评价范围内无大型兽类出没，以爬行类、鸟类为主</w:t>
      </w:r>
      <w:r>
        <w:rPr>
          <w:rFonts w:hint="default" w:ascii="Times New Roman" w:hAnsi="Times New Roman" w:eastAsia="宋体" w:cs="Times New Roman"/>
          <w:color w:val="auto"/>
          <w:sz w:val="24"/>
          <w:szCs w:val="24"/>
          <w:highlight w:val="none"/>
          <w:lang w:eastAsia="zh-CN"/>
        </w:rPr>
        <w:t>。</w:t>
      </w:r>
    </w:p>
    <w:p w14:paraId="0B2BD1C1">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6"/>
          <w:sz w:val="32"/>
          <w:szCs w:val="32"/>
          <w:lang w:val="en-US" w:eastAsia="zh-CN"/>
        </w:rPr>
      </w:pPr>
      <w:bookmarkStart w:id="47" w:name="_Toc9084"/>
      <w:r>
        <w:rPr>
          <w:rFonts w:hint="eastAsia" w:ascii="Times New Roman" w:hAnsi="Times New Roman" w:eastAsia="微软雅黑" w:cs="Times New Roman"/>
          <w:color w:val="auto"/>
          <w:spacing w:val="6"/>
          <w:sz w:val="32"/>
          <w:szCs w:val="32"/>
          <w:lang w:val="en-US" w:eastAsia="zh-CN"/>
        </w:rPr>
        <w:t>4</w:t>
      </w:r>
      <w:r>
        <w:rPr>
          <w:rFonts w:hint="default" w:ascii="Times New Roman" w:hAnsi="Times New Roman" w:eastAsia="微软雅黑" w:cs="Times New Roman"/>
          <w:color w:val="auto"/>
          <w:spacing w:val="6"/>
          <w:sz w:val="32"/>
          <w:szCs w:val="32"/>
          <w:lang w:val="en-US" w:eastAsia="zh-CN"/>
        </w:rPr>
        <w:t>.</w:t>
      </w:r>
      <w:r>
        <w:rPr>
          <w:rFonts w:hint="eastAsia" w:ascii="Times New Roman" w:hAnsi="Times New Roman" w:eastAsia="微软雅黑" w:cs="Times New Roman"/>
          <w:color w:val="auto"/>
          <w:spacing w:val="6"/>
          <w:sz w:val="32"/>
          <w:szCs w:val="32"/>
          <w:lang w:val="en-US" w:eastAsia="zh-CN"/>
        </w:rPr>
        <w:t>3</w:t>
      </w:r>
      <w:r>
        <w:rPr>
          <w:rFonts w:hint="default" w:ascii="Times New Roman" w:hAnsi="Times New Roman" w:eastAsia="微软雅黑" w:cs="Times New Roman"/>
          <w:color w:val="auto"/>
          <w:spacing w:val="6"/>
          <w:sz w:val="32"/>
          <w:szCs w:val="32"/>
          <w:lang w:val="en-US" w:eastAsia="zh-CN"/>
        </w:rPr>
        <w:t xml:space="preserve"> 环境保护目标调查</w:t>
      </w:r>
      <w:bookmarkEnd w:id="47"/>
    </w:p>
    <w:p w14:paraId="4948E5F9">
      <w:pPr>
        <w:keepNext w:val="0"/>
        <w:keepLines w:val="0"/>
        <w:pageBreakBefore w:val="0"/>
        <w:widowControl w:val="0"/>
        <w:tabs>
          <w:tab w:val="left" w:leader="middleDot" w:pos="0"/>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根据《建设项目环境影响评价技术导则总纲》(HJ2.1-2016)，环境保护目标调查应调查评价范围内的环境功能区划和主要的环境敏感区</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lang w:eastAsia="zh-CN"/>
        </w:rPr>
        <w:t>详细了解环境保护目标的地理位置、服务功能、四至范围、保护对象和保护要求等。本次评价经过现场踏查、查找相关资料，得出调查结果如下</w:t>
      </w:r>
      <w:r>
        <w:rPr>
          <w:rFonts w:hint="eastAsia" w:ascii="Times New Roman" w:hAnsi="Times New Roman" w:cs="Times New Roman"/>
          <w:color w:val="auto"/>
          <w:sz w:val="24"/>
          <w:szCs w:val="24"/>
          <w:lang w:eastAsia="zh-CN"/>
        </w:rPr>
        <w:t>：</w:t>
      </w:r>
    </w:p>
    <w:p w14:paraId="2E3C69FD">
      <w:pPr>
        <w:keepNext w:val="0"/>
        <w:keepLines w:val="0"/>
        <w:pageBreakBefore w:val="0"/>
        <w:widowControl w:val="0"/>
        <w:tabs>
          <w:tab w:val="left" w:leader="middleDot" w:pos="0"/>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1</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环境功能区划</w:t>
      </w:r>
    </w:p>
    <w:p w14:paraId="6179EFF1">
      <w:pPr>
        <w:keepNext w:val="0"/>
        <w:keepLines w:val="0"/>
        <w:pageBreakBefore w:val="0"/>
        <w:widowControl w:val="0"/>
        <w:tabs>
          <w:tab w:val="left" w:leader="middleDot" w:pos="0"/>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本项目大气环境功能区划为《环境空气质量标准》(GB3095-2012)二类功能区。</w:t>
      </w:r>
    </w:p>
    <w:p w14:paraId="3DCB72C9">
      <w:pPr>
        <w:keepNext w:val="0"/>
        <w:keepLines w:val="0"/>
        <w:pageBreakBefore w:val="0"/>
        <w:widowControl w:val="0"/>
        <w:tabs>
          <w:tab w:val="left" w:leader="middleDot" w:pos="0"/>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本项目声环境功能区属于《声环境质量标准》(GB3096-2008)2类声环境功能区。</w:t>
      </w:r>
    </w:p>
    <w:p w14:paraId="2BC12016">
      <w:pPr>
        <w:keepNext w:val="0"/>
        <w:keepLines w:val="0"/>
        <w:pageBreakBefore w:val="0"/>
        <w:widowControl w:val="0"/>
        <w:tabs>
          <w:tab w:val="left" w:leader="middleDot" w:pos="0"/>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根据《2024年哈尔滨生态环境质量状况年报》，位于</w:t>
      </w:r>
      <w:r>
        <w:rPr>
          <w:rFonts w:hint="eastAsia" w:ascii="Times New Roman" w:hAnsi="Times New Roman" w:cs="Times New Roman"/>
          <w:color w:val="auto"/>
          <w:sz w:val="24"/>
          <w:szCs w:val="24"/>
          <w:lang w:val="en-US" w:eastAsia="zh-CN"/>
        </w:rPr>
        <w:t>拉林河（</w:t>
      </w:r>
      <w:r>
        <w:rPr>
          <w:rFonts w:hint="default" w:ascii="Times New Roman" w:hAnsi="Times New Roman" w:cs="Times New Roman"/>
          <w:color w:val="auto"/>
          <w:sz w:val="24"/>
          <w:szCs w:val="24"/>
          <w:lang w:val="en-US" w:eastAsia="zh-CN"/>
        </w:rPr>
        <w:t>五常公路桥-入松花江河口</w:t>
      </w:r>
      <w:r>
        <w:rPr>
          <w:rFonts w:hint="default" w:ascii="Times New Roman" w:hAnsi="Times New Roman" w:cs="Times New Roman"/>
          <w:color w:val="auto"/>
          <w:sz w:val="24"/>
          <w:szCs w:val="24"/>
          <w:lang w:eastAsia="zh-CN"/>
        </w:rPr>
        <w:t>河段</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eastAsia="zh-CN"/>
        </w:rPr>
        <w:t>，为Ш类水功能区。</w:t>
      </w:r>
    </w:p>
    <w:p w14:paraId="189EFF09">
      <w:pPr>
        <w:keepNext w:val="0"/>
        <w:keepLines w:val="0"/>
        <w:pageBreakBefore w:val="0"/>
        <w:widowControl w:val="0"/>
        <w:tabs>
          <w:tab w:val="left" w:leader="middleDot" w:pos="0"/>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本项目地下水环境功能区划为Ш类区，地下水环境执行《地下水质量标准》(GB/T14848-2017)Ш类标准。</w:t>
      </w:r>
    </w:p>
    <w:p w14:paraId="77ECB627">
      <w:pPr>
        <w:keepNext w:val="0"/>
        <w:keepLines w:val="0"/>
        <w:pageBreakBefore w:val="0"/>
        <w:widowControl w:val="0"/>
        <w:tabs>
          <w:tab w:val="left" w:leader="middleDot" w:pos="0"/>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（2）主要的环境敏感区和环境保护目标调查</w:t>
      </w:r>
    </w:p>
    <w:p w14:paraId="71B0BAFB">
      <w:pPr>
        <w:keepNext w:val="0"/>
        <w:keepLines w:val="0"/>
        <w:pageBreakBefore w:val="0"/>
        <w:widowControl w:val="0"/>
        <w:tabs>
          <w:tab w:val="left" w:leader="middleDot" w:pos="0"/>
        </w:tabs>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本评价区内无国家公园、自然保护区、风景名胜区、世界文化和自然遗产地、饮用水水源保护区及生态保护红线等保护目标，调查过程见下表：</w:t>
      </w:r>
    </w:p>
    <w:p w14:paraId="0198658B">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Arial" w:cs="Times New Roman"/>
          <w:b/>
          <w:bCs/>
          <w:snapToGrid w:val="0"/>
          <w:color w:val="auto"/>
          <w:kern w:val="0"/>
          <w:sz w:val="24"/>
          <w:szCs w:val="24"/>
          <w:highlight w:val="none"/>
          <w:lang w:val="en-US" w:eastAsia="zh-CN" w:bidi="ar-SA"/>
        </w:rPr>
      </w:pPr>
      <w:r>
        <w:rPr>
          <w:rFonts w:hint="eastAsia" w:ascii="Times New Roman" w:hAnsi="Times New Roman" w:eastAsia="Arial" w:cs="Times New Roman"/>
          <w:b/>
          <w:bCs/>
          <w:snapToGrid w:val="0"/>
          <w:color w:val="auto"/>
          <w:kern w:val="0"/>
          <w:sz w:val="24"/>
          <w:szCs w:val="24"/>
          <w:highlight w:val="none"/>
          <w:lang w:val="en-US" w:eastAsia="zh-CN" w:bidi="ar-SA"/>
        </w:rPr>
        <w:t>表4.3-1  环境保护目标调查表</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27"/>
        <w:gridCol w:w="1336"/>
        <w:gridCol w:w="1336"/>
        <w:gridCol w:w="1344"/>
        <w:gridCol w:w="1337"/>
        <w:gridCol w:w="1839"/>
      </w:tblGrid>
      <w:tr w14:paraId="159F42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pct"/>
            <w:tcBorders>
              <w:tl2br w:val="nil"/>
              <w:tr2bl w:val="nil"/>
            </w:tcBorders>
            <w:vAlign w:val="center"/>
          </w:tcPr>
          <w:p w14:paraId="6E215D39">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0"/>
                <w:position w:val="0"/>
                <w:sz w:val="21"/>
                <w:szCs w:val="21"/>
                <w:vertAlign w:val="baseline"/>
                <w:lang w:val="en-US" w:eastAsia="zh-CN"/>
              </w:rPr>
            </w:pPr>
            <w:r>
              <w:rPr>
                <w:rFonts w:hint="eastAsia" w:ascii="Times New Roman" w:hAnsi="Times New Roman" w:eastAsia="宋体" w:cs="Times New Roman"/>
                <w:color w:val="auto"/>
                <w:spacing w:val="0"/>
                <w:position w:val="0"/>
                <w:sz w:val="21"/>
                <w:szCs w:val="21"/>
                <w:vertAlign w:val="baseline"/>
                <w:lang w:val="en-US" w:eastAsia="zh-CN"/>
              </w:rPr>
              <w:t>名称</w:t>
            </w:r>
          </w:p>
        </w:tc>
        <w:tc>
          <w:tcPr>
            <w:tcW w:w="833" w:type="pct"/>
            <w:tcBorders>
              <w:tl2br w:val="nil"/>
              <w:tr2bl w:val="nil"/>
            </w:tcBorders>
            <w:vAlign w:val="center"/>
          </w:tcPr>
          <w:p w14:paraId="4633B603">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0"/>
                <w:position w:val="0"/>
                <w:sz w:val="21"/>
                <w:szCs w:val="21"/>
                <w:vertAlign w:val="baseline"/>
                <w:lang w:val="en-US" w:eastAsia="zh-CN"/>
              </w:rPr>
            </w:pPr>
            <w:r>
              <w:rPr>
                <w:rFonts w:hint="eastAsia" w:ascii="Times New Roman" w:hAnsi="Times New Roman" w:eastAsia="宋体" w:cs="Times New Roman"/>
                <w:color w:val="auto"/>
                <w:spacing w:val="0"/>
                <w:position w:val="0"/>
                <w:sz w:val="21"/>
                <w:szCs w:val="21"/>
                <w:vertAlign w:val="baseline"/>
                <w:lang w:val="en-US" w:eastAsia="zh-CN"/>
              </w:rPr>
              <w:t>地理位置</w:t>
            </w:r>
          </w:p>
        </w:tc>
        <w:tc>
          <w:tcPr>
            <w:tcW w:w="833" w:type="pct"/>
            <w:tcBorders>
              <w:tl2br w:val="nil"/>
              <w:tr2bl w:val="nil"/>
            </w:tcBorders>
            <w:vAlign w:val="center"/>
          </w:tcPr>
          <w:p w14:paraId="01049072">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0"/>
                <w:position w:val="0"/>
                <w:sz w:val="21"/>
                <w:szCs w:val="21"/>
                <w:vertAlign w:val="baseline"/>
                <w:lang w:val="en-US" w:eastAsia="zh-CN"/>
              </w:rPr>
            </w:pPr>
            <w:r>
              <w:rPr>
                <w:rFonts w:hint="eastAsia" w:ascii="Times New Roman" w:hAnsi="Times New Roman" w:eastAsia="宋体" w:cs="Times New Roman"/>
                <w:color w:val="auto"/>
                <w:spacing w:val="0"/>
                <w:position w:val="0"/>
                <w:sz w:val="21"/>
                <w:szCs w:val="21"/>
                <w:vertAlign w:val="baseline"/>
                <w:lang w:val="en-US" w:eastAsia="zh-CN"/>
              </w:rPr>
              <w:t>服务功能</w:t>
            </w:r>
          </w:p>
        </w:tc>
        <w:tc>
          <w:tcPr>
            <w:tcW w:w="837" w:type="pct"/>
            <w:tcBorders>
              <w:tl2br w:val="nil"/>
              <w:tr2bl w:val="nil"/>
            </w:tcBorders>
            <w:vAlign w:val="center"/>
          </w:tcPr>
          <w:p w14:paraId="17CF2DA4">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0"/>
                <w:position w:val="0"/>
                <w:sz w:val="21"/>
                <w:szCs w:val="21"/>
                <w:vertAlign w:val="baseline"/>
                <w:lang w:val="en-US" w:eastAsia="zh-CN"/>
              </w:rPr>
            </w:pPr>
            <w:r>
              <w:rPr>
                <w:rFonts w:hint="eastAsia" w:ascii="Times New Roman" w:hAnsi="Times New Roman" w:eastAsia="宋体" w:cs="Times New Roman"/>
                <w:color w:val="auto"/>
                <w:spacing w:val="0"/>
                <w:position w:val="0"/>
                <w:sz w:val="21"/>
                <w:szCs w:val="21"/>
                <w:vertAlign w:val="baseline"/>
                <w:lang w:val="en-US" w:eastAsia="zh-CN"/>
              </w:rPr>
              <w:t>四至范围</w:t>
            </w:r>
          </w:p>
        </w:tc>
        <w:tc>
          <w:tcPr>
            <w:tcW w:w="833" w:type="pct"/>
            <w:tcBorders>
              <w:tl2br w:val="nil"/>
              <w:tr2bl w:val="nil"/>
            </w:tcBorders>
            <w:vAlign w:val="center"/>
          </w:tcPr>
          <w:p w14:paraId="26C6D9AB">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0"/>
                <w:position w:val="0"/>
                <w:sz w:val="21"/>
                <w:szCs w:val="21"/>
                <w:vertAlign w:val="baseline"/>
                <w:lang w:val="en-US" w:eastAsia="zh-CN"/>
              </w:rPr>
            </w:pPr>
            <w:r>
              <w:rPr>
                <w:rFonts w:hint="eastAsia" w:ascii="Times New Roman" w:hAnsi="Times New Roman" w:eastAsia="宋体" w:cs="Times New Roman"/>
                <w:color w:val="auto"/>
                <w:spacing w:val="0"/>
                <w:position w:val="0"/>
                <w:sz w:val="21"/>
                <w:szCs w:val="21"/>
                <w:vertAlign w:val="baseline"/>
                <w:lang w:val="en-US" w:eastAsia="zh-CN"/>
              </w:rPr>
              <w:t>保护对象</w:t>
            </w:r>
          </w:p>
        </w:tc>
        <w:tc>
          <w:tcPr>
            <w:tcW w:w="833" w:type="pct"/>
            <w:tcBorders>
              <w:tl2br w:val="nil"/>
              <w:tr2bl w:val="nil"/>
            </w:tcBorders>
            <w:vAlign w:val="center"/>
          </w:tcPr>
          <w:p w14:paraId="2511B300">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0"/>
                <w:position w:val="0"/>
                <w:sz w:val="21"/>
                <w:szCs w:val="21"/>
                <w:vertAlign w:val="baseline"/>
                <w:lang w:val="en-US" w:eastAsia="zh-CN"/>
              </w:rPr>
            </w:pPr>
            <w:r>
              <w:rPr>
                <w:rFonts w:hint="eastAsia" w:ascii="Times New Roman" w:hAnsi="Times New Roman" w:eastAsia="宋体" w:cs="Times New Roman"/>
                <w:color w:val="auto"/>
                <w:spacing w:val="0"/>
                <w:position w:val="0"/>
                <w:sz w:val="21"/>
                <w:szCs w:val="21"/>
                <w:vertAlign w:val="baseline"/>
                <w:lang w:val="en-US" w:eastAsia="zh-CN"/>
              </w:rPr>
              <w:t>保护要求</w:t>
            </w:r>
          </w:p>
        </w:tc>
      </w:tr>
      <w:tr w14:paraId="09F1B2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pct"/>
            <w:tcBorders>
              <w:tl2br w:val="nil"/>
              <w:tr2bl w:val="nil"/>
            </w:tcBorders>
            <w:shd w:val="clear" w:color="auto" w:fill="auto"/>
            <w:vAlign w:val="center"/>
          </w:tcPr>
          <w:p w14:paraId="6FF3A612">
            <w:pPr>
              <w:pStyle w:val="37"/>
              <w:widowControl w:val="0"/>
              <w:bidi w:val="0"/>
              <w:ind w:firstLine="0" w:firstLineChars="0"/>
              <w:rPr>
                <w:rFonts w:hint="eastAsia" w:ascii="Times New Roman" w:hAnsi="Times New Roman" w:eastAsia="宋体" w:cs="Times New Roman"/>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color w:val="auto"/>
                <w:sz w:val="21"/>
                <w:szCs w:val="21"/>
                <w:highlight w:val="none"/>
                <w:lang w:val="en-US" w:eastAsia="zh-CN"/>
              </w:rPr>
              <w:t>张达屯</w:t>
            </w:r>
          </w:p>
        </w:tc>
        <w:tc>
          <w:tcPr>
            <w:tcW w:w="833" w:type="pct"/>
            <w:tcBorders>
              <w:tl2br w:val="nil"/>
              <w:tr2bl w:val="nil"/>
            </w:tcBorders>
            <w:shd w:val="clear" w:color="auto" w:fill="auto"/>
            <w:vAlign w:val="center"/>
          </w:tcPr>
          <w:p w14:paraId="406492A5">
            <w:pPr>
              <w:pStyle w:val="37"/>
              <w:widowControl w:val="0"/>
              <w:bidi w:val="0"/>
              <w:ind w:firstLine="0" w:firstLineChars="0"/>
              <w:rPr>
                <w:rFonts w:hint="eastAsia" w:ascii="Times New Roman" w:hAnsi="Times New Roman" w:eastAsia="宋体" w:cs="Times New Roman"/>
                <w:snapToGrid w:val="0"/>
                <w:color w:val="auto"/>
                <w:spacing w:val="0"/>
                <w:kern w:val="0"/>
                <w:position w:val="0"/>
                <w:sz w:val="21"/>
                <w:szCs w:val="21"/>
                <w:vertAlign w:val="baseline"/>
                <w:lang w:val="en-US" w:eastAsia="zh-CN" w:bidi="ar-SA"/>
              </w:rPr>
            </w:pPr>
            <w:r>
              <w:rPr>
                <w:rFonts w:hint="eastAsia" w:ascii="Times New Roman" w:hAnsi="Times New Roman" w:cs="Times New Roman"/>
                <w:color w:val="auto"/>
                <w:sz w:val="21"/>
                <w:szCs w:val="21"/>
                <w:highlight w:val="none"/>
                <w:lang w:val="en-US" w:eastAsia="zh-CN"/>
              </w:rPr>
              <w:t>ES190m</w:t>
            </w:r>
          </w:p>
        </w:tc>
        <w:tc>
          <w:tcPr>
            <w:tcW w:w="833" w:type="pct"/>
            <w:vMerge w:val="restart"/>
            <w:tcBorders>
              <w:tl2br w:val="nil"/>
              <w:tr2bl w:val="nil"/>
            </w:tcBorders>
            <w:shd w:val="clear" w:color="auto" w:fill="auto"/>
            <w:vAlign w:val="center"/>
          </w:tcPr>
          <w:p w14:paraId="78A3F3B6">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0"/>
                <w:position w:val="0"/>
                <w:sz w:val="21"/>
                <w:szCs w:val="21"/>
                <w:vertAlign w:val="baseline"/>
                <w:lang w:val="en-US" w:eastAsia="zh-CN"/>
              </w:rPr>
            </w:pPr>
            <w:r>
              <w:rPr>
                <w:rFonts w:hint="eastAsia" w:ascii="Times New Roman" w:hAnsi="Times New Roman" w:eastAsia="宋体" w:cs="Times New Roman"/>
                <w:color w:val="auto"/>
                <w:spacing w:val="0"/>
                <w:position w:val="0"/>
                <w:sz w:val="21"/>
                <w:szCs w:val="21"/>
                <w:vertAlign w:val="baseline"/>
                <w:lang w:val="en-US" w:eastAsia="zh-CN"/>
              </w:rPr>
              <w:t>农村</w:t>
            </w:r>
          </w:p>
        </w:tc>
        <w:tc>
          <w:tcPr>
            <w:tcW w:w="837" w:type="pct"/>
            <w:vMerge w:val="restart"/>
            <w:tcBorders>
              <w:tl2br w:val="nil"/>
              <w:tr2bl w:val="nil"/>
            </w:tcBorders>
            <w:shd w:val="clear" w:color="auto" w:fill="auto"/>
            <w:vAlign w:val="center"/>
          </w:tcPr>
          <w:p w14:paraId="33EEB2BF">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spacing w:val="0"/>
                <w:kern w:val="0"/>
                <w:position w:val="0"/>
                <w:sz w:val="21"/>
                <w:szCs w:val="21"/>
                <w:vertAlign w:val="baseline"/>
                <w:lang w:val="en-US" w:eastAsia="zh-CN" w:bidi="ar-SA"/>
              </w:rPr>
            </w:pPr>
            <w:r>
              <w:rPr>
                <w:rFonts w:hint="eastAsia" w:ascii="Times New Roman" w:hAnsi="Times New Roman" w:eastAsia="宋体" w:cs="Times New Roman"/>
                <w:snapToGrid w:val="0"/>
                <w:color w:val="auto"/>
                <w:spacing w:val="0"/>
                <w:kern w:val="0"/>
                <w:position w:val="0"/>
                <w:sz w:val="21"/>
                <w:szCs w:val="21"/>
                <w:vertAlign w:val="baseline"/>
                <w:lang w:val="en-US" w:eastAsia="zh-CN" w:bidi="ar-SA"/>
              </w:rPr>
              <w:t>周边四至均为农田</w:t>
            </w:r>
          </w:p>
        </w:tc>
        <w:tc>
          <w:tcPr>
            <w:tcW w:w="833" w:type="pct"/>
            <w:vMerge w:val="restart"/>
            <w:tcBorders>
              <w:tl2br w:val="nil"/>
              <w:tr2bl w:val="nil"/>
            </w:tcBorders>
            <w:shd w:val="clear" w:color="auto" w:fill="auto"/>
            <w:vAlign w:val="center"/>
          </w:tcPr>
          <w:p w14:paraId="34D22302">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0"/>
                <w:position w:val="0"/>
                <w:sz w:val="21"/>
                <w:szCs w:val="21"/>
                <w:vertAlign w:val="baseline"/>
                <w:lang w:val="en-US" w:eastAsia="zh-CN"/>
              </w:rPr>
            </w:pPr>
            <w:r>
              <w:rPr>
                <w:rFonts w:hint="eastAsia" w:ascii="Times New Roman" w:hAnsi="Times New Roman" w:eastAsia="宋体" w:cs="Times New Roman"/>
                <w:color w:val="auto"/>
                <w:spacing w:val="0"/>
                <w:position w:val="0"/>
                <w:sz w:val="21"/>
                <w:szCs w:val="21"/>
                <w:vertAlign w:val="baseline"/>
                <w:lang w:val="en-US" w:eastAsia="zh-CN"/>
              </w:rPr>
              <w:t>居民</w:t>
            </w:r>
          </w:p>
        </w:tc>
        <w:tc>
          <w:tcPr>
            <w:tcW w:w="833" w:type="pct"/>
            <w:tcBorders>
              <w:tl2br w:val="nil"/>
              <w:tr2bl w:val="nil"/>
            </w:tcBorders>
            <w:shd w:val="clear" w:color="auto" w:fill="auto"/>
            <w:vAlign w:val="center"/>
          </w:tcPr>
          <w:p w14:paraId="397B577B">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《声环境质量标准》（GB3096-2008）</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类声环境功能区</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rPr>
              <w:t>《环境空气质量标准》</w:t>
            </w:r>
          </w:p>
          <w:p w14:paraId="4E67ADEA">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（GB3095-2012）</w:t>
            </w:r>
          </w:p>
          <w:p w14:paraId="2C34F7C8">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napToGrid w:val="0"/>
                <w:color w:val="auto"/>
                <w:spacing w:val="0"/>
                <w:kern w:val="0"/>
                <w:position w:val="0"/>
                <w:sz w:val="21"/>
                <w:szCs w:val="21"/>
                <w:vertAlign w:val="baseline"/>
                <w:lang w:val="en-US" w:eastAsia="zh-CN" w:bidi="ar-SA"/>
              </w:rPr>
            </w:pPr>
            <w:r>
              <w:rPr>
                <w:rFonts w:hint="default" w:ascii="Times New Roman" w:hAnsi="Times New Roman" w:cs="Times New Roman"/>
                <w:color w:val="auto"/>
                <w:sz w:val="21"/>
                <w:szCs w:val="21"/>
                <w:highlight w:val="none"/>
              </w:rPr>
              <w:t>二类功能区</w:t>
            </w:r>
          </w:p>
        </w:tc>
      </w:tr>
      <w:tr w14:paraId="69AFAF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pct"/>
            <w:tcBorders>
              <w:tl2br w:val="nil"/>
              <w:tr2bl w:val="nil"/>
            </w:tcBorders>
            <w:vAlign w:val="center"/>
          </w:tcPr>
          <w:p w14:paraId="173826B2">
            <w:pPr>
              <w:pStyle w:val="37"/>
              <w:widowControl w:val="0"/>
              <w:bidi w:val="0"/>
              <w:ind w:firstLine="0" w:firstLineChars="0"/>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eastAsia="宋体" w:cs="Times New Roman"/>
                <w:color w:val="auto"/>
                <w:sz w:val="21"/>
                <w:szCs w:val="21"/>
                <w:highlight w:val="none"/>
                <w:lang w:val="en-US" w:eastAsia="zh-CN"/>
              </w:rPr>
              <w:t>王货屯</w:t>
            </w:r>
          </w:p>
        </w:tc>
        <w:tc>
          <w:tcPr>
            <w:tcW w:w="833" w:type="pct"/>
            <w:tcBorders>
              <w:tl2br w:val="nil"/>
              <w:tr2bl w:val="nil"/>
            </w:tcBorders>
            <w:vAlign w:val="center"/>
          </w:tcPr>
          <w:p w14:paraId="225D8A9B">
            <w:pPr>
              <w:pStyle w:val="37"/>
              <w:widowControl w:val="0"/>
              <w:bidi w:val="0"/>
              <w:ind w:firstLine="0" w:firstLineChars="0"/>
              <w:rPr>
                <w:rFonts w:hint="default" w:ascii="Times New Roman" w:hAnsi="Times New Roman" w:eastAsia="宋体" w:cs="Times New Roman"/>
                <w:color w:val="auto"/>
                <w:spacing w:val="0"/>
                <w:position w:val="0"/>
                <w:sz w:val="21"/>
                <w:szCs w:val="21"/>
                <w:vertAlign w:val="baseline"/>
                <w:lang w:val="en-US"/>
              </w:rPr>
            </w:pPr>
            <w:r>
              <w:rPr>
                <w:rFonts w:hint="eastAsia" w:ascii="Times New Roman" w:hAnsi="Times New Roman" w:cs="Times New Roman"/>
                <w:color w:val="auto"/>
                <w:sz w:val="21"/>
                <w:szCs w:val="21"/>
                <w:highlight w:val="none"/>
                <w:lang w:val="en-US" w:eastAsia="zh-CN"/>
              </w:rPr>
              <w:t>E1970m</w:t>
            </w:r>
          </w:p>
        </w:tc>
        <w:tc>
          <w:tcPr>
            <w:tcW w:w="833" w:type="pct"/>
            <w:vMerge w:val="continue"/>
            <w:tcBorders>
              <w:tl2br w:val="nil"/>
              <w:tr2bl w:val="nil"/>
            </w:tcBorders>
            <w:vAlign w:val="center"/>
          </w:tcPr>
          <w:p w14:paraId="77CA9BEC">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0"/>
                <w:position w:val="0"/>
                <w:sz w:val="21"/>
                <w:szCs w:val="21"/>
                <w:vertAlign w:val="baseline"/>
                <w:lang w:val="en-US" w:eastAsia="zh-CN"/>
              </w:rPr>
            </w:pPr>
          </w:p>
        </w:tc>
        <w:tc>
          <w:tcPr>
            <w:tcW w:w="837" w:type="pct"/>
            <w:vMerge w:val="continue"/>
            <w:tcBorders>
              <w:tl2br w:val="nil"/>
              <w:tr2bl w:val="nil"/>
            </w:tcBorders>
            <w:vAlign w:val="center"/>
          </w:tcPr>
          <w:p w14:paraId="1C0C1DD8">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c>
          <w:tcPr>
            <w:tcW w:w="833" w:type="pct"/>
            <w:vMerge w:val="continue"/>
            <w:tcBorders>
              <w:tl2br w:val="nil"/>
              <w:tr2bl w:val="nil"/>
            </w:tcBorders>
            <w:vAlign w:val="center"/>
          </w:tcPr>
          <w:p w14:paraId="593D7871">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0"/>
                <w:position w:val="0"/>
                <w:sz w:val="21"/>
                <w:szCs w:val="21"/>
                <w:vertAlign w:val="baseline"/>
                <w:lang w:val="en-US" w:eastAsia="zh-CN"/>
              </w:rPr>
            </w:pPr>
          </w:p>
        </w:tc>
        <w:tc>
          <w:tcPr>
            <w:tcW w:w="833" w:type="pct"/>
            <w:vMerge w:val="restart"/>
            <w:tcBorders>
              <w:tl2br w:val="nil"/>
              <w:tr2bl w:val="nil"/>
            </w:tcBorders>
            <w:vAlign w:val="center"/>
          </w:tcPr>
          <w:p w14:paraId="16339A0E">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《环境空气质量标准》</w:t>
            </w:r>
          </w:p>
          <w:p w14:paraId="043F0D18">
            <w:pPr>
              <w:pStyle w:val="37"/>
              <w:widowControl w:val="0"/>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（GB3095-2012）</w:t>
            </w:r>
          </w:p>
          <w:p w14:paraId="3C7C3714">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r>
              <w:rPr>
                <w:rFonts w:hint="default" w:ascii="Times New Roman" w:hAnsi="Times New Roman" w:cs="Times New Roman"/>
                <w:color w:val="auto"/>
                <w:sz w:val="21"/>
                <w:szCs w:val="21"/>
                <w:highlight w:val="none"/>
              </w:rPr>
              <w:t>二类功能区</w:t>
            </w:r>
          </w:p>
        </w:tc>
      </w:tr>
      <w:tr w14:paraId="0A5DD6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pct"/>
            <w:tcBorders>
              <w:tl2br w:val="nil"/>
              <w:tr2bl w:val="nil"/>
            </w:tcBorders>
            <w:vAlign w:val="center"/>
          </w:tcPr>
          <w:p w14:paraId="7513C8D3">
            <w:pPr>
              <w:pStyle w:val="37"/>
              <w:widowControl w:val="0"/>
              <w:bidi w:val="0"/>
              <w:ind w:firstLine="0" w:firstLineChars="0"/>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eastAsia="宋体" w:cs="Times New Roman"/>
                <w:color w:val="auto"/>
                <w:sz w:val="21"/>
                <w:szCs w:val="21"/>
                <w:highlight w:val="none"/>
                <w:lang w:val="en-US" w:eastAsia="zh-CN"/>
              </w:rPr>
              <w:t>倪家窝棚</w:t>
            </w:r>
          </w:p>
        </w:tc>
        <w:tc>
          <w:tcPr>
            <w:tcW w:w="833" w:type="pct"/>
            <w:tcBorders>
              <w:tl2br w:val="nil"/>
              <w:tr2bl w:val="nil"/>
            </w:tcBorders>
            <w:vAlign w:val="center"/>
          </w:tcPr>
          <w:p w14:paraId="70B1FE91">
            <w:pPr>
              <w:pStyle w:val="37"/>
              <w:widowControl w:val="0"/>
              <w:bidi w:val="0"/>
              <w:ind w:firstLine="0" w:firstLineChars="0"/>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cs="Times New Roman"/>
                <w:color w:val="auto"/>
                <w:sz w:val="21"/>
                <w:szCs w:val="21"/>
                <w:highlight w:val="none"/>
                <w:lang w:val="en-US" w:eastAsia="zh-CN"/>
              </w:rPr>
              <w:t>ES1440m</w:t>
            </w:r>
          </w:p>
        </w:tc>
        <w:tc>
          <w:tcPr>
            <w:tcW w:w="833" w:type="pct"/>
            <w:vMerge w:val="continue"/>
            <w:tcBorders>
              <w:tl2br w:val="nil"/>
              <w:tr2bl w:val="nil"/>
            </w:tcBorders>
            <w:vAlign w:val="center"/>
          </w:tcPr>
          <w:p w14:paraId="1474CAB4">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c>
          <w:tcPr>
            <w:tcW w:w="837" w:type="pct"/>
            <w:tcBorders>
              <w:tl2br w:val="nil"/>
              <w:tr2bl w:val="nil"/>
            </w:tcBorders>
            <w:vAlign w:val="center"/>
          </w:tcPr>
          <w:p w14:paraId="1E3B8211">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eastAsia" w:ascii="Times New Roman" w:hAnsi="Times New Roman" w:eastAsia="宋体" w:cs="Times New Roman"/>
                <w:color w:val="auto"/>
                <w:spacing w:val="0"/>
                <w:position w:val="0"/>
                <w:sz w:val="21"/>
                <w:szCs w:val="21"/>
                <w:vertAlign w:val="baseline"/>
                <w:lang w:val="en-US" w:eastAsia="zh-CN"/>
              </w:rPr>
              <w:t>南至道路，东、西、北均至农田</w:t>
            </w:r>
          </w:p>
        </w:tc>
        <w:tc>
          <w:tcPr>
            <w:tcW w:w="833" w:type="pct"/>
            <w:vMerge w:val="continue"/>
            <w:tcBorders>
              <w:tl2br w:val="nil"/>
              <w:tr2bl w:val="nil"/>
            </w:tcBorders>
            <w:vAlign w:val="center"/>
          </w:tcPr>
          <w:p w14:paraId="7D7E6A41">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c>
          <w:tcPr>
            <w:tcW w:w="833" w:type="pct"/>
            <w:vMerge w:val="continue"/>
            <w:tcBorders>
              <w:tl2br w:val="nil"/>
              <w:tr2bl w:val="nil"/>
            </w:tcBorders>
            <w:vAlign w:val="center"/>
          </w:tcPr>
          <w:p w14:paraId="052C3EA3">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r>
      <w:tr w14:paraId="6A2611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pct"/>
            <w:tcBorders>
              <w:tl2br w:val="nil"/>
              <w:tr2bl w:val="nil"/>
            </w:tcBorders>
            <w:vAlign w:val="center"/>
          </w:tcPr>
          <w:p w14:paraId="09EC3CA7">
            <w:pPr>
              <w:pStyle w:val="37"/>
              <w:widowControl w:val="0"/>
              <w:bidi w:val="0"/>
              <w:ind w:firstLine="0" w:firstLineChars="0"/>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eastAsia="宋体" w:cs="Times New Roman"/>
                <w:color w:val="auto"/>
                <w:sz w:val="21"/>
                <w:szCs w:val="21"/>
                <w:highlight w:val="none"/>
                <w:lang w:val="en-US" w:eastAsia="zh-CN"/>
              </w:rPr>
              <w:t>魏家窝棚屯</w:t>
            </w:r>
          </w:p>
        </w:tc>
        <w:tc>
          <w:tcPr>
            <w:tcW w:w="833" w:type="pct"/>
            <w:tcBorders>
              <w:tl2br w:val="nil"/>
              <w:tr2bl w:val="nil"/>
            </w:tcBorders>
            <w:vAlign w:val="center"/>
          </w:tcPr>
          <w:p w14:paraId="7A24B771">
            <w:pPr>
              <w:pStyle w:val="37"/>
              <w:widowControl w:val="0"/>
              <w:bidi w:val="0"/>
              <w:ind w:firstLine="0" w:firstLineChars="0"/>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cs="Times New Roman"/>
                <w:color w:val="auto"/>
                <w:sz w:val="21"/>
                <w:szCs w:val="21"/>
                <w:highlight w:val="none"/>
                <w:lang w:val="en-US" w:eastAsia="zh-CN"/>
              </w:rPr>
              <w:t>ES2350m</w:t>
            </w:r>
          </w:p>
        </w:tc>
        <w:tc>
          <w:tcPr>
            <w:tcW w:w="833" w:type="pct"/>
            <w:vMerge w:val="continue"/>
            <w:tcBorders>
              <w:tl2br w:val="nil"/>
              <w:tr2bl w:val="nil"/>
            </w:tcBorders>
            <w:vAlign w:val="center"/>
          </w:tcPr>
          <w:p w14:paraId="4C67FECE">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c>
          <w:tcPr>
            <w:tcW w:w="837" w:type="pct"/>
            <w:tcBorders>
              <w:tl2br w:val="nil"/>
              <w:tr2bl w:val="nil"/>
            </w:tcBorders>
            <w:vAlign w:val="center"/>
          </w:tcPr>
          <w:p w14:paraId="78B8DAC0">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eastAsia" w:ascii="Times New Roman" w:hAnsi="Times New Roman" w:eastAsia="宋体" w:cs="Times New Roman"/>
                <w:color w:val="auto"/>
                <w:spacing w:val="0"/>
                <w:position w:val="0"/>
                <w:sz w:val="21"/>
                <w:szCs w:val="21"/>
                <w:vertAlign w:val="baseline"/>
                <w:lang w:val="en-US" w:eastAsia="zh-CN"/>
              </w:rPr>
              <w:t>东至道路，南、北均至农田，西至道路及农田</w:t>
            </w:r>
          </w:p>
        </w:tc>
        <w:tc>
          <w:tcPr>
            <w:tcW w:w="833" w:type="pct"/>
            <w:vMerge w:val="continue"/>
            <w:tcBorders>
              <w:tl2br w:val="nil"/>
              <w:tr2bl w:val="nil"/>
            </w:tcBorders>
            <w:vAlign w:val="center"/>
          </w:tcPr>
          <w:p w14:paraId="112214BA">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c>
          <w:tcPr>
            <w:tcW w:w="833" w:type="pct"/>
            <w:vMerge w:val="continue"/>
            <w:tcBorders>
              <w:tl2br w:val="nil"/>
              <w:tr2bl w:val="nil"/>
            </w:tcBorders>
            <w:vAlign w:val="center"/>
          </w:tcPr>
          <w:p w14:paraId="1E213B50">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r>
      <w:tr w14:paraId="2571AF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pct"/>
            <w:tcBorders>
              <w:tl2br w:val="nil"/>
              <w:tr2bl w:val="nil"/>
            </w:tcBorders>
            <w:vAlign w:val="center"/>
          </w:tcPr>
          <w:p w14:paraId="06D732B6">
            <w:pPr>
              <w:pStyle w:val="37"/>
              <w:widowControl w:val="0"/>
              <w:bidi w:val="0"/>
              <w:ind w:firstLine="0" w:firstLineChars="0"/>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eastAsia="宋体" w:cs="Times New Roman"/>
                <w:color w:val="auto"/>
                <w:sz w:val="21"/>
                <w:szCs w:val="21"/>
                <w:highlight w:val="none"/>
                <w:lang w:val="en-US" w:eastAsia="zh-CN"/>
              </w:rPr>
              <w:t>山根子</w:t>
            </w:r>
          </w:p>
        </w:tc>
        <w:tc>
          <w:tcPr>
            <w:tcW w:w="833" w:type="pct"/>
            <w:tcBorders>
              <w:tl2br w:val="nil"/>
              <w:tr2bl w:val="nil"/>
            </w:tcBorders>
            <w:vAlign w:val="center"/>
          </w:tcPr>
          <w:p w14:paraId="55B0F73C">
            <w:pPr>
              <w:pStyle w:val="37"/>
              <w:widowControl w:val="0"/>
              <w:bidi w:val="0"/>
              <w:ind w:firstLine="0" w:firstLineChars="0"/>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cs="Times New Roman"/>
                <w:color w:val="auto"/>
                <w:sz w:val="21"/>
                <w:szCs w:val="21"/>
                <w:highlight w:val="none"/>
                <w:lang w:val="en-US" w:eastAsia="zh-CN"/>
              </w:rPr>
              <w:t>S2490m</w:t>
            </w:r>
          </w:p>
        </w:tc>
        <w:tc>
          <w:tcPr>
            <w:tcW w:w="833" w:type="pct"/>
            <w:vMerge w:val="continue"/>
            <w:tcBorders>
              <w:tl2br w:val="nil"/>
              <w:tr2bl w:val="nil"/>
            </w:tcBorders>
            <w:vAlign w:val="center"/>
          </w:tcPr>
          <w:p w14:paraId="71B1CD86">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c>
          <w:tcPr>
            <w:tcW w:w="837" w:type="pct"/>
            <w:tcBorders>
              <w:tl2br w:val="nil"/>
              <w:tr2bl w:val="nil"/>
            </w:tcBorders>
            <w:vAlign w:val="center"/>
          </w:tcPr>
          <w:p w14:paraId="2AC34318">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eastAsia" w:ascii="Times New Roman" w:hAnsi="Times New Roman" w:eastAsia="宋体" w:cs="Times New Roman"/>
                <w:color w:val="auto"/>
                <w:spacing w:val="0"/>
                <w:position w:val="0"/>
                <w:sz w:val="21"/>
                <w:szCs w:val="21"/>
                <w:vertAlign w:val="baseline"/>
                <w:lang w:val="en-US" w:eastAsia="zh-CN"/>
              </w:rPr>
              <w:t>东至道路，南、北、西均至农田</w:t>
            </w:r>
          </w:p>
        </w:tc>
        <w:tc>
          <w:tcPr>
            <w:tcW w:w="833" w:type="pct"/>
            <w:vMerge w:val="continue"/>
            <w:tcBorders>
              <w:tl2br w:val="nil"/>
              <w:tr2bl w:val="nil"/>
            </w:tcBorders>
            <w:vAlign w:val="center"/>
          </w:tcPr>
          <w:p w14:paraId="6473FD24">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c>
          <w:tcPr>
            <w:tcW w:w="833" w:type="pct"/>
            <w:vMerge w:val="continue"/>
            <w:tcBorders>
              <w:tl2br w:val="nil"/>
              <w:tr2bl w:val="nil"/>
            </w:tcBorders>
            <w:vAlign w:val="center"/>
          </w:tcPr>
          <w:p w14:paraId="0999EEBA">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r>
      <w:tr w14:paraId="6752CC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pct"/>
            <w:tcBorders>
              <w:tl2br w:val="nil"/>
              <w:tr2bl w:val="nil"/>
            </w:tcBorders>
            <w:vAlign w:val="center"/>
          </w:tcPr>
          <w:p w14:paraId="20511094">
            <w:pPr>
              <w:pStyle w:val="37"/>
              <w:widowControl w:val="0"/>
              <w:bidi w:val="0"/>
              <w:ind w:firstLine="0" w:firstLineChars="0"/>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eastAsia="宋体" w:cs="Times New Roman"/>
                <w:color w:val="auto"/>
                <w:sz w:val="21"/>
                <w:szCs w:val="21"/>
                <w:highlight w:val="none"/>
                <w:lang w:val="en-US" w:eastAsia="zh-CN"/>
              </w:rPr>
              <w:t>荀家窝堡</w:t>
            </w:r>
          </w:p>
        </w:tc>
        <w:tc>
          <w:tcPr>
            <w:tcW w:w="833" w:type="pct"/>
            <w:tcBorders>
              <w:tl2br w:val="nil"/>
              <w:tr2bl w:val="nil"/>
            </w:tcBorders>
            <w:vAlign w:val="center"/>
          </w:tcPr>
          <w:p w14:paraId="040BF125">
            <w:pPr>
              <w:pStyle w:val="37"/>
              <w:widowControl w:val="0"/>
              <w:bidi w:val="0"/>
              <w:ind w:firstLine="0" w:firstLineChars="0"/>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cs="Times New Roman"/>
                <w:color w:val="auto"/>
                <w:sz w:val="21"/>
                <w:szCs w:val="21"/>
                <w:highlight w:val="none"/>
                <w:lang w:val="en-US" w:eastAsia="zh-CN"/>
              </w:rPr>
              <w:t>WS1090m</w:t>
            </w:r>
          </w:p>
        </w:tc>
        <w:tc>
          <w:tcPr>
            <w:tcW w:w="833" w:type="pct"/>
            <w:vMerge w:val="continue"/>
            <w:tcBorders>
              <w:tl2br w:val="nil"/>
              <w:tr2bl w:val="nil"/>
            </w:tcBorders>
            <w:vAlign w:val="center"/>
          </w:tcPr>
          <w:p w14:paraId="2AE3E2A9">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c>
          <w:tcPr>
            <w:tcW w:w="837" w:type="pct"/>
            <w:tcBorders>
              <w:tl2br w:val="nil"/>
              <w:tr2bl w:val="nil"/>
            </w:tcBorders>
            <w:vAlign w:val="center"/>
          </w:tcPr>
          <w:p w14:paraId="71D1C77E">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eastAsia="宋体" w:cs="Times New Roman"/>
                <w:snapToGrid w:val="0"/>
                <w:color w:val="auto"/>
                <w:spacing w:val="0"/>
                <w:kern w:val="0"/>
                <w:position w:val="0"/>
                <w:sz w:val="21"/>
                <w:szCs w:val="21"/>
                <w:vertAlign w:val="baseline"/>
                <w:lang w:val="en-US" w:eastAsia="zh-CN" w:bidi="ar-SA"/>
              </w:rPr>
              <w:t>周边四至均为农田</w:t>
            </w:r>
          </w:p>
        </w:tc>
        <w:tc>
          <w:tcPr>
            <w:tcW w:w="833" w:type="pct"/>
            <w:vMerge w:val="continue"/>
            <w:tcBorders>
              <w:tl2br w:val="nil"/>
              <w:tr2bl w:val="nil"/>
            </w:tcBorders>
            <w:vAlign w:val="center"/>
          </w:tcPr>
          <w:p w14:paraId="7FC2F1A5">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c>
          <w:tcPr>
            <w:tcW w:w="833" w:type="pct"/>
            <w:vMerge w:val="continue"/>
            <w:tcBorders>
              <w:tl2br w:val="nil"/>
              <w:tr2bl w:val="nil"/>
            </w:tcBorders>
            <w:vAlign w:val="center"/>
          </w:tcPr>
          <w:p w14:paraId="78AFBA36">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r>
      <w:tr w14:paraId="1587CA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pct"/>
            <w:tcBorders>
              <w:tl2br w:val="nil"/>
              <w:tr2bl w:val="nil"/>
            </w:tcBorders>
            <w:vAlign w:val="center"/>
          </w:tcPr>
          <w:p w14:paraId="351CEF04">
            <w:pPr>
              <w:pStyle w:val="37"/>
              <w:widowControl w:val="0"/>
              <w:bidi w:val="0"/>
              <w:ind w:firstLine="0" w:firstLineChars="0"/>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eastAsia="宋体" w:cs="Times New Roman"/>
                <w:color w:val="auto"/>
                <w:sz w:val="21"/>
                <w:szCs w:val="21"/>
                <w:highlight w:val="none"/>
                <w:lang w:val="en-US" w:eastAsia="zh-CN"/>
              </w:rPr>
              <w:t>赵家窝堡</w:t>
            </w:r>
          </w:p>
        </w:tc>
        <w:tc>
          <w:tcPr>
            <w:tcW w:w="833" w:type="pct"/>
            <w:tcBorders>
              <w:tl2br w:val="nil"/>
              <w:tr2bl w:val="nil"/>
            </w:tcBorders>
            <w:vAlign w:val="center"/>
          </w:tcPr>
          <w:p w14:paraId="1A8D7F04">
            <w:pPr>
              <w:pStyle w:val="37"/>
              <w:widowControl w:val="0"/>
              <w:bidi w:val="0"/>
              <w:ind w:firstLine="0" w:firstLineChars="0"/>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cs="Times New Roman"/>
                <w:color w:val="auto"/>
                <w:sz w:val="21"/>
                <w:szCs w:val="21"/>
                <w:highlight w:val="none"/>
                <w:lang w:val="en-US" w:eastAsia="zh-CN"/>
              </w:rPr>
              <w:t>W2270m</w:t>
            </w:r>
          </w:p>
        </w:tc>
        <w:tc>
          <w:tcPr>
            <w:tcW w:w="833" w:type="pct"/>
            <w:vMerge w:val="continue"/>
            <w:tcBorders>
              <w:tl2br w:val="nil"/>
              <w:tr2bl w:val="nil"/>
            </w:tcBorders>
            <w:vAlign w:val="center"/>
          </w:tcPr>
          <w:p w14:paraId="1E77E9C5">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c>
          <w:tcPr>
            <w:tcW w:w="837" w:type="pct"/>
            <w:tcBorders>
              <w:tl2br w:val="nil"/>
              <w:tr2bl w:val="nil"/>
            </w:tcBorders>
            <w:vAlign w:val="center"/>
          </w:tcPr>
          <w:p w14:paraId="468CDD9C">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eastAsia="宋体" w:cs="Times New Roman"/>
                <w:color w:val="auto"/>
                <w:spacing w:val="0"/>
                <w:position w:val="0"/>
                <w:sz w:val="21"/>
                <w:szCs w:val="21"/>
                <w:vertAlign w:val="baseline"/>
                <w:lang w:val="en-US" w:eastAsia="zh-CN"/>
              </w:rPr>
              <w:t>东至道路，南、北、西均至农田</w:t>
            </w:r>
          </w:p>
        </w:tc>
        <w:tc>
          <w:tcPr>
            <w:tcW w:w="833" w:type="pct"/>
            <w:vMerge w:val="continue"/>
            <w:tcBorders>
              <w:tl2br w:val="nil"/>
              <w:tr2bl w:val="nil"/>
            </w:tcBorders>
            <w:vAlign w:val="center"/>
          </w:tcPr>
          <w:p w14:paraId="5B8D01F3">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c>
          <w:tcPr>
            <w:tcW w:w="833" w:type="pct"/>
            <w:vMerge w:val="continue"/>
            <w:tcBorders>
              <w:tl2br w:val="nil"/>
              <w:tr2bl w:val="nil"/>
            </w:tcBorders>
            <w:vAlign w:val="center"/>
          </w:tcPr>
          <w:p w14:paraId="34564CC2">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r>
      <w:tr w14:paraId="4CCD00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pct"/>
            <w:tcBorders>
              <w:tl2br w:val="nil"/>
              <w:tr2bl w:val="nil"/>
            </w:tcBorders>
            <w:vAlign w:val="center"/>
          </w:tcPr>
          <w:p w14:paraId="5212E382">
            <w:pPr>
              <w:pStyle w:val="37"/>
              <w:widowControl w:val="0"/>
              <w:bidi w:val="0"/>
              <w:ind w:firstLine="0" w:firstLineChars="0"/>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eastAsia="宋体" w:cs="Times New Roman"/>
                <w:color w:val="auto"/>
                <w:sz w:val="21"/>
                <w:szCs w:val="21"/>
                <w:highlight w:val="none"/>
                <w:lang w:val="en-US" w:eastAsia="zh-CN"/>
              </w:rPr>
              <w:t>马家窝堡</w:t>
            </w:r>
          </w:p>
        </w:tc>
        <w:tc>
          <w:tcPr>
            <w:tcW w:w="833" w:type="pct"/>
            <w:tcBorders>
              <w:tl2br w:val="nil"/>
              <w:tr2bl w:val="nil"/>
            </w:tcBorders>
            <w:vAlign w:val="center"/>
          </w:tcPr>
          <w:p w14:paraId="566E8291">
            <w:pPr>
              <w:pStyle w:val="37"/>
              <w:widowControl w:val="0"/>
              <w:bidi w:val="0"/>
              <w:ind w:firstLine="0" w:firstLineChars="0"/>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cs="Times New Roman"/>
                <w:color w:val="auto"/>
                <w:sz w:val="21"/>
                <w:szCs w:val="21"/>
                <w:highlight w:val="none"/>
                <w:lang w:val="en-US" w:eastAsia="zh-CN"/>
              </w:rPr>
              <w:t>WN1780m</w:t>
            </w:r>
          </w:p>
        </w:tc>
        <w:tc>
          <w:tcPr>
            <w:tcW w:w="833" w:type="pct"/>
            <w:vMerge w:val="continue"/>
            <w:tcBorders>
              <w:tl2br w:val="nil"/>
              <w:tr2bl w:val="nil"/>
            </w:tcBorders>
            <w:vAlign w:val="center"/>
          </w:tcPr>
          <w:p w14:paraId="74037673">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c>
          <w:tcPr>
            <w:tcW w:w="837" w:type="pct"/>
            <w:tcBorders>
              <w:tl2br w:val="nil"/>
              <w:tr2bl w:val="nil"/>
            </w:tcBorders>
            <w:vAlign w:val="center"/>
          </w:tcPr>
          <w:p w14:paraId="70EB70A1">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eastAsia="宋体" w:cs="Times New Roman"/>
                <w:snapToGrid w:val="0"/>
                <w:color w:val="auto"/>
                <w:spacing w:val="0"/>
                <w:kern w:val="0"/>
                <w:position w:val="0"/>
                <w:sz w:val="21"/>
                <w:szCs w:val="21"/>
                <w:vertAlign w:val="baseline"/>
                <w:lang w:val="en-US" w:eastAsia="zh-CN" w:bidi="ar-SA"/>
              </w:rPr>
              <w:t>周边四至均为农田</w:t>
            </w:r>
          </w:p>
        </w:tc>
        <w:tc>
          <w:tcPr>
            <w:tcW w:w="833" w:type="pct"/>
            <w:vMerge w:val="continue"/>
            <w:tcBorders>
              <w:tl2br w:val="nil"/>
              <w:tr2bl w:val="nil"/>
            </w:tcBorders>
            <w:vAlign w:val="center"/>
          </w:tcPr>
          <w:p w14:paraId="558896C5">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c>
          <w:tcPr>
            <w:tcW w:w="833" w:type="pct"/>
            <w:vMerge w:val="continue"/>
            <w:tcBorders>
              <w:tl2br w:val="nil"/>
              <w:tr2bl w:val="nil"/>
            </w:tcBorders>
            <w:vAlign w:val="center"/>
          </w:tcPr>
          <w:p w14:paraId="6C00F59F">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r>
      <w:tr w14:paraId="3B8ABC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pct"/>
            <w:tcBorders>
              <w:tl2br w:val="nil"/>
              <w:tr2bl w:val="nil"/>
            </w:tcBorders>
            <w:vAlign w:val="center"/>
          </w:tcPr>
          <w:p w14:paraId="404C5C73">
            <w:pPr>
              <w:pStyle w:val="37"/>
              <w:widowControl w:val="0"/>
              <w:bidi w:val="0"/>
              <w:ind w:firstLine="0" w:firstLineChars="0"/>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eastAsia="宋体" w:cs="Times New Roman"/>
                <w:color w:val="auto"/>
                <w:sz w:val="21"/>
                <w:szCs w:val="21"/>
                <w:highlight w:val="none"/>
                <w:lang w:val="en-US" w:eastAsia="zh-CN"/>
              </w:rPr>
              <w:t>苏家屯</w:t>
            </w:r>
          </w:p>
        </w:tc>
        <w:tc>
          <w:tcPr>
            <w:tcW w:w="833" w:type="pct"/>
            <w:tcBorders>
              <w:tl2br w:val="nil"/>
              <w:tr2bl w:val="nil"/>
            </w:tcBorders>
            <w:vAlign w:val="center"/>
          </w:tcPr>
          <w:p w14:paraId="39B5615A">
            <w:pPr>
              <w:pStyle w:val="37"/>
              <w:widowControl w:val="0"/>
              <w:bidi w:val="0"/>
              <w:ind w:firstLine="0" w:firstLineChars="0"/>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cs="Times New Roman"/>
                <w:color w:val="auto"/>
                <w:sz w:val="21"/>
                <w:szCs w:val="21"/>
                <w:highlight w:val="none"/>
                <w:lang w:val="en-US" w:eastAsia="zh-CN"/>
              </w:rPr>
              <w:t>WN1320m</w:t>
            </w:r>
          </w:p>
        </w:tc>
        <w:tc>
          <w:tcPr>
            <w:tcW w:w="833" w:type="pct"/>
            <w:vMerge w:val="continue"/>
            <w:tcBorders>
              <w:tl2br w:val="nil"/>
              <w:tr2bl w:val="nil"/>
            </w:tcBorders>
            <w:vAlign w:val="center"/>
          </w:tcPr>
          <w:p w14:paraId="04D1C41B">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c>
          <w:tcPr>
            <w:tcW w:w="837" w:type="pct"/>
            <w:tcBorders>
              <w:tl2br w:val="nil"/>
              <w:tr2bl w:val="nil"/>
            </w:tcBorders>
            <w:vAlign w:val="center"/>
          </w:tcPr>
          <w:p w14:paraId="39ED3316">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r>
              <w:rPr>
                <w:rFonts w:hint="eastAsia" w:ascii="Times New Roman" w:hAnsi="Times New Roman" w:eastAsia="宋体" w:cs="Times New Roman"/>
                <w:color w:val="auto"/>
                <w:spacing w:val="0"/>
                <w:position w:val="0"/>
                <w:sz w:val="21"/>
                <w:szCs w:val="21"/>
                <w:vertAlign w:val="baseline"/>
                <w:lang w:val="en-US" w:eastAsia="zh-CN"/>
              </w:rPr>
              <w:t>东至道路，南、北、西均至农田</w:t>
            </w:r>
          </w:p>
        </w:tc>
        <w:tc>
          <w:tcPr>
            <w:tcW w:w="833" w:type="pct"/>
            <w:vMerge w:val="continue"/>
            <w:tcBorders>
              <w:tl2br w:val="nil"/>
              <w:tr2bl w:val="nil"/>
            </w:tcBorders>
            <w:vAlign w:val="center"/>
          </w:tcPr>
          <w:p w14:paraId="05088491">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c>
          <w:tcPr>
            <w:tcW w:w="833" w:type="pct"/>
            <w:vMerge w:val="continue"/>
            <w:tcBorders>
              <w:tl2br w:val="nil"/>
              <w:tr2bl w:val="nil"/>
            </w:tcBorders>
            <w:vAlign w:val="center"/>
          </w:tcPr>
          <w:p w14:paraId="29CDED56">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rPr>
            </w:pPr>
          </w:p>
        </w:tc>
      </w:tr>
      <w:tr w14:paraId="78EDF4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28" w:type="pct"/>
            <w:tcBorders>
              <w:tl2br w:val="nil"/>
              <w:tr2bl w:val="nil"/>
            </w:tcBorders>
            <w:vAlign w:val="center"/>
          </w:tcPr>
          <w:p w14:paraId="6DA08623">
            <w:pPr>
              <w:pStyle w:val="37"/>
              <w:widowControl w:val="0"/>
              <w:bidi w:val="0"/>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农田</w:t>
            </w:r>
          </w:p>
        </w:tc>
        <w:tc>
          <w:tcPr>
            <w:tcW w:w="2504" w:type="pct"/>
            <w:gridSpan w:val="3"/>
            <w:tcBorders>
              <w:tl2br w:val="nil"/>
              <w:tr2bl w:val="nil"/>
            </w:tcBorders>
            <w:vAlign w:val="center"/>
          </w:tcPr>
          <w:p w14:paraId="34F69F94">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0"/>
                <w:position w:val="0"/>
                <w:sz w:val="21"/>
                <w:szCs w:val="21"/>
                <w:vertAlign w:val="baseline"/>
                <w:lang w:val="en-US" w:eastAsia="zh-CN"/>
              </w:rPr>
            </w:pPr>
            <w:r>
              <w:rPr>
                <w:rFonts w:hint="eastAsia" w:ascii="Times New Roman" w:hAnsi="Times New Roman" w:eastAsia="宋体" w:cs="Times New Roman"/>
                <w:color w:val="auto"/>
                <w:spacing w:val="0"/>
                <w:position w:val="0"/>
                <w:sz w:val="21"/>
                <w:szCs w:val="21"/>
                <w:vertAlign w:val="baseline"/>
                <w:lang w:val="en-US" w:eastAsia="zh-CN"/>
              </w:rPr>
              <w:t>厂外200m范围内</w:t>
            </w:r>
          </w:p>
        </w:tc>
        <w:tc>
          <w:tcPr>
            <w:tcW w:w="833" w:type="pct"/>
            <w:tcBorders>
              <w:tl2br w:val="nil"/>
              <w:tr2bl w:val="nil"/>
            </w:tcBorders>
            <w:vAlign w:val="center"/>
          </w:tcPr>
          <w:p w14:paraId="3C9DA880">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0"/>
                <w:position w:val="0"/>
                <w:sz w:val="21"/>
                <w:szCs w:val="21"/>
                <w:vertAlign w:val="baseline"/>
                <w:lang w:val="en-US" w:eastAsia="zh-CN"/>
              </w:rPr>
            </w:pPr>
            <w:r>
              <w:rPr>
                <w:rFonts w:hint="eastAsia" w:ascii="Times New Roman" w:hAnsi="Times New Roman" w:eastAsia="宋体" w:cs="Times New Roman"/>
                <w:color w:val="auto"/>
                <w:spacing w:val="0"/>
                <w:position w:val="0"/>
                <w:sz w:val="21"/>
                <w:szCs w:val="21"/>
                <w:vertAlign w:val="baseline"/>
                <w:lang w:val="en-US" w:eastAsia="zh-CN"/>
              </w:rPr>
              <w:t>生态系统</w:t>
            </w:r>
          </w:p>
        </w:tc>
        <w:tc>
          <w:tcPr>
            <w:tcW w:w="833" w:type="pct"/>
            <w:tcBorders>
              <w:tl2br w:val="nil"/>
              <w:tr2bl w:val="nil"/>
            </w:tcBorders>
            <w:vAlign w:val="center"/>
          </w:tcPr>
          <w:p w14:paraId="7D76E152">
            <w:pPr>
              <w:keepNext w:val="0"/>
              <w:keepLines w:val="0"/>
              <w:pageBreakBefore w:val="0"/>
              <w:widowControl w:val="0"/>
              <w:tabs>
                <w:tab w:val="left" w:leader="middleDot" w:pos="0"/>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0"/>
                <w:position w:val="0"/>
                <w:sz w:val="21"/>
                <w:szCs w:val="21"/>
                <w:vertAlign w:val="baseline"/>
                <w:lang w:val="en-US" w:eastAsia="zh-CN"/>
              </w:rPr>
            </w:pPr>
            <w:r>
              <w:rPr>
                <w:rFonts w:hint="eastAsia" w:ascii="Times New Roman" w:hAnsi="Times New Roman" w:eastAsia="宋体" w:cs="Times New Roman"/>
                <w:color w:val="auto"/>
                <w:spacing w:val="0"/>
                <w:position w:val="0"/>
                <w:sz w:val="21"/>
                <w:szCs w:val="21"/>
                <w:vertAlign w:val="baseline"/>
                <w:lang w:val="en-US" w:eastAsia="zh-CN"/>
              </w:rPr>
              <w:t>/</w:t>
            </w:r>
          </w:p>
        </w:tc>
      </w:tr>
    </w:tbl>
    <w:p w14:paraId="0C52EC9A">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6"/>
          <w:sz w:val="32"/>
          <w:szCs w:val="32"/>
          <w:highlight w:val="magenta"/>
          <w:lang w:val="en-US" w:eastAsia="zh-CN"/>
        </w:rPr>
      </w:pPr>
      <w:bookmarkStart w:id="48" w:name="_Toc10446"/>
      <w:r>
        <w:rPr>
          <w:rFonts w:hint="eastAsia" w:ascii="Times New Roman" w:hAnsi="Times New Roman" w:eastAsia="微软雅黑" w:cs="Times New Roman"/>
          <w:color w:val="auto"/>
          <w:spacing w:val="6"/>
          <w:sz w:val="32"/>
          <w:szCs w:val="32"/>
          <w:lang w:val="en-US" w:eastAsia="zh-CN"/>
        </w:rPr>
        <w:t>4</w:t>
      </w:r>
      <w:r>
        <w:rPr>
          <w:rFonts w:hint="default" w:ascii="Times New Roman" w:hAnsi="Times New Roman" w:eastAsia="微软雅黑" w:cs="Times New Roman"/>
          <w:color w:val="auto"/>
          <w:spacing w:val="6"/>
          <w:sz w:val="32"/>
          <w:szCs w:val="32"/>
          <w:lang w:val="en-US" w:eastAsia="zh-CN"/>
        </w:rPr>
        <w:t>.</w:t>
      </w:r>
      <w:r>
        <w:rPr>
          <w:rFonts w:hint="eastAsia" w:ascii="Times New Roman" w:hAnsi="Times New Roman" w:eastAsia="微软雅黑" w:cs="Times New Roman"/>
          <w:color w:val="auto"/>
          <w:spacing w:val="6"/>
          <w:sz w:val="32"/>
          <w:szCs w:val="32"/>
          <w:lang w:val="en-US" w:eastAsia="zh-CN"/>
        </w:rPr>
        <w:t>4</w:t>
      </w:r>
      <w:r>
        <w:rPr>
          <w:rFonts w:hint="default" w:ascii="Times New Roman" w:hAnsi="Times New Roman" w:eastAsia="微软雅黑" w:cs="Times New Roman"/>
          <w:color w:val="auto"/>
          <w:spacing w:val="6"/>
          <w:sz w:val="32"/>
          <w:szCs w:val="32"/>
          <w:lang w:val="en-US" w:eastAsia="zh-CN"/>
        </w:rPr>
        <w:t xml:space="preserve"> 区域污染源调查</w:t>
      </w:r>
      <w:bookmarkEnd w:id="48"/>
    </w:p>
    <w:p w14:paraId="0E2D0E01">
      <w:pPr>
        <w:keepNext w:val="0"/>
        <w:keepLines w:val="0"/>
        <w:pageBreakBefore w:val="0"/>
        <w:wordWrap/>
        <w:overflowPunct/>
        <w:topLinePunct w:val="0"/>
        <w:autoSpaceDE w:val="0"/>
        <w:autoSpaceDN w:val="0"/>
        <w:bidi w:val="0"/>
        <w:adjustRightInd w:val="0"/>
        <w:spacing w:line="360" w:lineRule="auto"/>
        <w:ind w:firstLine="480" w:firstLineChars="200"/>
        <w:textAlignment w:val="baseline"/>
        <w:rPr>
          <w:rFonts w:hint="eastAsia" w:ascii="Times New Roman" w:hAnsi="Times New Roman" w:eastAsia="宋体" w:cs="Times New Roman"/>
          <w:snapToGrid w:val="0"/>
          <w:color w:val="auto"/>
          <w:kern w:val="0"/>
          <w:sz w:val="24"/>
          <w:szCs w:val="24"/>
          <w:lang w:val="en-US" w:eastAsia="zh-CN" w:bidi="ar"/>
        </w:rPr>
      </w:pPr>
      <w:r>
        <w:rPr>
          <w:rFonts w:hint="eastAsia" w:ascii="Times New Roman" w:hAnsi="Times New Roman" w:eastAsia="宋体" w:cs="Times New Roman"/>
          <w:snapToGrid w:val="0"/>
          <w:color w:val="auto"/>
          <w:kern w:val="0"/>
          <w:sz w:val="24"/>
          <w:szCs w:val="24"/>
          <w:lang w:val="en-US" w:eastAsia="zh-CN" w:bidi="ar"/>
        </w:rPr>
        <w:t>根据《建设项目环境影响评价技术导则  总纲》（HJ2.1-2016），选择建设项目常规污染因子和特征污染因子、影响评价区环境质量的主要污染因子和特殊污染因子作为主要调查对象，注意不同污染源的分类调查。</w:t>
      </w:r>
    </w:p>
    <w:p w14:paraId="5D72F44A">
      <w:pPr>
        <w:pStyle w:val="85"/>
        <w:keepNext w:val="0"/>
        <w:keepLines w:val="0"/>
        <w:pageBreakBefore w:val="0"/>
        <w:wordWrap/>
        <w:overflowPunct/>
        <w:topLinePunct w:val="0"/>
        <w:autoSpaceDE w:val="0"/>
        <w:autoSpaceDN w:val="0"/>
        <w:bidi w:val="0"/>
        <w:adjustRightInd w:val="0"/>
        <w:spacing w:before="0" w:line="360" w:lineRule="auto"/>
        <w:ind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本项目评价范围内现有工业企业主要为哈尔滨振飞科技工业有限公司、哈尔滨琦艺包装印刷有限公司、哈尔滨亚泰矿产再生资源有限公司</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哈尔滨松鹤制药有限公司</w:t>
      </w:r>
      <w:r>
        <w:rPr>
          <w:rFonts w:hint="eastAsia" w:ascii="Times New Roman" w:hAnsi="Times New Roman" w:eastAsia="宋体" w:cs="Times New Roman"/>
          <w:snapToGrid w:val="0"/>
          <w:color w:val="auto"/>
          <w:kern w:val="0"/>
          <w:sz w:val="24"/>
          <w:szCs w:val="24"/>
          <w:lang w:val="en-US" w:eastAsia="zh-CN" w:bidi="ar"/>
        </w:rPr>
        <w:t>、哈尔滨金迪铝业有限公司、黑龙江龙泰节能建材科技有限公司等</w:t>
      </w:r>
      <w:r>
        <w:rPr>
          <w:rFonts w:hint="default" w:ascii="Times New Roman" w:hAnsi="Times New Roman" w:eastAsia="宋体" w:cs="Times New Roman"/>
          <w:snapToGrid w:val="0"/>
          <w:color w:val="auto"/>
          <w:kern w:val="0"/>
          <w:sz w:val="24"/>
          <w:szCs w:val="24"/>
          <w:lang w:val="en-US" w:eastAsia="zh-CN" w:bidi="ar"/>
        </w:rPr>
        <w:t>。本项目区域污染源调查如下</w:t>
      </w:r>
      <w:r>
        <w:rPr>
          <w:rFonts w:hint="eastAsia" w:ascii="Times New Roman" w:hAnsi="Times New Roman" w:eastAsia="宋体" w:cs="Times New Roman"/>
          <w:snapToGrid w:val="0"/>
          <w:color w:val="auto"/>
          <w:kern w:val="0"/>
          <w:sz w:val="24"/>
          <w:szCs w:val="24"/>
          <w:lang w:val="en-US" w:eastAsia="zh-CN" w:bidi="ar"/>
        </w:rPr>
        <w:t>：</w:t>
      </w:r>
    </w:p>
    <w:p w14:paraId="1EB35419">
      <w:pPr>
        <w:pStyle w:val="85"/>
        <w:keepNext w:val="0"/>
        <w:keepLines w:val="0"/>
        <w:pageBreakBefore w:val="0"/>
        <w:wordWrap/>
        <w:overflowPunct/>
        <w:topLinePunct w:val="0"/>
        <w:autoSpaceDE w:val="0"/>
        <w:autoSpaceDN w:val="0"/>
        <w:bidi w:val="0"/>
        <w:adjustRightInd w:val="0"/>
        <w:spacing w:before="0" w:line="360" w:lineRule="auto"/>
        <w:ind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
        </w:rPr>
      </w:pPr>
      <w:r>
        <w:rPr>
          <w:rFonts w:hint="eastAsia" w:ascii="Times New Roman" w:hAnsi="Times New Roman" w:eastAsia="宋体" w:cs="Times New Roman"/>
          <w:snapToGrid w:val="0"/>
          <w:color w:val="auto"/>
          <w:kern w:val="0"/>
          <w:sz w:val="24"/>
          <w:szCs w:val="24"/>
          <w:lang w:val="en-US" w:eastAsia="zh-CN" w:bidi="ar"/>
        </w:rPr>
        <w:t>（1）</w:t>
      </w:r>
      <w:r>
        <w:rPr>
          <w:rFonts w:hint="default" w:ascii="Times New Roman" w:hAnsi="Times New Roman" w:eastAsia="宋体" w:cs="Times New Roman"/>
          <w:snapToGrid w:val="0"/>
          <w:color w:val="auto"/>
          <w:kern w:val="0"/>
          <w:sz w:val="24"/>
          <w:szCs w:val="24"/>
          <w:lang w:val="en-US" w:eastAsia="zh-CN" w:bidi="ar"/>
        </w:rPr>
        <w:t>大气污染源</w:t>
      </w:r>
    </w:p>
    <w:p w14:paraId="3017FB1F">
      <w:pPr>
        <w:pStyle w:val="85"/>
        <w:keepNext w:val="0"/>
        <w:keepLines w:val="0"/>
        <w:pageBreakBefore w:val="0"/>
        <w:wordWrap/>
        <w:overflowPunct/>
        <w:topLinePunct w:val="0"/>
        <w:autoSpaceDE w:val="0"/>
        <w:autoSpaceDN w:val="0"/>
        <w:bidi w:val="0"/>
        <w:adjustRightInd w:val="0"/>
        <w:spacing w:before="0" w:line="360" w:lineRule="auto"/>
        <w:ind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①企业职工生活</w:t>
      </w:r>
    </w:p>
    <w:p w14:paraId="260A680E">
      <w:pPr>
        <w:pStyle w:val="85"/>
        <w:keepNext w:val="0"/>
        <w:keepLines w:val="0"/>
        <w:pageBreakBefore w:val="0"/>
        <w:wordWrap/>
        <w:overflowPunct/>
        <w:topLinePunct w:val="0"/>
        <w:autoSpaceDE w:val="0"/>
        <w:autoSpaceDN w:val="0"/>
        <w:bidi w:val="0"/>
        <w:adjustRightInd w:val="0"/>
        <w:spacing w:before="0" w:line="360" w:lineRule="auto"/>
        <w:ind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企业职工食堂产生的餐饮油烟等。</w:t>
      </w:r>
    </w:p>
    <w:p w14:paraId="1DF05D27">
      <w:pPr>
        <w:pStyle w:val="85"/>
        <w:keepNext w:val="0"/>
        <w:keepLines w:val="0"/>
        <w:pageBreakBefore w:val="0"/>
        <w:wordWrap/>
        <w:overflowPunct/>
        <w:topLinePunct w:val="0"/>
        <w:autoSpaceDE w:val="0"/>
        <w:autoSpaceDN w:val="0"/>
        <w:bidi w:val="0"/>
        <w:adjustRightInd w:val="0"/>
        <w:spacing w:before="0" w:line="360" w:lineRule="auto"/>
        <w:ind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②工业废气</w:t>
      </w:r>
    </w:p>
    <w:p w14:paraId="7EF80E99">
      <w:pPr>
        <w:pStyle w:val="85"/>
        <w:keepNext w:val="0"/>
        <w:keepLines w:val="0"/>
        <w:pageBreakBefore w:val="0"/>
        <w:wordWrap/>
        <w:overflowPunct/>
        <w:topLinePunct w:val="0"/>
        <w:autoSpaceDE w:val="0"/>
        <w:autoSpaceDN w:val="0"/>
        <w:bidi w:val="0"/>
        <w:adjustRightInd w:val="0"/>
        <w:spacing w:before="0" w:line="360" w:lineRule="auto"/>
        <w:ind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主要包括各企业的锅炉烟气、工艺废气和工业粉尘。产生的废气污染物主要包括SO、NOx、烟尘、非甲烷总烃</w:t>
      </w:r>
      <w:r>
        <w:rPr>
          <w:rFonts w:hint="eastAsia" w:ascii="Times New Roman" w:hAnsi="Times New Roman" w:eastAsia="宋体" w:cs="Times New Roman"/>
          <w:snapToGrid w:val="0"/>
          <w:color w:val="auto"/>
          <w:kern w:val="0"/>
          <w:sz w:val="24"/>
          <w:szCs w:val="24"/>
          <w:lang w:val="en-US" w:eastAsia="zh-CN" w:bidi="ar"/>
        </w:rPr>
        <w:t>、颗粒物</w:t>
      </w:r>
      <w:r>
        <w:rPr>
          <w:rFonts w:hint="default" w:ascii="Times New Roman" w:hAnsi="Times New Roman" w:eastAsia="宋体" w:cs="Times New Roman"/>
          <w:snapToGrid w:val="0"/>
          <w:color w:val="auto"/>
          <w:kern w:val="0"/>
          <w:sz w:val="24"/>
          <w:szCs w:val="24"/>
          <w:lang w:val="en-US" w:eastAsia="zh-CN" w:bidi="ar"/>
        </w:rPr>
        <w:t>等。</w:t>
      </w:r>
    </w:p>
    <w:p w14:paraId="394E3C29">
      <w:pPr>
        <w:pStyle w:val="85"/>
        <w:keepNext w:val="0"/>
        <w:keepLines w:val="0"/>
        <w:pageBreakBefore w:val="0"/>
        <w:wordWrap/>
        <w:overflowPunct/>
        <w:topLinePunct w:val="0"/>
        <w:autoSpaceDE w:val="0"/>
        <w:autoSpaceDN w:val="0"/>
        <w:bidi w:val="0"/>
        <w:adjustRightInd w:val="0"/>
        <w:spacing w:before="0" w:line="360" w:lineRule="auto"/>
        <w:ind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③汽车尾气</w:t>
      </w:r>
    </w:p>
    <w:p w14:paraId="2904022E">
      <w:pPr>
        <w:pStyle w:val="85"/>
        <w:keepNext w:val="0"/>
        <w:keepLines w:val="0"/>
        <w:pageBreakBefore w:val="0"/>
        <w:wordWrap/>
        <w:overflowPunct/>
        <w:topLinePunct w:val="0"/>
        <w:autoSpaceDE w:val="0"/>
        <w:autoSpaceDN w:val="0"/>
        <w:bidi w:val="0"/>
        <w:adjustRightInd w:val="0"/>
        <w:spacing w:before="0" w:line="360" w:lineRule="auto"/>
        <w:ind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由于项目区的开发建设导致区内车辆、交通量增加，导致排放尾气增多，主要特征污染物为CO、NOx和碳氢化合物，属于流动源。</w:t>
      </w:r>
    </w:p>
    <w:p w14:paraId="40013AAA">
      <w:pPr>
        <w:pStyle w:val="32"/>
        <w:keepNext w:val="0"/>
        <w:keepLines w:val="0"/>
        <w:pageBreakBefore w:val="0"/>
        <w:wordWrap/>
        <w:overflowPunct/>
        <w:topLinePunct w:val="0"/>
        <w:autoSpaceDE w:val="0"/>
        <w:autoSpaceDN w:val="0"/>
        <w:bidi w:val="0"/>
        <w:adjustRightIn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主要废气污染源为燃料燃烧产生废气、工业能源废气、入区企业的工艺废气和锅炉产生的废气等</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主要污染因子以工业粉尘、挥发性有机物、烟尘、SO、NOx以及其他工艺废气为主。</w:t>
      </w:r>
    </w:p>
    <w:p w14:paraId="1449FDCC">
      <w:pPr>
        <w:pStyle w:val="32"/>
        <w:keepNext w:val="0"/>
        <w:keepLines w:val="0"/>
        <w:pageBreakBefore w:val="0"/>
        <w:wordWrap/>
        <w:overflowPunct/>
        <w:topLinePunct w:val="0"/>
        <w:autoSpaceDE w:val="0"/>
        <w:autoSpaceDN w:val="0"/>
        <w:bidi w:val="0"/>
        <w:adjustRightIn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废水污染源调查</w:t>
      </w:r>
    </w:p>
    <w:p w14:paraId="4B81B29D">
      <w:pPr>
        <w:pStyle w:val="32"/>
        <w:keepNext w:val="0"/>
        <w:keepLines w:val="0"/>
        <w:pageBreakBefore w:val="0"/>
        <w:wordWrap/>
        <w:overflowPunct/>
        <w:topLinePunct w:val="0"/>
        <w:autoSpaceDE w:val="0"/>
        <w:autoSpaceDN w:val="0"/>
        <w:bidi w:val="0"/>
        <w:adjustRightIn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①生活污水污染源</w:t>
      </w:r>
    </w:p>
    <w:p w14:paraId="02E52C93">
      <w:pPr>
        <w:pStyle w:val="32"/>
        <w:keepNext w:val="0"/>
        <w:keepLines w:val="0"/>
        <w:pageBreakBefore w:val="0"/>
        <w:wordWrap/>
        <w:overflowPunct/>
        <w:topLinePunct w:val="0"/>
        <w:autoSpaceDE w:val="0"/>
        <w:autoSpaceDN w:val="0"/>
        <w:bidi w:val="0"/>
        <w:adjustRightIn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区域生活污水污染源主要来源于办公设施、大型服务设施等，对应于该区土地利用规划布局，其主要生活污水污染源分布在企业、行政办公用地区、综合公共设施用地区，其污染物主要为COD、BOD</w:t>
      </w:r>
      <w:r>
        <w:rPr>
          <w:rFonts w:hint="eastAsia" w:ascii="Times New Roman" w:hAnsi="Times New Roman" w:eastAsia="宋体" w:cs="Times New Roman"/>
          <w:color w:val="auto"/>
          <w:sz w:val="24"/>
          <w:szCs w:val="24"/>
          <w:vertAlign w:val="subscript"/>
          <w:lang w:val="en-US" w:eastAsia="zh-CN"/>
        </w:rPr>
        <w:t>5</w:t>
      </w:r>
      <w:r>
        <w:rPr>
          <w:rFonts w:hint="default" w:ascii="Times New Roman" w:hAnsi="Times New Roman" w:eastAsia="宋体" w:cs="Times New Roman"/>
          <w:color w:val="auto"/>
          <w:sz w:val="24"/>
          <w:szCs w:val="24"/>
          <w:lang w:val="en-US" w:eastAsia="zh-CN"/>
        </w:rPr>
        <w:t>、SS、NH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N等。</w:t>
      </w:r>
    </w:p>
    <w:p w14:paraId="45D5CC20">
      <w:pPr>
        <w:pStyle w:val="32"/>
        <w:keepNext w:val="0"/>
        <w:keepLines w:val="0"/>
        <w:pageBreakBefore w:val="0"/>
        <w:wordWrap/>
        <w:overflowPunct/>
        <w:topLinePunct w:val="0"/>
        <w:autoSpaceDE w:val="0"/>
        <w:autoSpaceDN w:val="0"/>
        <w:bidi w:val="0"/>
        <w:adjustRightIn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②工业污水污染源</w:t>
      </w:r>
    </w:p>
    <w:p w14:paraId="7DD6DE00">
      <w:pPr>
        <w:pStyle w:val="32"/>
        <w:keepNext w:val="0"/>
        <w:keepLines w:val="0"/>
        <w:pageBreakBefore w:val="0"/>
        <w:wordWrap/>
        <w:overflowPunct/>
        <w:topLinePunct w:val="0"/>
        <w:autoSpaceDE w:val="0"/>
        <w:autoSpaceDN w:val="0"/>
        <w:bidi w:val="0"/>
        <w:adjustRightIn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园区工业废水污染源主要来源于生产密集区</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根据园区定位和入园企业现有排污情况，确定开发区主要废水污染物为pH、COD、BOD</w:t>
      </w:r>
      <w:r>
        <w:rPr>
          <w:rFonts w:hint="eastAsia" w:ascii="Times New Roman" w:hAnsi="Times New Roman" w:eastAsia="宋体" w:cs="Times New Roman"/>
          <w:color w:val="auto"/>
          <w:sz w:val="24"/>
          <w:szCs w:val="24"/>
          <w:vertAlign w:val="subscript"/>
          <w:lang w:val="en-US" w:eastAsia="zh-CN"/>
        </w:rPr>
        <w:t>5</w:t>
      </w:r>
      <w:r>
        <w:rPr>
          <w:rFonts w:hint="default" w:ascii="Times New Roman" w:hAnsi="Times New Roman" w:eastAsia="宋体" w:cs="Times New Roman"/>
          <w:color w:val="auto"/>
          <w:sz w:val="24"/>
          <w:szCs w:val="24"/>
          <w:lang w:val="en-US" w:eastAsia="zh-CN"/>
        </w:rPr>
        <w:t>、NH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N、SS、石油类等。</w:t>
      </w:r>
    </w:p>
    <w:p w14:paraId="00D2A2E8">
      <w:pPr>
        <w:pStyle w:val="32"/>
        <w:keepNext w:val="0"/>
        <w:keepLines w:val="0"/>
        <w:pageBreakBefore w:val="0"/>
        <w:wordWrap/>
        <w:overflowPunct/>
        <w:topLinePunct w:val="0"/>
        <w:autoSpaceDE w:val="0"/>
        <w:autoSpaceDN w:val="0"/>
        <w:bidi w:val="0"/>
        <w:adjustRightIn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en-US" w:eastAsia="zh-CN"/>
        </w:rPr>
        <w:t>噪声污染源调查</w:t>
      </w:r>
    </w:p>
    <w:p w14:paraId="70329202">
      <w:pPr>
        <w:pStyle w:val="32"/>
        <w:keepNext w:val="0"/>
        <w:keepLines w:val="0"/>
        <w:pageBreakBefore w:val="0"/>
        <w:wordWrap/>
        <w:overflowPunct/>
        <w:topLinePunct w:val="0"/>
        <w:autoSpaceDE w:val="0"/>
        <w:autoSpaceDN w:val="0"/>
        <w:bidi w:val="0"/>
        <w:adjustRightIn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工业区工业噪声源主要分为两类，分别如下</w:t>
      </w:r>
      <w:r>
        <w:rPr>
          <w:rFonts w:hint="eastAsia" w:ascii="Times New Roman" w:hAnsi="Times New Roman" w:eastAsia="宋体" w:cs="Times New Roman"/>
          <w:color w:val="auto"/>
          <w:sz w:val="24"/>
          <w:szCs w:val="24"/>
          <w:lang w:val="en-US" w:eastAsia="zh-CN"/>
        </w:rPr>
        <w:t>：</w:t>
      </w:r>
    </w:p>
    <w:p w14:paraId="7A20C18D">
      <w:pPr>
        <w:pStyle w:val="32"/>
        <w:keepNext w:val="0"/>
        <w:keepLines w:val="0"/>
        <w:pageBreakBefore w:val="0"/>
        <w:wordWrap/>
        <w:overflowPunct/>
        <w:topLinePunct w:val="0"/>
        <w:autoSpaceDE w:val="0"/>
        <w:autoSpaceDN w:val="0"/>
        <w:bidi w:val="0"/>
        <w:adjustRightIn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第一类是工业企业噪声</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主要为泵类、风机类、空压机等其他设备噪声，声级值75~95dB(A)</w:t>
      </w:r>
      <w:r>
        <w:rPr>
          <w:rFonts w:hint="eastAsia" w:ascii="Times New Roman" w:hAnsi="Times New Roman" w:eastAsia="宋体" w:cs="Times New Roman"/>
          <w:color w:val="auto"/>
          <w:sz w:val="24"/>
          <w:szCs w:val="24"/>
          <w:lang w:val="en-US" w:eastAsia="zh-CN"/>
        </w:rPr>
        <w:t>；</w:t>
      </w:r>
    </w:p>
    <w:p w14:paraId="5D7E9467">
      <w:pPr>
        <w:pStyle w:val="32"/>
        <w:keepNext w:val="0"/>
        <w:keepLines w:val="0"/>
        <w:pageBreakBefore w:val="0"/>
        <w:wordWrap/>
        <w:overflowPunct/>
        <w:topLinePunct w:val="0"/>
        <w:autoSpaceDE w:val="0"/>
        <w:autoSpaceDN w:val="0"/>
        <w:bidi w:val="0"/>
        <w:adjustRightIn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第二类是交通噪声</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主要是工业区几条交通干线上的运输车辆产生的噪声，声级值75dB(A)。按照规划的道路等级及区域可能的交通量，并参考现状调查结果，工业区内的交通噪声源强值在75dB(A)以下。</w:t>
      </w:r>
    </w:p>
    <w:p w14:paraId="55877D72">
      <w:pPr>
        <w:pStyle w:val="32"/>
        <w:keepNext w:val="0"/>
        <w:keepLines w:val="0"/>
        <w:pageBreakBefore w:val="0"/>
        <w:wordWrap/>
        <w:overflowPunct/>
        <w:topLinePunct w:val="0"/>
        <w:autoSpaceDE w:val="0"/>
        <w:autoSpaceDN w:val="0"/>
        <w:bidi w:val="0"/>
        <w:adjustRightIn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固体废物污染源分析</w:t>
      </w:r>
    </w:p>
    <w:p w14:paraId="448BC594">
      <w:pPr>
        <w:pStyle w:val="32"/>
        <w:keepNext w:val="0"/>
        <w:keepLines w:val="0"/>
        <w:pageBreakBefore w:val="0"/>
        <w:wordWrap/>
        <w:overflowPunct/>
        <w:topLinePunct w:val="0"/>
        <w:autoSpaceDE w:val="0"/>
        <w:autoSpaceDN w:val="0"/>
        <w:bidi w:val="0"/>
        <w:adjustRightIn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根据现状调查和规划分析，工业区排放的固体废弃物有一般工业固体废物、生活垃圾和危险废物。生活垃圾主要包括园区内员工日常生活中产生的厨卫垃圾废弃的日常用品等，交由城市环卫部门处理</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工业固废和危险废物主要来自工业生产，均按相关规范处置利用。</w:t>
      </w:r>
    </w:p>
    <w:p w14:paraId="1CA5D0A5">
      <w:pPr>
        <w:keepNext w:val="0"/>
        <w:keepLines w:val="0"/>
        <w:pageBreakBefore/>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0"/>
        <w:rPr>
          <w:rFonts w:hint="default" w:ascii="Times New Roman" w:hAnsi="Times New Roman" w:eastAsia="微软雅黑" w:cs="Times New Roman"/>
          <w:b w:val="0"/>
          <w:bCs w:val="0"/>
          <w:color w:val="auto"/>
          <w:spacing w:val="0"/>
          <w:position w:val="0"/>
          <w:sz w:val="36"/>
          <w:szCs w:val="36"/>
        </w:rPr>
      </w:pPr>
      <w:bookmarkStart w:id="49" w:name="_Toc3881"/>
      <w:r>
        <w:rPr>
          <w:rFonts w:hint="eastAsia" w:ascii="Times New Roman" w:hAnsi="Times New Roman" w:eastAsia="微软雅黑" w:cs="Times New Roman"/>
          <w:b w:val="0"/>
          <w:bCs w:val="0"/>
          <w:color w:val="auto"/>
          <w:spacing w:val="0"/>
          <w:position w:val="0"/>
          <w:sz w:val="36"/>
          <w:szCs w:val="36"/>
          <w:lang w:val="en-US" w:eastAsia="zh-CN"/>
        </w:rPr>
        <w:t>5</w:t>
      </w:r>
      <w:r>
        <w:rPr>
          <w:rFonts w:hint="default" w:ascii="Times New Roman" w:hAnsi="Times New Roman" w:eastAsia="微软雅黑" w:cs="Times New Roman"/>
          <w:b w:val="0"/>
          <w:bCs w:val="0"/>
          <w:color w:val="auto"/>
          <w:spacing w:val="0"/>
          <w:position w:val="0"/>
          <w:sz w:val="36"/>
          <w:szCs w:val="36"/>
          <w:lang w:val="en-US" w:eastAsia="zh-CN"/>
        </w:rPr>
        <w:t xml:space="preserve"> </w:t>
      </w:r>
      <w:r>
        <w:rPr>
          <w:rFonts w:hint="default" w:ascii="Times New Roman" w:hAnsi="Times New Roman" w:eastAsia="微软雅黑" w:cs="Times New Roman"/>
          <w:b w:val="0"/>
          <w:bCs w:val="0"/>
          <w:color w:val="auto"/>
          <w:spacing w:val="0"/>
          <w:position w:val="0"/>
          <w:sz w:val="36"/>
          <w:szCs w:val="36"/>
        </w:rPr>
        <w:t>环境影响预测与评价</w:t>
      </w:r>
      <w:bookmarkEnd w:id="49"/>
    </w:p>
    <w:p w14:paraId="19FC24DB">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6"/>
          <w:sz w:val="32"/>
          <w:szCs w:val="32"/>
          <w:lang w:val="en-US" w:eastAsia="zh-CN"/>
        </w:rPr>
      </w:pPr>
      <w:bookmarkStart w:id="50" w:name="_Toc4627"/>
      <w:r>
        <w:rPr>
          <w:rFonts w:hint="eastAsia" w:ascii="Times New Roman" w:hAnsi="Times New Roman" w:eastAsia="微软雅黑" w:cs="Times New Roman"/>
          <w:color w:val="auto"/>
          <w:spacing w:val="6"/>
          <w:sz w:val="32"/>
          <w:szCs w:val="32"/>
          <w:lang w:val="en-US" w:eastAsia="zh-CN"/>
        </w:rPr>
        <w:t>5</w:t>
      </w:r>
      <w:r>
        <w:rPr>
          <w:rFonts w:hint="default" w:ascii="Times New Roman" w:hAnsi="Times New Roman" w:eastAsia="微软雅黑" w:cs="Times New Roman"/>
          <w:color w:val="auto"/>
          <w:spacing w:val="6"/>
          <w:sz w:val="32"/>
          <w:szCs w:val="32"/>
          <w:lang w:val="en-US" w:eastAsia="zh-CN"/>
        </w:rPr>
        <w:t xml:space="preserve">.1 </w:t>
      </w:r>
      <w:r>
        <w:rPr>
          <w:rFonts w:hint="eastAsia" w:ascii="Times New Roman" w:hAnsi="Times New Roman" w:eastAsia="微软雅黑" w:cs="Times New Roman"/>
          <w:color w:val="auto"/>
          <w:spacing w:val="6"/>
          <w:sz w:val="32"/>
          <w:szCs w:val="32"/>
          <w:lang w:val="en-US" w:eastAsia="zh-CN"/>
        </w:rPr>
        <w:t>施工期</w:t>
      </w:r>
      <w:r>
        <w:rPr>
          <w:rFonts w:hint="default" w:ascii="Times New Roman" w:hAnsi="Times New Roman" w:eastAsia="微软雅黑" w:cs="Times New Roman"/>
          <w:color w:val="auto"/>
          <w:spacing w:val="6"/>
          <w:sz w:val="32"/>
          <w:szCs w:val="32"/>
          <w:lang w:val="en-US" w:eastAsia="zh-CN"/>
        </w:rPr>
        <w:t>环境影响</w:t>
      </w:r>
      <w:r>
        <w:rPr>
          <w:rFonts w:hint="eastAsia" w:ascii="Times New Roman" w:hAnsi="Times New Roman" w:eastAsia="微软雅黑" w:cs="Times New Roman"/>
          <w:color w:val="auto"/>
          <w:spacing w:val="6"/>
          <w:sz w:val="32"/>
          <w:szCs w:val="32"/>
          <w:lang w:val="en-US" w:eastAsia="zh-CN"/>
        </w:rPr>
        <w:t>评价</w:t>
      </w:r>
      <w:bookmarkEnd w:id="50"/>
    </w:p>
    <w:p w14:paraId="30526A5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cs="Times New Roman"/>
          <w:color w:val="auto"/>
          <w:lang w:val="en-US" w:eastAsia="zh-CN"/>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.1.1施工期水环境影响</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评价</w:t>
      </w:r>
    </w:p>
    <w:p w14:paraId="1D4E733F">
      <w:pPr>
        <w:keepNext w:val="0"/>
        <w:keepLines w:val="0"/>
        <w:pageBreakBefore w:val="0"/>
        <w:widowControl w:val="0"/>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eastAsia" w:ascii="Times New Roman" w:hAnsi="Times New Roman" w:eastAsia="宋体"/>
          <w:bCs/>
          <w:snapToGrid w:val="0"/>
          <w:color w:val="auto"/>
          <w:sz w:val="24"/>
          <w:szCs w:val="24"/>
          <w:lang w:eastAsia="zh-CN"/>
        </w:rPr>
      </w:pPr>
      <w:r>
        <w:rPr>
          <w:rFonts w:hint="default" w:ascii="Times New Roman" w:hAnsi="Times New Roman" w:eastAsia="宋体" w:cs="Times New Roman"/>
          <w:snapToGrid w:val="0"/>
          <w:color w:val="auto"/>
          <w:kern w:val="0"/>
          <w:sz w:val="24"/>
          <w:szCs w:val="24"/>
          <w:lang w:val="en-US" w:eastAsia="zh-CN" w:bidi="ar"/>
        </w:rPr>
        <w:t>施工期废水主要是施工人员生活污水,如果不进行收集无组织排放将对地表径流及土壤环境产生不利影响。本项目不在场地冲洗及维修机械。施工期施工人员的生活污水排入市政管网。本工程建设地点远离地表水体，因此施工期对地表水径流环境基本无影响。</w:t>
      </w:r>
    </w:p>
    <w:p w14:paraId="68D6EAFE">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5.1.2施工期大气环境影响评价</w:t>
      </w:r>
    </w:p>
    <w:p w14:paraId="5F24A55D">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如果施工阶段对汽车行驶路面勤洒水（每天4～5次），可以使空气中粉尘量减少70%左右，可以收到很好的降尘效果。洒水的试验资料见表5.1-1。当施工场地洒水频率为4～5次/d时，扬尘造成的TSP污染距离可缩小到20～50m范围内。</w:t>
      </w:r>
    </w:p>
    <w:p w14:paraId="0052EE63">
      <w:pPr>
        <w:keepNext w:val="0"/>
        <w:keepLines w:val="0"/>
        <w:pageBreakBefore w:val="0"/>
        <w:widowControl/>
        <w:kinsoku w:val="0"/>
        <w:wordWrap/>
        <w:overflowPunct/>
        <w:topLinePunct w:val="0"/>
        <w:autoSpaceDE w:val="0"/>
        <w:autoSpaceDN w:val="0"/>
        <w:bidi w:val="0"/>
        <w:adjustRightInd w:val="0"/>
        <w:snapToGrid w:val="0"/>
        <w:ind w:firstLine="0"/>
        <w:jc w:val="center"/>
        <w:textAlignment w:val="baseline"/>
        <w:rPr>
          <w:rFonts w:hint="default" w:ascii="Times New Roman" w:hAnsi="Times New Roman" w:eastAsia="宋体" w:cs="Times New Roman"/>
          <w:b/>
          <w:bCs/>
          <w:snapToGrid w:val="0"/>
          <w:color w:val="auto"/>
          <w:spacing w:val="-5"/>
          <w:kern w:val="0"/>
          <w:sz w:val="24"/>
          <w:szCs w:val="24"/>
          <w:lang w:val="zh-CN" w:eastAsia="zh-CN" w:bidi="ar-SA"/>
        </w:rPr>
      </w:pPr>
      <w:r>
        <w:rPr>
          <w:rFonts w:hint="default" w:ascii="Times New Roman" w:hAnsi="Times New Roman" w:eastAsia="宋体" w:cs="Times New Roman"/>
          <w:b/>
          <w:bCs/>
          <w:color w:val="auto"/>
          <w:spacing w:val="-5"/>
          <w:sz w:val="24"/>
          <w:szCs w:val="24"/>
          <w:lang w:val="zh-CN" w:eastAsia="zh-CN"/>
        </w:rPr>
        <w:t>表5</w:t>
      </w:r>
      <w:r>
        <w:rPr>
          <w:rFonts w:hint="eastAsia" w:ascii="Times New Roman" w:hAnsi="Times New Roman" w:eastAsia="宋体" w:cs="Times New Roman"/>
          <w:b/>
          <w:bCs/>
          <w:color w:val="auto"/>
          <w:spacing w:val="-5"/>
          <w:sz w:val="24"/>
          <w:szCs w:val="24"/>
          <w:lang w:val="en-US" w:eastAsia="zh-CN"/>
        </w:rPr>
        <w:t>.</w:t>
      </w:r>
      <w:r>
        <w:rPr>
          <w:rFonts w:hint="default" w:ascii="Times New Roman" w:hAnsi="Times New Roman" w:eastAsia="宋体" w:cs="Times New Roman"/>
          <w:b/>
          <w:bCs/>
          <w:color w:val="auto"/>
          <w:spacing w:val="-5"/>
          <w:sz w:val="24"/>
          <w:szCs w:val="24"/>
          <w:lang w:val="zh-CN" w:eastAsia="zh-CN"/>
        </w:rPr>
        <w:t>1-1</w:t>
      </w:r>
      <w:r>
        <w:rPr>
          <w:rFonts w:hint="eastAsia" w:ascii="Times New Roman" w:hAnsi="Times New Roman" w:eastAsia="宋体" w:cs="Times New Roman"/>
          <w:b/>
          <w:bCs/>
          <w:color w:val="auto"/>
          <w:spacing w:val="-5"/>
          <w:sz w:val="24"/>
          <w:szCs w:val="24"/>
          <w:lang w:val="en-US" w:eastAsia="zh-CN"/>
        </w:rPr>
        <w:t xml:space="preserve"> </w:t>
      </w:r>
      <w:r>
        <w:rPr>
          <w:rFonts w:hint="default" w:ascii="Times New Roman" w:hAnsi="Times New Roman" w:eastAsia="宋体" w:cs="Times New Roman"/>
          <w:b/>
          <w:bCs/>
          <w:snapToGrid w:val="0"/>
          <w:color w:val="auto"/>
          <w:spacing w:val="-5"/>
          <w:kern w:val="0"/>
          <w:sz w:val="24"/>
          <w:szCs w:val="24"/>
          <w:lang w:val="zh-CN" w:eastAsia="zh-CN" w:bidi="ar-SA"/>
        </w:rPr>
        <w:t>路面洒水和不洒水扬尘影响对比表</w:t>
      </w:r>
    </w:p>
    <w:tbl>
      <w:tblPr>
        <w:tblStyle w:val="41"/>
        <w:tblW w:w="5000"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1353"/>
        <w:gridCol w:w="1249"/>
        <w:gridCol w:w="1426"/>
        <w:gridCol w:w="1426"/>
        <w:gridCol w:w="1426"/>
        <w:gridCol w:w="1426"/>
      </w:tblGrid>
      <w:tr w14:paraId="78B2C86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2" w:hRule="atLeast"/>
        </w:trPr>
        <w:tc>
          <w:tcPr>
            <w:tcW w:w="1567" w:type="pct"/>
            <w:gridSpan w:val="2"/>
            <w:tcBorders>
              <w:tl2br w:val="nil"/>
              <w:tr2bl w:val="nil"/>
            </w:tcBorders>
            <w:vAlign w:val="center"/>
          </w:tcPr>
          <w:p w14:paraId="5FB3CBAB">
            <w:pPr>
              <w:pStyle w:val="83"/>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textAlignment w:val="baseline"/>
              <w:rPr>
                <w:rFonts w:hint="default" w:ascii="Times New Roman" w:hAnsi="Times New Roman" w:cs="Times New Roman" w:eastAsiaTheme="minorEastAsia"/>
                <w:color w:val="auto"/>
                <w:sz w:val="21"/>
                <w:szCs w:val="21"/>
                <w:lang w:eastAsia="en-US"/>
              </w:rPr>
            </w:pPr>
            <w:r>
              <w:rPr>
                <w:rFonts w:hint="default" w:ascii="Times New Roman" w:hAnsi="Times New Roman" w:cs="Times New Roman" w:eastAsiaTheme="minorEastAsia"/>
                <w:color w:val="auto"/>
                <w:sz w:val="21"/>
                <w:szCs w:val="21"/>
                <w:lang w:eastAsia="en-US"/>
              </w:rPr>
              <w:t>距路边距离（</w:t>
            </w:r>
            <w:r>
              <w:rPr>
                <w:rFonts w:hint="default" w:ascii="Times New Roman" w:hAnsi="Times New Roman" w:eastAsia="Times New Roman" w:cs="Times New Roman"/>
                <w:color w:val="auto"/>
                <w:sz w:val="21"/>
                <w:szCs w:val="21"/>
                <w:lang w:eastAsia="en-US"/>
              </w:rPr>
              <w:t>m</w:t>
            </w:r>
            <w:r>
              <w:rPr>
                <w:rFonts w:hint="default" w:ascii="Times New Roman" w:hAnsi="Times New Roman" w:cs="Times New Roman" w:eastAsiaTheme="minorEastAsia"/>
                <w:color w:val="auto"/>
                <w:sz w:val="21"/>
                <w:szCs w:val="21"/>
                <w:lang w:eastAsia="en-US"/>
              </w:rPr>
              <w:t>）</w:t>
            </w:r>
          </w:p>
        </w:tc>
        <w:tc>
          <w:tcPr>
            <w:tcW w:w="858" w:type="pct"/>
            <w:tcBorders>
              <w:tl2br w:val="nil"/>
              <w:tr2bl w:val="nil"/>
            </w:tcBorders>
            <w:vAlign w:val="center"/>
          </w:tcPr>
          <w:p w14:paraId="3ABECC95">
            <w:pPr>
              <w:pStyle w:val="83"/>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textAlignment w:val="baseline"/>
              <w:rPr>
                <w:rFonts w:hint="default" w:ascii="Times New Roman" w:hAnsi="Times New Roman" w:cs="Times New Roman" w:eastAsiaTheme="minorEastAsia"/>
                <w:color w:val="auto"/>
                <w:sz w:val="21"/>
                <w:szCs w:val="21"/>
                <w:lang w:eastAsia="en-US"/>
              </w:rPr>
            </w:pPr>
            <w:r>
              <w:rPr>
                <w:rFonts w:hint="default" w:ascii="Times New Roman" w:hAnsi="Times New Roman" w:cs="Times New Roman" w:eastAsiaTheme="minorEastAsia"/>
                <w:color w:val="auto"/>
                <w:w w:val="99"/>
                <w:sz w:val="21"/>
                <w:szCs w:val="21"/>
                <w:lang w:eastAsia="en-US"/>
              </w:rPr>
              <w:t>5</w:t>
            </w:r>
          </w:p>
        </w:tc>
        <w:tc>
          <w:tcPr>
            <w:tcW w:w="858" w:type="pct"/>
            <w:tcBorders>
              <w:tl2br w:val="nil"/>
              <w:tr2bl w:val="nil"/>
            </w:tcBorders>
            <w:vAlign w:val="center"/>
          </w:tcPr>
          <w:p w14:paraId="20CA0235">
            <w:pPr>
              <w:pStyle w:val="83"/>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textAlignment w:val="baseline"/>
              <w:rPr>
                <w:rFonts w:hint="default" w:ascii="Times New Roman" w:hAnsi="Times New Roman" w:cs="Times New Roman" w:eastAsiaTheme="minorEastAsia"/>
                <w:color w:val="auto"/>
                <w:sz w:val="21"/>
                <w:szCs w:val="21"/>
                <w:lang w:eastAsia="en-US"/>
              </w:rPr>
            </w:pPr>
            <w:r>
              <w:rPr>
                <w:rFonts w:hint="default" w:ascii="Times New Roman" w:hAnsi="Times New Roman" w:cs="Times New Roman" w:eastAsiaTheme="minorEastAsia"/>
                <w:color w:val="auto"/>
                <w:sz w:val="21"/>
                <w:szCs w:val="21"/>
                <w:lang w:eastAsia="en-US"/>
              </w:rPr>
              <w:t>20</w:t>
            </w:r>
          </w:p>
        </w:tc>
        <w:tc>
          <w:tcPr>
            <w:tcW w:w="858" w:type="pct"/>
            <w:tcBorders>
              <w:tl2br w:val="nil"/>
              <w:tr2bl w:val="nil"/>
            </w:tcBorders>
            <w:vAlign w:val="center"/>
          </w:tcPr>
          <w:p w14:paraId="648F7A3F">
            <w:pPr>
              <w:pStyle w:val="83"/>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textAlignment w:val="baseline"/>
              <w:rPr>
                <w:rFonts w:hint="default" w:ascii="Times New Roman" w:hAnsi="Times New Roman" w:cs="Times New Roman" w:eastAsiaTheme="minorEastAsia"/>
                <w:color w:val="auto"/>
                <w:sz w:val="21"/>
                <w:szCs w:val="21"/>
                <w:lang w:eastAsia="en-US"/>
              </w:rPr>
            </w:pPr>
            <w:r>
              <w:rPr>
                <w:rFonts w:hint="default" w:ascii="Times New Roman" w:hAnsi="Times New Roman" w:cs="Times New Roman" w:eastAsiaTheme="minorEastAsia"/>
                <w:color w:val="auto"/>
                <w:sz w:val="21"/>
                <w:szCs w:val="21"/>
                <w:lang w:eastAsia="en-US"/>
              </w:rPr>
              <w:t>50</w:t>
            </w:r>
          </w:p>
        </w:tc>
        <w:tc>
          <w:tcPr>
            <w:tcW w:w="858" w:type="pct"/>
            <w:tcBorders>
              <w:tl2br w:val="nil"/>
              <w:tr2bl w:val="nil"/>
            </w:tcBorders>
            <w:vAlign w:val="center"/>
          </w:tcPr>
          <w:p w14:paraId="012F9B4A">
            <w:pPr>
              <w:pStyle w:val="83"/>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textAlignment w:val="baseline"/>
              <w:rPr>
                <w:rFonts w:hint="default" w:ascii="Times New Roman" w:hAnsi="Times New Roman" w:cs="Times New Roman" w:eastAsiaTheme="minorEastAsia"/>
                <w:color w:val="auto"/>
                <w:sz w:val="21"/>
                <w:szCs w:val="21"/>
                <w:lang w:eastAsia="en-US"/>
              </w:rPr>
            </w:pPr>
            <w:r>
              <w:rPr>
                <w:rFonts w:hint="default" w:ascii="Times New Roman" w:hAnsi="Times New Roman" w:cs="Times New Roman" w:eastAsiaTheme="minorEastAsia"/>
                <w:color w:val="auto"/>
                <w:sz w:val="21"/>
                <w:szCs w:val="21"/>
                <w:lang w:eastAsia="en-US"/>
              </w:rPr>
              <w:t>100</w:t>
            </w:r>
          </w:p>
        </w:tc>
      </w:tr>
      <w:tr w14:paraId="083008A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91" w:hRule="atLeast"/>
        </w:trPr>
        <w:tc>
          <w:tcPr>
            <w:tcW w:w="815" w:type="pct"/>
            <w:vMerge w:val="restart"/>
            <w:tcBorders>
              <w:tl2br w:val="nil"/>
              <w:tr2bl w:val="nil"/>
            </w:tcBorders>
            <w:vAlign w:val="center"/>
          </w:tcPr>
          <w:p w14:paraId="30CEA711">
            <w:pPr>
              <w:pStyle w:val="83"/>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textAlignment w:val="baseline"/>
              <w:rPr>
                <w:rFonts w:hint="default" w:ascii="Times New Roman" w:hAnsi="Times New Roman" w:cs="Times New Roman" w:eastAsiaTheme="minorEastAsia"/>
                <w:color w:val="auto"/>
                <w:sz w:val="21"/>
                <w:szCs w:val="21"/>
                <w:lang w:eastAsia="en-US"/>
              </w:rPr>
            </w:pPr>
            <w:r>
              <w:rPr>
                <w:rFonts w:hint="default" w:ascii="Times New Roman" w:hAnsi="Times New Roman" w:eastAsia="Times New Roman" w:cs="Times New Roman"/>
                <w:color w:val="auto"/>
                <w:sz w:val="21"/>
                <w:szCs w:val="21"/>
                <w:lang w:eastAsia="en-US"/>
              </w:rPr>
              <w:t>TSP</w:t>
            </w:r>
            <w:r>
              <w:rPr>
                <w:rFonts w:hint="default" w:ascii="Times New Roman" w:hAnsi="Times New Roman" w:cs="Times New Roman" w:eastAsiaTheme="minorEastAsia"/>
                <w:color w:val="auto"/>
                <w:sz w:val="21"/>
                <w:szCs w:val="21"/>
                <w:lang w:eastAsia="en-US"/>
              </w:rPr>
              <w:t>浓度</w:t>
            </w:r>
          </w:p>
          <w:p w14:paraId="4A3F8577">
            <w:pPr>
              <w:pStyle w:val="83"/>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textAlignment w:val="baseline"/>
              <w:rPr>
                <w:rFonts w:hint="default" w:ascii="Times New Roman" w:hAnsi="Times New Roman" w:cs="Times New Roman" w:eastAsiaTheme="minorEastAsia"/>
                <w:color w:val="auto"/>
                <w:sz w:val="21"/>
                <w:szCs w:val="21"/>
                <w:lang w:eastAsia="en-US"/>
              </w:rPr>
            </w:pPr>
            <w:r>
              <w:rPr>
                <w:rFonts w:hint="default" w:ascii="Times New Roman" w:hAnsi="Times New Roman" w:cs="Times New Roman" w:eastAsiaTheme="minorEastAsia"/>
                <w:color w:val="auto"/>
                <w:sz w:val="21"/>
                <w:szCs w:val="21"/>
                <w:lang w:eastAsia="en-US"/>
              </w:rPr>
              <w:t>（</w:t>
            </w:r>
            <w:r>
              <w:rPr>
                <w:rFonts w:hint="default" w:ascii="Times New Roman" w:hAnsi="Times New Roman" w:eastAsia="Times New Roman" w:cs="Times New Roman"/>
                <w:color w:val="auto"/>
                <w:sz w:val="21"/>
                <w:szCs w:val="21"/>
                <w:lang w:eastAsia="en-US"/>
              </w:rPr>
              <w:t>mg/m</w:t>
            </w:r>
            <w:r>
              <w:rPr>
                <w:rFonts w:hint="eastAsia" w:ascii="Times New Roman" w:hAnsi="Times New Roman" w:eastAsia="宋体" w:cs="Times New Roman"/>
                <w:color w:val="auto"/>
                <w:sz w:val="21"/>
                <w:szCs w:val="21"/>
                <w:vertAlign w:val="superscript"/>
                <w:lang w:val="en-US" w:eastAsia="zh-CN"/>
              </w:rPr>
              <w:t>3</w:t>
            </w:r>
            <w:r>
              <w:rPr>
                <w:rFonts w:hint="default" w:ascii="Times New Roman" w:hAnsi="Times New Roman" w:cs="Times New Roman" w:eastAsiaTheme="minorEastAsia"/>
                <w:color w:val="auto"/>
                <w:sz w:val="21"/>
                <w:szCs w:val="21"/>
                <w:lang w:eastAsia="en-US"/>
              </w:rPr>
              <w:t>）</w:t>
            </w:r>
          </w:p>
        </w:tc>
        <w:tc>
          <w:tcPr>
            <w:tcW w:w="751" w:type="pct"/>
            <w:tcBorders>
              <w:tl2br w:val="nil"/>
              <w:tr2bl w:val="nil"/>
            </w:tcBorders>
            <w:vAlign w:val="center"/>
          </w:tcPr>
          <w:p w14:paraId="4450255A">
            <w:pPr>
              <w:pStyle w:val="83"/>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textAlignment w:val="baseline"/>
              <w:rPr>
                <w:rFonts w:hint="default" w:ascii="Times New Roman" w:hAnsi="Times New Roman" w:cs="Times New Roman" w:eastAsiaTheme="minorEastAsia"/>
                <w:color w:val="auto"/>
                <w:sz w:val="21"/>
                <w:szCs w:val="21"/>
                <w:lang w:eastAsia="en-US"/>
              </w:rPr>
            </w:pPr>
            <w:r>
              <w:rPr>
                <w:rFonts w:hint="default" w:ascii="Times New Roman" w:hAnsi="Times New Roman" w:cs="Times New Roman" w:eastAsiaTheme="minorEastAsia"/>
                <w:color w:val="auto"/>
                <w:sz w:val="21"/>
                <w:szCs w:val="21"/>
                <w:lang w:eastAsia="en-US"/>
              </w:rPr>
              <w:t>不洒水</w:t>
            </w:r>
          </w:p>
        </w:tc>
        <w:tc>
          <w:tcPr>
            <w:tcW w:w="858" w:type="pct"/>
            <w:tcBorders>
              <w:tl2br w:val="nil"/>
              <w:tr2bl w:val="nil"/>
            </w:tcBorders>
            <w:vAlign w:val="center"/>
          </w:tcPr>
          <w:p w14:paraId="1CBD6435">
            <w:pPr>
              <w:pStyle w:val="83"/>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textAlignment w:val="baseline"/>
              <w:rPr>
                <w:rFonts w:hint="default" w:ascii="Times New Roman" w:hAnsi="Times New Roman" w:cs="Times New Roman" w:eastAsiaTheme="minorEastAsia"/>
                <w:color w:val="auto"/>
                <w:sz w:val="21"/>
                <w:szCs w:val="21"/>
                <w:lang w:eastAsia="en-US"/>
              </w:rPr>
            </w:pPr>
            <w:r>
              <w:rPr>
                <w:rFonts w:hint="default" w:ascii="Times New Roman" w:hAnsi="Times New Roman" w:cs="Times New Roman" w:eastAsiaTheme="minorEastAsia"/>
                <w:color w:val="auto"/>
                <w:sz w:val="21"/>
                <w:szCs w:val="21"/>
                <w:lang w:eastAsia="en-US"/>
              </w:rPr>
              <w:t>10.14</w:t>
            </w:r>
          </w:p>
        </w:tc>
        <w:tc>
          <w:tcPr>
            <w:tcW w:w="858" w:type="pct"/>
            <w:tcBorders>
              <w:tl2br w:val="nil"/>
              <w:tr2bl w:val="nil"/>
            </w:tcBorders>
            <w:vAlign w:val="center"/>
          </w:tcPr>
          <w:p w14:paraId="0D0F5D68">
            <w:pPr>
              <w:pStyle w:val="83"/>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textAlignment w:val="baseline"/>
              <w:rPr>
                <w:rFonts w:hint="default" w:ascii="Times New Roman" w:hAnsi="Times New Roman" w:cs="Times New Roman" w:eastAsiaTheme="minorEastAsia"/>
                <w:color w:val="auto"/>
                <w:sz w:val="21"/>
                <w:szCs w:val="21"/>
                <w:lang w:eastAsia="en-US"/>
              </w:rPr>
            </w:pPr>
            <w:r>
              <w:rPr>
                <w:rFonts w:hint="default" w:ascii="Times New Roman" w:hAnsi="Times New Roman" w:cs="Times New Roman" w:eastAsiaTheme="minorEastAsia"/>
                <w:color w:val="auto"/>
                <w:sz w:val="21"/>
                <w:szCs w:val="21"/>
                <w:lang w:eastAsia="en-US"/>
              </w:rPr>
              <w:t>2.810</w:t>
            </w:r>
          </w:p>
        </w:tc>
        <w:tc>
          <w:tcPr>
            <w:tcW w:w="858" w:type="pct"/>
            <w:tcBorders>
              <w:tl2br w:val="nil"/>
              <w:tr2bl w:val="nil"/>
            </w:tcBorders>
            <w:vAlign w:val="center"/>
          </w:tcPr>
          <w:p w14:paraId="3A927B37">
            <w:pPr>
              <w:pStyle w:val="83"/>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textAlignment w:val="baseline"/>
              <w:rPr>
                <w:rFonts w:hint="default" w:ascii="Times New Roman" w:hAnsi="Times New Roman" w:cs="Times New Roman" w:eastAsiaTheme="minorEastAsia"/>
                <w:color w:val="auto"/>
                <w:sz w:val="21"/>
                <w:szCs w:val="21"/>
                <w:lang w:eastAsia="en-US"/>
              </w:rPr>
            </w:pPr>
            <w:r>
              <w:rPr>
                <w:rFonts w:hint="default" w:ascii="Times New Roman" w:hAnsi="Times New Roman" w:cs="Times New Roman" w:eastAsiaTheme="minorEastAsia"/>
                <w:color w:val="auto"/>
                <w:sz w:val="21"/>
                <w:szCs w:val="21"/>
                <w:lang w:eastAsia="en-US"/>
              </w:rPr>
              <w:t>1.15</w:t>
            </w:r>
          </w:p>
        </w:tc>
        <w:tc>
          <w:tcPr>
            <w:tcW w:w="858" w:type="pct"/>
            <w:tcBorders>
              <w:tl2br w:val="nil"/>
              <w:tr2bl w:val="nil"/>
            </w:tcBorders>
            <w:vAlign w:val="center"/>
          </w:tcPr>
          <w:p w14:paraId="3338CF4E">
            <w:pPr>
              <w:pStyle w:val="83"/>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textAlignment w:val="baseline"/>
              <w:rPr>
                <w:rFonts w:hint="default" w:ascii="Times New Roman" w:hAnsi="Times New Roman" w:cs="Times New Roman" w:eastAsiaTheme="minorEastAsia"/>
                <w:color w:val="auto"/>
                <w:sz w:val="21"/>
                <w:szCs w:val="21"/>
                <w:lang w:eastAsia="en-US"/>
              </w:rPr>
            </w:pPr>
            <w:r>
              <w:rPr>
                <w:rFonts w:hint="default" w:ascii="Times New Roman" w:hAnsi="Times New Roman" w:cs="Times New Roman" w:eastAsiaTheme="minorEastAsia"/>
                <w:color w:val="auto"/>
                <w:sz w:val="21"/>
                <w:szCs w:val="21"/>
                <w:lang w:eastAsia="en-US"/>
              </w:rPr>
              <w:t>0.86</w:t>
            </w:r>
          </w:p>
        </w:tc>
      </w:tr>
      <w:tr w14:paraId="2C6EA66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37" w:hRule="atLeast"/>
        </w:trPr>
        <w:tc>
          <w:tcPr>
            <w:tcW w:w="815" w:type="pct"/>
            <w:vMerge w:val="continue"/>
            <w:tcBorders>
              <w:tl2br w:val="nil"/>
              <w:tr2bl w:val="nil"/>
            </w:tcBorders>
            <w:vAlign w:val="center"/>
          </w:tcPr>
          <w:p w14:paraId="0EEBF66A">
            <w:pPr>
              <w:pStyle w:val="83"/>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textAlignment w:val="baseline"/>
              <w:rPr>
                <w:rFonts w:hint="default" w:ascii="Times New Roman" w:hAnsi="Times New Roman" w:cs="Times New Roman" w:eastAsiaTheme="minorEastAsia"/>
                <w:color w:val="auto"/>
                <w:sz w:val="21"/>
                <w:szCs w:val="21"/>
                <w:lang w:eastAsia="en-US"/>
              </w:rPr>
            </w:pPr>
          </w:p>
        </w:tc>
        <w:tc>
          <w:tcPr>
            <w:tcW w:w="751" w:type="pct"/>
            <w:tcBorders>
              <w:tl2br w:val="nil"/>
              <w:tr2bl w:val="nil"/>
            </w:tcBorders>
            <w:vAlign w:val="center"/>
          </w:tcPr>
          <w:p w14:paraId="4C1D37C0">
            <w:pPr>
              <w:pStyle w:val="83"/>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textAlignment w:val="baseline"/>
              <w:rPr>
                <w:rFonts w:hint="default" w:ascii="Times New Roman" w:hAnsi="Times New Roman" w:cs="Times New Roman" w:eastAsiaTheme="minorEastAsia"/>
                <w:color w:val="auto"/>
                <w:sz w:val="21"/>
                <w:szCs w:val="21"/>
                <w:lang w:eastAsia="en-US"/>
              </w:rPr>
            </w:pPr>
            <w:r>
              <w:rPr>
                <w:rFonts w:hint="default" w:ascii="Times New Roman" w:hAnsi="Times New Roman" w:cs="Times New Roman" w:eastAsiaTheme="minorEastAsia"/>
                <w:color w:val="auto"/>
                <w:sz w:val="21"/>
                <w:szCs w:val="21"/>
                <w:lang w:eastAsia="en-US"/>
              </w:rPr>
              <w:t>洒水</w:t>
            </w:r>
          </w:p>
        </w:tc>
        <w:tc>
          <w:tcPr>
            <w:tcW w:w="858" w:type="pct"/>
            <w:tcBorders>
              <w:tl2br w:val="nil"/>
              <w:tr2bl w:val="nil"/>
            </w:tcBorders>
            <w:vAlign w:val="center"/>
          </w:tcPr>
          <w:p w14:paraId="2792A431">
            <w:pPr>
              <w:pStyle w:val="83"/>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textAlignment w:val="baseline"/>
              <w:rPr>
                <w:rFonts w:hint="default" w:ascii="Times New Roman" w:hAnsi="Times New Roman" w:cs="Times New Roman" w:eastAsiaTheme="minorEastAsia"/>
                <w:color w:val="auto"/>
                <w:sz w:val="21"/>
                <w:szCs w:val="21"/>
                <w:lang w:eastAsia="en-US"/>
              </w:rPr>
            </w:pPr>
            <w:r>
              <w:rPr>
                <w:rFonts w:hint="default" w:ascii="Times New Roman" w:hAnsi="Times New Roman" w:cs="Times New Roman" w:eastAsiaTheme="minorEastAsia"/>
                <w:color w:val="auto"/>
                <w:sz w:val="21"/>
                <w:szCs w:val="21"/>
                <w:lang w:eastAsia="en-US"/>
              </w:rPr>
              <w:t>2.01</w:t>
            </w:r>
          </w:p>
        </w:tc>
        <w:tc>
          <w:tcPr>
            <w:tcW w:w="858" w:type="pct"/>
            <w:tcBorders>
              <w:tl2br w:val="nil"/>
              <w:tr2bl w:val="nil"/>
            </w:tcBorders>
            <w:vAlign w:val="center"/>
          </w:tcPr>
          <w:p w14:paraId="7CD8293A">
            <w:pPr>
              <w:pStyle w:val="83"/>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textAlignment w:val="baseline"/>
              <w:rPr>
                <w:rFonts w:hint="default" w:ascii="Times New Roman" w:hAnsi="Times New Roman" w:cs="Times New Roman" w:eastAsiaTheme="minorEastAsia"/>
                <w:color w:val="auto"/>
                <w:sz w:val="21"/>
                <w:szCs w:val="21"/>
                <w:lang w:eastAsia="en-US"/>
              </w:rPr>
            </w:pPr>
            <w:r>
              <w:rPr>
                <w:rFonts w:hint="default" w:ascii="Times New Roman" w:hAnsi="Times New Roman" w:cs="Times New Roman" w:eastAsiaTheme="minorEastAsia"/>
                <w:color w:val="auto"/>
                <w:sz w:val="21"/>
                <w:szCs w:val="21"/>
                <w:lang w:eastAsia="en-US"/>
              </w:rPr>
              <w:t>1.40</w:t>
            </w:r>
          </w:p>
        </w:tc>
        <w:tc>
          <w:tcPr>
            <w:tcW w:w="858" w:type="pct"/>
            <w:tcBorders>
              <w:tl2br w:val="nil"/>
              <w:tr2bl w:val="nil"/>
            </w:tcBorders>
            <w:vAlign w:val="center"/>
          </w:tcPr>
          <w:p w14:paraId="499E2682">
            <w:pPr>
              <w:pStyle w:val="83"/>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textAlignment w:val="baseline"/>
              <w:rPr>
                <w:rFonts w:hint="default" w:ascii="Times New Roman" w:hAnsi="Times New Roman" w:cs="Times New Roman" w:eastAsiaTheme="minorEastAsia"/>
                <w:color w:val="auto"/>
                <w:sz w:val="21"/>
                <w:szCs w:val="21"/>
                <w:lang w:eastAsia="en-US"/>
              </w:rPr>
            </w:pPr>
            <w:r>
              <w:rPr>
                <w:rFonts w:hint="default" w:ascii="Times New Roman" w:hAnsi="Times New Roman" w:cs="Times New Roman" w:eastAsiaTheme="minorEastAsia"/>
                <w:color w:val="auto"/>
                <w:sz w:val="21"/>
                <w:szCs w:val="21"/>
                <w:lang w:eastAsia="en-US"/>
              </w:rPr>
              <w:t>0.68</w:t>
            </w:r>
          </w:p>
        </w:tc>
        <w:tc>
          <w:tcPr>
            <w:tcW w:w="858" w:type="pct"/>
            <w:tcBorders>
              <w:tl2br w:val="nil"/>
              <w:tr2bl w:val="nil"/>
            </w:tcBorders>
            <w:vAlign w:val="center"/>
          </w:tcPr>
          <w:p w14:paraId="78FCD8AC">
            <w:pPr>
              <w:pStyle w:val="83"/>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textAlignment w:val="baseline"/>
              <w:rPr>
                <w:rFonts w:hint="default" w:ascii="Times New Roman" w:hAnsi="Times New Roman" w:cs="Times New Roman" w:eastAsiaTheme="minorEastAsia"/>
                <w:color w:val="auto"/>
                <w:sz w:val="21"/>
                <w:szCs w:val="21"/>
                <w:lang w:eastAsia="en-US"/>
              </w:rPr>
            </w:pPr>
            <w:r>
              <w:rPr>
                <w:rFonts w:hint="default" w:ascii="Times New Roman" w:hAnsi="Times New Roman" w:cs="Times New Roman" w:eastAsiaTheme="minorEastAsia"/>
                <w:color w:val="auto"/>
                <w:sz w:val="21"/>
                <w:szCs w:val="21"/>
                <w:lang w:eastAsia="en-US"/>
              </w:rPr>
              <w:t>0.60</w:t>
            </w:r>
          </w:p>
        </w:tc>
      </w:tr>
    </w:tbl>
    <w:p w14:paraId="742D6B6D">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在采取限速、洒水及保护路面整洁等措施后，车辆行驶扬尘对当地大气环境影响程度及时间都将较为有限。</w:t>
      </w:r>
    </w:p>
    <w:p w14:paraId="46525AC3">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5.1.3施工期噪声环境影响评价</w:t>
      </w:r>
    </w:p>
    <w:p w14:paraId="4C5FFF0C">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
        </w:rPr>
      </w:pPr>
      <w:r>
        <w:rPr>
          <w:rFonts w:hint="eastAsia" w:ascii="Times New Roman" w:hAnsi="Times New Roman" w:eastAsia="宋体" w:cs="Times New Roman"/>
          <w:snapToGrid w:val="0"/>
          <w:color w:val="auto"/>
          <w:kern w:val="0"/>
          <w:sz w:val="24"/>
          <w:szCs w:val="24"/>
          <w:lang w:val="en-US" w:eastAsia="zh-CN" w:bidi="ar"/>
        </w:rPr>
        <w:t>项目施工期噪声主要来源于施工机械噪声和运输车辆噪声。在施工过程中由于各种施工机械设备的运转和各类车辆的运行，不可避免地将产生噪声污染。根据调查本项目的主要噪声源如下表5.1-2。</w:t>
      </w:r>
    </w:p>
    <w:p w14:paraId="4835CAC2">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pacing w:val="-5"/>
          <w:sz w:val="24"/>
          <w:szCs w:val="24"/>
          <w:lang w:val="en-US" w:eastAsia="zh-CN"/>
        </w:rPr>
      </w:pPr>
      <w:r>
        <w:rPr>
          <w:rFonts w:hint="default" w:ascii="Times New Roman" w:hAnsi="Times New Roman" w:eastAsia="宋体" w:cs="Times New Roman"/>
          <w:b/>
          <w:bCs/>
          <w:color w:val="auto"/>
          <w:spacing w:val="-5"/>
          <w:sz w:val="24"/>
          <w:szCs w:val="24"/>
          <w:lang w:val="zh-CN" w:eastAsia="zh-CN"/>
        </w:rPr>
        <w:t>表5</w:t>
      </w:r>
      <w:r>
        <w:rPr>
          <w:rFonts w:hint="eastAsia" w:ascii="Times New Roman" w:hAnsi="Times New Roman" w:eastAsia="宋体" w:cs="Times New Roman"/>
          <w:b/>
          <w:bCs/>
          <w:color w:val="auto"/>
          <w:spacing w:val="-5"/>
          <w:sz w:val="24"/>
          <w:szCs w:val="24"/>
          <w:lang w:val="en-US" w:eastAsia="zh-CN"/>
        </w:rPr>
        <w:t>.</w:t>
      </w:r>
      <w:r>
        <w:rPr>
          <w:rFonts w:hint="default" w:ascii="Times New Roman" w:hAnsi="Times New Roman" w:eastAsia="宋体" w:cs="Times New Roman"/>
          <w:b/>
          <w:bCs/>
          <w:color w:val="auto"/>
          <w:spacing w:val="-5"/>
          <w:sz w:val="24"/>
          <w:szCs w:val="24"/>
          <w:lang w:val="zh-CN" w:eastAsia="zh-CN"/>
        </w:rPr>
        <w:t>1-</w:t>
      </w:r>
      <w:r>
        <w:rPr>
          <w:rFonts w:hint="eastAsia" w:ascii="Times New Roman" w:hAnsi="Times New Roman" w:eastAsia="宋体" w:cs="Times New Roman"/>
          <w:b/>
          <w:bCs/>
          <w:color w:val="auto"/>
          <w:spacing w:val="-5"/>
          <w:sz w:val="24"/>
          <w:szCs w:val="24"/>
          <w:lang w:val="en-US" w:eastAsia="zh-CN"/>
        </w:rPr>
        <w:t>2</w:t>
      </w:r>
      <w:r>
        <w:rPr>
          <w:rFonts w:hint="eastAsia" w:ascii="Times New Roman" w:hAnsi="Times New Roman" w:eastAsia="宋体" w:cs="Times New Roman"/>
          <w:b/>
          <w:bCs/>
          <w:color w:val="auto"/>
          <w:spacing w:val="-5"/>
          <w:sz w:val="24"/>
          <w:szCs w:val="24"/>
          <w:lang w:val="zh-CN" w:eastAsia="zh-CN"/>
        </w:rPr>
        <w:t xml:space="preserve">  </w:t>
      </w:r>
      <w:r>
        <w:rPr>
          <w:rFonts w:hint="eastAsia" w:ascii="Times New Roman" w:hAnsi="Times New Roman" w:eastAsia="宋体" w:cs="Times New Roman"/>
          <w:b/>
          <w:bCs/>
          <w:color w:val="auto"/>
          <w:spacing w:val="-5"/>
          <w:sz w:val="24"/>
          <w:szCs w:val="24"/>
          <w:lang w:val="en-US" w:eastAsia="zh-CN"/>
        </w:rPr>
        <w:t>施工机械噪声源一览表</w:t>
      </w:r>
    </w:p>
    <w:tbl>
      <w:tblPr>
        <w:tblStyle w:val="6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70"/>
        <w:gridCol w:w="3274"/>
        <w:gridCol w:w="3275"/>
      </w:tblGrid>
      <w:tr w14:paraId="58754C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6" w:type="pct"/>
            <w:vAlign w:val="center"/>
          </w:tcPr>
          <w:p w14:paraId="07F9C051">
            <w:pPr>
              <w:adjustRightInd/>
              <w:snapToGrid/>
              <w:spacing w:line="240" w:lineRule="auto"/>
              <w:ind w:firstLine="0" w:firstLineChars="0"/>
              <w:jc w:val="center"/>
              <w:rPr>
                <w:rFonts w:hint="eastAsia" w:ascii="Times New Roman" w:hAnsi="Times New Roman" w:eastAsia="宋体" w:cs="Times New Roman"/>
                <w:snapToGrid w:val="0"/>
                <w:color w:val="auto"/>
                <w:kern w:val="0"/>
                <w:sz w:val="21"/>
                <w:szCs w:val="21"/>
                <w:lang w:val="en-US" w:eastAsia="zh-CN"/>
              </w:rPr>
            </w:pPr>
            <w:r>
              <w:rPr>
                <w:rFonts w:hint="eastAsia" w:ascii="Times New Roman" w:hAnsi="Times New Roman" w:eastAsia="宋体" w:cs="Times New Roman"/>
                <w:snapToGrid w:val="0"/>
                <w:color w:val="auto"/>
                <w:kern w:val="0"/>
                <w:sz w:val="21"/>
                <w:szCs w:val="21"/>
                <w:lang w:val="en-US" w:eastAsia="zh-CN"/>
              </w:rPr>
              <w:t>声源</w:t>
            </w:r>
          </w:p>
        </w:tc>
        <w:tc>
          <w:tcPr>
            <w:tcW w:w="1921" w:type="pct"/>
            <w:vAlign w:val="center"/>
          </w:tcPr>
          <w:p w14:paraId="5A71971F">
            <w:pPr>
              <w:adjustRightInd/>
              <w:snapToGrid/>
              <w:spacing w:line="240" w:lineRule="auto"/>
              <w:ind w:firstLine="0" w:firstLineChars="0"/>
              <w:jc w:val="center"/>
              <w:rPr>
                <w:rFonts w:hint="eastAsia" w:ascii="Times New Roman" w:hAnsi="Times New Roman" w:eastAsia="宋体" w:cs="Times New Roman"/>
                <w:snapToGrid w:val="0"/>
                <w:color w:val="auto"/>
                <w:kern w:val="0"/>
                <w:sz w:val="21"/>
                <w:szCs w:val="21"/>
                <w:lang w:val="en-US" w:eastAsia="zh-CN"/>
              </w:rPr>
            </w:pPr>
            <w:r>
              <w:rPr>
                <w:rFonts w:hint="eastAsia" w:ascii="Times New Roman" w:hAnsi="Times New Roman" w:eastAsia="宋体" w:cs="Times New Roman"/>
                <w:snapToGrid w:val="0"/>
                <w:color w:val="auto"/>
                <w:kern w:val="0"/>
                <w:sz w:val="21"/>
                <w:szCs w:val="21"/>
                <w:lang w:val="en-US" w:eastAsia="zh-CN"/>
              </w:rPr>
              <w:t>型号规格</w:t>
            </w:r>
          </w:p>
        </w:tc>
        <w:tc>
          <w:tcPr>
            <w:tcW w:w="1921" w:type="pct"/>
            <w:vAlign w:val="center"/>
          </w:tcPr>
          <w:p w14:paraId="63BB70F6">
            <w:pPr>
              <w:adjustRightInd/>
              <w:snapToGrid/>
              <w:spacing w:line="240" w:lineRule="auto"/>
              <w:ind w:firstLine="0" w:firstLineChars="0"/>
              <w:jc w:val="center"/>
              <w:rPr>
                <w:rFonts w:hint="default" w:ascii="Times New Roman" w:hAnsi="Times New Roman" w:eastAsia="宋体" w:cs="Times New Roman"/>
                <w:snapToGrid w:val="0"/>
                <w:color w:val="auto"/>
                <w:kern w:val="0"/>
                <w:sz w:val="21"/>
                <w:szCs w:val="21"/>
                <w:lang w:val="en-US" w:eastAsia="zh-CN"/>
              </w:rPr>
            </w:pPr>
            <w:r>
              <w:rPr>
                <w:rFonts w:hint="eastAsia" w:ascii="Times New Roman" w:hAnsi="Times New Roman" w:eastAsia="宋体" w:cs="Times New Roman"/>
                <w:snapToGrid w:val="0"/>
                <w:color w:val="auto"/>
                <w:kern w:val="0"/>
                <w:sz w:val="21"/>
                <w:szCs w:val="21"/>
                <w:lang w:val="en-US" w:eastAsia="zh-CN"/>
              </w:rPr>
              <w:t>噪声源强</w:t>
            </w:r>
          </w:p>
        </w:tc>
      </w:tr>
      <w:tr w14:paraId="4E5679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6" w:type="pct"/>
            <w:vAlign w:val="center"/>
          </w:tcPr>
          <w:p w14:paraId="442F08A7">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装载机</w:t>
            </w:r>
          </w:p>
        </w:tc>
        <w:tc>
          <w:tcPr>
            <w:tcW w:w="1921" w:type="pct"/>
            <w:vAlign w:val="center"/>
          </w:tcPr>
          <w:p w14:paraId="2CDC73FC">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w:t>
            </w:r>
          </w:p>
        </w:tc>
        <w:tc>
          <w:tcPr>
            <w:tcW w:w="1921" w:type="pct"/>
            <w:vAlign w:val="center"/>
          </w:tcPr>
          <w:p w14:paraId="338D47A1">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95</w:t>
            </w:r>
          </w:p>
        </w:tc>
      </w:tr>
      <w:tr w14:paraId="071A90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6" w:type="pct"/>
            <w:vAlign w:val="center"/>
          </w:tcPr>
          <w:p w14:paraId="083FA208">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钢筋调直机</w:t>
            </w:r>
          </w:p>
        </w:tc>
        <w:tc>
          <w:tcPr>
            <w:tcW w:w="1921" w:type="pct"/>
            <w:vAlign w:val="center"/>
          </w:tcPr>
          <w:p w14:paraId="0EAAD565">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SP150</w:t>
            </w:r>
          </w:p>
        </w:tc>
        <w:tc>
          <w:tcPr>
            <w:tcW w:w="1921" w:type="pct"/>
            <w:vAlign w:val="center"/>
          </w:tcPr>
          <w:p w14:paraId="01CF0895">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90</w:t>
            </w:r>
          </w:p>
        </w:tc>
      </w:tr>
      <w:tr w14:paraId="7CC37C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6" w:type="pct"/>
            <w:vAlign w:val="center"/>
          </w:tcPr>
          <w:p w14:paraId="325494E7">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电渣焊机</w:t>
            </w:r>
          </w:p>
        </w:tc>
        <w:tc>
          <w:tcPr>
            <w:tcW w:w="1921" w:type="pct"/>
            <w:vAlign w:val="center"/>
          </w:tcPr>
          <w:p w14:paraId="323AA9C2">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YT300</w:t>
            </w:r>
          </w:p>
        </w:tc>
        <w:tc>
          <w:tcPr>
            <w:tcW w:w="1921" w:type="pct"/>
            <w:vAlign w:val="center"/>
          </w:tcPr>
          <w:p w14:paraId="0B1890F3">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60</w:t>
            </w:r>
          </w:p>
        </w:tc>
      </w:tr>
      <w:tr w14:paraId="4F8FEE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6" w:type="pct"/>
            <w:vAlign w:val="center"/>
          </w:tcPr>
          <w:p w14:paraId="4D266DB5">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交流电焊机</w:t>
            </w:r>
          </w:p>
        </w:tc>
        <w:tc>
          <w:tcPr>
            <w:tcW w:w="1921" w:type="pct"/>
            <w:vAlign w:val="center"/>
          </w:tcPr>
          <w:p w14:paraId="2CA80879">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QL150</w:t>
            </w:r>
          </w:p>
        </w:tc>
        <w:tc>
          <w:tcPr>
            <w:tcW w:w="1921" w:type="pct"/>
            <w:vAlign w:val="center"/>
          </w:tcPr>
          <w:p w14:paraId="4363EBB8">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60</w:t>
            </w:r>
          </w:p>
        </w:tc>
      </w:tr>
      <w:tr w14:paraId="023043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6" w:type="pct"/>
            <w:vAlign w:val="center"/>
          </w:tcPr>
          <w:p w14:paraId="2F0BEA6F">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直流电焊机</w:t>
            </w:r>
          </w:p>
        </w:tc>
        <w:tc>
          <w:tcPr>
            <w:tcW w:w="1921" w:type="pct"/>
            <w:vAlign w:val="center"/>
          </w:tcPr>
          <w:p w14:paraId="51423BA5">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S-150</w:t>
            </w:r>
          </w:p>
        </w:tc>
        <w:tc>
          <w:tcPr>
            <w:tcW w:w="1921" w:type="pct"/>
            <w:vAlign w:val="center"/>
          </w:tcPr>
          <w:p w14:paraId="197AC463">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60</w:t>
            </w:r>
          </w:p>
        </w:tc>
      </w:tr>
      <w:tr w14:paraId="32EA52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6" w:type="pct"/>
            <w:vAlign w:val="center"/>
          </w:tcPr>
          <w:p w14:paraId="0C05D0DA">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机械振捣器</w:t>
            </w:r>
          </w:p>
        </w:tc>
        <w:tc>
          <w:tcPr>
            <w:tcW w:w="1921" w:type="pct"/>
            <w:vAlign w:val="center"/>
          </w:tcPr>
          <w:p w14:paraId="703AFD12">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HZB50</w:t>
            </w:r>
          </w:p>
        </w:tc>
        <w:tc>
          <w:tcPr>
            <w:tcW w:w="1921" w:type="pct"/>
            <w:vAlign w:val="center"/>
          </w:tcPr>
          <w:p w14:paraId="73F51F65">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75</w:t>
            </w:r>
          </w:p>
        </w:tc>
      </w:tr>
      <w:tr w14:paraId="5FBCD9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6" w:type="pct"/>
            <w:vAlign w:val="center"/>
          </w:tcPr>
          <w:p w14:paraId="44AA7BA5">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电锯</w:t>
            </w:r>
          </w:p>
        </w:tc>
        <w:tc>
          <w:tcPr>
            <w:tcW w:w="1921" w:type="pct"/>
            <w:vAlign w:val="center"/>
          </w:tcPr>
          <w:p w14:paraId="4BC95B47">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w:t>
            </w:r>
          </w:p>
        </w:tc>
        <w:tc>
          <w:tcPr>
            <w:tcW w:w="1921" w:type="pct"/>
            <w:vAlign w:val="center"/>
          </w:tcPr>
          <w:p w14:paraId="6F1B3A97">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85</w:t>
            </w:r>
          </w:p>
        </w:tc>
      </w:tr>
      <w:tr w14:paraId="392702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6" w:type="pct"/>
            <w:vAlign w:val="center"/>
          </w:tcPr>
          <w:p w14:paraId="13040B51">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电锤</w:t>
            </w:r>
          </w:p>
        </w:tc>
        <w:tc>
          <w:tcPr>
            <w:tcW w:w="1921" w:type="pct"/>
            <w:vAlign w:val="center"/>
          </w:tcPr>
          <w:p w14:paraId="04FED53D">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w:t>
            </w:r>
          </w:p>
        </w:tc>
        <w:tc>
          <w:tcPr>
            <w:tcW w:w="1921" w:type="pct"/>
            <w:vAlign w:val="center"/>
          </w:tcPr>
          <w:p w14:paraId="1BF95E57">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85</w:t>
            </w:r>
          </w:p>
        </w:tc>
      </w:tr>
      <w:tr w14:paraId="4D1F97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6" w:type="pct"/>
            <w:vAlign w:val="center"/>
          </w:tcPr>
          <w:p w14:paraId="558F9019">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电刨</w:t>
            </w:r>
          </w:p>
        </w:tc>
        <w:tc>
          <w:tcPr>
            <w:tcW w:w="1921" w:type="pct"/>
            <w:vAlign w:val="center"/>
          </w:tcPr>
          <w:p w14:paraId="7C1332EB">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w:t>
            </w:r>
          </w:p>
        </w:tc>
        <w:tc>
          <w:tcPr>
            <w:tcW w:w="1921" w:type="pct"/>
            <w:vAlign w:val="center"/>
          </w:tcPr>
          <w:p w14:paraId="616C7C25">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85</w:t>
            </w:r>
          </w:p>
        </w:tc>
      </w:tr>
      <w:tr w14:paraId="139504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6" w:type="pct"/>
            <w:vAlign w:val="center"/>
          </w:tcPr>
          <w:p w14:paraId="30BD4DF8">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套丝切管机</w:t>
            </w:r>
          </w:p>
        </w:tc>
        <w:tc>
          <w:tcPr>
            <w:tcW w:w="1921" w:type="pct"/>
            <w:vAlign w:val="center"/>
          </w:tcPr>
          <w:p w14:paraId="7268B0EF">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100mm</w:t>
            </w:r>
          </w:p>
        </w:tc>
        <w:tc>
          <w:tcPr>
            <w:tcW w:w="1921" w:type="pct"/>
            <w:vAlign w:val="center"/>
          </w:tcPr>
          <w:p w14:paraId="2B8C445B">
            <w:pPr>
              <w:widowControl/>
              <w:spacing w:line="240" w:lineRule="atLeast"/>
              <w:jc w:val="center"/>
              <w:rPr>
                <w:rFonts w:hint="default" w:ascii="Times New Roman" w:hAnsi="Times New Roman" w:cs="Times New Roman"/>
                <w:snapToGrid w:val="0"/>
                <w:color w:val="auto"/>
                <w:kern w:val="0"/>
                <w:sz w:val="21"/>
                <w:szCs w:val="21"/>
                <w:lang w:val="zh-CN"/>
              </w:rPr>
            </w:pPr>
            <w:r>
              <w:rPr>
                <w:rFonts w:hint="default" w:ascii="Times New Roman" w:hAnsi="Times New Roman" w:cs="Times New Roman"/>
                <w:color w:val="auto"/>
                <w:kern w:val="0"/>
                <w:szCs w:val="21"/>
                <w:highlight w:val="none"/>
              </w:rPr>
              <w:t>75</w:t>
            </w:r>
          </w:p>
        </w:tc>
      </w:tr>
    </w:tbl>
    <w:p w14:paraId="5F62FC78">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施工中使用的各种施工机械、运输车辆等都是噪声的产生源。假设所有设备均为稳态连续发声状态，在不考虑任何声屏障情况下，各设备采用最大噪声值进行预测，根据声环境导则无指向性点源几何发散衰减模式：</w:t>
      </w:r>
    </w:p>
    <w:p w14:paraId="76571E53">
      <w:pPr>
        <w:pStyle w:val="44"/>
        <w:keepLines w:val="0"/>
        <w:pageBreakBefore w:val="0"/>
        <w:wordWrap/>
        <w:overflowPunct/>
        <w:topLinePunct w:val="0"/>
        <w:bidi w:val="0"/>
        <w:spacing w:line="360" w:lineRule="auto"/>
        <w:rPr>
          <w:rFonts w:hint="default" w:ascii="Times New Roman" w:hAnsi="Times New Roman" w:cs="Times New Roman"/>
          <w:color w:val="000000" w:themeColor="text1"/>
          <w:sz w:val="24"/>
          <w:szCs w:val="24"/>
          <w:highlight w:val="none"/>
          <w:lang w:val="fr-FR"/>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drawing>
          <wp:inline distT="0" distB="0" distL="114300" distR="114300">
            <wp:extent cx="1821815" cy="324485"/>
            <wp:effectExtent l="0" t="0" r="6985" b="18415"/>
            <wp:docPr id="2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7"/>
                    <pic:cNvPicPr>
                      <a:picLocks noChangeAspect="1"/>
                    </pic:cNvPicPr>
                  </pic:nvPicPr>
                  <pic:blipFill>
                    <a:blip r:embed="rId98"/>
                    <a:stretch>
                      <a:fillRect/>
                    </a:stretch>
                  </pic:blipFill>
                  <pic:spPr>
                    <a:xfrm>
                      <a:off x="0" y="0"/>
                      <a:ext cx="1821815" cy="324485"/>
                    </a:xfrm>
                    <a:prstGeom prst="rect">
                      <a:avLst/>
                    </a:prstGeom>
                    <a:noFill/>
                    <a:ln>
                      <a:noFill/>
                    </a:ln>
                  </pic:spPr>
                </pic:pic>
              </a:graphicData>
            </a:graphic>
          </wp:inline>
        </w:drawing>
      </w:r>
    </w:p>
    <w:p w14:paraId="62880FB4">
      <w:pPr>
        <w:keepLines w:val="0"/>
        <w:pageBreakBefore w:val="0"/>
        <w:wordWrap/>
        <w:overflowPunct/>
        <w:topLinePunct w:val="0"/>
        <w:bidi w:val="0"/>
        <w:spacing w:line="360" w:lineRule="auto"/>
        <w:ind w:firstLine="48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式中：L</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p</w:t>
      </w:r>
      <w:r>
        <w:rPr>
          <w:rFonts w:hint="default" w:ascii="Times New Roman" w:hAnsi="Times New Roman" w:cs="Times New Roman"/>
          <w:color w:val="000000" w:themeColor="text1"/>
          <w:sz w:val="24"/>
          <w:szCs w:val="24"/>
          <w:highlight w:val="none"/>
          <w14:textFill>
            <w14:solidFill>
              <w14:schemeClr w14:val="tx1"/>
            </w14:solidFill>
          </w14:textFill>
        </w:rPr>
        <w:t>(r)——距声源r处的A声级，dB</w:t>
      </w:r>
    </w:p>
    <w:p w14:paraId="26B184E0">
      <w:pPr>
        <w:keepLines w:val="0"/>
        <w:pageBreakBefore w:val="0"/>
        <w:wordWrap/>
        <w:overflowPunct/>
        <w:topLinePunct w:val="0"/>
        <w:bidi w:val="0"/>
        <w:spacing w:line="360" w:lineRule="auto"/>
        <w:ind w:firstLine="48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L</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p</w:t>
      </w:r>
      <w:r>
        <w:rPr>
          <w:rFonts w:hint="default" w:ascii="Times New Roman" w:hAnsi="Times New Roman" w:cs="Times New Roman"/>
          <w:color w:val="000000" w:themeColor="text1"/>
          <w:sz w:val="24"/>
          <w:szCs w:val="24"/>
          <w:highlight w:val="none"/>
          <w14:textFill>
            <w14:solidFill>
              <w14:schemeClr w14:val="tx1"/>
            </w14:solidFill>
          </w14:textFill>
        </w:rPr>
        <w:t>(r</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0</w:t>
      </w:r>
      <w:r>
        <w:rPr>
          <w:rFonts w:hint="default" w:ascii="Times New Roman" w:hAnsi="Times New Roman" w:cs="Times New Roman"/>
          <w:color w:val="000000" w:themeColor="text1"/>
          <w:sz w:val="24"/>
          <w:szCs w:val="24"/>
          <w:highlight w:val="none"/>
          <w14:textFill>
            <w14:solidFill>
              <w14:schemeClr w14:val="tx1"/>
            </w14:solidFill>
          </w14:textFill>
        </w:rPr>
        <w:t>)——声源噪声功率级，dB</w:t>
      </w:r>
    </w:p>
    <w:p w14:paraId="40E90465">
      <w:pPr>
        <w:keepLines w:val="0"/>
        <w:pageBreakBefore w:val="0"/>
        <w:wordWrap/>
        <w:overflowPunct/>
        <w:topLinePunct w:val="0"/>
        <w:bidi w:val="0"/>
        <w:spacing w:line="360" w:lineRule="auto"/>
        <w:ind w:firstLine="48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r——受声点与声源距离，m</w:t>
      </w:r>
    </w:p>
    <w:p w14:paraId="43585D09">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
        </w:rPr>
      </w:pPr>
      <w:r>
        <w:rPr>
          <w:rFonts w:hint="default" w:ascii="Times New Roman" w:hAnsi="Times New Roman" w:eastAsia="宋体" w:cs="Times New Roman"/>
          <w:snapToGrid w:val="0"/>
          <w:color w:val="auto"/>
          <w:kern w:val="0"/>
          <w:sz w:val="24"/>
          <w:szCs w:val="24"/>
          <w:lang w:val="en-US" w:eastAsia="zh-CN" w:bidi="ar"/>
        </w:rPr>
        <w:t>点声源距离衰减情况</w:t>
      </w:r>
      <w:r>
        <w:rPr>
          <w:rFonts w:hint="eastAsia" w:ascii="Times New Roman" w:hAnsi="Times New Roman" w:eastAsia="宋体" w:cs="Times New Roman"/>
          <w:snapToGrid w:val="0"/>
          <w:color w:val="auto"/>
          <w:kern w:val="0"/>
          <w:sz w:val="24"/>
          <w:szCs w:val="24"/>
          <w:lang w:val="en-US" w:eastAsia="zh-CN" w:bidi="ar"/>
        </w:rPr>
        <w:t>见表5.1-3。</w:t>
      </w:r>
    </w:p>
    <w:p w14:paraId="4D591021">
      <w:pPr>
        <w:keepNext w:val="0"/>
        <w:keepLines w:val="0"/>
        <w:pageBreakBefore w:val="0"/>
        <w:widowControl w:val="0"/>
        <w:kinsoku w:val="0"/>
        <w:wordWrap/>
        <w:overflowPunct/>
        <w:topLinePunct w:val="0"/>
        <w:autoSpaceDE w:val="0"/>
        <w:autoSpaceDN w:val="0"/>
        <w:bidi w:val="0"/>
        <w:adjustRightInd w:val="0"/>
        <w:snapToGrid w:val="0"/>
        <w:spacing w:line="240" w:lineRule="auto"/>
        <w:jc w:val="center"/>
        <w:textAlignment w:val="baseline"/>
        <w:rPr>
          <w:rFonts w:hint="default" w:ascii="Times New Roman" w:hAnsi="Times New Roman" w:eastAsia="宋体" w:cs="Times New Roman"/>
          <w:b/>
          <w:bCs/>
          <w:color w:val="auto"/>
          <w:spacing w:val="-5"/>
          <w:sz w:val="24"/>
          <w:szCs w:val="24"/>
          <w:lang w:val="zh-CN" w:eastAsia="zh-CN"/>
        </w:rPr>
      </w:pPr>
      <w:r>
        <w:rPr>
          <w:rFonts w:hint="default" w:ascii="Times New Roman" w:hAnsi="Times New Roman" w:eastAsia="宋体" w:cs="Times New Roman"/>
          <w:b/>
          <w:bCs/>
          <w:color w:val="auto"/>
          <w:spacing w:val="-5"/>
          <w:sz w:val="24"/>
          <w:szCs w:val="24"/>
          <w:lang w:val="zh-CN" w:eastAsia="zh-CN"/>
        </w:rPr>
        <w:t>表5.1-</w:t>
      </w:r>
      <w:r>
        <w:rPr>
          <w:rFonts w:hint="eastAsia" w:ascii="Times New Roman" w:hAnsi="Times New Roman" w:eastAsia="宋体" w:cs="Times New Roman"/>
          <w:b/>
          <w:bCs/>
          <w:color w:val="auto"/>
          <w:spacing w:val="-5"/>
          <w:sz w:val="24"/>
          <w:szCs w:val="24"/>
          <w:lang w:val="en-US" w:eastAsia="zh-CN"/>
        </w:rPr>
        <w:t xml:space="preserve">3 </w:t>
      </w:r>
      <w:r>
        <w:rPr>
          <w:rFonts w:hint="default" w:ascii="Times New Roman" w:hAnsi="Times New Roman" w:eastAsia="宋体" w:cs="Times New Roman"/>
          <w:b/>
          <w:bCs/>
          <w:color w:val="auto"/>
          <w:spacing w:val="-5"/>
          <w:sz w:val="24"/>
          <w:szCs w:val="24"/>
          <w:lang w:val="zh-CN" w:eastAsia="zh-CN"/>
        </w:rPr>
        <w:t xml:space="preserve"> 点声源距离衰减情况表</w:t>
      </w:r>
    </w:p>
    <w:tbl>
      <w:tblPr>
        <w:tblStyle w:val="2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3"/>
        <w:gridCol w:w="689"/>
        <w:gridCol w:w="689"/>
        <w:gridCol w:w="689"/>
        <w:gridCol w:w="641"/>
        <w:gridCol w:w="689"/>
        <w:gridCol w:w="689"/>
        <w:gridCol w:w="689"/>
        <w:gridCol w:w="689"/>
        <w:gridCol w:w="689"/>
        <w:gridCol w:w="689"/>
        <w:gridCol w:w="689"/>
      </w:tblGrid>
      <w:tr w14:paraId="0DC7E9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8" w:type="pct"/>
            <w:noWrap w:val="0"/>
            <w:vAlign w:val="center"/>
          </w:tcPr>
          <w:p w14:paraId="7202BEEC">
            <w:pPr>
              <w:pStyle w:val="37"/>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源强</w:t>
            </w:r>
          </w:p>
        </w:tc>
        <w:tc>
          <w:tcPr>
            <w:tcW w:w="4371" w:type="pct"/>
            <w:gridSpan w:val="11"/>
            <w:noWrap w:val="0"/>
            <w:vAlign w:val="center"/>
          </w:tcPr>
          <w:p w14:paraId="6EE80A98">
            <w:pPr>
              <w:pStyle w:val="37"/>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100dB（A）</w:t>
            </w:r>
          </w:p>
        </w:tc>
      </w:tr>
      <w:tr w14:paraId="12A014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8" w:type="pct"/>
            <w:noWrap w:val="0"/>
            <w:vAlign w:val="center"/>
          </w:tcPr>
          <w:p w14:paraId="41062815">
            <w:pPr>
              <w:pStyle w:val="37"/>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距离</w:t>
            </w:r>
          </w:p>
        </w:tc>
        <w:tc>
          <w:tcPr>
            <w:tcW w:w="333" w:type="pct"/>
            <w:noWrap w:val="0"/>
            <w:vAlign w:val="center"/>
          </w:tcPr>
          <w:p w14:paraId="36C51496">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31</w:t>
            </w:r>
          </w:p>
        </w:tc>
        <w:tc>
          <w:tcPr>
            <w:tcW w:w="333" w:type="pct"/>
            <w:noWrap w:val="0"/>
            <w:vAlign w:val="center"/>
          </w:tcPr>
          <w:p w14:paraId="48A103ED">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32</w:t>
            </w:r>
          </w:p>
        </w:tc>
        <w:tc>
          <w:tcPr>
            <w:tcW w:w="333" w:type="pct"/>
            <w:noWrap w:val="0"/>
            <w:vAlign w:val="center"/>
          </w:tcPr>
          <w:p w14:paraId="782E7CF8">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50</w:t>
            </w:r>
          </w:p>
        </w:tc>
        <w:tc>
          <w:tcPr>
            <w:tcW w:w="421" w:type="pct"/>
            <w:noWrap w:val="0"/>
            <w:vAlign w:val="center"/>
          </w:tcPr>
          <w:p w14:paraId="5B35A260">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100</w:t>
            </w:r>
          </w:p>
        </w:tc>
        <w:tc>
          <w:tcPr>
            <w:tcW w:w="421" w:type="pct"/>
            <w:noWrap w:val="0"/>
            <w:vAlign w:val="center"/>
          </w:tcPr>
          <w:p w14:paraId="4668FE07">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177</w:t>
            </w:r>
          </w:p>
        </w:tc>
        <w:tc>
          <w:tcPr>
            <w:tcW w:w="421" w:type="pct"/>
            <w:noWrap w:val="0"/>
            <w:vAlign w:val="center"/>
          </w:tcPr>
          <w:p w14:paraId="47C25BE1">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178</w:t>
            </w:r>
          </w:p>
        </w:tc>
        <w:tc>
          <w:tcPr>
            <w:tcW w:w="421" w:type="pct"/>
            <w:noWrap w:val="0"/>
            <w:vAlign w:val="center"/>
          </w:tcPr>
          <w:p w14:paraId="4A9D1C82">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200</w:t>
            </w:r>
          </w:p>
        </w:tc>
        <w:tc>
          <w:tcPr>
            <w:tcW w:w="421" w:type="pct"/>
            <w:noWrap w:val="0"/>
            <w:vAlign w:val="center"/>
          </w:tcPr>
          <w:p w14:paraId="58B7B848">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300</w:t>
            </w:r>
          </w:p>
        </w:tc>
        <w:tc>
          <w:tcPr>
            <w:tcW w:w="421" w:type="pct"/>
            <w:noWrap w:val="0"/>
            <w:vAlign w:val="center"/>
          </w:tcPr>
          <w:p w14:paraId="774F1CFD">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400</w:t>
            </w:r>
          </w:p>
        </w:tc>
        <w:tc>
          <w:tcPr>
            <w:tcW w:w="421" w:type="pct"/>
            <w:noWrap w:val="0"/>
            <w:vAlign w:val="center"/>
          </w:tcPr>
          <w:p w14:paraId="41548A5E">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500</w:t>
            </w:r>
          </w:p>
        </w:tc>
        <w:tc>
          <w:tcPr>
            <w:tcW w:w="423" w:type="pct"/>
            <w:noWrap w:val="0"/>
            <w:vAlign w:val="center"/>
          </w:tcPr>
          <w:p w14:paraId="12C3D842">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600</w:t>
            </w:r>
          </w:p>
        </w:tc>
      </w:tr>
      <w:tr w14:paraId="073ECE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8" w:type="pct"/>
            <w:noWrap w:val="0"/>
            <w:vAlign w:val="center"/>
          </w:tcPr>
          <w:p w14:paraId="2410FD5B">
            <w:pPr>
              <w:pStyle w:val="37"/>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贡献值</w:t>
            </w:r>
          </w:p>
        </w:tc>
        <w:tc>
          <w:tcPr>
            <w:tcW w:w="333" w:type="pct"/>
            <w:noWrap w:val="0"/>
            <w:vAlign w:val="center"/>
          </w:tcPr>
          <w:p w14:paraId="333D807A">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70.17</w:t>
            </w:r>
          </w:p>
        </w:tc>
        <w:tc>
          <w:tcPr>
            <w:tcW w:w="333" w:type="pct"/>
            <w:noWrap w:val="0"/>
            <w:vAlign w:val="center"/>
          </w:tcPr>
          <w:p w14:paraId="2120FA44">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69.90</w:t>
            </w:r>
          </w:p>
        </w:tc>
        <w:tc>
          <w:tcPr>
            <w:tcW w:w="333" w:type="pct"/>
            <w:noWrap w:val="0"/>
            <w:vAlign w:val="center"/>
          </w:tcPr>
          <w:p w14:paraId="2B585159">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66.02</w:t>
            </w:r>
          </w:p>
        </w:tc>
        <w:tc>
          <w:tcPr>
            <w:tcW w:w="421" w:type="pct"/>
            <w:noWrap w:val="0"/>
            <w:vAlign w:val="center"/>
          </w:tcPr>
          <w:p w14:paraId="4FA27B96">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60</w:t>
            </w:r>
          </w:p>
        </w:tc>
        <w:tc>
          <w:tcPr>
            <w:tcW w:w="421" w:type="pct"/>
            <w:noWrap w:val="0"/>
            <w:vAlign w:val="center"/>
          </w:tcPr>
          <w:p w14:paraId="616DE63B">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55.04</w:t>
            </w:r>
          </w:p>
        </w:tc>
        <w:tc>
          <w:tcPr>
            <w:tcW w:w="421" w:type="pct"/>
            <w:noWrap w:val="0"/>
            <w:vAlign w:val="center"/>
          </w:tcPr>
          <w:p w14:paraId="236FA6DF">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54.99</w:t>
            </w:r>
          </w:p>
        </w:tc>
        <w:tc>
          <w:tcPr>
            <w:tcW w:w="421" w:type="pct"/>
            <w:noWrap w:val="0"/>
            <w:vAlign w:val="center"/>
          </w:tcPr>
          <w:p w14:paraId="724BAB78">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53.98</w:t>
            </w:r>
          </w:p>
        </w:tc>
        <w:tc>
          <w:tcPr>
            <w:tcW w:w="421" w:type="pct"/>
            <w:noWrap w:val="0"/>
            <w:vAlign w:val="center"/>
          </w:tcPr>
          <w:p w14:paraId="321D1997">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50.45</w:t>
            </w:r>
          </w:p>
        </w:tc>
        <w:tc>
          <w:tcPr>
            <w:tcW w:w="421" w:type="pct"/>
            <w:noWrap w:val="0"/>
            <w:vAlign w:val="center"/>
          </w:tcPr>
          <w:p w14:paraId="2A429C08">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47.96</w:t>
            </w:r>
          </w:p>
        </w:tc>
        <w:tc>
          <w:tcPr>
            <w:tcW w:w="421" w:type="pct"/>
            <w:noWrap w:val="0"/>
            <w:vAlign w:val="center"/>
          </w:tcPr>
          <w:p w14:paraId="4184810E">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46.02</w:t>
            </w:r>
          </w:p>
        </w:tc>
        <w:tc>
          <w:tcPr>
            <w:tcW w:w="423" w:type="pct"/>
            <w:noWrap w:val="0"/>
            <w:vAlign w:val="center"/>
          </w:tcPr>
          <w:p w14:paraId="232C75E0">
            <w:pPr>
              <w:pStyle w:val="37"/>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44.43</w:t>
            </w:r>
          </w:p>
        </w:tc>
      </w:tr>
    </w:tbl>
    <w:p w14:paraId="5B7884CE">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
        </w:rPr>
      </w:pPr>
      <w:r>
        <w:rPr>
          <w:rFonts w:hint="eastAsia" w:ascii="Times New Roman" w:hAnsi="Times New Roman" w:eastAsia="宋体" w:cs="Times New Roman"/>
          <w:snapToGrid w:val="0"/>
          <w:color w:val="auto"/>
          <w:kern w:val="0"/>
          <w:sz w:val="24"/>
          <w:szCs w:val="24"/>
          <w:lang w:val="en-US" w:eastAsia="zh-CN" w:bidi="ar"/>
        </w:rPr>
        <w:t>根据《建筑施工噪声排放标准》（GB12523-2025）的规定，施工噪声控制在昼间70dB(A)，夜间控制在55dB(A)。</w:t>
      </w:r>
    </w:p>
    <w:p w14:paraId="47FBFAFF">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
        </w:rPr>
      </w:pPr>
      <w:r>
        <w:rPr>
          <w:rFonts w:hint="eastAsia" w:ascii="Times New Roman" w:hAnsi="Times New Roman" w:eastAsia="宋体" w:cs="Times New Roman"/>
          <w:snapToGrid w:val="0"/>
          <w:color w:val="auto"/>
          <w:kern w:val="0"/>
          <w:sz w:val="24"/>
          <w:szCs w:val="24"/>
          <w:lang w:val="en-US" w:eastAsia="zh-CN" w:bidi="ar"/>
        </w:rPr>
        <w:t>项目施工机械最大声功率级按100dB(A)计算，白天衰减至70dB(A)时需要满足的衰减距离为32m，夜间衰减至55dB(A)时需要满足的衰减距离为178m。本项目500m范围有居民点敏感目标，夜间不施工，能达到距离衰减的要求，对居民区影响较小。</w:t>
      </w:r>
    </w:p>
    <w:p w14:paraId="5C05AB3A">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
        </w:rPr>
      </w:pPr>
      <w:r>
        <w:rPr>
          <w:rFonts w:hint="eastAsia" w:ascii="Times New Roman" w:hAnsi="Times New Roman" w:eastAsia="宋体" w:cs="Times New Roman"/>
          <w:snapToGrid w:val="0"/>
          <w:color w:val="auto"/>
          <w:kern w:val="0"/>
          <w:sz w:val="24"/>
          <w:szCs w:val="24"/>
          <w:lang w:val="en-US" w:eastAsia="zh-CN" w:bidi="ar"/>
        </w:rPr>
        <w:t>本项目施工期间产生的噪声不会对周围环境造成明显影响，其施工场界声环境可满足《建筑施工噪声排放标准》（GB12523-2025）要求，对区域声环境不会产生显著性不良影响。</w:t>
      </w:r>
    </w:p>
    <w:p w14:paraId="5E562A8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5.1.4施工期固体废物环境影响评价</w:t>
      </w:r>
    </w:p>
    <w:p w14:paraId="2FA9B43A">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
        </w:rPr>
      </w:pPr>
      <w:r>
        <w:rPr>
          <w:rFonts w:hint="eastAsia" w:ascii="Times New Roman" w:hAnsi="Times New Roman" w:eastAsia="宋体" w:cs="Times New Roman"/>
          <w:snapToGrid w:val="0"/>
          <w:color w:val="auto"/>
          <w:kern w:val="0"/>
          <w:sz w:val="24"/>
          <w:szCs w:val="24"/>
          <w:lang w:val="en-US" w:eastAsia="zh-CN" w:bidi="ar"/>
        </w:rPr>
        <w:t>项目施工期间产生的废弃物主要是废弃的建筑材料和生活垃圾。对剩余建筑材料应进行回收或分类收集，建筑垃圾要及时清运、加以利用，施工人员产生的生活垃圾不要和建筑垃圾混放，定时清运到当地的垃圾处理站集中处理，对周围环境影响较小。</w:t>
      </w:r>
    </w:p>
    <w:p w14:paraId="55A52D39">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
        </w:rPr>
      </w:pPr>
      <w:r>
        <w:rPr>
          <w:rFonts w:hint="eastAsia" w:ascii="Times New Roman" w:hAnsi="Times New Roman" w:eastAsia="宋体" w:cs="Times New Roman"/>
          <w:snapToGrid w:val="0"/>
          <w:color w:val="auto"/>
          <w:kern w:val="0"/>
          <w:sz w:val="24"/>
          <w:szCs w:val="24"/>
          <w:lang w:val="en-US" w:eastAsia="zh-CN" w:bidi="ar"/>
        </w:rPr>
        <w:t>通过以上措施，项目建设产生的固体废物得到了妥善处置，施工期间对周围环境造成的短暂影响可以接受。</w:t>
      </w:r>
    </w:p>
    <w:p w14:paraId="2D41BA3C">
      <w:pPr>
        <w:pStyle w:val="10"/>
        <w:rPr>
          <w:rFonts w:hint="eastAsia" w:ascii="Times New Roman" w:hAnsi="Times New Roman" w:eastAsia="宋体" w:cs="Times New Roman"/>
          <w:snapToGrid w:val="0"/>
          <w:color w:val="auto"/>
          <w:kern w:val="0"/>
          <w:sz w:val="24"/>
          <w:szCs w:val="24"/>
          <w:lang w:val="en-US" w:eastAsia="zh-CN" w:bidi="ar"/>
        </w:rPr>
      </w:pPr>
    </w:p>
    <w:p w14:paraId="4DC9F4C9">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FF0000"/>
          <w:spacing w:val="6"/>
          <w:sz w:val="32"/>
          <w:szCs w:val="32"/>
          <w:lang w:val="en-US" w:eastAsia="zh-CN"/>
        </w:rPr>
      </w:pPr>
      <w:bookmarkStart w:id="51" w:name="_Toc23699"/>
      <w:r>
        <w:rPr>
          <w:rFonts w:hint="eastAsia" w:ascii="Times New Roman" w:hAnsi="Times New Roman" w:eastAsia="微软雅黑" w:cs="Times New Roman"/>
          <w:color w:val="auto"/>
          <w:spacing w:val="6"/>
          <w:sz w:val="32"/>
          <w:szCs w:val="32"/>
          <w:lang w:val="en-US" w:eastAsia="zh-CN"/>
        </w:rPr>
        <w:t>5</w:t>
      </w:r>
      <w:r>
        <w:rPr>
          <w:rFonts w:hint="default" w:ascii="Times New Roman" w:hAnsi="Times New Roman" w:eastAsia="微软雅黑" w:cs="Times New Roman"/>
          <w:color w:val="auto"/>
          <w:spacing w:val="6"/>
          <w:sz w:val="32"/>
          <w:szCs w:val="32"/>
          <w:lang w:val="en-US" w:eastAsia="zh-CN"/>
        </w:rPr>
        <w:t>.</w:t>
      </w:r>
      <w:r>
        <w:rPr>
          <w:rFonts w:hint="eastAsia" w:ascii="Times New Roman" w:hAnsi="Times New Roman" w:eastAsia="微软雅黑" w:cs="Times New Roman"/>
          <w:color w:val="auto"/>
          <w:spacing w:val="6"/>
          <w:sz w:val="32"/>
          <w:szCs w:val="32"/>
          <w:lang w:val="en-US" w:eastAsia="zh-CN"/>
        </w:rPr>
        <w:t>2</w:t>
      </w:r>
      <w:r>
        <w:rPr>
          <w:rFonts w:hint="default" w:ascii="Times New Roman" w:hAnsi="Times New Roman" w:eastAsia="微软雅黑" w:cs="Times New Roman"/>
          <w:color w:val="auto"/>
          <w:spacing w:val="6"/>
          <w:sz w:val="32"/>
          <w:szCs w:val="32"/>
          <w:lang w:val="en-US" w:eastAsia="zh-CN"/>
        </w:rPr>
        <w:t xml:space="preserve"> </w:t>
      </w:r>
      <w:r>
        <w:rPr>
          <w:rFonts w:hint="eastAsia" w:ascii="Times New Roman" w:hAnsi="Times New Roman" w:eastAsia="微软雅黑" w:cs="Times New Roman"/>
          <w:color w:val="auto"/>
          <w:spacing w:val="6"/>
          <w:sz w:val="32"/>
          <w:szCs w:val="32"/>
          <w:lang w:val="en-US" w:eastAsia="zh-CN"/>
        </w:rPr>
        <w:t>运行期</w:t>
      </w:r>
      <w:r>
        <w:rPr>
          <w:rFonts w:hint="default" w:ascii="Times New Roman" w:hAnsi="Times New Roman" w:eastAsia="微软雅黑" w:cs="Times New Roman"/>
          <w:color w:val="auto"/>
          <w:spacing w:val="6"/>
          <w:sz w:val="32"/>
          <w:szCs w:val="32"/>
          <w:lang w:val="en-US" w:eastAsia="zh-CN"/>
        </w:rPr>
        <w:t>环境影响</w:t>
      </w:r>
      <w:r>
        <w:rPr>
          <w:rFonts w:hint="eastAsia" w:ascii="Times New Roman" w:hAnsi="Times New Roman" w:eastAsia="微软雅黑" w:cs="Times New Roman"/>
          <w:color w:val="auto"/>
          <w:spacing w:val="6"/>
          <w:sz w:val="32"/>
          <w:szCs w:val="32"/>
          <w:lang w:val="en-US" w:eastAsia="zh-CN"/>
        </w:rPr>
        <w:t>预测与评价</w:t>
      </w:r>
      <w:bookmarkEnd w:id="51"/>
    </w:p>
    <w:p w14:paraId="7A3DF140">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5.2.1大气环境影响预测与评价</w:t>
      </w:r>
    </w:p>
    <w:p w14:paraId="4EE9B61A">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bookmarkStart w:id="52" w:name="_Hlk6926034"/>
      <w:r>
        <w:rPr>
          <w:rFonts w:hint="default" w:ascii="Times New Roman" w:hAnsi="Times New Roman" w:eastAsia="宋体" w:cs="Times New Roman"/>
          <w:b/>
          <w:bCs/>
          <w:color w:val="auto"/>
          <w:sz w:val="28"/>
          <w:szCs w:val="28"/>
          <w:lang w:val="en-US" w:eastAsia="zh-CN"/>
        </w:rPr>
        <w:t>5.2.1.1大气环境影响预测</w:t>
      </w:r>
    </w:p>
    <w:p w14:paraId="4AF4BB8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eastAsia" w:ascii="Times New Roman" w:hAnsi="Times New Roman" w:eastAsia="宋体" w:cs="Times New Roman"/>
          <w:color w:val="auto"/>
          <w:sz w:val="24"/>
          <w:szCs w:val="24"/>
          <w:lang w:val="en-US" w:eastAsia="zh-CN"/>
        </w:rPr>
        <w:t>1</w:t>
      </w:r>
      <w:r>
        <w:rPr>
          <w:rFonts w:hint="default" w:ascii="Times New Roman" w:hAnsi="Times New Roman" w:cs="Times New Roman"/>
          <w:color w:val="auto"/>
          <w:sz w:val="24"/>
          <w:szCs w:val="24"/>
        </w:rPr>
        <w:t>、评价因子和评价标准</w:t>
      </w:r>
    </w:p>
    <w:p w14:paraId="2D5B71E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lang w:eastAsia="zh-CN"/>
        </w:rPr>
      </w:pPr>
      <w:r>
        <w:rPr>
          <w:rFonts w:hint="default" w:ascii="Times New Roman" w:hAnsi="Times New Roman" w:eastAsia="宋体" w:cs="Times New Roman"/>
          <w:color w:val="auto"/>
          <w:sz w:val="24"/>
          <w:szCs w:val="24"/>
          <w:highlight w:val="none"/>
        </w:rPr>
        <w:t>评价因子和评价标准见表5.2-1。</w:t>
      </w:r>
    </w:p>
    <w:p w14:paraId="3C0EEC1B">
      <w:pPr>
        <w:pStyle w:val="44"/>
        <w:tabs>
          <w:tab w:val="left" w:pos="567"/>
          <w:tab w:val="clear" w:pos="1120"/>
        </w:tabs>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eastAsia" w:ascii="Times New Roman" w:hAnsi="Times New Roman" w:cs="Times New Roman"/>
          <w:color w:val="auto"/>
          <w:lang w:val="en-US" w:eastAsia="zh-CN"/>
        </w:rPr>
        <w:t>5.2</w:t>
      </w:r>
      <w:r>
        <w:rPr>
          <w:rFonts w:hint="default" w:ascii="Times New Roman" w:hAnsi="Times New Roman" w:cs="Times New Roman"/>
          <w:color w:val="auto"/>
          <w:lang w:eastAsia="zh-CN"/>
        </w:rPr>
        <w:t>-</w:t>
      </w:r>
      <w:r>
        <w:rPr>
          <w:rFonts w:hint="eastAsia" w:cs="Times New Roman"/>
          <w:color w:val="auto"/>
          <w:lang w:val="en-US" w:eastAsia="zh-CN"/>
        </w:rPr>
        <w:t>1</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rPr>
        <w:t>评价因子和评价参数表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66"/>
        <w:gridCol w:w="1512"/>
        <w:gridCol w:w="2024"/>
        <w:gridCol w:w="3520"/>
      </w:tblGrid>
      <w:tr w14:paraId="7D713EF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860" w:type="pct"/>
            <w:tcBorders>
              <w:tl2br w:val="nil"/>
              <w:tr2bl w:val="nil"/>
            </w:tcBorders>
            <w:vAlign w:val="center"/>
          </w:tcPr>
          <w:p w14:paraId="0227CE5D">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评价因子</w:t>
            </w:r>
          </w:p>
        </w:tc>
        <w:tc>
          <w:tcPr>
            <w:tcW w:w="887" w:type="pct"/>
            <w:tcBorders>
              <w:tl2br w:val="nil"/>
              <w:tr2bl w:val="nil"/>
            </w:tcBorders>
            <w:vAlign w:val="center"/>
          </w:tcPr>
          <w:p w14:paraId="45358B97">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平均时段</w:t>
            </w:r>
          </w:p>
        </w:tc>
        <w:tc>
          <w:tcPr>
            <w:tcW w:w="1187" w:type="pct"/>
            <w:tcBorders>
              <w:tl2br w:val="nil"/>
              <w:tr2bl w:val="nil"/>
            </w:tcBorders>
            <w:vAlign w:val="center"/>
          </w:tcPr>
          <w:p w14:paraId="3ADA8846">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标准值/（μg/m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w:t>
            </w:r>
          </w:p>
        </w:tc>
        <w:tc>
          <w:tcPr>
            <w:tcW w:w="2064" w:type="pct"/>
            <w:tcBorders>
              <w:tl2br w:val="nil"/>
              <w:tr2bl w:val="nil"/>
            </w:tcBorders>
            <w:vAlign w:val="center"/>
          </w:tcPr>
          <w:p w14:paraId="18882634">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标准来源</w:t>
            </w:r>
          </w:p>
        </w:tc>
      </w:tr>
      <w:tr w14:paraId="795D4D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860" w:type="pct"/>
            <w:tcBorders>
              <w:tl2br w:val="nil"/>
              <w:tr2bl w:val="nil"/>
            </w:tcBorders>
            <w:vAlign w:val="center"/>
          </w:tcPr>
          <w:p w14:paraId="2BEA26F0">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TSP</w:t>
            </w:r>
          </w:p>
        </w:tc>
        <w:tc>
          <w:tcPr>
            <w:tcW w:w="887" w:type="pct"/>
            <w:tcBorders>
              <w:tl2br w:val="nil"/>
              <w:tr2bl w:val="nil"/>
            </w:tcBorders>
            <w:vAlign w:val="center"/>
          </w:tcPr>
          <w:p w14:paraId="1913F4AA">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24小时平均</w:t>
            </w:r>
          </w:p>
        </w:tc>
        <w:tc>
          <w:tcPr>
            <w:tcW w:w="1187" w:type="pct"/>
            <w:tcBorders>
              <w:tl2br w:val="nil"/>
              <w:tr2bl w:val="nil"/>
            </w:tcBorders>
            <w:vAlign w:val="center"/>
          </w:tcPr>
          <w:p w14:paraId="30CEA8E3">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300</w:t>
            </w:r>
          </w:p>
        </w:tc>
        <w:tc>
          <w:tcPr>
            <w:tcW w:w="2064" w:type="pct"/>
            <w:vMerge w:val="restart"/>
            <w:tcBorders>
              <w:tl2br w:val="nil"/>
              <w:tr2bl w:val="nil"/>
            </w:tcBorders>
            <w:vAlign w:val="center"/>
          </w:tcPr>
          <w:p w14:paraId="61CB55FA">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《环境空气质量标准》（GB3095-2012）及其修改单表2中的二级标准限值</w:t>
            </w:r>
          </w:p>
        </w:tc>
      </w:tr>
      <w:tr w14:paraId="521FD3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5" w:hRule="atLeast"/>
          <w:tblHeader/>
          <w:jc w:val="center"/>
        </w:trPr>
        <w:tc>
          <w:tcPr>
            <w:tcW w:w="860" w:type="pct"/>
            <w:tcBorders>
              <w:tl2br w:val="nil"/>
              <w:tr2bl w:val="nil"/>
            </w:tcBorders>
            <w:shd w:val="clear" w:color="auto" w:fill="auto"/>
            <w:vAlign w:val="center"/>
          </w:tcPr>
          <w:p w14:paraId="69EBA863">
            <w:pPr>
              <w:kinsoku w:val="0"/>
              <w:overflowPunct w:val="0"/>
              <w:autoSpaceDE w:val="0"/>
              <w:autoSpaceDN w:val="0"/>
              <w:spacing w:line="240" w:lineRule="auto"/>
              <w:ind w:firstLine="0" w:firstLineChars="0"/>
              <w:jc w:val="center"/>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kern w:val="0"/>
                <w:sz w:val="21"/>
                <w:szCs w:val="21"/>
              </w:rPr>
              <w:t>二氧化硫</w:t>
            </w:r>
          </w:p>
        </w:tc>
        <w:tc>
          <w:tcPr>
            <w:tcW w:w="887" w:type="pct"/>
            <w:tcBorders>
              <w:tl2br w:val="nil"/>
              <w:tr2bl w:val="nil"/>
            </w:tcBorders>
            <w:shd w:val="clear" w:color="auto" w:fill="auto"/>
            <w:vAlign w:val="center"/>
          </w:tcPr>
          <w:p w14:paraId="65423BA2">
            <w:pPr>
              <w:kinsoku w:val="0"/>
              <w:overflowPunct w:val="0"/>
              <w:autoSpaceDE w:val="0"/>
              <w:autoSpaceDN w:val="0"/>
              <w:spacing w:line="240" w:lineRule="auto"/>
              <w:ind w:firstLine="0" w:firstLineChars="0"/>
              <w:jc w:val="center"/>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kern w:val="0"/>
                <w:sz w:val="21"/>
                <w:szCs w:val="21"/>
              </w:rPr>
              <w:t>1小时平均</w:t>
            </w:r>
          </w:p>
        </w:tc>
        <w:tc>
          <w:tcPr>
            <w:tcW w:w="1187" w:type="pct"/>
            <w:tcBorders>
              <w:tl2br w:val="nil"/>
              <w:tr2bl w:val="nil"/>
            </w:tcBorders>
            <w:shd w:val="clear" w:color="auto" w:fill="auto"/>
            <w:vAlign w:val="center"/>
          </w:tcPr>
          <w:p w14:paraId="67509271">
            <w:pPr>
              <w:kinsoku w:val="0"/>
              <w:overflowPunct w:val="0"/>
              <w:autoSpaceDE w:val="0"/>
              <w:autoSpaceDN w:val="0"/>
              <w:spacing w:line="240" w:lineRule="auto"/>
              <w:ind w:firstLine="0" w:firstLineChars="0"/>
              <w:jc w:val="center"/>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kern w:val="0"/>
                <w:sz w:val="21"/>
                <w:szCs w:val="21"/>
              </w:rPr>
              <w:t>500</w:t>
            </w:r>
          </w:p>
        </w:tc>
        <w:tc>
          <w:tcPr>
            <w:tcW w:w="2064" w:type="pct"/>
            <w:vMerge w:val="continue"/>
            <w:tcBorders>
              <w:tl2br w:val="nil"/>
              <w:tr2bl w:val="nil"/>
            </w:tcBorders>
            <w:vAlign w:val="center"/>
          </w:tcPr>
          <w:p w14:paraId="63A62807">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p>
        </w:tc>
      </w:tr>
      <w:tr w14:paraId="641E78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860" w:type="pct"/>
            <w:tcBorders>
              <w:tl2br w:val="nil"/>
              <w:tr2bl w:val="nil"/>
            </w:tcBorders>
            <w:vAlign w:val="center"/>
          </w:tcPr>
          <w:p w14:paraId="24BD8B28">
            <w:pPr>
              <w:kinsoku w:val="0"/>
              <w:overflowPunct w:val="0"/>
              <w:autoSpaceDE w:val="0"/>
              <w:autoSpaceDN w:val="0"/>
              <w:spacing w:line="240" w:lineRule="auto"/>
              <w:ind w:firstLine="0" w:firstLineChars="0"/>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氮氧化物</w:t>
            </w:r>
          </w:p>
        </w:tc>
        <w:tc>
          <w:tcPr>
            <w:tcW w:w="887" w:type="pct"/>
            <w:tcBorders>
              <w:tl2br w:val="nil"/>
              <w:tr2bl w:val="nil"/>
            </w:tcBorders>
            <w:vAlign w:val="center"/>
          </w:tcPr>
          <w:p w14:paraId="701605F9">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1小时平均</w:t>
            </w:r>
          </w:p>
        </w:tc>
        <w:tc>
          <w:tcPr>
            <w:tcW w:w="1187" w:type="pct"/>
            <w:tcBorders>
              <w:tl2br w:val="nil"/>
              <w:tr2bl w:val="nil"/>
            </w:tcBorders>
            <w:vAlign w:val="center"/>
          </w:tcPr>
          <w:p w14:paraId="25CE4DDE">
            <w:pPr>
              <w:kinsoku w:val="0"/>
              <w:overflowPunct w:val="0"/>
              <w:autoSpaceDE w:val="0"/>
              <w:autoSpaceDN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250</w:t>
            </w:r>
          </w:p>
        </w:tc>
        <w:tc>
          <w:tcPr>
            <w:tcW w:w="2064" w:type="pct"/>
            <w:vMerge w:val="continue"/>
            <w:tcBorders>
              <w:tl2br w:val="nil"/>
              <w:tr2bl w:val="nil"/>
            </w:tcBorders>
            <w:vAlign w:val="center"/>
          </w:tcPr>
          <w:p w14:paraId="7FFC7DAF">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p>
        </w:tc>
      </w:tr>
      <w:tr w14:paraId="48D96E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4" w:hRule="atLeast"/>
          <w:tblHeader/>
          <w:jc w:val="center"/>
        </w:trPr>
        <w:tc>
          <w:tcPr>
            <w:tcW w:w="860" w:type="pct"/>
            <w:tcBorders>
              <w:tl2br w:val="nil"/>
              <w:tr2bl w:val="nil"/>
            </w:tcBorders>
            <w:vAlign w:val="center"/>
          </w:tcPr>
          <w:p w14:paraId="58EA8A90">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非甲烷总烃</w:t>
            </w:r>
          </w:p>
        </w:tc>
        <w:tc>
          <w:tcPr>
            <w:tcW w:w="887" w:type="pct"/>
            <w:tcBorders>
              <w:tl2br w:val="nil"/>
              <w:tr2bl w:val="nil"/>
            </w:tcBorders>
            <w:vAlign w:val="center"/>
          </w:tcPr>
          <w:p w14:paraId="4F5742F8">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1小时平均</w:t>
            </w:r>
          </w:p>
        </w:tc>
        <w:tc>
          <w:tcPr>
            <w:tcW w:w="1187" w:type="pct"/>
            <w:tcBorders>
              <w:tl2br w:val="nil"/>
              <w:tr2bl w:val="nil"/>
            </w:tcBorders>
            <w:vAlign w:val="center"/>
          </w:tcPr>
          <w:p w14:paraId="5FD454E1">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2000</w:t>
            </w:r>
          </w:p>
        </w:tc>
        <w:tc>
          <w:tcPr>
            <w:tcW w:w="2064" w:type="pct"/>
            <w:tcBorders>
              <w:tl2br w:val="nil"/>
              <w:tr2bl w:val="nil"/>
            </w:tcBorders>
            <w:vAlign w:val="center"/>
          </w:tcPr>
          <w:p w14:paraId="5D45E5C2">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《大气污染物综合排放标准详解》（国家环境保护局科技标准司）</w:t>
            </w:r>
          </w:p>
        </w:tc>
      </w:tr>
      <w:tr w14:paraId="768023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860" w:type="pct"/>
            <w:tcBorders>
              <w:tl2br w:val="nil"/>
              <w:tr2bl w:val="nil"/>
            </w:tcBorders>
            <w:vAlign w:val="center"/>
          </w:tcPr>
          <w:p w14:paraId="7B3E8636">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甲苯</w:t>
            </w:r>
          </w:p>
        </w:tc>
        <w:tc>
          <w:tcPr>
            <w:tcW w:w="887" w:type="pct"/>
            <w:tcBorders>
              <w:tl2br w:val="nil"/>
              <w:tr2bl w:val="nil"/>
            </w:tcBorders>
            <w:vAlign w:val="center"/>
          </w:tcPr>
          <w:p w14:paraId="55A135F2">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1小时平均</w:t>
            </w:r>
          </w:p>
        </w:tc>
        <w:tc>
          <w:tcPr>
            <w:tcW w:w="1187" w:type="pct"/>
            <w:tcBorders>
              <w:tl2br w:val="nil"/>
              <w:tr2bl w:val="nil"/>
            </w:tcBorders>
            <w:vAlign w:val="center"/>
          </w:tcPr>
          <w:p w14:paraId="50A66B1F">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200</w:t>
            </w:r>
          </w:p>
        </w:tc>
        <w:tc>
          <w:tcPr>
            <w:tcW w:w="2064" w:type="pct"/>
            <w:vMerge w:val="restart"/>
            <w:tcBorders>
              <w:tl2br w:val="nil"/>
              <w:tr2bl w:val="nil"/>
            </w:tcBorders>
            <w:vAlign w:val="center"/>
          </w:tcPr>
          <w:p w14:paraId="49DF88BF">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《环境影响评价技术导则 大气环境》（HJ2.2-2018）中附录D</w:t>
            </w:r>
          </w:p>
        </w:tc>
      </w:tr>
      <w:tr w14:paraId="48FFBD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67" w:type="dxa"/>
            <w:tcBorders>
              <w:tl2br w:val="nil"/>
              <w:tr2bl w:val="nil"/>
            </w:tcBorders>
            <w:vAlign w:val="center"/>
          </w:tcPr>
          <w:p w14:paraId="3F0B35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eastAsia" w:cs="Times New Roman"/>
                <w:color w:val="auto"/>
                <w:sz w:val="21"/>
                <w:szCs w:val="21"/>
                <w:vertAlign w:val="baseline"/>
                <w:lang w:val="en-US" w:eastAsia="zh-CN"/>
              </w:rPr>
              <w:t>丙烯腈</w:t>
            </w:r>
          </w:p>
        </w:tc>
        <w:tc>
          <w:tcPr>
            <w:tcW w:w="1512" w:type="dxa"/>
            <w:tcBorders>
              <w:tl2br w:val="nil"/>
              <w:tr2bl w:val="nil"/>
            </w:tcBorders>
            <w:vAlign w:val="center"/>
          </w:tcPr>
          <w:p w14:paraId="63548F64">
            <w:pPr>
              <w:keepNext w:val="0"/>
              <w:keepLines w:val="0"/>
              <w:pageBreakBefore w:val="0"/>
              <w:shd w:val="clear" w:color="auto" w:fill="auto"/>
              <w:kinsoku/>
              <w:wordWrap/>
              <w:overflowPunct/>
              <w:topLinePunct w:val="0"/>
              <w:autoSpaceDE w:val="0"/>
              <w:autoSpaceDN w:val="0"/>
              <w:bidi w:val="0"/>
              <w:adjustRightInd/>
              <w:snapToGrid/>
              <w:spacing w:line="240" w:lineRule="auto"/>
              <w:ind w:left="0" w:leftChars="0"/>
              <w:jc w:val="center"/>
              <w:textAlignment w:val="bottom"/>
              <w:rPr>
                <w:rFonts w:hint="default" w:ascii="Times New Roman" w:hAnsi="Times New Roman" w:cs="Times New Roman"/>
                <w:color w:val="auto"/>
                <w:kern w:val="0"/>
                <w:sz w:val="21"/>
                <w:szCs w:val="21"/>
              </w:rPr>
            </w:pPr>
            <w:r>
              <w:rPr>
                <w:rFonts w:hint="default" w:ascii="Times New Roman" w:hAnsi="Times New Roman" w:cs="Times New Roman"/>
                <w:color w:val="auto"/>
                <w:kern w:val="2"/>
                <w:sz w:val="21"/>
                <w:szCs w:val="21"/>
              </w:rPr>
              <w:t>1小时平均</w:t>
            </w:r>
          </w:p>
        </w:tc>
        <w:tc>
          <w:tcPr>
            <w:tcW w:w="2024" w:type="dxa"/>
            <w:tcBorders>
              <w:tl2br w:val="nil"/>
              <w:tr2bl w:val="nil"/>
            </w:tcBorders>
            <w:vAlign w:val="center"/>
          </w:tcPr>
          <w:p w14:paraId="5F7C4D1A">
            <w:pPr>
              <w:pStyle w:val="38"/>
              <w:keepNext w:val="0"/>
              <w:keepLines w:val="0"/>
              <w:pageBreakBefore w:val="0"/>
              <w:shd w:val="clear" w:color="auto" w:fill="auto"/>
              <w:kinsoku/>
              <w:wordWrap/>
              <w:overflowPunct/>
              <w:topLinePunct w:val="0"/>
              <w:autoSpaceDE w:val="0"/>
              <w:autoSpaceDN w:val="0"/>
              <w:bidi w:val="0"/>
              <w:adjustRightInd/>
              <w:snapToGrid/>
              <w:spacing w:line="240" w:lineRule="auto"/>
              <w:ind w:left="0" w:leftChars="0"/>
              <w:jc w:val="center"/>
              <w:textAlignment w:val="bottom"/>
              <w:rPr>
                <w:rFonts w:hint="default" w:ascii="Times New Roman" w:hAnsi="Times New Roman" w:cs="Times New Roman"/>
                <w:color w:val="auto"/>
                <w:kern w:val="0"/>
                <w:sz w:val="21"/>
                <w:szCs w:val="21"/>
              </w:rPr>
            </w:pPr>
            <w:r>
              <w:rPr>
                <w:rFonts w:hint="eastAsia" w:ascii="Times New Roman" w:cs="Times New Roman"/>
                <w:color w:val="auto"/>
                <w:sz w:val="21"/>
                <w:szCs w:val="21"/>
                <w:highlight w:val="none"/>
                <w:lang w:val="en-US" w:eastAsia="zh-CN"/>
              </w:rPr>
              <w:t>50</w:t>
            </w:r>
          </w:p>
        </w:tc>
        <w:tc>
          <w:tcPr>
            <w:tcW w:w="2064" w:type="pct"/>
            <w:vMerge w:val="continue"/>
            <w:tcBorders>
              <w:tl2br w:val="nil"/>
              <w:tr2bl w:val="nil"/>
            </w:tcBorders>
            <w:vAlign w:val="center"/>
          </w:tcPr>
          <w:p w14:paraId="30813F51">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p>
        </w:tc>
      </w:tr>
      <w:tr w14:paraId="73B47F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67" w:type="dxa"/>
            <w:tcBorders>
              <w:tl2br w:val="nil"/>
              <w:tr2bl w:val="nil"/>
            </w:tcBorders>
            <w:vAlign w:val="center"/>
          </w:tcPr>
          <w:p w14:paraId="608572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rPr>
            </w:pPr>
            <w:r>
              <w:rPr>
                <w:rFonts w:hint="eastAsia" w:cs="Times New Roman"/>
                <w:color w:val="auto"/>
                <w:sz w:val="21"/>
                <w:szCs w:val="21"/>
                <w:vertAlign w:val="baseline"/>
                <w:lang w:val="en-US" w:eastAsia="zh-CN"/>
              </w:rPr>
              <w:t>苯乙烯</w:t>
            </w:r>
          </w:p>
        </w:tc>
        <w:tc>
          <w:tcPr>
            <w:tcW w:w="1512" w:type="dxa"/>
            <w:tcBorders>
              <w:tl2br w:val="nil"/>
              <w:tr2bl w:val="nil"/>
            </w:tcBorders>
            <w:vAlign w:val="center"/>
          </w:tcPr>
          <w:p w14:paraId="2E269706">
            <w:pPr>
              <w:keepNext w:val="0"/>
              <w:keepLines w:val="0"/>
              <w:pageBreakBefore w:val="0"/>
              <w:shd w:val="clear" w:color="auto" w:fill="auto"/>
              <w:kinsoku/>
              <w:wordWrap/>
              <w:overflowPunct/>
              <w:topLinePunct w:val="0"/>
              <w:autoSpaceDE w:val="0"/>
              <w:autoSpaceDN w:val="0"/>
              <w:bidi w:val="0"/>
              <w:adjustRightInd/>
              <w:snapToGrid/>
              <w:spacing w:line="240" w:lineRule="auto"/>
              <w:ind w:left="0" w:leftChars="0"/>
              <w:jc w:val="center"/>
              <w:textAlignment w:val="bottom"/>
              <w:rPr>
                <w:rFonts w:hint="default" w:ascii="Times New Roman" w:hAnsi="Times New Roman" w:cs="Times New Roman"/>
                <w:color w:val="auto"/>
                <w:kern w:val="0"/>
                <w:sz w:val="21"/>
                <w:szCs w:val="21"/>
              </w:rPr>
            </w:pPr>
            <w:r>
              <w:rPr>
                <w:rFonts w:hint="default" w:ascii="Times New Roman" w:hAnsi="Times New Roman" w:cs="Times New Roman"/>
                <w:color w:val="auto"/>
                <w:kern w:val="2"/>
                <w:sz w:val="21"/>
                <w:szCs w:val="21"/>
              </w:rPr>
              <w:t>1小时平均</w:t>
            </w:r>
          </w:p>
        </w:tc>
        <w:tc>
          <w:tcPr>
            <w:tcW w:w="2024" w:type="dxa"/>
            <w:tcBorders>
              <w:tl2br w:val="nil"/>
              <w:tr2bl w:val="nil"/>
            </w:tcBorders>
            <w:vAlign w:val="center"/>
          </w:tcPr>
          <w:p w14:paraId="19FFB36D">
            <w:pPr>
              <w:pStyle w:val="38"/>
              <w:keepNext w:val="0"/>
              <w:keepLines w:val="0"/>
              <w:pageBreakBefore w:val="0"/>
              <w:shd w:val="clear" w:color="auto" w:fill="auto"/>
              <w:kinsoku/>
              <w:wordWrap/>
              <w:overflowPunct/>
              <w:topLinePunct w:val="0"/>
              <w:autoSpaceDE w:val="0"/>
              <w:autoSpaceDN w:val="0"/>
              <w:bidi w:val="0"/>
              <w:adjustRightInd/>
              <w:snapToGrid/>
              <w:spacing w:line="240" w:lineRule="auto"/>
              <w:ind w:left="0" w:leftChars="0"/>
              <w:jc w:val="center"/>
              <w:textAlignment w:val="bottom"/>
              <w:rPr>
                <w:rFonts w:hint="default" w:ascii="Times New Roman" w:hAnsi="Times New Roman" w:cs="Times New Roman"/>
                <w:color w:val="auto"/>
                <w:kern w:val="0"/>
                <w:sz w:val="21"/>
                <w:szCs w:val="21"/>
              </w:rPr>
            </w:pPr>
            <w:r>
              <w:rPr>
                <w:rFonts w:hint="eastAsia" w:ascii="Times New Roman" w:cs="Times New Roman"/>
                <w:color w:val="auto"/>
                <w:sz w:val="21"/>
                <w:szCs w:val="21"/>
                <w:highlight w:val="none"/>
                <w:lang w:val="en-US" w:eastAsia="zh-CN"/>
              </w:rPr>
              <w:t>10</w:t>
            </w:r>
          </w:p>
        </w:tc>
        <w:tc>
          <w:tcPr>
            <w:tcW w:w="2064" w:type="pct"/>
            <w:vMerge w:val="continue"/>
            <w:tcBorders>
              <w:tl2br w:val="nil"/>
              <w:tr2bl w:val="nil"/>
            </w:tcBorders>
            <w:vAlign w:val="center"/>
          </w:tcPr>
          <w:p w14:paraId="6834EE10">
            <w:pPr>
              <w:kinsoku w:val="0"/>
              <w:overflowPunct w:val="0"/>
              <w:autoSpaceDE w:val="0"/>
              <w:autoSpaceDN w:val="0"/>
              <w:spacing w:line="240" w:lineRule="auto"/>
              <w:ind w:firstLine="0" w:firstLineChars="0"/>
              <w:jc w:val="center"/>
              <w:rPr>
                <w:rFonts w:hint="default" w:ascii="Times New Roman" w:hAnsi="Times New Roman" w:cs="Times New Roman"/>
                <w:color w:val="auto"/>
                <w:kern w:val="0"/>
                <w:sz w:val="21"/>
                <w:szCs w:val="21"/>
              </w:rPr>
            </w:pPr>
          </w:p>
        </w:tc>
      </w:tr>
    </w:tbl>
    <w:p w14:paraId="7756905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、估算模型参数</w:t>
      </w:r>
    </w:p>
    <w:p w14:paraId="6E23E77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color w:val="auto"/>
          <w:highlight w:val="none"/>
        </w:rPr>
      </w:pPr>
      <w:r>
        <w:rPr>
          <w:rFonts w:hint="default" w:ascii="Times New Roman" w:hAnsi="Times New Roman" w:eastAsia="宋体" w:cs="Times New Roman"/>
          <w:color w:val="auto"/>
          <w:sz w:val="24"/>
          <w:szCs w:val="24"/>
          <w:lang w:val="en-US" w:eastAsia="zh-CN"/>
        </w:rPr>
        <w:t>本项目估算模式所用参数见表5.2-</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w:t>
      </w:r>
    </w:p>
    <w:p w14:paraId="55B80A11">
      <w:pPr>
        <w:pStyle w:val="44"/>
        <w:keepNext/>
        <w:keepLines w:val="0"/>
        <w:pageBreakBefore w:val="0"/>
        <w:widowControl w:val="0"/>
        <w:kinsoku/>
        <w:wordWrap/>
        <w:overflowPunct/>
        <w:topLinePunct w:val="0"/>
        <w:autoSpaceDE/>
        <w:autoSpaceDN/>
        <w:bidi w:val="0"/>
        <w:adjustRightInd/>
        <w:snapToGrid/>
        <w:spacing w:line="240" w:lineRule="auto"/>
        <w:ind w:right="0"/>
        <w:textAlignment w:val="auto"/>
        <w:rPr>
          <w:color w:val="auto"/>
          <w:highlight w:val="none"/>
        </w:rPr>
      </w:pPr>
      <w:r>
        <w:rPr>
          <w:color w:val="auto"/>
          <w:highlight w:val="none"/>
        </w:rPr>
        <w:t>表</w:t>
      </w:r>
      <w:r>
        <w:rPr>
          <w:rFonts w:hint="eastAsia"/>
          <w:color w:val="auto"/>
          <w:highlight w:val="none"/>
          <w:lang w:val="en-US" w:eastAsia="zh-CN"/>
        </w:rPr>
        <w:t>5.2</w:t>
      </w:r>
      <w:r>
        <w:rPr>
          <w:color w:val="auto"/>
          <w:highlight w:val="none"/>
        </w:rPr>
        <w:t>-</w:t>
      </w:r>
      <w:r>
        <w:rPr>
          <w:rFonts w:hint="eastAsia"/>
          <w:color w:val="auto"/>
          <w:highlight w:val="none"/>
          <w:lang w:val="en-US" w:eastAsia="zh-CN"/>
        </w:rPr>
        <w:t>2</w:t>
      </w:r>
      <w:r>
        <w:rPr>
          <w:color w:val="auto"/>
          <w:highlight w:val="none"/>
        </w:rPr>
        <w:t xml:space="preserve">  估算模型参数表</w:t>
      </w:r>
    </w:p>
    <w:tbl>
      <w:tblPr>
        <w:tblStyle w:val="22"/>
        <w:tblW w:w="4997"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2278"/>
        <w:gridCol w:w="2699"/>
        <w:gridCol w:w="3540"/>
      </w:tblGrid>
      <w:tr w14:paraId="1F4F6FB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2921" w:type="pct"/>
            <w:gridSpan w:val="2"/>
            <w:tcBorders>
              <w:top w:val="single" w:color="auto" w:sz="12" w:space="0"/>
              <w:left w:val="nil"/>
              <w:bottom w:val="single" w:color="auto" w:sz="2" w:space="0"/>
              <w:right w:val="single" w:color="auto" w:sz="2" w:space="0"/>
            </w:tcBorders>
            <w:noWrap w:val="0"/>
            <w:vAlign w:val="center"/>
          </w:tcPr>
          <w:p w14:paraId="2644D28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参数</w:t>
            </w:r>
          </w:p>
        </w:tc>
        <w:tc>
          <w:tcPr>
            <w:tcW w:w="2078" w:type="pct"/>
            <w:tcBorders>
              <w:top w:val="single" w:color="auto" w:sz="12" w:space="0"/>
              <w:left w:val="single" w:color="auto" w:sz="2" w:space="0"/>
              <w:bottom w:val="single" w:color="auto" w:sz="2" w:space="0"/>
              <w:right w:val="nil"/>
            </w:tcBorders>
            <w:noWrap w:val="0"/>
            <w:vAlign w:val="center"/>
          </w:tcPr>
          <w:p w14:paraId="63499AB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取值</w:t>
            </w:r>
          </w:p>
        </w:tc>
      </w:tr>
      <w:tr w14:paraId="10F2B39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337" w:type="pct"/>
            <w:vMerge w:val="restart"/>
            <w:tcBorders>
              <w:top w:val="single" w:color="auto" w:sz="2" w:space="0"/>
              <w:left w:val="nil"/>
              <w:bottom w:val="single" w:color="auto" w:sz="2" w:space="0"/>
              <w:right w:val="single" w:color="auto" w:sz="2" w:space="0"/>
            </w:tcBorders>
            <w:noWrap w:val="0"/>
            <w:vAlign w:val="center"/>
          </w:tcPr>
          <w:p w14:paraId="6AD0674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城市/农村选项</w:t>
            </w:r>
          </w:p>
        </w:tc>
        <w:tc>
          <w:tcPr>
            <w:tcW w:w="1583" w:type="pct"/>
            <w:tcBorders>
              <w:top w:val="single" w:color="auto" w:sz="2" w:space="0"/>
              <w:left w:val="single" w:color="auto" w:sz="2" w:space="0"/>
              <w:bottom w:val="single" w:color="auto" w:sz="2" w:space="0"/>
              <w:right w:val="single" w:color="auto" w:sz="2" w:space="0"/>
            </w:tcBorders>
            <w:noWrap w:val="0"/>
            <w:vAlign w:val="center"/>
          </w:tcPr>
          <w:p w14:paraId="0A426DC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城市/农村</w:t>
            </w:r>
          </w:p>
        </w:tc>
        <w:tc>
          <w:tcPr>
            <w:tcW w:w="2078" w:type="pct"/>
            <w:tcBorders>
              <w:top w:val="single" w:color="auto" w:sz="2" w:space="0"/>
              <w:left w:val="single" w:color="auto" w:sz="2" w:space="0"/>
              <w:bottom w:val="single" w:color="auto" w:sz="2" w:space="0"/>
              <w:right w:val="nil"/>
            </w:tcBorders>
            <w:noWrap w:val="0"/>
            <w:vAlign w:val="center"/>
          </w:tcPr>
          <w:p w14:paraId="6135AF2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农村</w:t>
            </w:r>
          </w:p>
        </w:tc>
      </w:tr>
      <w:tr w14:paraId="4F612B0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337" w:type="pct"/>
            <w:vMerge w:val="continue"/>
            <w:tcBorders>
              <w:top w:val="single" w:color="auto" w:sz="2" w:space="0"/>
              <w:left w:val="nil"/>
              <w:bottom w:val="single" w:color="auto" w:sz="2" w:space="0"/>
              <w:right w:val="single" w:color="auto" w:sz="2" w:space="0"/>
            </w:tcBorders>
            <w:noWrap w:val="0"/>
            <w:vAlign w:val="center"/>
          </w:tcPr>
          <w:p w14:paraId="7EDC50F9">
            <w:pPr>
              <w:bidi w:val="0"/>
              <w:rPr>
                <w:rFonts w:hint="default" w:ascii="Times New Roman" w:hAnsi="Times New Roman" w:cs="Times New Roman"/>
                <w:color w:val="auto"/>
                <w:highlight w:val="none"/>
              </w:rPr>
            </w:pPr>
          </w:p>
        </w:tc>
        <w:tc>
          <w:tcPr>
            <w:tcW w:w="1583" w:type="pct"/>
            <w:tcBorders>
              <w:top w:val="single" w:color="auto" w:sz="2" w:space="0"/>
              <w:left w:val="single" w:color="auto" w:sz="2" w:space="0"/>
              <w:bottom w:val="single" w:color="auto" w:sz="2" w:space="0"/>
              <w:right w:val="single" w:color="auto" w:sz="2" w:space="0"/>
            </w:tcBorders>
            <w:noWrap w:val="0"/>
            <w:vAlign w:val="center"/>
          </w:tcPr>
          <w:p w14:paraId="68FD86B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人口数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城市人口数</w:t>
            </w:r>
            <w:r>
              <w:rPr>
                <w:rFonts w:hint="default" w:ascii="Times New Roman" w:hAnsi="Times New Roman" w:cs="Times New Roman"/>
                <w:color w:val="auto"/>
                <w:highlight w:val="none"/>
                <w:lang w:eastAsia="zh-CN"/>
              </w:rPr>
              <w:t>）</w:t>
            </w:r>
          </w:p>
        </w:tc>
        <w:tc>
          <w:tcPr>
            <w:tcW w:w="2078" w:type="pct"/>
            <w:tcBorders>
              <w:top w:val="single" w:color="auto" w:sz="2" w:space="0"/>
              <w:left w:val="single" w:color="auto" w:sz="2" w:space="0"/>
              <w:bottom w:val="single" w:color="auto" w:sz="2" w:space="0"/>
              <w:right w:val="nil"/>
            </w:tcBorders>
            <w:noWrap w:val="0"/>
            <w:vAlign w:val="center"/>
          </w:tcPr>
          <w:p w14:paraId="104D36C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7AC5FFC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2921" w:type="pct"/>
            <w:gridSpan w:val="2"/>
            <w:tcBorders>
              <w:top w:val="single" w:color="auto" w:sz="2" w:space="0"/>
              <w:left w:val="nil"/>
              <w:bottom w:val="single" w:color="auto" w:sz="2" w:space="0"/>
              <w:right w:val="single" w:color="auto" w:sz="2" w:space="0"/>
            </w:tcBorders>
            <w:noWrap w:val="0"/>
            <w:vAlign w:val="center"/>
          </w:tcPr>
          <w:p w14:paraId="1DEA750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最高环境温度</w:t>
            </w:r>
          </w:p>
        </w:tc>
        <w:tc>
          <w:tcPr>
            <w:tcW w:w="3858" w:type="dxa"/>
            <w:tcBorders>
              <w:top w:val="single" w:color="auto" w:sz="2" w:space="0"/>
              <w:left w:val="single" w:color="auto" w:sz="2" w:space="0"/>
              <w:bottom w:val="single" w:color="auto" w:sz="2" w:space="0"/>
              <w:right w:val="nil"/>
            </w:tcBorders>
            <w:noWrap w:val="0"/>
            <w:vAlign w:val="center"/>
          </w:tcPr>
          <w:p w14:paraId="730EBEAD">
            <w:pPr>
              <w:pStyle w:val="35"/>
              <w:keepNext w:val="0"/>
              <w:keepLines w:val="0"/>
              <w:pageBreakBefore w:val="0"/>
              <w:widowControl w:val="0"/>
              <w:tabs>
                <w:tab w:val="left" w:pos="567"/>
                <w:tab w:val="left" w:pos="4440"/>
              </w:tabs>
              <w:kinsoku/>
              <w:wordWrap/>
              <w:overflowPunct/>
              <w:topLinePunct w:val="0"/>
              <w:autoSpaceDE w:val="0"/>
              <w:autoSpaceDN w:val="0"/>
              <w:bidi w:val="0"/>
              <w:adjustRightInd w:val="0"/>
              <w:snapToGrid/>
              <w:spacing w:line="240" w:lineRule="auto"/>
              <w:jc w:val="center"/>
              <w:textAlignment w:val="bottom"/>
              <w:outlineLvl w:val="9"/>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pacing w:val="0"/>
                <w:sz w:val="21"/>
                <w:szCs w:val="21"/>
                <w:highlight w:val="none"/>
                <w:vertAlign w:val="baseline"/>
                <w:lang w:val="en-US" w:eastAsia="zh-CN"/>
              </w:rPr>
              <w:t>37.3</w:t>
            </w:r>
          </w:p>
        </w:tc>
      </w:tr>
      <w:tr w14:paraId="5961BDB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2921" w:type="pct"/>
            <w:gridSpan w:val="2"/>
            <w:tcBorders>
              <w:top w:val="single" w:color="auto" w:sz="2" w:space="0"/>
              <w:left w:val="nil"/>
              <w:bottom w:val="single" w:color="auto" w:sz="2" w:space="0"/>
              <w:right w:val="single" w:color="auto" w:sz="2" w:space="0"/>
            </w:tcBorders>
            <w:noWrap w:val="0"/>
            <w:vAlign w:val="center"/>
          </w:tcPr>
          <w:p w14:paraId="02CE0AA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最低环境温度</w:t>
            </w:r>
          </w:p>
        </w:tc>
        <w:tc>
          <w:tcPr>
            <w:tcW w:w="3858" w:type="dxa"/>
            <w:tcBorders>
              <w:top w:val="single" w:color="auto" w:sz="2" w:space="0"/>
              <w:left w:val="single" w:color="auto" w:sz="2" w:space="0"/>
              <w:bottom w:val="single" w:color="auto" w:sz="2" w:space="0"/>
              <w:right w:val="nil"/>
            </w:tcBorders>
            <w:noWrap w:val="0"/>
            <w:vAlign w:val="center"/>
          </w:tcPr>
          <w:p w14:paraId="67F429FC">
            <w:pPr>
              <w:pStyle w:val="35"/>
              <w:keepNext w:val="0"/>
              <w:keepLines w:val="0"/>
              <w:pageBreakBefore w:val="0"/>
              <w:widowControl w:val="0"/>
              <w:tabs>
                <w:tab w:val="left" w:pos="567"/>
                <w:tab w:val="left" w:pos="4440"/>
              </w:tabs>
              <w:kinsoku/>
              <w:wordWrap/>
              <w:overflowPunct/>
              <w:topLinePunct w:val="0"/>
              <w:autoSpaceDE w:val="0"/>
              <w:autoSpaceDN w:val="0"/>
              <w:bidi w:val="0"/>
              <w:adjustRightInd w:val="0"/>
              <w:snapToGrid/>
              <w:spacing w:line="240" w:lineRule="auto"/>
              <w:jc w:val="center"/>
              <w:textAlignment w:val="bottom"/>
              <w:outlineLvl w:val="9"/>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-37.2</w:t>
            </w:r>
          </w:p>
        </w:tc>
      </w:tr>
      <w:tr w14:paraId="334F8A9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2921" w:type="pct"/>
            <w:gridSpan w:val="2"/>
            <w:tcBorders>
              <w:top w:val="single" w:color="auto" w:sz="2" w:space="0"/>
              <w:left w:val="nil"/>
              <w:bottom w:val="single" w:color="auto" w:sz="2" w:space="0"/>
              <w:right w:val="single" w:color="auto" w:sz="2" w:space="0"/>
            </w:tcBorders>
            <w:noWrap w:val="0"/>
            <w:vAlign w:val="center"/>
          </w:tcPr>
          <w:p w14:paraId="2E412F5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土地利用类型</w:t>
            </w:r>
          </w:p>
        </w:tc>
        <w:tc>
          <w:tcPr>
            <w:tcW w:w="2078" w:type="pct"/>
            <w:tcBorders>
              <w:top w:val="single" w:color="auto" w:sz="2" w:space="0"/>
              <w:left w:val="single" w:color="auto" w:sz="2" w:space="0"/>
              <w:bottom w:val="single" w:color="auto" w:sz="2" w:space="0"/>
              <w:right w:val="nil"/>
            </w:tcBorders>
            <w:noWrap w:val="0"/>
            <w:vAlign w:val="center"/>
          </w:tcPr>
          <w:p w14:paraId="4BBF3FD2">
            <w:pPr>
              <w:pStyle w:val="37"/>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农作地</w:t>
            </w:r>
          </w:p>
        </w:tc>
      </w:tr>
      <w:tr w14:paraId="6970CFD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2921" w:type="pct"/>
            <w:gridSpan w:val="2"/>
            <w:tcBorders>
              <w:top w:val="single" w:color="auto" w:sz="2" w:space="0"/>
              <w:left w:val="nil"/>
              <w:bottom w:val="single" w:color="auto" w:sz="2" w:space="0"/>
              <w:right w:val="single" w:color="auto" w:sz="2" w:space="0"/>
            </w:tcBorders>
            <w:noWrap w:val="0"/>
            <w:vAlign w:val="center"/>
          </w:tcPr>
          <w:p w14:paraId="0B49F05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区域湿度条件</w:t>
            </w:r>
          </w:p>
        </w:tc>
        <w:tc>
          <w:tcPr>
            <w:tcW w:w="2078" w:type="pct"/>
            <w:tcBorders>
              <w:top w:val="single" w:color="auto" w:sz="2" w:space="0"/>
              <w:left w:val="single" w:color="auto" w:sz="2" w:space="0"/>
              <w:bottom w:val="single" w:color="auto" w:sz="2" w:space="0"/>
              <w:right w:val="nil"/>
            </w:tcBorders>
            <w:noWrap w:val="0"/>
            <w:vAlign w:val="center"/>
          </w:tcPr>
          <w:p w14:paraId="1B2FF5D1">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中等湿度</w:t>
            </w:r>
          </w:p>
        </w:tc>
      </w:tr>
      <w:tr w14:paraId="43D240E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337" w:type="pct"/>
            <w:vMerge w:val="restart"/>
            <w:tcBorders>
              <w:top w:val="single" w:color="auto" w:sz="2" w:space="0"/>
              <w:left w:val="nil"/>
              <w:bottom w:val="single" w:color="auto" w:sz="2" w:space="0"/>
              <w:right w:val="single" w:color="auto" w:sz="2" w:space="0"/>
            </w:tcBorders>
            <w:noWrap w:val="0"/>
            <w:vAlign w:val="center"/>
          </w:tcPr>
          <w:p w14:paraId="76C77FC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是否考虑地形</w:t>
            </w:r>
          </w:p>
        </w:tc>
        <w:tc>
          <w:tcPr>
            <w:tcW w:w="1583" w:type="pct"/>
            <w:tcBorders>
              <w:top w:val="single" w:color="auto" w:sz="2" w:space="0"/>
              <w:left w:val="single" w:color="auto" w:sz="2" w:space="0"/>
              <w:bottom w:val="single" w:color="auto" w:sz="2" w:space="0"/>
              <w:right w:val="single" w:color="auto" w:sz="2" w:space="0"/>
            </w:tcBorders>
            <w:noWrap w:val="0"/>
            <w:vAlign w:val="center"/>
          </w:tcPr>
          <w:p w14:paraId="1CCF2CEA">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考虑地形</w:t>
            </w:r>
          </w:p>
        </w:tc>
        <w:tc>
          <w:tcPr>
            <w:tcW w:w="2078" w:type="pct"/>
            <w:tcBorders>
              <w:top w:val="single" w:color="auto" w:sz="2" w:space="0"/>
              <w:left w:val="single" w:color="auto" w:sz="2" w:space="0"/>
              <w:bottom w:val="single" w:color="auto" w:sz="2" w:space="0"/>
              <w:right w:val="nil"/>
            </w:tcBorders>
            <w:noWrap w:val="0"/>
            <w:vAlign w:val="center"/>
          </w:tcPr>
          <w:p w14:paraId="494EC26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是</w:t>
            </w:r>
          </w:p>
        </w:tc>
      </w:tr>
      <w:tr w14:paraId="7814A76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337" w:type="pct"/>
            <w:vMerge w:val="continue"/>
            <w:tcBorders>
              <w:top w:val="single" w:color="auto" w:sz="2" w:space="0"/>
              <w:left w:val="nil"/>
              <w:bottom w:val="single" w:color="auto" w:sz="2" w:space="0"/>
              <w:right w:val="single" w:color="auto" w:sz="2" w:space="0"/>
            </w:tcBorders>
            <w:noWrap w:val="0"/>
            <w:vAlign w:val="center"/>
          </w:tcPr>
          <w:p w14:paraId="6F0BF706">
            <w:pPr>
              <w:bidi w:val="0"/>
              <w:rPr>
                <w:rFonts w:hint="default" w:ascii="Times New Roman" w:hAnsi="Times New Roman" w:cs="Times New Roman"/>
                <w:color w:val="auto"/>
                <w:highlight w:val="none"/>
              </w:rPr>
            </w:pPr>
          </w:p>
        </w:tc>
        <w:tc>
          <w:tcPr>
            <w:tcW w:w="1583" w:type="pct"/>
            <w:tcBorders>
              <w:top w:val="single" w:color="auto" w:sz="2" w:space="0"/>
              <w:left w:val="single" w:color="auto" w:sz="2" w:space="0"/>
              <w:bottom w:val="single" w:color="auto" w:sz="2" w:space="0"/>
              <w:right w:val="single" w:color="auto" w:sz="2" w:space="0"/>
            </w:tcBorders>
            <w:noWrap w:val="0"/>
            <w:vAlign w:val="center"/>
          </w:tcPr>
          <w:p w14:paraId="2634DE7B">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地形数据分辨率</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m</w:t>
            </w:r>
            <w:r>
              <w:rPr>
                <w:rFonts w:hint="default" w:ascii="Times New Roman" w:hAnsi="Times New Roman" w:cs="Times New Roman"/>
                <w:color w:val="auto"/>
                <w:highlight w:val="none"/>
                <w:lang w:eastAsia="zh-CN"/>
              </w:rPr>
              <w:t>）</w:t>
            </w:r>
          </w:p>
        </w:tc>
        <w:tc>
          <w:tcPr>
            <w:tcW w:w="2078" w:type="pct"/>
            <w:tcBorders>
              <w:top w:val="single" w:color="auto" w:sz="2" w:space="0"/>
              <w:left w:val="single" w:color="auto" w:sz="2" w:space="0"/>
              <w:bottom w:val="single" w:color="auto" w:sz="2" w:space="0"/>
              <w:right w:val="nil"/>
            </w:tcBorders>
            <w:noWrap w:val="0"/>
            <w:vAlign w:val="center"/>
          </w:tcPr>
          <w:p w14:paraId="2D02969A">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r>
      <w:tr w14:paraId="0E23B0A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337" w:type="pct"/>
            <w:vMerge w:val="restart"/>
            <w:tcBorders>
              <w:top w:val="single" w:color="auto" w:sz="2" w:space="0"/>
              <w:left w:val="nil"/>
              <w:bottom w:val="single" w:color="auto" w:sz="2" w:space="0"/>
              <w:right w:val="single" w:color="auto" w:sz="2" w:space="0"/>
            </w:tcBorders>
            <w:noWrap w:val="0"/>
            <w:vAlign w:val="center"/>
          </w:tcPr>
          <w:p w14:paraId="05B22A3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是否考虑岸线熏烟</w:t>
            </w:r>
          </w:p>
        </w:tc>
        <w:tc>
          <w:tcPr>
            <w:tcW w:w="1583" w:type="pct"/>
            <w:tcBorders>
              <w:top w:val="single" w:color="auto" w:sz="2" w:space="0"/>
              <w:left w:val="single" w:color="auto" w:sz="2" w:space="0"/>
              <w:bottom w:val="single" w:color="auto" w:sz="2" w:space="0"/>
              <w:right w:val="single" w:color="auto" w:sz="2" w:space="0"/>
            </w:tcBorders>
            <w:noWrap w:val="0"/>
            <w:vAlign w:val="center"/>
          </w:tcPr>
          <w:p w14:paraId="6BEFB914">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考虑岸线熏烟</w:t>
            </w:r>
          </w:p>
        </w:tc>
        <w:tc>
          <w:tcPr>
            <w:tcW w:w="2078" w:type="pct"/>
            <w:tcBorders>
              <w:top w:val="single" w:color="auto" w:sz="2" w:space="0"/>
              <w:left w:val="single" w:color="auto" w:sz="2" w:space="0"/>
              <w:bottom w:val="single" w:color="auto" w:sz="2" w:space="0"/>
              <w:right w:val="nil"/>
            </w:tcBorders>
            <w:noWrap w:val="0"/>
            <w:vAlign w:val="center"/>
          </w:tcPr>
          <w:p w14:paraId="7195EB5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否</w:t>
            </w:r>
          </w:p>
        </w:tc>
      </w:tr>
      <w:tr w14:paraId="40FC2C4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337" w:type="pct"/>
            <w:vMerge w:val="continue"/>
            <w:tcBorders>
              <w:top w:val="single" w:color="auto" w:sz="2" w:space="0"/>
              <w:left w:val="nil"/>
              <w:bottom w:val="single" w:color="auto" w:sz="2" w:space="0"/>
              <w:right w:val="single" w:color="auto" w:sz="2" w:space="0"/>
            </w:tcBorders>
            <w:noWrap w:val="0"/>
            <w:vAlign w:val="center"/>
          </w:tcPr>
          <w:p w14:paraId="373768AD">
            <w:pPr>
              <w:bidi w:val="0"/>
              <w:rPr>
                <w:rFonts w:hint="default" w:ascii="Times New Roman" w:hAnsi="Times New Roman" w:cs="Times New Roman"/>
                <w:color w:val="auto"/>
                <w:highlight w:val="none"/>
              </w:rPr>
            </w:pPr>
          </w:p>
        </w:tc>
        <w:tc>
          <w:tcPr>
            <w:tcW w:w="1583" w:type="pct"/>
            <w:tcBorders>
              <w:top w:val="single" w:color="auto" w:sz="2" w:space="0"/>
              <w:left w:val="single" w:color="auto" w:sz="2" w:space="0"/>
              <w:bottom w:val="single" w:color="auto" w:sz="2" w:space="0"/>
              <w:right w:val="single" w:color="auto" w:sz="2" w:space="0"/>
            </w:tcBorders>
            <w:noWrap w:val="0"/>
            <w:vAlign w:val="center"/>
          </w:tcPr>
          <w:p w14:paraId="44AA533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岸线距离/m</w:t>
            </w:r>
          </w:p>
        </w:tc>
        <w:tc>
          <w:tcPr>
            <w:tcW w:w="2078" w:type="pct"/>
            <w:tcBorders>
              <w:top w:val="single" w:color="auto" w:sz="2" w:space="0"/>
              <w:left w:val="single" w:color="auto" w:sz="2" w:space="0"/>
              <w:bottom w:val="single" w:color="auto" w:sz="2" w:space="0"/>
              <w:right w:val="nil"/>
            </w:tcBorders>
            <w:noWrap w:val="0"/>
            <w:vAlign w:val="center"/>
          </w:tcPr>
          <w:p w14:paraId="723135FB">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5D4991E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1337" w:type="pct"/>
            <w:vMerge w:val="continue"/>
            <w:tcBorders>
              <w:top w:val="single" w:color="auto" w:sz="2" w:space="0"/>
              <w:left w:val="nil"/>
              <w:bottom w:val="single" w:color="auto" w:sz="12" w:space="0"/>
              <w:right w:val="single" w:color="auto" w:sz="2" w:space="0"/>
            </w:tcBorders>
            <w:noWrap w:val="0"/>
            <w:vAlign w:val="center"/>
          </w:tcPr>
          <w:p w14:paraId="05C6226A">
            <w:pPr>
              <w:bidi w:val="0"/>
              <w:rPr>
                <w:rFonts w:hint="default" w:ascii="Times New Roman" w:hAnsi="Times New Roman" w:cs="Times New Roman"/>
                <w:color w:val="auto"/>
                <w:highlight w:val="none"/>
              </w:rPr>
            </w:pPr>
          </w:p>
        </w:tc>
        <w:tc>
          <w:tcPr>
            <w:tcW w:w="1583" w:type="pct"/>
            <w:tcBorders>
              <w:top w:val="single" w:color="auto" w:sz="2" w:space="0"/>
              <w:left w:val="single" w:color="auto" w:sz="2" w:space="0"/>
              <w:bottom w:val="single" w:color="auto" w:sz="12" w:space="0"/>
              <w:right w:val="single" w:color="auto" w:sz="2" w:space="0"/>
            </w:tcBorders>
            <w:noWrap w:val="0"/>
            <w:vAlign w:val="center"/>
          </w:tcPr>
          <w:p w14:paraId="615FE19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岸线方向/°</w:t>
            </w:r>
          </w:p>
        </w:tc>
        <w:tc>
          <w:tcPr>
            <w:tcW w:w="2078" w:type="pct"/>
            <w:tcBorders>
              <w:top w:val="single" w:color="auto" w:sz="2" w:space="0"/>
              <w:left w:val="single" w:color="auto" w:sz="2" w:space="0"/>
              <w:bottom w:val="single" w:color="auto" w:sz="12" w:space="0"/>
              <w:right w:val="nil"/>
            </w:tcBorders>
            <w:noWrap w:val="0"/>
            <w:vAlign w:val="center"/>
          </w:tcPr>
          <w:p w14:paraId="62DF136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bl>
    <w:p w14:paraId="1AB2E488">
      <w:pPr>
        <w:pStyle w:val="35"/>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highlight w:val="none"/>
        </w:rPr>
      </w:pPr>
      <w:r>
        <w:rPr>
          <w:rFonts w:hint="eastAsia" w:ascii="Times New Roman" w:cs="Times New Roman"/>
          <w:color w:val="auto"/>
          <w:highlight w:val="none"/>
          <w:lang w:val="en-US" w:eastAsia="zh-CN"/>
        </w:rPr>
        <w:t>3</w:t>
      </w:r>
      <w:r>
        <w:rPr>
          <w:rFonts w:hint="default" w:ascii="Times New Roman" w:hAnsi="Times New Roman" w:eastAsia="宋体" w:cs="Times New Roman"/>
          <w:color w:val="auto"/>
          <w:highlight w:val="none"/>
        </w:rPr>
        <w:t>、污染源参数</w:t>
      </w:r>
    </w:p>
    <w:p w14:paraId="6A35138F">
      <w:pPr>
        <w:pStyle w:val="35"/>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本项目污染源排放参数见表5.2-</w:t>
      </w:r>
      <w:r>
        <w:rPr>
          <w:rFonts w:hint="eastAsia" w:ascii="Times New Roman" w:cs="Times New Roman"/>
          <w:color w:val="auto"/>
          <w:highlight w:val="none"/>
          <w:lang w:val="en-US" w:eastAsia="zh-CN"/>
        </w:rPr>
        <w:t>3</w:t>
      </w:r>
      <w:r>
        <w:rPr>
          <w:rFonts w:hint="default" w:ascii="Times New Roman" w:hAnsi="Times New Roman" w:eastAsia="宋体" w:cs="Times New Roman"/>
          <w:color w:val="auto"/>
          <w:highlight w:val="none"/>
        </w:rPr>
        <w:t>和表5.2-</w:t>
      </w:r>
      <w:r>
        <w:rPr>
          <w:rFonts w:hint="eastAsia" w:ascii="Times New Roman" w:cs="Times New Roman"/>
          <w:color w:val="auto"/>
          <w:highlight w:val="none"/>
          <w:lang w:val="en-US" w:eastAsia="zh-CN"/>
        </w:rPr>
        <w:t>4</w:t>
      </w:r>
      <w:r>
        <w:rPr>
          <w:rFonts w:hint="eastAsia" w:ascii="Times New Roman" w:cs="Times New Roman"/>
          <w:color w:val="auto"/>
          <w:highlight w:val="none"/>
          <w:lang w:eastAsia="zh-CN"/>
        </w:rPr>
        <w:t>。</w:t>
      </w:r>
    </w:p>
    <w:p w14:paraId="42AEDCBD">
      <w:pPr>
        <w:pStyle w:val="35"/>
        <w:rPr>
          <w:rFonts w:hint="default" w:ascii="Times New Roman" w:hAnsi="Times New Roman" w:eastAsia="宋体" w:cs="Times New Roman"/>
          <w:color w:val="FF0000"/>
          <w:highlight w:val="none"/>
        </w:rPr>
      </w:pPr>
    </w:p>
    <w:p w14:paraId="229F0B14">
      <w:pPr>
        <w:bidi w:val="0"/>
        <w:rPr>
          <w:rFonts w:hint="default" w:ascii="Times New Roman" w:hAnsi="Times New Roman" w:cs="Times New Roman"/>
          <w:color w:val="FF0000"/>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5728406">
      <w:pPr>
        <w:pStyle w:val="44"/>
        <w:tabs>
          <w:tab w:val="left" w:pos="567"/>
          <w:tab w:val="clear" w:pos="1120"/>
        </w:tabs>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eastAsia" w:ascii="Times New Roman" w:hAnsi="Times New Roman" w:cs="Times New Roman"/>
          <w:color w:val="auto"/>
          <w:lang w:val="en-US" w:eastAsia="zh-CN"/>
        </w:rPr>
        <w:t>5.2</w:t>
      </w:r>
      <w:r>
        <w:rPr>
          <w:rFonts w:hint="default" w:ascii="Times New Roman" w:hAnsi="Times New Roman" w:cs="Times New Roman"/>
          <w:color w:val="auto"/>
          <w:lang w:eastAsia="zh-CN"/>
        </w:rPr>
        <w:t>-</w:t>
      </w:r>
      <w:r>
        <w:rPr>
          <w:rFonts w:hint="eastAsia" w:cs="Times New Roman"/>
          <w:color w:val="auto"/>
          <w:lang w:val="en-US" w:eastAsia="zh-CN"/>
        </w:rPr>
        <w:t>3</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rPr>
        <w:t>点源估算参数表</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73"/>
        <w:gridCol w:w="1018"/>
        <w:gridCol w:w="632"/>
        <w:gridCol w:w="632"/>
        <w:gridCol w:w="753"/>
        <w:gridCol w:w="715"/>
        <w:gridCol w:w="664"/>
        <w:gridCol w:w="654"/>
        <w:gridCol w:w="651"/>
        <w:gridCol w:w="777"/>
        <w:gridCol w:w="529"/>
        <w:gridCol w:w="786"/>
        <w:gridCol w:w="832"/>
        <w:gridCol w:w="743"/>
        <w:gridCol w:w="837"/>
        <w:gridCol w:w="727"/>
        <w:gridCol w:w="727"/>
        <w:gridCol w:w="859"/>
        <w:gridCol w:w="765"/>
      </w:tblGrid>
      <w:tr w14:paraId="3243296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vAlign w:val="center"/>
          </w:tcPr>
          <w:p w14:paraId="1194ED2F">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编号</w:t>
            </w:r>
          </w:p>
        </w:tc>
        <w:tc>
          <w:tcPr>
            <w:tcW w:w="0" w:type="auto"/>
            <w:vMerge w:val="restart"/>
            <w:tcBorders>
              <w:tl2br w:val="nil"/>
              <w:tr2bl w:val="nil"/>
            </w:tcBorders>
            <w:vAlign w:val="center"/>
          </w:tcPr>
          <w:p w14:paraId="4977102B">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污染源</w:t>
            </w:r>
          </w:p>
        </w:tc>
        <w:tc>
          <w:tcPr>
            <w:tcW w:w="0" w:type="auto"/>
            <w:gridSpan w:val="2"/>
            <w:tcBorders>
              <w:tl2br w:val="nil"/>
              <w:tr2bl w:val="nil"/>
            </w:tcBorders>
            <w:vAlign w:val="center"/>
          </w:tcPr>
          <w:p w14:paraId="4CF09CB2">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排气筒底部中心坐标/m</w:t>
            </w:r>
          </w:p>
        </w:tc>
        <w:tc>
          <w:tcPr>
            <w:tcW w:w="0" w:type="auto"/>
            <w:vMerge w:val="restart"/>
            <w:tcBorders>
              <w:tl2br w:val="nil"/>
              <w:tr2bl w:val="nil"/>
            </w:tcBorders>
            <w:vAlign w:val="center"/>
          </w:tcPr>
          <w:p w14:paraId="2332FF37">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排气筒底部海拔高度/m</w:t>
            </w:r>
          </w:p>
        </w:tc>
        <w:tc>
          <w:tcPr>
            <w:tcW w:w="0" w:type="auto"/>
            <w:vMerge w:val="restart"/>
            <w:tcBorders>
              <w:tl2br w:val="nil"/>
              <w:tr2bl w:val="nil"/>
            </w:tcBorders>
            <w:vAlign w:val="center"/>
          </w:tcPr>
          <w:p w14:paraId="43666213">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排气筒高度/m</w:t>
            </w:r>
          </w:p>
        </w:tc>
        <w:tc>
          <w:tcPr>
            <w:tcW w:w="0" w:type="auto"/>
            <w:vMerge w:val="restart"/>
            <w:tcBorders>
              <w:tl2br w:val="nil"/>
              <w:tr2bl w:val="nil"/>
            </w:tcBorders>
            <w:vAlign w:val="center"/>
          </w:tcPr>
          <w:p w14:paraId="75C75412">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排气筒出口内径/m</w:t>
            </w:r>
          </w:p>
        </w:tc>
        <w:tc>
          <w:tcPr>
            <w:tcW w:w="0" w:type="auto"/>
            <w:vMerge w:val="restart"/>
            <w:tcBorders>
              <w:tl2br w:val="nil"/>
              <w:tr2bl w:val="nil"/>
            </w:tcBorders>
            <w:vAlign w:val="center"/>
          </w:tcPr>
          <w:p w14:paraId="5B61CAC0">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烟气流速m/s</w:t>
            </w:r>
          </w:p>
        </w:tc>
        <w:tc>
          <w:tcPr>
            <w:tcW w:w="0" w:type="auto"/>
            <w:vMerge w:val="restart"/>
            <w:tcBorders>
              <w:tl2br w:val="nil"/>
              <w:tr2bl w:val="nil"/>
            </w:tcBorders>
            <w:vAlign w:val="center"/>
          </w:tcPr>
          <w:p w14:paraId="56EFCC07">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烟气温度/℃</w:t>
            </w:r>
          </w:p>
        </w:tc>
        <w:tc>
          <w:tcPr>
            <w:tcW w:w="0" w:type="auto"/>
            <w:vMerge w:val="restart"/>
            <w:tcBorders>
              <w:tl2br w:val="nil"/>
              <w:tr2bl w:val="nil"/>
            </w:tcBorders>
            <w:vAlign w:val="center"/>
          </w:tcPr>
          <w:p w14:paraId="4B67BF45">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年排放小时数/h</w:t>
            </w:r>
          </w:p>
        </w:tc>
        <w:tc>
          <w:tcPr>
            <w:tcW w:w="0" w:type="auto"/>
            <w:vMerge w:val="restart"/>
            <w:tcBorders>
              <w:tl2br w:val="nil"/>
              <w:tr2bl w:val="nil"/>
            </w:tcBorders>
            <w:vAlign w:val="center"/>
          </w:tcPr>
          <w:p w14:paraId="08B9178C">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排放工况</w:t>
            </w:r>
          </w:p>
        </w:tc>
        <w:tc>
          <w:tcPr>
            <w:tcW w:w="6459" w:type="dxa"/>
            <w:gridSpan w:val="8"/>
            <w:tcBorders>
              <w:tl2br w:val="nil"/>
              <w:tr2bl w:val="nil"/>
            </w:tcBorders>
            <w:vAlign w:val="center"/>
          </w:tcPr>
          <w:p w14:paraId="3CB34C0D">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污染物排放速率(kg/h)</w:t>
            </w:r>
          </w:p>
        </w:tc>
      </w:tr>
      <w:tr w14:paraId="7D0380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14:paraId="55F2DA27">
            <w:pPr>
              <w:pStyle w:val="83"/>
              <w:spacing w:line="240" w:lineRule="auto"/>
              <w:ind w:left="22" w:right="22"/>
              <w:rPr>
                <w:rFonts w:hint="default" w:ascii="Times New Roman" w:hAnsi="Times New Roman" w:cs="Times New Roman"/>
                <w:color w:val="auto"/>
              </w:rPr>
            </w:pPr>
          </w:p>
        </w:tc>
        <w:tc>
          <w:tcPr>
            <w:tcW w:w="0" w:type="auto"/>
            <w:vMerge w:val="continue"/>
            <w:tcBorders>
              <w:tl2br w:val="nil"/>
              <w:tr2bl w:val="nil"/>
            </w:tcBorders>
            <w:vAlign w:val="center"/>
          </w:tcPr>
          <w:p w14:paraId="6E17D60C">
            <w:pPr>
              <w:pStyle w:val="83"/>
              <w:spacing w:line="240" w:lineRule="auto"/>
              <w:ind w:left="22" w:right="22"/>
              <w:rPr>
                <w:rFonts w:hint="default" w:ascii="Times New Roman" w:hAnsi="Times New Roman" w:cs="Times New Roman"/>
                <w:color w:val="auto"/>
              </w:rPr>
            </w:pPr>
          </w:p>
        </w:tc>
        <w:tc>
          <w:tcPr>
            <w:tcW w:w="0" w:type="auto"/>
            <w:tcBorders>
              <w:tl2br w:val="nil"/>
              <w:tr2bl w:val="nil"/>
            </w:tcBorders>
            <w:vAlign w:val="center"/>
          </w:tcPr>
          <w:p w14:paraId="6A4C85C9">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X</w:t>
            </w:r>
          </w:p>
        </w:tc>
        <w:tc>
          <w:tcPr>
            <w:tcW w:w="0" w:type="auto"/>
            <w:tcBorders>
              <w:tl2br w:val="nil"/>
              <w:tr2bl w:val="nil"/>
            </w:tcBorders>
            <w:vAlign w:val="center"/>
          </w:tcPr>
          <w:p w14:paraId="5E236B04">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Y</w:t>
            </w:r>
          </w:p>
        </w:tc>
        <w:tc>
          <w:tcPr>
            <w:tcW w:w="0" w:type="auto"/>
            <w:vMerge w:val="continue"/>
            <w:tcBorders>
              <w:tl2br w:val="nil"/>
              <w:tr2bl w:val="nil"/>
            </w:tcBorders>
            <w:vAlign w:val="center"/>
          </w:tcPr>
          <w:p w14:paraId="4E74D120">
            <w:pPr>
              <w:pStyle w:val="83"/>
              <w:spacing w:line="240" w:lineRule="auto"/>
              <w:ind w:left="22" w:right="22"/>
              <w:rPr>
                <w:rFonts w:hint="default" w:ascii="Times New Roman" w:hAnsi="Times New Roman" w:cs="Times New Roman"/>
                <w:color w:val="auto"/>
              </w:rPr>
            </w:pPr>
          </w:p>
        </w:tc>
        <w:tc>
          <w:tcPr>
            <w:tcW w:w="0" w:type="auto"/>
            <w:vMerge w:val="continue"/>
            <w:tcBorders>
              <w:tl2br w:val="nil"/>
              <w:tr2bl w:val="nil"/>
            </w:tcBorders>
            <w:vAlign w:val="center"/>
          </w:tcPr>
          <w:p w14:paraId="053BE96F">
            <w:pPr>
              <w:pStyle w:val="83"/>
              <w:spacing w:line="240" w:lineRule="auto"/>
              <w:ind w:left="22" w:right="22"/>
              <w:rPr>
                <w:rFonts w:hint="default" w:ascii="Times New Roman" w:hAnsi="Times New Roman" w:cs="Times New Roman"/>
                <w:color w:val="auto"/>
              </w:rPr>
            </w:pPr>
          </w:p>
        </w:tc>
        <w:tc>
          <w:tcPr>
            <w:tcW w:w="0" w:type="auto"/>
            <w:vMerge w:val="continue"/>
            <w:tcBorders>
              <w:tl2br w:val="nil"/>
              <w:tr2bl w:val="nil"/>
            </w:tcBorders>
            <w:vAlign w:val="center"/>
          </w:tcPr>
          <w:p w14:paraId="4F92FC7C">
            <w:pPr>
              <w:pStyle w:val="83"/>
              <w:spacing w:line="240" w:lineRule="auto"/>
              <w:ind w:left="22" w:right="22"/>
              <w:rPr>
                <w:rFonts w:hint="default" w:ascii="Times New Roman" w:hAnsi="Times New Roman" w:cs="Times New Roman"/>
                <w:color w:val="auto"/>
              </w:rPr>
            </w:pPr>
          </w:p>
        </w:tc>
        <w:tc>
          <w:tcPr>
            <w:tcW w:w="0" w:type="auto"/>
            <w:vMerge w:val="continue"/>
            <w:tcBorders>
              <w:tl2br w:val="nil"/>
              <w:tr2bl w:val="nil"/>
            </w:tcBorders>
            <w:vAlign w:val="center"/>
          </w:tcPr>
          <w:p w14:paraId="06512ED5">
            <w:pPr>
              <w:pStyle w:val="83"/>
              <w:spacing w:line="240" w:lineRule="auto"/>
              <w:ind w:left="22" w:right="22"/>
              <w:rPr>
                <w:rFonts w:hint="default" w:ascii="Times New Roman" w:hAnsi="Times New Roman" w:cs="Times New Roman"/>
                <w:color w:val="auto"/>
              </w:rPr>
            </w:pPr>
          </w:p>
        </w:tc>
        <w:tc>
          <w:tcPr>
            <w:tcW w:w="0" w:type="auto"/>
            <w:vMerge w:val="continue"/>
            <w:tcBorders>
              <w:tl2br w:val="nil"/>
              <w:tr2bl w:val="nil"/>
            </w:tcBorders>
            <w:vAlign w:val="center"/>
          </w:tcPr>
          <w:p w14:paraId="60BEA877">
            <w:pPr>
              <w:pStyle w:val="83"/>
              <w:spacing w:line="240" w:lineRule="auto"/>
              <w:ind w:left="22" w:right="22"/>
              <w:rPr>
                <w:rFonts w:hint="default" w:ascii="Times New Roman" w:hAnsi="Times New Roman" w:cs="Times New Roman"/>
                <w:color w:val="auto"/>
              </w:rPr>
            </w:pPr>
          </w:p>
        </w:tc>
        <w:tc>
          <w:tcPr>
            <w:tcW w:w="0" w:type="auto"/>
            <w:vMerge w:val="continue"/>
            <w:tcBorders>
              <w:tl2br w:val="nil"/>
              <w:tr2bl w:val="nil"/>
            </w:tcBorders>
            <w:vAlign w:val="center"/>
          </w:tcPr>
          <w:p w14:paraId="275CA169">
            <w:pPr>
              <w:pStyle w:val="83"/>
              <w:spacing w:line="240" w:lineRule="auto"/>
              <w:ind w:left="22" w:right="22"/>
              <w:rPr>
                <w:rFonts w:hint="default" w:ascii="Times New Roman" w:hAnsi="Times New Roman" w:cs="Times New Roman"/>
                <w:color w:val="auto"/>
              </w:rPr>
            </w:pPr>
          </w:p>
        </w:tc>
        <w:tc>
          <w:tcPr>
            <w:tcW w:w="0" w:type="auto"/>
            <w:vMerge w:val="continue"/>
            <w:tcBorders>
              <w:tl2br w:val="nil"/>
              <w:tr2bl w:val="nil"/>
            </w:tcBorders>
            <w:vAlign w:val="center"/>
          </w:tcPr>
          <w:p w14:paraId="48D494D3">
            <w:pPr>
              <w:pStyle w:val="83"/>
              <w:spacing w:line="240" w:lineRule="auto"/>
              <w:ind w:left="22" w:right="22"/>
              <w:rPr>
                <w:rFonts w:hint="default" w:ascii="Times New Roman" w:hAnsi="Times New Roman" w:cs="Times New Roman"/>
                <w:color w:val="auto"/>
              </w:rPr>
            </w:pPr>
          </w:p>
        </w:tc>
        <w:tc>
          <w:tcPr>
            <w:tcW w:w="0" w:type="auto"/>
            <w:tcBorders>
              <w:tl2br w:val="nil"/>
              <w:tr2bl w:val="nil"/>
            </w:tcBorders>
            <w:vAlign w:val="center"/>
          </w:tcPr>
          <w:p w14:paraId="2B22FD57">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非甲烷总烃</w:t>
            </w:r>
          </w:p>
        </w:tc>
        <w:tc>
          <w:tcPr>
            <w:tcW w:w="0" w:type="auto"/>
            <w:tcBorders>
              <w:tl2br w:val="nil"/>
              <w:tr2bl w:val="nil"/>
            </w:tcBorders>
            <w:vAlign w:val="center"/>
          </w:tcPr>
          <w:p w14:paraId="3A16F7E5">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甲苯</w:t>
            </w:r>
          </w:p>
        </w:tc>
        <w:tc>
          <w:tcPr>
            <w:tcW w:w="0" w:type="auto"/>
            <w:tcBorders>
              <w:tl2br w:val="nil"/>
              <w:tr2bl w:val="nil"/>
            </w:tcBorders>
            <w:vAlign w:val="center"/>
          </w:tcPr>
          <w:p w14:paraId="3E862224">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苯乙烯</w:t>
            </w:r>
          </w:p>
        </w:tc>
        <w:tc>
          <w:tcPr>
            <w:tcW w:w="0" w:type="auto"/>
            <w:tcBorders>
              <w:right w:val="single" w:color="000000" w:sz="4" w:space="0"/>
              <w:tl2br w:val="nil"/>
              <w:tr2bl w:val="nil"/>
            </w:tcBorders>
            <w:vAlign w:val="center"/>
          </w:tcPr>
          <w:p w14:paraId="6756820E">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丙烯腈</w:t>
            </w:r>
          </w:p>
        </w:tc>
        <w:tc>
          <w:tcPr>
            <w:tcW w:w="0" w:type="auto"/>
            <w:tcBorders>
              <w:left w:val="single" w:color="000000" w:sz="4" w:space="0"/>
              <w:right w:val="single" w:color="auto" w:sz="4" w:space="0"/>
              <w:tl2br w:val="nil"/>
              <w:tr2bl w:val="nil"/>
            </w:tcBorders>
            <w:vAlign w:val="center"/>
          </w:tcPr>
          <w:p w14:paraId="4E00A991">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TSP</w:t>
            </w:r>
          </w:p>
        </w:tc>
        <w:tc>
          <w:tcPr>
            <w:tcW w:w="0" w:type="auto"/>
            <w:tcBorders>
              <w:left w:val="single" w:color="auto" w:sz="4" w:space="0"/>
              <w:tl2br w:val="nil"/>
              <w:tr2bl w:val="nil"/>
            </w:tcBorders>
            <w:vAlign w:val="center"/>
          </w:tcPr>
          <w:p w14:paraId="58C05BFD">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PM</w:t>
            </w:r>
            <w:r>
              <w:rPr>
                <w:rFonts w:hint="eastAsia" w:ascii="Times New Roman" w:hAnsi="Times New Roman" w:eastAsia="宋体" w:cs="Times New Roman"/>
                <w:color w:val="auto"/>
                <w:vertAlign w:val="subscript"/>
                <w:lang w:val="en-US" w:eastAsia="zh-CN"/>
              </w:rPr>
              <w:t>10</w:t>
            </w:r>
          </w:p>
        </w:tc>
        <w:tc>
          <w:tcPr>
            <w:tcW w:w="0" w:type="auto"/>
            <w:tcBorders>
              <w:tl2br w:val="nil"/>
              <w:tr2bl w:val="nil"/>
            </w:tcBorders>
            <w:vAlign w:val="center"/>
          </w:tcPr>
          <w:p w14:paraId="34C94522">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二氧化硫</w:t>
            </w:r>
          </w:p>
        </w:tc>
        <w:tc>
          <w:tcPr>
            <w:tcW w:w="0" w:type="auto"/>
            <w:tcBorders>
              <w:tl2br w:val="nil"/>
              <w:tr2bl w:val="nil"/>
            </w:tcBorders>
            <w:vAlign w:val="center"/>
          </w:tcPr>
          <w:p w14:paraId="7E3C48F9">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氮氧化物</w:t>
            </w:r>
          </w:p>
        </w:tc>
      </w:tr>
      <w:tr w14:paraId="4C9592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4FBB3AF8">
            <w:pPr>
              <w:pStyle w:val="83"/>
              <w:spacing w:line="240" w:lineRule="auto"/>
              <w:ind w:left="22" w:right="22"/>
              <w:rPr>
                <w:rFonts w:hint="default" w:ascii="Times New Roman" w:hAnsi="Times New Roman" w:eastAsia="宋体" w:cs="Times New Roman"/>
                <w:color w:val="auto"/>
                <w:lang w:val="en-US" w:eastAsia="zh-CN"/>
              </w:rPr>
            </w:pPr>
            <w:r>
              <w:rPr>
                <w:rFonts w:hint="default" w:ascii="Times New Roman" w:hAnsi="Times New Roman" w:cs="Times New Roman"/>
                <w:color w:val="auto"/>
              </w:rPr>
              <w:t>DA</w:t>
            </w:r>
            <w:r>
              <w:rPr>
                <w:rFonts w:hint="eastAsia" w:ascii="Times New Roman" w:hAnsi="Times New Roman" w:eastAsia="宋体" w:cs="Times New Roman"/>
                <w:color w:val="auto"/>
                <w:lang w:val="en-US" w:eastAsia="zh-CN"/>
              </w:rPr>
              <w:t>001</w:t>
            </w:r>
          </w:p>
        </w:tc>
        <w:tc>
          <w:tcPr>
            <w:tcW w:w="0" w:type="auto"/>
            <w:tcBorders>
              <w:tl2br w:val="nil"/>
              <w:tr2bl w:val="nil"/>
            </w:tcBorders>
            <w:vAlign w:val="center"/>
          </w:tcPr>
          <w:p w14:paraId="3EE9044F">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注塑废气排气筒</w:t>
            </w:r>
          </w:p>
        </w:tc>
        <w:tc>
          <w:tcPr>
            <w:tcW w:w="0" w:type="auto"/>
            <w:tcBorders>
              <w:tl2br w:val="nil"/>
              <w:tr2bl w:val="nil"/>
            </w:tcBorders>
            <w:vAlign w:val="center"/>
          </w:tcPr>
          <w:p w14:paraId="2229FBE2">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10</w:t>
            </w:r>
          </w:p>
        </w:tc>
        <w:tc>
          <w:tcPr>
            <w:tcW w:w="0" w:type="auto"/>
            <w:tcBorders>
              <w:tl2br w:val="nil"/>
              <w:tr2bl w:val="nil"/>
            </w:tcBorders>
            <w:vAlign w:val="center"/>
          </w:tcPr>
          <w:p w14:paraId="14454BB4">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100</w:t>
            </w:r>
          </w:p>
        </w:tc>
        <w:tc>
          <w:tcPr>
            <w:tcW w:w="0" w:type="auto"/>
            <w:tcBorders>
              <w:tl2br w:val="nil"/>
              <w:tr2bl w:val="nil"/>
            </w:tcBorders>
            <w:vAlign w:val="center"/>
          </w:tcPr>
          <w:p w14:paraId="3490E114">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eastAsia="zh-CN"/>
              </w:rPr>
              <w:t>1</w:t>
            </w:r>
            <w:r>
              <w:rPr>
                <w:rFonts w:hint="eastAsia" w:ascii="Times New Roman" w:hAnsi="Times New Roman" w:eastAsia="宋体" w:cs="Times New Roman"/>
                <w:color w:val="auto"/>
                <w:lang w:val="en-US" w:eastAsia="zh-CN"/>
              </w:rPr>
              <w:t>86</w:t>
            </w:r>
          </w:p>
        </w:tc>
        <w:tc>
          <w:tcPr>
            <w:tcW w:w="0" w:type="auto"/>
            <w:tcBorders>
              <w:tl2br w:val="nil"/>
              <w:tr2bl w:val="nil"/>
            </w:tcBorders>
            <w:vAlign w:val="center"/>
          </w:tcPr>
          <w:p w14:paraId="67BBBA7A">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15</w:t>
            </w:r>
          </w:p>
        </w:tc>
        <w:tc>
          <w:tcPr>
            <w:tcW w:w="0" w:type="auto"/>
            <w:tcBorders>
              <w:tl2br w:val="nil"/>
              <w:tr2bl w:val="nil"/>
            </w:tcBorders>
            <w:vAlign w:val="center"/>
          </w:tcPr>
          <w:p w14:paraId="7FC0A352">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0.3</w:t>
            </w:r>
          </w:p>
        </w:tc>
        <w:tc>
          <w:tcPr>
            <w:tcW w:w="0" w:type="auto"/>
            <w:tcBorders>
              <w:tl2br w:val="nil"/>
              <w:tr2bl w:val="nil"/>
            </w:tcBorders>
            <w:vAlign w:val="center"/>
          </w:tcPr>
          <w:p w14:paraId="7BD45B3E">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119</w:t>
            </w:r>
          </w:p>
        </w:tc>
        <w:tc>
          <w:tcPr>
            <w:tcW w:w="0" w:type="auto"/>
            <w:tcBorders>
              <w:tl2br w:val="nil"/>
              <w:tr2bl w:val="nil"/>
            </w:tcBorders>
            <w:vAlign w:val="center"/>
          </w:tcPr>
          <w:p w14:paraId="5E06D698">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cs="Times New Roman"/>
                <w:color w:val="auto"/>
                <w:lang w:val="en-US" w:eastAsia="zh-CN"/>
              </w:rPr>
              <w:t>25</w:t>
            </w:r>
          </w:p>
        </w:tc>
        <w:tc>
          <w:tcPr>
            <w:tcW w:w="0" w:type="auto"/>
            <w:tcBorders>
              <w:tl2br w:val="nil"/>
              <w:tr2bl w:val="nil"/>
            </w:tcBorders>
            <w:vAlign w:val="center"/>
          </w:tcPr>
          <w:p w14:paraId="1E3B659F">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6960</w:t>
            </w:r>
          </w:p>
        </w:tc>
        <w:tc>
          <w:tcPr>
            <w:tcW w:w="0" w:type="auto"/>
            <w:tcBorders>
              <w:tl2br w:val="nil"/>
              <w:tr2bl w:val="nil"/>
            </w:tcBorders>
            <w:vAlign w:val="center"/>
          </w:tcPr>
          <w:p w14:paraId="0690D95B">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正常工况</w:t>
            </w:r>
          </w:p>
        </w:tc>
        <w:tc>
          <w:tcPr>
            <w:tcW w:w="0" w:type="auto"/>
            <w:tcBorders>
              <w:tl2br w:val="nil"/>
              <w:tr2bl w:val="nil"/>
            </w:tcBorders>
            <w:vAlign w:val="center"/>
          </w:tcPr>
          <w:p w14:paraId="08063D97">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0.039</w:t>
            </w:r>
          </w:p>
        </w:tc>
        <w:tc>
          <w:tcPr>
            <w:tcW w:w="0" w:type="auto"/>
            <w:tcBorders>
              <w:tl2br w:val="nil"/>
              <w:tr2bl w:val="nil"/>
            </w:tcBorders>
            <w:vAlign w:val="center"/>
          </w:tcPr>
          <w:p w14:paraId="2EDF3306">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0.0005</w:t>
            </w:r>
          </w:p>
        </w:tc>
        <w:tc>
          <w:tcPr>
            <w:tcW w:w="0" w:type="auto"/>
            <w:tcBorders>
              <w:tl2br w:val="nil"/>
              <w:tr2bl w:val="nil"/>
            </w:tcBorders>
            <w:vAlign w:val="center"/>
          </w:tcPr>
          <w:p w14:paraId="0D498A29">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0.007</w:t>
            </w:r>
          </w:p>
        </w:tc>
        <w:tc>
          <w:tcPr>
            <w:tcW w:w="0" w:type="auto"/>
            <w:tcBorders>
              <w:right w:val="single" w:color="000000" w:sz="4" w:space="0"/>
              <w:tl2br w:val="nil"/>
              <w:tr2bl w:val="nil"/>
            </w:tcBorders>
            <w:vAlign w:val="center"/>
          </w:tcPr>
          <w:p w14:paraId="21493025">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0.0002</w:t>
            </w:r>
          </w:p>
        </w:tc>
        <w:tc>
          <w:tcPr>
            <w:tcW w:w="0" w:type="auto"/>
            <w:tcBorders>
              <w:left w:val="single" w:color="000000" w:sz="4" w:space="0"/>
              <w:right w:val="single" w:color="auto" w:sz="4" w:space="0"/>
              <w:tl2br w:val="nil"/>
              <w:tr2bl w:val="nil"/>
            </w:tcBorders>
            <w:vAlign w:val="center"/>
          </w:tcPr>
          <w:p w14:paraId="38F553D3">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left w:val="single" w:color="auto" w:sz="4" w:space="0"/>
              <w:tl2br w:val="nil"/>
              <w:tr2bl w:val="nil"/>
            </w:tcBorders>
            <w:vAlign w:val="center"/>
          </w:tcPr>
          <w:p w14:paraId="422E71F5">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2783C35A">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5C758288">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r>
      <w:tr w14:paraId="51DFA0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29A1A5AC">
            <w:pPr>
              <w:pStyle w:val="83"/>
              <w:spacing w:line="240" w:lineRule="auto"/>
              <w:ind w:left="22" w:right="22"/>
              <w:rPr>
                <w:rFonts w:hint="default" w:ascii="Times New Roman" w:hAnsi="Times New Roman" w:eastAsia="宋体" w:cs="Times New Roman"/>
                <w:color w:val="auto"/>
                <w:lang w:val="en-US" w:eastAsia="zh-CN"/>
              </w:rPr>
            </w:pPr>
            <w:r>
              <w:rPr>
                <w:rFonts w:hint="default" w:ascii="Times New Roman" w:hAnsi="Times New Roman" w:cs="Times New Roman"/>
                <w:color w:val="auto"/>
              </w:rPr>
              <w:t>DA</w:t>
            </w:r>
            <w:r>
              <w:rPr>
                <w:rFonts w:hint="eastAsia" w:ascii="Times New Roman" w:hAnsi="Times New Roman" w:eastAsia="宋体" w:cs="Times New Roman"/>
                <w:color w:val="auto"/>
                <w:lang w:val="en-US" w:eastAsia="zh-CN"/>
              </w:rPr>
              <w:t>002</w:t>
            </w:r>
          </w:p>
        </w:tc>
        <w:tc>
          <w:tcPr>
            <w:tcW w:w="0" w:type="auto"/>
            <w:tcBorders>
              <w:tl2br w:val="nil"/>
              <w:tr2bl w:val="nil"/>
            </w:tcBorders>
            <w:vAlign w:val="center"/>
          </w:tcPr>
          <w:p w14:paraId="77181F4F">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喷涂、管路和喷枪清洗、丝印废气排气筒</w:t>
            </w:r>
          </w:p>
        </w:tc>
        <w:tc>
          <w:tcPr>
            <w:tcW w:w="0" w:type="auto"/>
            <w:tcBorders>
              <w:tl2br w:val="nil"/>
              <w:tr2bl w:val="nil"/>
            </w:tcBorders>
            <w:vAlign w:val="center"/>
          </w:tcPr>
          <w:p w14:paraId="3CCE97F5">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90</w:t>
            </w:r>
          </w:p>
        </w:tc>
        <w:tc>
          <w:tcPr>
            <w:tcW w:w="0" w:type="auto"/>
            <w:tcBorders>
              <w:tl2br w:val="nil"/>
              <w:tr2bl w:val="nil"/>
            </w:tcBorders>
            <w:vAlign w:val="center"/>
          </w:tcPr>
          <w:p w14:paraId="61028D33">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140</w:t>
            </w:r>
          </w:p>
        </w:tc>
        <w:tc>
          <w:tcPr>
            <w:tcW w:w="0" w:type="auto"/>
            <w:tcBorders>
              <w:tl2br w:val="nil"/>
              <w:tr2bl w:val="nil"/>
            </w:tcBorders>
            <w:vAlign w:val="center"/>
          </w:tcPr>
          <w:p w14:paraId="5B775A54">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186</w:t>
            </w:r>
          </w:p>
        </w:tc>
        <w:tc>
          <w:tcPr>
            <w:tcW w:w="0" w:type="auto"/>
            <w:tcBorders>
              <w:tl2br w:val="nil"/>
              <w:tr2bl w:val="nil"/>
            </w:tcBorders>
            <w:vAlign w:val="center"/>
          </w:tcPr>
          <w:p w14:paraId="5966DC4D">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22.5</w:t>
            </w:r>
          </w:p>
        </w:tc>
        <w:tc>
          <w:tcPr>
            <w:tcW w:w="0" w:type="auto"/>
            <w:tcBorders>
              <w:tl2br w:val="nil"/>
              <w:tr2bl w:val="nil"/>
            </w:tcBorders>
            <w:vAlign w:val="center"/>
          </w:tcPr>
          <w:p w14:paraId="7E127741">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0.3</w:t>
            </w:r>
          </w:p>
        </w:tc>
        <w:tc>
          <w:tcPr>
            <w:tcW w:w="0" w:type="auto"/>
            <w:tcBorders>
              <w:tl2br w:val="nil"/>
              <w:tr2bl w:val="nil"/>
            </w:tcBorders>
            <w:vAlign w:val="center"/>
          </w:tcPr>
          <w:p w14:paraId="3D4E5024">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79</w:t>
            </w:r>
          </w:p>
        </w:tc>
        <w:tc>
          <w:tcPr>
            <w:tcW w:w="0" w:type="auto"/>
            <w:tcBorders>
              <w:tl2br w:val="nil"/>
              <w:tr2bl w:val="nil"/>
            </w:tcBorders>
            <w:vAlign w:val="center"/>
          </w:tcPr>
          <w:p w14:paraId="38FB5681">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60</w:t>
            </w:r>
          </w:p>
        </w:tc>
        <w:tc>
          <w:tcPr>
            <w:tcW w:w="0" w:type="auto"/>
            <w:tcBorders>
              <w:tl2br w:val="nil"/>
              <w:tr2bl w:val="nil"/>
            </w:tcBorders>
            <w:vAlign w:val="center"/>
          </w:tcPr>
          <w:p w14:paraId="54A2392B">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6960</w:t>
            </w:r>
          </w:p>
        </w:tc>
        <w:tc>
          <w:tcPr>
            <w:tcW w:w="0" w:type="auto"/>
            <w:tcBorders>
              <w:tl2br w:val="nil"/>
              <w:tr2bl w:val="nil"/>
            </w:tcBorders>
            <w:vAlign w:val="center"/>
          </w:tcPr>
          <w:p w14:paraId="00F0A6AC">
            <w:pPr>
              <w:spacing w:line="240" w:lineRule="auto"/>
              <w:ind w:right="22" w:firstLine="0" w:firstLineChars="0"/>
              <w:jc w:val="center"/>
              <w:rPr>
                <w:rFonts w:hint="default" w:ascii="Times New Roman" w:hAnsi="Times New Roman" w:cs="Times New Roman"/>
                <w:snapToGrid w:val="0"/>
                <w:color w:val="auto"/>
                <w:sz w:val="21"/>
                <w:szCs w:val="20"/>
              </w:rPr>
            </w:pPr>
            <w:r>
              <w:rPr>
                <w:rFonts w:hint="default" w:ascii="Times New Roman" w:hAnsi="Times New Roman" w:cs="Times New Roman"/>
                <w:snapToGrid w:val="0"/>
                <w:color w:val="auto"/>
                <w:sz w:val="21"/>
                <w:szCs w:val="20"/>
              </w:rPr>
              <w:t>正常工况</w:t>
            </w:r>
          </w:p>
        </w:tc>
        <w:tc>
          <w:tcPr>
            <w:tcW w:w="0" w:type="auto"/>
            <w:tcBorders>
              <w:tl2br w:val="nil"/>
              <w:tr2bl w:val="nil"/>
            </w:tcBorders>
            <w:vAlign w:val="center"/>
          </w:tcPr>
          <w:p w14:paraId="4E2219CA">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2.15</w:t>
            </w:r>
          </w:p>
        </w:tc>
        <w:tc>
          <w:tcPr>
            <w:tcW w:w="0" w:type="auto"/>
            <w:tcBorders>
              <w:tl2br w:val="nil"/>
              <w:tr2bl w:val="nil"/>
            </w:tcBorders>
            <w:vAlign w:val="center"/>
          </w:tcPr>
          <w:p w14:paraId="3DCF21B1">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4ED363C0">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right w:val="single" w:color="000000" w:sz="4" w:space="0"/>
              <w:tl2br w:val="nil"/>
              <w:tr2bl w:val="nil"/>
            </w:tcBorders>
            <w:vAlign w:val="center"/>
          </w:tcPr>
          <w:p w14:paraId="6E29E74F">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left w:val="single" w:color="000000" w:sz="4" w:space="0"/>
              <w:right w:val="single" w:color="auto" w:sz="4" w:space="0"/>
              <w:tl2br w:val="nil"/>
              <w:tr2bl w:val="nil"/>
            </w:tcBorders>
            <w:vAlign w:val="center"/>
          </w:tcPr>
          <w:p w14:paraId="18E17E66">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2.083</w:t>
            </w:r>
          </w:p>
        </w:tc>
        <w:tc>
          <w:tcPr>
            <w:tcW w:w="0" w:type="auto"/>
            <w:tcBorders>
              <w:left w:val="single" w:color="auto" w:sz="4" w:space="0"/>
              <w:tl2br w:val="nil"/>
              <w:tr2bl w:val="nil"/>
            </w:tcBorders>
            <w:vAlign w:val="center"/>
          </w:tcPr>
          <w:p w14:paraId="57399B3A">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0D44F025">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680CF5E6">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r>
      <w:tr w14:paraId="0D01DF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2225EB6F">
            <w:pPr>
              <w:pStyle w:val="83"/>
              <w:spacing w:line="240" w:lineRule="auto"/>
              <w:ind w:left="22" w:right="22"/>
              <w:rPr>
                <w:rFonts w:hint="default" w:ascii="Times New Roman" w:hAnsi="Times New Roman" w:eastAsia="宋体" w:cs="Times New Roman"/>
                <w:color w:val="auto"/>
                <w:lang w:val="en-US" w:eastAsia="zh-CN"/>
              </w:rPr>
            </w:pPr>
            <w:r>
              <w:rPr>
                <w:rFonts w:hint="default" w:ascii="Times New Roman" w:hAnsi="Times New Roman" w:cs="Times New Roman"/>
                <w:color w:val="auto"/>
              </w:rPr>
              <w:t>DA0</w:t>
            </w:r>
            <w:r>
              <w:rPr>
                <w:rFonts w:hint="eastAsia" w:ascii="Times New Roman" w:hAnsi="Times New Roman" w:eastAsia="宋体" w:cs="Times New Roman"/>
                <w:color w:val="auto"/>
                <w:lang w:val="en-US" w:eastAsia="zh-CN"/>
              </w:rPr>
              <w:t>03</w:t>
            </w:r>
          </w:p>
        </w:tc>
        <w:tc>
          <w:tcPr>
            <w:tcW w:w="0" w:type="auto"/>
            <w:tcBorders>
              <w:tl2br w:val="nil"/>
              <w:tr2bl w:val="nil"/>
            </w:tcBorders>
            <w:shd w:val="clear" w:color="auto" w:fill="auto"/>
            <w:vAlign w:val="center"/>
          </w:tcPr>
          <w:p w14:paraId="4D2F4A64">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天然气燃烧机废气烟囱</w:t>
            </w:r>
          </w:p>
        </w:tc>
        <w:tc>
          <w:tcPr>
            <w:tcW w:w="0" w:type="auto"/>
            <w:tcBorders>
              <w:tl2br w:val="nil"/>
              <w:tr2bl w:val="nil"/>
            </w:tcBorders>
            <w:shd w:val="clear" w:color="auto" w:fill="auto"/>
            <w:vAlign w:val="center"/>
          </w:tcPr>
          <w:p w14:paraId="52A73278">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120</w:t>
            </w:r>
          </w:p>
        </w:tc>
        <w:tc>
          <w:tcPr>
            <w:tcW w:w="0" w:type="auto"/>
            <w:tcBorders>
              <w:tl2br w:val="nil"/>
              <w:tr2bl w:val="nil"/>
            </w:tcBorders>
            <w:shd w:val="clear" w:color="auto" w:fill="auto"/>
            <w:vAlign w:val="center"/>
          </w:tcPr>
          <w:p w14:paraId="44DD4468">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140</w:t>
            </w:r>
          </w:p>
        </w:tc>
        <w:tc>
          <w:tcPr>
            <w:tcW w:w="0" w:type="auto"/>
            <w:tcBorders>
              <w:tl2br w:val="nil"/>
              <w:tr2bl w:val="nil"/>
            </w:tcBorders>
            <w:vAlign w:val="center"/>
          </w:tcPr>
          <w:p w14:paraId="7496F91E">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186</w:t>
            </w:r>
          </w:p>
        </w:tc>
        <w:tc>
          <w:tcPr>
            <w:tcW w:w="0" w:type="auto"/>
            <w:tcBorders>
              <w:tl2br w:val="nil"/>
              <w:tr2bl w:val="nil"/>
            </w:tcBorders>
            <w:vAlign w:val="center"/>
          </w:tcPr>
          <w:p w14:paraId="7B2FE53F">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20.5</w:t>
            </w:r>
          </w:p>
        </w:tc>
        <w:tc>
          <w:tcPr>
            <w:tcW w:w="0" w:type="auto"/>
            <w:tcBorders>
              <w:tl2br w:val="nil"/>
              <w:tr2bl w:val="nil"/>
            </w:tcBorders>
            <w:vAlign w:val="center"/>
          </w:tcPr>
          <w:p w14:paraId="6FC82B10">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0.3</w:t>
            </w:r>
          </w:p>
        </w:tc>
        <w:tc>
          <w:tcPr>
            <w:tcW w:w="0" w:type="auto"/>
            <w:tcBorders>
              <w:tl2br w:val="nil"/>
              <w:tr2bl w:val="nil"/>
            </w:tcBorders>
            <w:vAlign w:val="center"/>
          </w:tcPr>
          <w:p w14:paraId="7F82C313">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2.3</w:t>
            </w:r>
          </w:p>
        </w:tc>
        <w:tc>
          <w:tcPr>
            <w:tcW w:w="0" w:type="auto"/>
            <w:tcBorders>
              <w:tl2br w:val="nil"/>
              <w:tr2bl w:val="nil"/>
            </w:tcBorders>
            <w:vAlign w:val="center"/>
          </w:tcPr>
          <w:p w14:paraId="1F81C143">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100</w:t>
            </w:r>
          </w:p>
        </w:tc>
        <w:tc>
          <w:tcPr>
            <w:tcW w:w="0" w:type="auto"/>
            <w:tcBorders>
              <w:tl2br w:val="nil"/>
              <w:tr2bl w:val="nil"/>
            </w:tcBorders>
            <w:vAlign w:val="center"/>
          </w:tcPr>
          <w:p w14:paraId="48FFECEA">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6960</w:t>
            </w:r>
          </w:p>
        </w:tc>
        <w:tc>
          <w:tcPr>
            <w:tcW w:w="0" w:type="auto"/>
            <w:tcBorders>
              <w:tl2br w:val="nil"/>
              <w:tr2bl w:val="nil"/>
            </w:tcBorders>
            <w:vAlign w:val="center"/>
          </w:tcPr>
          <w:p w14:paraId="45B7B6FF">
            <w:pPr>
              <w:spacing w:line="240" w:lineRule="auto"/>
              <w:ind w:right="22" w:firstLine="0" w:firstLineChars="0"/>
              <w:jc w:val="center"/>
              <w:rPr>
                <w:rFonts w:hint="default" w:ascii="Times New Roman" w:hAnsi="Times New Roman" w:cs="Times New Roman"/>
                <w:snapToGrid w:val="0"/>
                <w:color w:val="auto"/>
                <w:sz w:val="21"/>
                <w:szCs w:val="20"/>
              </w:rPr>
            </w:pPr>
            <w:r>
              <w:rPr>
                <w:rFonts w:hint="default" w:ascii="Times New Roman" w:hAnsi="Times New Roman" w:cs="Times New Roman"/>
                <w:snapToGrid w:val="0"/>
                <w:color w:val="auto"/>
                <w:sz w:val="21"/>
                <w:szCs w:val="20"/>
              </w:rPr>
              <w:t>正常工况</w:t>
            </w:r>
          </w:p>
        </w:tc>
        <w:tc>
          <w:tcPr>
            <w:tcW w:w="0" w:type="auto"/>
            <w:tcBorders>
              <w:tl2br w:val="nil"/>
              <w:tr2bl w:val="nil"/>
            </w:tcBorders>
            <w:vAlign w:val="center"/>
          </w:tcPr>
          <w:p w14:paraId="4F333978">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7FE88D4C">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01B47CA4">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right w:val="single" w:color="000000" w:sz="4" w:space="0"/>
              <w:tl2br w:val="nil"/>
              <w:tr2bl w:val="nil"/>
            </w:tcBorders>
            <w:vAlign w:val="center"/>
          </w:tcPr>
          <w:p w14:paraId="7F735F9E">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left w:val="single" w:color="000000" w:sz="4" w:space="0"/>
              <w:right w:val="single" w:color="auto" w:sz="4" w:space="0"/>
              <w:tl2br w:val="nil"/>
              <w:tr2bl w:val="nil"/>
            </w:tcBorders>
            <w:vAlign w:val="center"/>
          </w:tcPr>
          <w:p w14:paraId="48B76445">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left w:val="single" w:color="auto" w:sz="4" w:space="0"/>
              <w:tl2br w:val="nil"/>
              <w:tr2bl w:val="nil"/>
            </w:tcBorders>
            <w:vAlign w:val="center"/>
          </w:tcPr>
          <w:p w14:paraId="642D3EF9">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0.009</w:t>
            </w:r>
          </w:p>
        </w:tc>
        <w:tc>
          <w:tcPr>
            <w:tcW w:w="0" w:type="auto"/>
            <w:tcBorders>
              <w:tl2br w:val="nil"/>
              <w:tr2bl w:val="nil"/>
            </w:tcBorders>
            <w:vAlign w:val="center"/>
          </w:tcPr>
          <w:p w14:paraId="0781765F">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0.0004</w:t>
            </w:r>
          </w:p>
        </w:tc>
        <w:tc>
          <w:tcPr>
            <w:tcW w:w="0" w:type="auto"/>
            <w:tcBorders>
              <w:tl2br w:val="nil"/>
              <w:tr2bl w:val="nil"/>
            </w:tcBorders>
            <w:vAlign w:val="center"/>
          </w:tcPr>
          <w:p w14:paraId="514D84E6">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0.089</w:t>
            </w:r>
          </w:p>
        </w:tc>
      </w:tr>
      <w:tr w14:paraId="129B57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115B3B92">
            <w:pPr>
              <w:pStyle w:val="83"/>
              <w:spacing w:line="240" w:lineRule="auto"/>
              <w:ind w:left="22" w:right="22"/>
              <w:rPr>
                <w:rFonts w:hint="default" w:ascii="Times New Roman" w:hAnsi="Times New Roman" w:eastAsia="宋体" w:cs="Times New Roman"/>
                <w:color w:val="auto"/>
                <w:lang w:val="en-US" w:eastAsia="zh-CN"/>
              </w:rPr>
            </w:pPr>
            <w:r>
              <w:rPr>
                <w:rFonts w:hint="default" w:ascii="Times New Roman" w:hAnsi="Times New Roman" w:cs="Times New Roman"/>
                <w:color w:val="auto"/>
              </w:rPr>
              <w:t>DA</w:t>
            </w:r>
            <w:r>
              <w:rPr>
                <w:rFonts w:hint="eastAsia" w:ascii="Times New Roman" w:hAnsi="Times New Roman" w:eastAsia="宋体" w:cs="Times New Roman"/>
                <w:color w:val="auto"/>
                <w:lang w:val="en-US" w:eastAsia="zh-CN"/>
              </w:rPr>
              <w:t>004</w:t>
            </w:r>
          </w:p>
        </w:tc>
        <w:tc>
          <w:tcPr>
            <w:tcW w:w="0" w:type="auto"/>
            <w:tcBorders>
              <w:tl2br w:val="nil"/>
              <w:tr2bl w:val="nil"/>
            </w:tcBorders>
            <w:shd w:val="clear" w:color="auto" w:fill="auto"/>
            <w:vAlign w:val="center"/>
          </w:tcPr>
          <w:p w14:paraId="539F5B2E">
            <w:pPr>
              <w:pStyle w:val="83"/>
              <w:spacing w:line="240" w:lineRule="auto"/>
              <w:ind w:left="22" w:right="22"/>
              <w:rPr>
                <w:rFonts w:hint="default" w:ascii="Times New Roman" w:hAnsi="Times New Roman" w:cs="Times New Roman"/>
                <w:color w:val="auto"/>
                <w:lang w:val="en-US"/>
              </w:rPr>
            </w:pPr>
            <w:r>
              <w:rPr>
                <w:rFonts w:hint="eastAsia" w:ascii="Times New Roman" w:hAnsi="Times New Roman" w:cs="Times New Roman"/>
                <w:color w:val="auto"/>
                <w:lang w:val="en-US" w:eastAsia="zh-CN"/>
              </w:rPr>
              <w:t>配胶、喷胶及烘干</w:t>
            </w:r>
            <w:r>
              <w:rPr>
                <w:rFonts w:hint="default" w:ascii="Times New Roman" w:hAnsi="Times New Roman" w:cs="Times New Roman"/>
                <w:color w:val="auto"/>
                <w:lang w:val="en-US" w:eastAsia="zh-CN"/>
              </w:rPr>
              <w:t>废气、发泡废气</w:t>
            </w:r>
            <w:r>
              <w:rPr>
                <w:rFonts w:hint="eastAsia" w:ascii="Times New Roman" w:hAnsi="Times New Roman" w:cs="Times New Roman"/>
                <w:color w:val="auto"/>
                <w:lang w:val="en-US" w:eastAsia="zh-CN"/>
              </w:rPr>
              <w:t>排气筒</w:t>
            </w:r>
          </w:p>
        </w:tc>
        <w:tc>
          <w:tcPr>
            <w:tcW w:w="0" w:type="auto"/>
            <w:tcBorders>
              <w:tl2br w:val="nil"/>
              <w:tr2bl w:val="nil"/>
            </w:tcBorders>
            <w:shd w:val="clear" w:color="auto" w:fill="auto"/>
            <w:vAlign w:val="center"/>
          </w:tcPr>
          <w:p w14:paraId="14B5D4B8">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10</w:t>
            </w:r>
          </w:p>
        </w:tc>
        <w:tc>
          <w:tcPr>
            <w:tcW w:w="0" w:type="auto"/>
            <w:tcBorders>
              <w:tl2br w:val="nil"/>
              <w:tr2bl w:val="nil"/>
            </w:tcBorders>
            <w:shd w:val="clear" w:color="auto" w:fill="auto"/>
            <w:vAlign w:val="center"/>
          </w:tcPr>
          <w:p w14:paraId="6D308127">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70</w:t>
            </w:r>
          </w:p>
        </w:tc>
        <w:tc>
          <w:tcPr>
            <w:tcW w:w="0" w:type="auto"/>
            <w:tcBorders>
              <w:tl2br w:val="nil"/>
              <w:tr2bl w:val="nil"/>
            </w:tcBorders>
            <w:shd w:val="clear" w:color="auto" w:fill="auto"/>
            <w:vAlign w:val="center"/>
          </w:tcPr>
          <w:p w14:paraId="51823E53">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186</w:t>
            </w:r>
          </w:p>
        </w:tc>
        <w:tc>
          <w:tcPr>
            <w:tcW w:w="0" w:type="auto"/>
            <w:tcBorders>
              <w:tl2br w:val="nil"/>
              <w:tr2bl w:val="nil"/>
            </w:tcBorders>
            <w:shd w:val="clear" w:color="auto" w:fill="auto"/>
            <w:vAlign w:val="center"/>
          </w:tcPr>
          <w:p w14:paraId="10357942">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15</w:t>
            </w:r>
          </w:p>
        </w:tc>
        <w:tc>
          <w:tcPr>
            <w:tcW w:w="0" w:type="auto"/>
            <w:tcBorders>
              <w:tl2br w:val="nil"/>
              <w:tr2bl w:val="nil"/>
            </w:tcBorders>
            <w:shd w:val="clear" w:color="auto" w:fill="auto"/>
            <w:vAlign w:val="center"/>
          </w:tcPr>
          <w:p w14:paraId="77B440B1">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0.3</w:t>
            </w:r>
          </w:p>
        </w:tc>
        <w:tc>
          <w:tcPr>
            <w:tcW w:w="0" w:type="auto"/>
            <w:tcBorders>
              <w:tl2br w:val="nil"/>
              <w:tr2bl w:val="nil"/>
            </w:tcBorders>
            <w:shd w:val="clear" w:color="auto" w:fill="auto"/>
            <w:vAlign w:val="center"/>
          </w:tcPr>
          <w:p w14:paraId="1C2FA43A">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20</w:t>
            </w:r>
          </w:p>
        </w:tc>
        <w:tc>
          <w:tcPr>
            <w:tcW w:w="0" w:type="auto"/>
            <w:tcBorders>
              <w:tl2br w:val="nil"/>
              <w:tr2bl w:val="nil"/>
            </w:tcBorders>
            <w:shd w:val="clear" w:color="auto" w:fill="auto"/>
            <w:vAlign w:val="center"/>
          </w:tcPr>
          <w:p w14:paraId="2E7A288A">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25</w:t>
            </w:r>
          </w:p>
        </w:tc>
        <w:tc>
          <w:tcPr>
            <w:tcW w:w="0" w:type="auto"/>
            <w:tcBorders>
              <w:tl2br w:val="nil"/>
              <w:tr2bl w:val="nil"/>
            </w:tcBorders>
            <w:shd w:val="clear" w:color="auto" w:fill="auto"/>
            <w:vAlign w:val="center"/>
          </w:tcPr>
          <w:p w14:paraId="4729FD9F">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6960</w:t>
            </w:r>
          </w:p>
        </w:tc>
        <w:tc>
          <w:tcPr>
            <w:tcW w:w="0" w:type="auto"/>
            <w:tcBorders>
              <w:tl2br w:val="nil"/>
              <w:tr2bl w:val="nil"/>
            </w:tcBorders>
            <w:vAlign w:val="center"/>
          </w:tcPr>
          <w:p w14:paraId="7AAA80F9">
            <w:pPr>
              <w:spacing w:line="240" w:lineRule="auto"/>
              <w:ind w:right="22" w:firstLine="0" w:firstLineChars="0"/>
              <w:jc w:val="center"/>
              <w:rPr>
                <w:rFonts w:hint="default" w:ascii="Times New Roman" w:hAnsi="Times New Roman" w:cs="Times New Roman"/>
                <w:snapToGrid w:val="0"/>
                <w:color w:val="auto"/>
                <w:sz w:val="21"/>
                <w:szCs w:val="20"/>
              </w:rPr>
            </w:pPr>
            <w:r>
              <w:rPr>
                <w:rFonts w:hint="default" w:ascii="Times New Roman" w:hAnsi="Times New Roman" w:cs="Times New Roman"/>
                <w:snapToGrid w:val="0"/>
                <w:color w:val="auto"/>
                <w:sz w:val="21"/>
                <w:szCs w:val="20"/>
              </w:rPr>
              <w:t>正常工况</w:t>
            </w:r>
          </w:p>
        </w:tc>
        <w:tc>
          <w:tcPr>
            <w:tcW w:w="0" w:type="auto"/>
            <w:tcBorders>
              <w:tl2br w:val="nil"/>
              <w:tr2bl w:val="nil"/>
            </w:tcBorders>
            <w:vAlign w:val="center"/>
          </w:tcPr>
          <w:p w14:paraId="6C77E360">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0.088</w:t>
            </w:r>
          </w:p>
        </w:tc>
        <w:tc>
          <w:tcPr>
            <w:tcW w:w="0" w:type="auto"/>
            <w:tcBorders>
              <w:tl2br w:val="nil"/>
              <w:tr2bl w:val="nil"/>
            </w:tcBorders>
            <w:vAlign w:val="center"/>
          </w:tcPr>
          <w:p w14:paraId="25CF9CA8">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3B30B0B7">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right w:val="single" w:color="000000" w:sz="4" w:space="0"/>
              <w:tl2br w:val="nil"/>
              <w:tr2bl w:val="nil"/>
            </w:tcBorders>
            <w:vAlign w:val="center"/>
          </w:tcPr>
          <w:p w14:paraId="378E24CF">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left w:val="single" w:color="000000" w:sz="4" w:space="0"/>
              <w:right w:val="single" w:color="auto" w:sz="4" w:space="0"/>
              <w:tl2br w:val="nil"/>
              <w:tr2bl w:val="nil"/>
            </w:tcBorders>
            <w:vAlign w:val="center"/>
          </w:tcPr>
          <w:p w14:paraId="3DE8644A">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left w:val="single" w:color="auto" w:sz="4" w:space="0"/>
              <w:tl2br w:val="nil"/>
              <w:tr2bl w:val="nil"/>
            </w:tcBorders>
            <w:vAlign w:val="center"/>
          </w:tcPr>
          <w:p w14:paraId="04EB094D">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68EE96D1">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0" w:type="auto"/>
            <w:tcBorders>
              <w:tl2br w:val="nil"/>
              <w:tr2bl w:val="nil"/>
            </w:tcBorders>
            <w:vAlign w:val="center"/>
          </w:tcPr>
          <w:p w14:paraId="664A4224">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r>
    </w:tbl>
    <w:p w14:paraId="48272D32">
      <w:pPr>
        <w:pStyle w:val="44"/>
        <w:tabs>
          <w:tab w:val="left" w:pos="567"/>
          <w:tab w:val="clear" w:pos="1120"/>
        </w:tabs>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eastAsia" w:ascii="Times New Roman" w:hAnsi="Times New Roman" w:cs="Times New Roman"/>
          <w:color w:val="auto"/>
          <w:lang w:val="en-US" w:eastAsia="zh-CN"/>
        </w:rPr>
        <w:t>5.2</w:t>
      </w:r>
      <w:r>
        <w:rPr>
          <w:rFonts w:hint="default" w:ascii="Times New Roman" w:hAnsi="Times New Roman" w:cs="Times New Roman"/>
          <w:color w:val="auto"/>
          <w:lang w:eastAsia="zh-CN"/>
        </w:rPr>
        <w:t>-</w:t>
      </w:r>
      <w:r>
        <w:rPr>
          <w:rFonts w:hint="eastAsia" w:cs="Times New Roman"/>
          <w:color w:val="auto"/>
          <w:lang w:val="en-US" w:eastAsia="zh-CN"/>
        </w:rPr>
        <w:t>4</w:t>
      </w:r>
      <w:r>
        <w:rPr>
          <w:rFonts w:hint="default" w:ascii="Times New Roman" w:hAnsi="Times New Roman" w:eastAsia="宋体" w:cs="Times New Roman"/>
          <w:color w:val="auto"/>
          <w:highlight w:val="none"/>
          <w:lang w:val="en-US"/>
        </w:rPr>
        <w:t xml:space="preserve"> </w:t>
      </w:r>
      <w:r>
        <w:rPr>
          <w:rFonts w:hint="default" w:ascii="Times New Roman" w:hAnsi="Times New Roman" w:eastAsia="宋体" w:cs="Times New Roman"/>
          <w:color w:val="auto"/>
          <w:highlight w:val="none"/>
        </w:rPr>
        <w:t>矩形面源排放源强表</w:t>
      </w:r>
    </w:p>
    <w:tbl>
      <w:tblPr>
        <w:tblStyle w:val="22"/>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42"/>
        <w:gridCol w:w="1093"/>
        <w:gridCol w:w="815"/>
        <w:gridCol w:w="954"/>
        <w:gridCol w:w="991"/>
        <w:gridCol w:w="798"/>
        <w:gridCol w:w="830"/>
        <w:gridCol w:w="1051"/>
        <w:gridCol w:w="1069"/>
        <w:gridCol w:w="941"/>
        <w:gridCol w:w="989"/>
        <w:gridCol w:w="763"/>
        <w:gridCol w:w="728"/>
        <w:gridCol w:w="833"/>
        <w:gridCol w:w="833"/>
        <w:gridCol w:w="833"/>
      </w:tblGrid>
      <w:tr w14:paraId="4603D2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240" w:type="pct"/>
            <w:vMerge w:val="restart"/>
            <w:vAlign w:val="center"/>
          </w:tcPr>
          <w:p w14:paraId="19BE795E">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编号</w:t>
            </w:r>
          </w:p>
        </w:tc>
        <w:tc>
          <w:tcPr>
            <w:tcW w:w="399" w:type="pct"/>
            <w:vMerge w:val="restart"/>
            <w:vAlign w:val="center"/>
          </w:tcPr>
          <w:p w14:paraId="0436D9F9">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名称</w:t>
            </w:r>
          </w:p>
        </w:tc>
        <w:tc>
          <w:tcPr>
            <w:tcW w:w="651" w:type="pct"/>
            <w:gridSpan w:val="2"/>
            <w:vAlign w:val="center"/>
          </w:tcPr>
          <w:p w14:paraId="078FAB8E">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面源起点坐标/m</w:t>
            </w:r>
          </w:p>
        </w:tc>
        <w:tc>
          <w:tcPr>
            <w:tcW w:w="363" w:type="pct"/>
            <w:vMerge w:val="restart"/>
            <w:vAlign w:val="center"/>
          </w:tcPr>
          <w:p w14:paraId="6683EE8C">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面源海拔高度/m</w:t>
            </w:r>
          </w:p>
        </w:tc>
        <w:tc>
          <w:tcPr>
            <w:tcW w:w="295" w:type="pct"/>
            <w:vMerge w:val="restart"/>
            <w:vAlign w:val="center"/>
          </w:tcPr>
          <w:p w14:paraId="5E42AF31">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面源长度/m</w:t>
            </w:r>
          </w:p>
        </w:tc>
        <w:tc>
          <w:tcPr>
            <w:tcW w:w="306" w:type="pct"/>
            <w:vMerge w:val="restart"/>
            <w:vAlign w:val="center"/>
          </w:tcPr>
          <w:p w14:paraId="72E15E93">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面源宽度/m</w:t>
            </w:r>
          </w:p>
        </w:tc>
        <w:tc>
          <w:tcPr>
            <w:tcW w:w="384" w:type="pct"/>
            <w:vMerge w:val="restart"/>
            <w:vAlign w:val="center"/>
          </w:tcPr>
          <w:p w14:paraId="69A1727B">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与正北向夹角/。</w:t>
            </w:r>
          </w:p>
        </w:tc>
        <w:tc>
          <w:tcPr>
            <w:tcW w:w="390" w:type="pct"/>
            <w:vMerge w:val="restart"/>
            <w:vAlign w:val="center"/>
          </w:tcPr>
          <w:p w14:paraId="2C36307B">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面源有效排放高度/m</w:t>
            </w:r>
          </w:p>
        </w:tc>
        <w:tc>
          <w:tcPr>
            <w:tcW w:w="345" w:type="pct"/>
            <w:vMerge w:val="restart"/>
            <w:vAlign w:val="center"/>
          </w:tcPr>
          <w:p w14:paraId="34BBF666">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年排放小时数/h</w:t>
            </w:r>
          </w:p>
        </w:tc>
        <w:tc>
          <w:tcPr>
            <w:tcW w:w="362" w:type="pct"/>
            <w:vMerge w:val="restart"/>
            <w:vAlign w:val="center"/>
          </w:tcPr>
          <w:p w14:paraId="2D15F50B">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排放工况</w:t>
            </w:r>
          </w:p>
        </w:tc>
        <w:tc>
          <w:tcPr>
            <w:tcW w:w="1260" w:type="pct"/>
            <w:gridSpan w:val="5"/>
            <w:vAlign w:val="center"/>
          </w:tcPr>
          <w:p w14:paraId="7DACCC74">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污染物排放速率/(kg/h)</w:t>
            </w:r>
          </w:p>
        </w:tc>
      </w:tr>
      <w:tr w14:paraId="0CFCF1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31" w:hRule="atLeast"/>
          <w:tblHeader/>
          <w:jc w:val="center"/>
        </w:trPr>
        <w:tc>
          <w:tcPr>
            <w:tcW w:w="240" w:type="pct"/>
            <w:vMerge w:val="continue"/>
            <w:vAlign w:val="center"/>
          </w:tcPr>
          <w:p w14:paraId="271CB1E6">
            <w:pPr>
              <w:pStyle w:val="83"/>
              <w:spacing w:line="240" w:lineRule="auto"/>
              <w:ind w:left="22" w:right="22"/>
              <w:rPr>
                <w:rFonts w:hint="default" w:ascii="Times New Roman" w:hAnsi="Times New Roman" w:cs="Times New Roman"/>
                <w:color w:val="auto"/>
              </w:rPr>
            </w:pPr>
          </w:p>
        </w:tc>
        <w:tc>
          <w:tcPr>
            <w:tcW w:w="399" w:type="pct"/>
            <w:vMerge w:val="continue"/>
            <w:vAlign w:val="center"/>
          </w:tcPr>
          <w:p w14:paraId="7BE0B884">
            <w:pPr>
              <w:pStyle w:val="83"/>
              <w:spacing w:line="240" w:lineRule="auto"/>
              <w:ind w:left="22" w:right="22"/>
              <w:rPr>
                <w:rFonts w:hint="default" w:ascii="Times New Roman" w:hAnsi="Times New Roman" w:cs="Times New Roman"/>
                <w:color w:val="auto"/>
              </w:rPr>
            </w:pPr>
          </w:p>
        </w:tc>
        <w:tc>
          <w:tcPr>
            <w:tcW w:w="301" w:type="pct"/>
            <w:vAlign w:val="center"/>
          </w:tcPr>
          <w:p w14:paraId="456D9527">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X</w:t>
            </w:r>
          </w:p>
        </w:tc>
        <w:tc>
          <w:tcPr>
            <w:tcW w:w="350" w:type="pct"/>
            <w:vAlign w:val="center"/>
          </w:tcPr>
          <w:p w14:paraId="68CD7B57">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Y</w:t>
            </w:r>
          </w:p>
        </w:tc>
        <w:tc>
          <w:tcPr>
            <w:tcW w:w="363" w:type="pct"/>
            <w:vMerge w:val="continue"/>
            <w:vAlign w:val="center"/>
          </w:tcPr>
          <w:p w14:paraId="12CA242E">
            <w:pPr>
              <w:pStyle w:val="83"/>
              <w:spacing w:line="240" w:lineRule="auto"/>
              <w:ind w:left="22" w:right="22"/>
              <w:rPr>
                <w:rFonts w:hint="default" w:ascii="Times New Roman" w:hAnsi="Times New Roman" w:cs="Times New Roman"/>
                <w:color w:val="auto"/>
              </w:rPr>
            </w:pPr>
          </w:p>
        </w:tc>
        <w:tc>
          <w:tcPr>
            <w:tcW w:w="295" w:type="pct"/>
            <w:vMerge w:val="continue"/>
            <w:vAlign w:val="center"/>
          </w:tcPr>
          <w:p w14:paraId="4CAEA042">
            <w:pPr>
              <w:pStyle w:val="83"/>
              <w:spacing w:line="240" w:lineRule="auto"/>
              <w:ind w:left="22" w:right="22"/>
              <w:rPr>
                <w:rFonts w:hint="default" w:ascii="Times New Roman" w:hAnsi="Times New Roman" w:cs="Times New Roman"/>
                <w:color w:val="auto"/>
              </w:rPr>
            </w:pPr>
          </w:p>
        </w:tc>
        <w:tc>
          <w:tcPr>
            <w:tcW w:w="306" w:type="pct"/>
            <w:vMerge w:val="continue"/>
            <w:vAlign w:val="center"/>
          </w:tcPr>
          <w:p w14:paraId="47678512">
            <w:pPr>
              <w:pStyle w:val="83"/>
              <w:spacing w:line="240" w:lineRule="auto"/>
              <w:ind w:left="22" w:right="22"/>
              <w:rPr>
                <w:rFonts w:hint="default" w:ascii="Times New Roman" w:hAnsi="Times New Roman" w:cs="Times New Roman"/>
                <w:color w:val="auto"/>
              </w:rPr>
            </w:pPr>
          </w:p>
        </w:tc>
        <w:tc>
          <w:tcPr>
            <w:tcW w:w="384" w:type="pct"/>
            <w:vMerge w:val="continue"/>
            <w:vAlign w:val="center"/>
          </w:tcPr>
          <w:p w14:paraId="121104BC">
            <w:pPr>
              <w:pStyle w:val="83"/>
              <w:spacing w:line="240" w:lineRule="auto"/>
              <w:ind w:left="22" w:right="22"/>
              <w:rPr>
                <w:rFonts w:hint="default" w:ascii="Times New Roman" w:hAnsi="Times New Roman" w:cs="Times New Roman"/>
                <w:color w:val="auto"/>
              </w:rPr>
            </w:pPr>
          </w:p>
        </w:tc>
        <w:tc>
          <w:tcPr>
            <w:tcW w:w="390" w:type="pct"/>
            <w:vMerge w:val="continue"/>
            <w:vAlign w:val="center"/>
          </w:tcPr>
          <w:p w14:paraId="6DF8DD4C">
            <w:pPr>
              <w:pStyle w:val="83"/>
              <w:spacing w:line="240" w:lineRule="auto"/>
              <w:ind w:left="22" w:right="22"/>
              <w:rPr>
                <w:rFonts w:hint="default" w:ascii="Times New Roman" w:hAnsi="Times New Roman" w:cs="Times New Roman"/>
                <w:color w:val="auto"/>
              </w:rPr>
            </w:pPr>
          </w:p>
        </w:tc>
        <w:tc>
          <w:tcPr>
            <w:tcW w:w="345" w:type="pct"/>
            <w:vMerge w:val="continue"/>
            <w:vAlign w:val="center"/>
          </w:tcPr>
          <w:p w14:paraId="47ABEB4D">
            <w:pPr>
              <w:pStyle w:val="83"/>
              <w:spacing w:line="240" w:lineRule="auto"/>
              <w:ind w:left="22" w:right="22"/>
              <w:rPr>
                <w:rFonts w:hint="default" w:ascii="Times New Roman" w:hAnsi="Times New Roman" w:cs="Times New Roman"/>
                <w:color w:val="auto"/>
              </w:rPr>
            </w:pPr>
          </w:p>
        </w:tc>
        <w:tc>
          <w:tcPr>
            <w:tcW w:w="362" w:type="pct"/>
            <w:vMerge w:val="continue"/>
            <w:vAlign w:val="center"/>
          </w:tcPr>
          <w:p w14:paraId="34F5B56E">
            <w:pPr>
              <w:pStyle w:val="83"/>
              <w:spacing w:line="240" w:lineRule="auto"/>
              <w:ind w:left="22" w:right="22"/>
              <w:rPr>
                <w:rFonts w:hint="default" w:ascii="Times New Roman" w:hAnsi="Times New Roman" w:cs="Times New Roman"/>
                <w:color w:val="auto"/>
              </w:rPr>
            </w:pPr>
          </w:p>
        </w:tc>
        <w:tc>
          <w:tcPr>
            <w:tcW w:w="282" w:type="pct"/>
            <w:vAlign w:val="center"/>
          </w:tcPr>
          <w:p w14:paraId="66ED7E43">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TSP</w:t>
            </w:r>
          </w:p>
        </w:tc>
        <w:tc>
          <w:tcPr>
            <w:tcW w:w="243" w:type="pct"/>
            <w:tcBorders>
              <w:right w:val="single" w:color="000000" w:sz="4" w:space="0"/>
            </w:tcBorders>
            <w:vAlign w:val="center"/>
          </w:tcPr>
          <w:p w14:paraId="1A585F2C">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非甲烷总烃</w:t>
            </w:r>
          </w:p>
        </w:tc>
        <w:tc>
          <w:tcPr>
            <w:tcW w:w="159" w:type="pct"/>
            <w:tcBorders>
              <w:left w:val="single" w:color="000000" w:sz="4" w:space="0"/>
            </w:tcBorders>
            <w:vAlign w:val="center"/>
          </w:tcPr>
          <w:p w14:paraId="49E8B6FB">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甲苯</w:t>
            </w:r>
          </w:p>
        </w:tc>
        <w:tc>
          <w:tcPr>
            <w:tcW w:w="273" w:type="pct"/>
            <w:vAlign w:val="center"/>
          </w:tcPr>
          <w:p w14:paraId="16426FA9">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苯乙烯</w:t>
            </w:r>
          </w:p>
        </w:tc>
        <w:tc>
          <w:tcPr>
            <w:tcW w:w="302" w:type="pct"/>
            <w:vAlign w:val="center"/>
          </w:tcPr>
          <w:p w14:paraId="16213A8D">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丙烯腈</w:t>
            </w:r>
          </w:p>
        </w:tc>
      </w:tr>
      <w:tr w14:paraId="666F63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0" w:type="pct"/>
            <w:vAlign w:val="center"/>
          </w:tcPr>
          <w:p w14:paraId="1320B947">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W1</w:t>
            </w:r>
          </w:p>
        </w:tc>
        <w:tc>
          <w:tcPr>
            <w:tcW w:w="399" w:type="pct"/>
            <w:vAlign w:val="center"/>
          </w:tcPr>
          <w:p w14:paraId="615203A0">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注塑</w:t>
            </w:r>
          </w:p>
        </w:tc>
        <w:tc>
          <w:tcPr>
            <w:tcW w:w="301" w:type="pct"/>
            <w:vAlign w:val="center"/>
          </w:tcPr>
          <w:p w14:paraId="501916A4">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10</w:t>
            </w:r>
          </w:p>
        </w:tc>
        <w:tc>
          <w:tcPr>
            <w:tcW w:w="350" w:type="pct"/>
            <w:vAlign w:val="center"/>
          </w:tcPr>
          <w:p w14:paraId="11D63858">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13</w:t>
            </w:r>
          </w:p>
        </w:tc>
        <w:tc>
          <w:tcPr>
            <w:tcW w:w="363" w:type="pct"/>
            <w:vAlign w:val="center"/>
          </w:tcPr>
          <w:p w14:paraId="574B8B15">
            <w:pPr>
              <w:spacing w:line="240" w:lineRule="auto"/>
              <w:ind w:left="22" w:right="22"/>
              <w:jc w:val="center"/>
              <w:rPr>
                <w:rFonts w:hint="default" w:ascii="Times New Roman" w:hAnsi="Times New Roman" w:cs="Times New Roman"/>
                <w:color w:val="auto"/>
              </w:rPr>
            </w:pPr>
            <w:r>
              <w:rPr>
                <w:rFonts w:hint="eastAsia" w:ascii="Times New Roman" w:hAnsi="Times New Roman" w:eastAsia="宋体" w:cs="Times New Roman"/>
                <w:color w:val="auto"/>
                <w:lang w:eastAsia="zh-CN"/>
              </w:rPr>
              <w:t>1</w:t>
            </w:r>
            <w:r>
              <w:rPr>
                <w:rFonts w:hint="eastAsia" w:ascii="Times New Roman" w:hAnsi="Times New Roman" w:eastAsia="宋体" w:cs="Times New Roman"/>
                <w:color w:val="auto"/>
                <w:lang w:val="en-US" w:eastAsia="zh-CN"/>
              </w:rPr>
              <w:t>86</w:t>
            </w:r>
          </w:p>
        </w:tc>
        <w:tc>
          <w:tcPr>
            <w:tcW w:w="295" w:type="pct"/>
            <w:vAlign w:val="center"/>
          </w:tcPr>
          <w:p w14:paraId="726D1201">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180</w:t>
            </w:r>
          </w:p>
        </w:tc>
        <w:tc>
          <w:tcPr>
            <w:tcW w:w="306" w:type="pct"/>
            <w:vAlign w:val="center"/>
          </w:tcPr>
          <w:p w14:paraId="43D7707C">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60</w:t>
            </w:r>
          </w:p>
        </w:tc>
        <w:tc>
          <w:tcPr>
            <w:tcW w:w="384" w:type="pct"/>
            <w:vAlign w:val="center"/>
          </w:tcPr>
          <w:p w14:paraId="48235892">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40</w:t>
            </w:r>
          </w:p>
        </w:tc>
        <w:tc>
          <w:tcPr>
            <w:tcW w:w="390" w:type="pct"/>
            <w:vAlign w:val="center"/>
          </w:tcPr>
          <w:p w14:paraId="44A45E74">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3</w:t>
            </w:r>
          </w:p>
        </w:tc>
        <w:tc>
          <w:tcPr>
            <w:tcW w:w="345" w:type="pct"/>
            <w:vAlign w:val="center"/>
          </w:tcPr>
          <w:p w14:paraId="18C4384D">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6960</w:t>
            </w:r>
          </w:p>
        </w:tc>
        <w:tc>
          <w:tcPr>
            <w:tcW w:w="362" w:type="pct"/>
            <w:vAlign w:val="center"/>
          </w:tcPr>
          <w:p w14:paraId="255838B7">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正常工况</w:t>
            </w:r>
          </w:p>
        </w:tc>
        <w:tc>
          <w:tcPr>
            <w:tcW w:w="282" w:type="pct"/>
            <w:vAlign w:val="center"/>
          </w:tcPr>
          <w:p w14:paraId="49B57606">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w:t>
            </w:r>
          </w:p>
        </w:tc>
        <w:tc>
          <w:tcPr>
            <w:tcW w:w="243" w:type="pct"/>
            <w:tcBorders>
              <w:right w:val="single" w:color="000000" w:sz="4" w:space="0"/>
            </w:tcBorders>
            <w:vAlign w:val="center"/>
          </w:tcPr>
          <w:p w14:paraId="5D5A9797">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0.069</w:t>
            </w:r>
          </w:p>
        </w:tc>
        <w:tc>
          <w:tcPr>
            <w:tcW w:w="159" w:type="pct"/>
            <w:tcBorders>
              <w:left w:val="single" w:color="000000" w:sz="4" w:space="0"/>
            </w:tcBorders>
            <w:shd w:val="clear" w:color="auto" w:fill="auto"/>
            <w:vAlign w:val="center"/>
          </w:tcPr>
          <w:p w14:paraId="27E5EB46">
            <w:pPr>
              <w:pStyle w:val="83"/>
              <w:spacing w:line="240" w:lineRule="auto"/>
              <w:ind w:left="19" w:leftChars="9" w:right="19" w:rightChars="9" w:firstLine="0" w:firstLineChars="0"/>
              <w:rPr>
                <w:rFonts w:hint="default" w:ascii="Times New Roman" w:hAnsi="Times New Roman" w:eastAsia="宋体" w:cs="Times New Roman"/>
                <w:snapToGrid w:val="0"/>
                <w:color w:val="auto"/>
                <w:kern w:val="0"/>
                <w:sz w:val="21"/>
                <w:szCs w:val="20"/>
                <w:lang w:val="en-US" w:eastAsia="zh-CN" w:bidi="ar-SA"/>
              </w:rPr>
            </w:pPr>
            <w:r>
              <w:rPr>
                <w:rFonts w:hint="eastAsia" w:ascii="Times New Roman" w:hAnsi="Times New Roman" w:eastAsia="宋体" w:cs="Times New Roman"/>
                <w:color w:val="auto"/>
                <w:lang w:val="en-US" w:eastAsia="zh-CN"/>
              </w:rPr>
              <w:t>0.0009</w:t>
            </w:r>
          </w:p>
        </w:tc>
        <w:tc>
          <w:tcPr>
            <w:tcW w:w="273" w:type="pct"/>
            <w:shd w:val="clear" w:color="auto" w:fill="auto"/>
            <w:vAlign w:val="center"/>
          </w:tcPr>
          <w:p w14:paraId="15383906">
            <w:pPr>
              <w:pStyle w:val="83"/>
              <w:spacing w:line="240" w:lineRule="auto"/>
              <w:ind w:left="19" w:leftChars="9" w:right="19" w:rightChars="9" w:firstLine="0" w:firstLineChars="0"/>
              <w:rPr>
                <w:rFonts w:hint="default" w:ascii="Times New Roman" w:hAnsi="Times New Roman" w:eastAsia="宋体" w:cs="Times New Roman"/>
                <w:snapToGrid w:val="0"/>
                <w:color w:val="auto"/>
                <w:kern w:val="0"/>
                <w:sz w:val="21"/>
                <w:szCs w:val="20"/>
                <w:lang w:val="en-US" w:eastAsia="zh-CN" w:bidi="ar-SA"/>
              </w:rPr>
            </w:pPr>
            <w:r>
              <w:rPr>
                <w:rFonts w:hint="eastAsia" w:ascii="Times New Roman" w:hAnsi="Times New Roman" w:eastAsia="宋体" w:cs="Times New Roman"/>
                <w:color w:val="auto"/>
                <w:lang w:val="en-US" w:eastAsia="zh-CN"/>
              </w:rPr>
              <w:t>0.0007</w:t>
            </w:r>
          </w:p>
        </w:tc>
        <w:tc>
          <w:tcPr>
            <w:tcW w:w="302" w:type="pct"/>
            <w:shd w:val="clear" w:color="auto" w:fill="auto"/>
            <w:vAlign w:val="center"/>
          </w:tcPr>
          <w:p w14:paraId="56160094">
            <w:pPr>
              <w:pStyle w:val="83"/>
              <w:spacing w:line="240" w:lineRule="auto"/>
              <w:ind w:left="19" w:leftChars="9" w:right="19" w:rightChars="9" w:firstLine="0" w:firstLineChars="0"/>
              <w:rPr>
                <w:rFonts w:hint="default" w:ascii="Times New Roman" w:hAnsi="Times New Roman" w:eastAsia="宋体" w:cs="Times New Roman"/>
                <w:snapToGrid w:val="0"/>
                <w:color w:val="auto"/>
                <w:kern w:val="0"/>
                <w:sz w:val="21"/>
                <w:szCs w:val="20"/>
                <w:lang w:val="en-US" w:eastAsia="zh-CN" w:bidi="ar-SA"/>
              </w:rPr>
            </w:pPr>
            <w:r>
              <w:rPr>
                <w:rFonts w:hint="eastAsia" w:ascii="Times New Roman" w:hAnsi="Times New Roman" w:eastAsia="宋体" w:cs="Times New Roman"/>
                <w:color w:val="auto"/>
                <w:lang w:val="en-US" w:eastAsia="zh-CN"/>
              </w:rPr>
              <w:t>0.0003</w:t>
            </w:r>
          </w:p>
        </w:tc>
      </w:tr>
      <w:tr w14:paraId="624C81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0" w:type="pct"/>
            <w:vAlign w:val="center"/>
          </w:tcPr>
          <w:p w14:paraId="3CDA4085">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W2</w:t>
            </w:r>
          </w:p>
        </w:tc>
        <w:tc>
          <w:tcPr>
            <w:tcW w:w="399" w:type="pct"/>
            <w:vAlign w:val="center"/>
          </w:tcPr>
          <w:p w14:paraId="6CA15F07">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喷涂、管路和喷枪清洗、丝印</w:t>
            </w:r>
          </w:p>
        </w:tc>
        <w:tc>
          <w:tcPr>
            <w:tcW w:w="301" w:type="pct"/>
            <w:vAlign w:val="center"/>
          </w:tcPr>
          <w:p w14:paraId="2CA89E81">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80</w:t>
            </w:r>
          </w:p>
        </w:tc>
        <w:tc>
          <w:tcPr>
            <w:tcW w:w="350" w:type="pct"/>
            <w:vAlign w:val="center"/>
          </w:tcPr>
          <w:p w14:paraId="566F5219">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80</w:t>
            </w:r>
          </w:p>
        </w:tc>
        <w:tc>
          <w:tcPr>
            <w:tcW w:w="363" w:type="pct"/>
            <w:vAlign w:val="center"/>
          </w:tcPr>
          <w:p w14:paraId="173C7B9A">
            <w:pPr>
              <w:spacing w:line="240" w:lineRule="auto"/>
              <w:ind w:left="22" w:right="22"/>
              <w:jc w:val="center"/>
              <w:rPr>
                <w:rFonts w:hint="default" w:ascii="Times New Roman" w:hAnsi="Times New Roman" w:cs="Times New Roman"/>
                <w:color w:val="auto"/>
              </w:rPr>
            </w:pPr>
            <w:r>
              <w:rPr>
                <w:rFonts w:hint="eastAsia" w:ascii="Times New Roman" w:hAnsi="Times New Roman" w:eastAsia="宋体" w:cs="Times New Roman"/>
                <w:color w:val="auto"/>
                <w:lang w:eastAsia="zh-CN"/>
              </w:rPr>
              <w:t>1</w:t>
            </w:r>
            <w:r>
              <w:rPr>
                <w:rFonts w:hint="eastAsia" w:ascii="Times New Roman" w:hAnsi="Times New Roman" w:eastAsia="宋体" w:cs="Times New Roman"/>
                <w:color w:val="auto"/>
                <w:lang w:val="en-US" w:eastAsia="zh-CN"/>
              </w:rPr>
              <w:t>86</w:t>
            </w:r>
          </w:p>
        </w:tc>
        <w:tc>
          <w:tcPr>
            <w:tcW w:w="295" w:type="pct"/>
            <w:vAlign w:val="center"/>
          </w:tcPr>
          <w:p w14:paraId="1CED6A26">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110</w:t>
            </w:r>
          </w:p>
        </w:tc>
        <w:tc>
          <w:tcPr>
            <w:tcW w:w="306" w:type="pct"/>
            <w:vAlign w:val="center"/>
          </w:tcPr>
          <w:p w14:paraId="0756F200">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60</w:t>
            </w:r>
          </w:p>
        </w:tc>
        <w:tc>
          <w:tcPr>
            <w:tcW w:w="384" w:type="pct"/>
            <w:vAlign w:val="center"/>
          </w:tcPr>
          <w:p w14:paraId="361E2E85">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40</w:t>
            </w:r>
          </w:p>
        </w:tc>
        <w:tc>
          <w:tcPr>
            <w:tcW w:w="390" w:type="pct"/>
            <w:vAlign w:val="center"/>
          </w:tcPr>
          <w:p w14:paraId="6744F99F">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3</w:t>
            </w:r>
          </w:p>
        </w:tc>
        <w:tc>
          <w:tcPr>
            <w:tcW w:w="345" w:type="pct"/>
            <w:vAlign w:val="center"/>
          </w:tcPr>
          <w:p w14:paraId="2418E362">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6960</w:t>
            </w:r>
          </w:p>
        </w:tc>
        <w:tc>
          <w:tcPr>
            <w:tcW w:w="362" w:type="pct"/>
            <w:vAlign w:val="center"/>
          </w:tcPr>
          <w:p w14:paraId="2372E088">
            <w:pPr>
              <w:pStyle w:val="83"/>
              <w:spacing w:line="240" w:lineRule="auto"/>
              <w:ind w:left="22" w:right="22"/>
              <w:rPr>
                <w:rFonts w:hint="default" w:ascii="Times New Roman" w:hAnsi="Times New Roman" w:cs="Times New Roman"/>
                <w:color w:val="auto"/>
                <w:highlight w:val="green"/>
              </w:rPr>
            </w:pPr>
            <w:r>
              <w:rPr>
                <w:rFonts w:hint="default" w:ascii="Times New Roman" w:hAnsi="Times New Roman" w:cs="Times New Roman"/>
                <w:color w:val="auto"/>
              </w:rPr>
              <w:t>正常工况</w:t>
            </w:r>
          </w:p>
        </w:tc>
        <w:tc>
          <w:tcPr>
            <w:tcW w:w="282" w:type="pct"/>
            <w:vAlign w:val="center"/>
          </w:tcPr>
          <w:p w14:paraId="03936FD8">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0.21</w:t>
            </w:r>
          </w:p>
        </w:tc>
        <w:tc>
          <w:tcPr>
            <w:tcW w:w="243" w:type="pct"/>
            <w:tcBorders>
              <w:right w:val="single" w:color="000000" w:sz="4" w:space="0"/>
            </w:tcBorders>
            <w:vAlign w:val="center"/>
          </w:tcPr>
          <w:p w14:paraId="2BAE3C38">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0.543</w:t>
            </w:r>
          </w:p>
        </w:tc>
        <w:tc>
          <w:tcPr>
            <w:tcW w:w="159" w:type="pct"/>
            <w:tcBorders>
              <w:left w:val="single" w:color="000000" w:sz="4" w:space="0"/>
            </w:tcBorders>
            <w:vAlign w:val="center"/>
          </w:tcPr>
          <w:p w14:paraId="77C1DA5D">
            <w:pPr>
              <w:spacing w:line="240" w:lineRule="auto"/>
              <w:ind w:left="22" w:right="22"/>
              <w:jc w:val="center"/>
              <w:rPr>
                <w:rFonts w:hint="eastAsia" w:ascii="Times New Roman" w:hAnsi="Times New Roman" w:eastAsia="宋体" w:cs="Times New Roman"/>
                <w:color w:val="FF0000"/>
                <w:lang w:val="en-US" w:eastAsia="zh-CN"/>
              </w:rPr>
            </w:pPr>
            <w:r>
              <w:rPr>
                <w:rFonts w:hint="eastAsia" w:ascii="Times New Roman" w:hAnsi="Times New Roman" w:eastAsia="宋体" w:cs="Times New Roman"/>
                <w:color w:val="auto"/>
                <w:lang w:val="en-US" w:eastAsia="zh-CN"/>
              </w:rPr>
              <w:t>/</w:t>
            </w:r>
          </w:p>
        </w:tc>
        <w:tc>
          <w:tcPr>
            <w:tcW w:w="273" w:type="pct"/>
            <w:shd w:val="clear" w:color="auto" w:fill="auto"/>
            <w:vAlign w:val="center"/>
          </w:tcPr>
          <w:p w14:paraId="577F9252">
            <w:pPr>
              <w:spacing w:line="240" w:lineRule="auto"/>
              <w:ind w:left="22" w:right="22"/>
              <w:jc w:val="center"/>
              <w:rPr>
                <w:rFonts w:hint="eastAsia" w:ascii="Times New Roman" w:hAnsi="Times New Roman" w:eastAsia="宋体" w:cs="Times New Roman"/>
                <w:color w:val="FF0000"/>
                <w:lang w:val="en-US" w:eastAsia="zh-CN"/>
              </w:rPr>
            </w:pPr>
            <w:r>
              <w:rPr>
                <w:rFonts w:hint="eastAsia" w:ascii="Times New Roman" w:hAnsi="Times New Roman" w:eastAsia="宋体" w:cs="Times New Roman"/>
                <w:color w:val="auto"/>
                <w:lang w:val="en-US" w:eastAsia="zh-CN"/>
              </w:rPr>
              <w:t>/</w:t>
            </w:r>
          </w:p>
        </w:tc>
        <w:tc>
          <w:tcPr>
            <w:tcW w:w="302" w:type="pct"/>
            <w:shd w:val="clear" w:color="auto" w:fill="auto"/>
            <w:vAlign w:val="center"/>
          </w:tcPr>
          <w:p w14:paraId="03E40C6B">
            <w:pPr>
              <w:spacing w:line="240" w:lineRule="auto"/>
              <w:ind w:left="22" w:right="22"/>
              <w:jc w:val="center"/>
              <w:rPr>
                <w:rFonts w:hint="eastAsia" w:ascii="Times New Roman" w:hAnsi="Times New Roman" w:eastAsia="宋体" w:cs="Times New Roman"/>
                <w:color w:val="FF0000"/>
                <w:lang w:val="en-US" w:eastAsia="zh-CN"/>
              </w:rPr>
            </w:pPr>
            <w:r>
              <w:rPr>
                <w:rFonts w:hint="eastAsia" w:ascii="Times New Roman" w:hAnsi="Times New Roman" w:eastAsia="宋体" w:cs="Times New Roman"/>
                <w:color w:val="auto"/>
                <w:lang w:val="en-US" w:eastAsia="zh-CN"/>
              </w:rPr>
              <w:t>/</w:t>
            </w:r>
          </w:p>
        </w:tc>
      </w:tr>
      <w:tr w14:paraId="22C76B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0" w:type="pct"/>
            <w:vAlign w:val="center"/>
          </w:tcPr>
          <w:p w14:paraId="43924C77">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W3</w:t>
            </w:r>
          </w:p>
        </w:tc>
        <w:tc>
          <w:tcPr>
            <w:tcW w:w="399" w:type="pct"/>
            <w:vAlign w:val="center"/>
          </w:tcPr>
          <w:p w14:paraId="66549A26">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破碎</w:t>
            </w:r>
          </w:p>
        </w:tc>
        <w:tc>
          <w:tcPr>
            <w:tcW w:w="301" w:type="pct"/>
            <w:vAlign w:val="center"/>
          </w:tcPr>
          <w:p w14:paraId="0A02C657">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10</w:t>
            </w:r>
          </w:p>
        </w:tc>
        <w:tc>
          <w:tcPr>
            <w:tcW w:w="350" w:type="pct"/>
            <w:vAlign w:val="center"/>
          </w:tcPr>
          <w:p w14:paraId="7E8EDFA1">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13</w:t>
            </w:r>
          </w:p>
        </w:tc>
        <w:tc>
          <w:tcPr>
            <w:tcW w:w="363" w:type="pct"/>
            <w:vAlign w:val="center"/>
          </w:tcPr>
          <w:p w14:paraId="0025CB82">
            <w:pPr>
              <w:spacing w:line="240" w:lineRule="auto"/>
              <w:ind w:left="22" w:right="22"/>
              <w:jc w:val="center"/>
              <w:rPr>
                <w:rFonts w:hint="default" w:ascii="Times New Roman" w:hAnsi="Times New Roman" w:cs="Times New Roman"/>
                <w:color w:val="auto"/>
              </w:rPr>
            </w:pPr>
            <w:r>
              <w:rPr>
                <w:rFonts w:hint="eastAsia" w:ascii="Times New Roman" w:hAnsi="Times New Roman" w:eastAsia="宋体" w:cs="Times New Roman"/>
                <w:color w:val="auto"/>
                <w:lang w:eastAsia="zh-CN"/>
              </w:rPr>
              <w:t>1</w:t>
            </w:r>
            <w:r>
              <w:rPr>
                <w:rFonts w:hint="eastAsia" w:ascii="Times New Roman" w:hAnsi="Times New Roman" w:eastAsia="宋体" w:cs="Times New Roman"/>
                <w:color w:val="auto"/>
                <w:lang w:val="en-US" w:eastAsia="zh-CN"/>
              </w:rPr>
              <w:t>86</w:t>
            </w:r>
          </w:p>
        </w:tc>
        <w:tc>
          <w:tcPr>
            <w:tcW w:w="295" w:type="pct"/>
            <w:vAlign w:val="center"/>
          </w:tcPr>
          <w:p w14:paraId="4849C5FD">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180</w:t>
            </w:r>
          </w:p>
        </w:tc>
        <w:tc>
          <w:tcPr>
            <w:tcW w:w="306" w:type="pct"/>
            <w:vAlign w:val="center"/>
          </w:tcPr>
          <w:p w14:paraId="75871C05">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60</w:t>
            </w:r>
          </w:p>
        </w:tc>
        <w:tc>
          <w:tcPr>
            <w:tcW w:w="384" w:type="pct"/>
            <w:vAlign w:val="center"/>
          </w:tcPr>
          <w:p w14:paraId="36406194">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40</w:t>
            </w:r>
          </w:p>
        </w:tc>
        <w:tc>
          <w:tcPr>
            <w:tcW w:w="390" w:type="pct"/>
            <w:vAlign w:val="center"/>
          </w:tcPr>
          <w:p w14:paraId="272E82CF">
            <w:pPr>
              <w:spacing w:line="240" w:lineRule="auto"/>
              <w:ind w:left="22" w:right="22"/>
              <w:jc w:val="center"/>
              <w:rPr>
                <w:rFonts w:hint="default" w:ascii="Times New Roman" w:hAnsi="Times New Roman" w:cs="Times New Roman"/>
                <w:color w:val="auto"/>
              </w:rPr>
            </w:pPr>
            <w:r>
              <w:rPr>
                <w:rFonts w:hint="default" w:ascii="Times New Roman" w:hAnsi="Times New Roman" w:cs="Times New Roman"/>
                <w:color w:val="auto"/>
              </w:rPr>
              <w:t>3</w:t>
            </w:r>
          </w:p>
        </w:tc>
        <w:tc>
          <w:tcPr>
            <w:tcW w:w="345" w:type="pct"/>
            <w:vAlign w:val="center"/>
          </w:tcPr>
          <w:p w14:paraId="4A89DF9C">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580</w:t>
            </w:r>
          </w:p>
        </w:tc>
        <w:tc>
          <w:tcPr>
            <w:tcW w:w="362" w:type="pct"/>
            <w:vAlign w:val="center"/>
          </w:tcPr>
          <w:p w14:paraId="412A0DE6">
            <w:pPr>
              <w:spacing w:line="240" w:lineRule="auto"/>
              <w:ind w:left="22" w:right="22"/>
              <w:jc w:val="center"/>
              <w:rPr>
                <w:rFonts w:hint="default" w:ascii="Times New Roman" w:hAnsi="Times New Roman" w:cs="Times New Roman"/>
                <w:color w:val="auto"/>
              </w:rPr>
            </w:pPr>
            <w:r>
              <w:rPr>
                <w:rFonts w:hint="default" w:ascii="Times New Roman" w:hAnsi="Times New Roman" w:cs="Times New Roman"/>
                <w:color w:val="auto"/>
              </w:rPr>
              <w:t>正常工况</w:t>
            </w:r>
          </w:p>
        </w:tc>
        <w:tc>
          <w:tcPr>
            <w:tcW w:w="282" w:type="pct"/>
            <w:vAlign w:val="center"/>
          </w:tcPr>
          <w:p w14:paraId="6FF514FF">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0.029</w:t>
            </w:r>
          </w:p>
        </w:tc>
        <w:tc>
          <w:tcPr>
            <w:tcW w:w="243" w:type="pct"/>
            <w:tcBorders>
              <w:right w:val="single" w:color="000000" w:sz="4" w:space="0"/>
            </w:tcBorders>
            <w:vAlign w:val="center"/>
          </w:tcPr>
          <w:p w14:paraId="1727F41B">
            <w:pPr>
              <w:spacing w:line="240" w:lineRule="auto"/>
              <w:ind w:left="22" w:right="22"/>
              <w:jc w:val="center"/>
              <w:rPr>
                <w:rFonts w:hint="default" w:ascii="Times New Roman" w:hAnsi="Times New Roman" w:cs="Times New Roman"/>
                <w:color w:val="auto"/>
              </w:rPr>
            </w:pPr>
            <w:r>
              <w:rPr>
                <w:rFonts w:hint="eastAsia" w:ascii="Times New Roman" w:hAnsi="Times New Roman" w:eastAsia="宋体" w:cs="Times New Roman"/>
                <w:color w:val="auto"/>
                <w:lang w:val="en-US" w:eastAsia="zh-CN"/>
              </w:rPr>
              <w:t>/</w:t>
            </w:r>
          </w:p>
        </w:tc>
        <w:tc>
          <w:tcPr>
            <w:tcW w:w="159" w:type="pct"/>
            <w:tcBorders>
              <w:left w:val="single" w:color="000000" w:sz="4" w:space="0"/>
            </w:tcBorders>
            <w:vAlign w:val="center"/>
          </w:tcPr>
          <w:p w14:paraId="49603390">
            <w:pPr>
              <w:spacing w:line="240" w:lineRule="auto"/>
              <w:ind w:left="22" w:right="22"/>
              <w:jc w:val="center"/>
              <w:rPr>
                <w:rFonts w:hint="default" w:ascii="Times New Roman" w:hAnsi="Times New Roman" w:cs="Times New Roman"/>
                <w:color w:val="FF0000"/>
              </w:rPr>
            </w:pPr>
            <w:r>
              <w:rPr>
                <w:rFonts w:hint="eastAsia" w:ascii="Times New Roman" w:hAnsi="Times New Roman" w:eastAsia="宋体" w:cs="Times New Roman"/>
                <w:color w:val="auto"/>
                <w:lang w:val="en-US" w:eastAsia="zh-CN"/>
              </w:rPr>
              <w:t>/</w:t>
            </w:r>
          </w:p>
        </w:tc>
        <w:tc>
          <w:tcPr>
            <w:tcW w:w="273" w:type="pct"/>
            <w:shd w:val="clear" w:color="auto" w:fill="auto"/>
            <w:vAlign w:val="center"/>
          </w:tcPr>
          <w:p w14:paraId="1DBDE7DD">
            <w:pPr>
              <w:spacing w:line="240" w:lineRule="auto"/>
              <w:ind w:left="22" w:right="22"/>
              <w:jc w:val="center"/>
              <w:rPr>
                <w:rFonts w:hint="default" w:ascii="Times New Roman" w:hAnsi="Times New Roman" w:cs="Times New Roman"/>
                <w:color w:val="FF0000"/>
              </w:rPr>
            </w:pPr>
            <w:r>
              <w:rPr>
                <w:rFonts w:hint="eastAsia" w:ascii="Times New Roman" w:hAnsi="Times New Roman" w:eastAsia="宋体" w:cs="Times New Roman"/>
                <w:color w:val="auto"/>
                <w:lang w:val="en-US" w:eastAsia="zh-CN"/>
              </w:rPr>
              <w:t>/</w:t>
            </w:r>
          </w:p>
        </w:tc>
        <w:tc>
          <w:tcPr>
            <w:tcW w:w="302" w:type="pct"/>
            <w:shd w:val="clear" w:color="auto" w:fill="auto"/>
            <w:vAlign w:val="center"/>
          </w:tcPr>
          <w:p w14:paraId="2CE04B75">
            <w:pPr>
              <w:spacing w:line="240" w:lineRule="auto"/>
              <w:ind w:left="22" w:right="22"/>
              <w:jc w:val="center"/>
              <w:rPr>
                <w:rFonts w:hint="default" w:ascii="Times New Roman" w:hAnsi="Times New Roman" w:cs="Times New Roman"/>
                <w:color w:val="FF0000"/>
              </w:rPr>
            </w:pPr>
            <w:r>
              <w:rPr>
                <w:rFonts w:hint="eastAsia" w:ascii="Times New Roman" w:hAnsi="Times New Roman" w:eastAsia="宋体" w:cs="Times New Roman"/>
                <w:color w:val="auto"/>
                <w:lang w:val="en-US" w:eastAsia="zh-CN"/>
              </w:rPr>
              <w:t>/</w:t>
            </w:r>
          </w:p>
        </w:tc>
      </w:tr>
      <w:tr w14:paraId="663B49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0" w:type="pct"/>
            <w:vAlign w:val="center"/>
          </w:tcPr>
          <w:p w14:paraId="373467BF">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W4</w:t>
            </w:r>
          </w:p>
        </w:tc>
        <w:tc>
          <w:tcPr>
            <w:tcW w:w="399" w:type="pct"/>
            <w:vAlign w:val="center"/>
          </w:tcPr>
          <w:p w14:paraId="4D152C4B">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打磨、抛光</w:t>
            </w:r>
          </w:p>
        </w:tc>
        <w:tc>
          <w:tcPr>
            <w:tcW w:w="301" w:type="pct"/>
            <w:vAlign w:val="center"/>
          </w:tcPr>
          <w:p w14:paraId="0CB23B8D">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80</w:t>
            </w:r>
          </w:p>
        </w:tc>
        <w:tc>
          <w:tcPr>
            <w:tcW w:w="350" w:type="pct"/>
            <w:vAlign w:val="center"/>
          </w:tcPr>
          <w:p w14:paraId="17081916">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80</w:t>
            </w:r>
          </w:p>
        </w:tc>
        <w:tc>
          <w:tcPr>
            <w:tcW w:w="363" w:type="pct"/>
            <w:vAlign w:val="center"/>
          </w:tcPr>
          <w:p w14:paraId="0C360AF2">
            <w:pPr>
              <w:spacing w:line="240" w:lineRule="auto"/>
              <w:ind w:left="22" w:right="22"/>
              <w:jc w:val="center"/>
              <w:rPr>
                <w:rFonts w:hint="default" w:ascii="Times New Roman" w:hAnsi="Times New Roman" w:cs="Times New Roman"/>
                <w:color w:val="auto"/>
              </w:rPr>
            </w:pPr>
            <w:r>
              <w:rPr>
                <w:rFonts w:hint="eastAsia" w:ascii="Times New Roman" w:hAnsi="Times New Roman" w:eastAsia="宋体" w:cs="Times New Roman"/>
                <w:color w:val="auto"/>
                <w:lang w:eastAsia="zh-CN"/>
              </w:rPr>
              <w:t>1</w:t>
            </w:r>
            <w:r>
              <w:rPr>
                <w:rFonts w:hint="eastAsia" w:ascii="Times New Roman" w:hAnsi="Times New Roman" w:eastAsia="宋体" w:cs="Times New Roman"/>
                <w:color w:val="auto"/>
                <w:lang w:val="en-US" w:eastAsia="zh-CN"/>
              </w:rPr>
              <w:t>86</w:t>
            </w:r>
          </w:p>
        </w:tc>
        <w:tc>
          <w:tcPr>
            <w:tcW w:w="295" w:type="pct"/>
            <w:vAlign w:val="center"/>
          </w:tcPr>
          <w:p w14:paraId="4CCB2A67">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110</w:t>
            </w:r>
          </w:p>
        </w:tc>
        <w:tc>
          <w:tcPr>
            <w:tcW w:w="306" w:type="pct"/>
            <w:vAlign w:val="center"/>
          </w:tcPr>
          <w:p w14:paraId="6045B8DD">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60</w:t>
            </w:r>
          </w:p>
        </w:tc>
        <w:tc>
          <w:tcPr>
            <w:tcW w:w="384" w:type="pct"/>
            <w:vAlign w:val="center"/>
          </w:tcPr>
          <w:p w14:paraId="4600A63D">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40</w:t>
            </w:r>
          </w:p>
        </w:tc>
        <w:tc>
          <w:tcPr>
            <w:tcW w:w="390" w:type="pct"/>
            <w:vAlign w:val="center"/>
          </w:tcPr>
          <w:p w14:paraId="237933EE">
            <w:pPr>
              <w:spacing w:line="240" w:lineRule="auto"/>
              <w:ind w:left="22" w:right="22"/>
              <w:jc w:val="center"/>
              <w:rPr>
                <w:rFonts w:hint="default" w:ascii="Times New Roman" w:hAnsi="Times New Roman" w:cs="Times New Roman"/>
                <w:color w:val="auto"/>
              </w:rPr>
            </w:pPr>
            <w:r>
              <w:rPr>
                <w:rFonts w:hint="default" w:ascii="Times New Roman" w:hAnsi="Times New Roman" w:cs="Times New Roman"/>
                <w:color w:val="auto"/>
              </w:rPr>
              <w:t>3</w:t>
            </w:r>
          </w:p>
        </w:tc>
        <w:tc>
          <w:tcPr>
            <w:tcW w:w="345" w:type="pct"/>
            <w:vAlign w:val="center"/>
          </w:tcPr>
          <w:p w14:paraId="0ECFE159">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6960</w:t>
            </w:r>
          </w:p>
        </w:tc>
        <w:tc>
          <w:tcPr>
            <w:tcW w:w="362" w:type="pct"/>
            <w:vAlign w:val="center"/>
          </w:tcPr>
          <w:p w14:paraId="41866EF1">
            <w:pPr>
              <w:spacing w:line="240" w:lineRule="auto"/>
              <w:ind w:left="22" w:right="22"/>
              <w:jc w:val="center"/>
              <w:rPr>
                <w:rFonts w:hint="default" w:ascii="Times New Roman" w:hAnsi="Times New Roman" w:cs="Times New Roman"/>
                <w:color w:val="auto"/>
              </w:rPr>
            </w:pPr>
            <w:r>
              <w:rPr>
                <w:rFonts w:hint="default" w:ascii="Times New Roman" w:hAnsi="Times New Roman" w:cs="Times New Roman"/>
                <w:color w:val="auto"/>
              </w:rPr>
              <w:t>正常工况</w:t>
            </w:r>
          </w:p>
        </w:tc>
        <w:tc>
          <w:tcPr>
            <w:tcW w:w="282" w:type="pct"/>
            <w:vAlign w:val="center"/>
          </w:tcPr>
          <w:p w14:paraId="533AE719">
            <w:pPr>
              <w:pStyle w:val="83"/>
              <w:spacing w:line="240" w:lineRule="auto"/>
              <w:ind w:left="22" w:right="22"/>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auto"/>
                <w:lang w:val="en-US" w:eastAsia="zh-CN"/>
              </w:rPr>
              <w:t>0.007</w:t>
            </w:r>
          </w:p>
        </w:tc>
        <w:tc>
          <w:tcPr>
            <w:tcW w:w="243" w:type="pct"/>
            <w:tcBorders>
              <w:right w:val="single" w:color="000000" w:sz="4" w:space="0"/>
            </w:tcBorders>
            <w:vAlign w:val="center"/>
          </w:tcPr>
          <w:p w14:paraId="5F90F2FC">
            <w:pPr>
              <w:spacing w:line="240" w:lineRule="auto"/>
              <w:ind w:left="22" w:leftChars="0" w:right="22" w:rightChars="0"/>
              <w:jc w:val="center"/>
              <w:rPr>
                <w:rFonts w:hint="default" w:ascii="Times New Roman" w:hAnsi="Times New Roman" w:cs="Times New Roman"/>
                <w:color w:val="FF0000"/>
              </w:rPr>
            </w:pPr>
            <w:r>
              <w:rPr>
                <w:rFonts w:hint="eastAsia" w:ascii="Times New Roman" w:hAnsi="Times New Roman" w:eastAsia="宋体" w:cs="Times New Roman"/>
                <w:color w:val="auto"/>
                <w:lang w:val="en-US" w:eastAsia="zh-CN"/>
              </w:rPr>
              <w:t>/</w:t>
            </w:r>
          </w:p>
        </w:tc>
        <w:tc>
          <w:tcPr>
            <w:tcW w:w="159" w:type="pct"/>
            <w:tcBorders>
              <w:left w:val="single" w:color="000000" w:sz="4" w:space="0"/>
            </w:tcBorders>
            <w:vAlign w:val="center"/>
          </w:tcPr>
          <w:p w14:paraId="74ECE680">
            <w:pPr>
              <w:spacing w:line="240" w:lineRule="auto"/>
              <w:ind w:left="22" w:leftChars="0" w:right="22" w:rightChars="0"/>
              <w:jc w:val="center"/>
              <w:rPr>
                <w:rFonts w:hint="default" w:ascii="Times New Roman" w:hAnsi="Times New Roman" w:cs="Times New Roman"/>
                <w:color w:val="FF0000"/>
              </w:rPr>
            </w:pPr>
            <w:r>
              <w:rPr>
                <w:rFonts w:hint="eastAsia" w:ascii="Times New Roman" w:hAnsi="Times New Roman" w:eastAsia="宋体" w:cs="Times New Roman"/>
                <w:color w:val="auto"/>
                <w:lang w:val="en-US" w:eastAsia="zh-CN"/>
              </w:rPr>
              <w:t>/</w:t>
            </w:r>
          </w:p>
        </w:tc>
        <w:tc>
          <w:tcPr>
            <w:tcW w:w="273" w:type="pct"/>
            <w:shd w:val="clear" w:color="auto" w:fill="auto"/>
            <w:vAlign w:val="center"/>
          </w:tcPr>
          <w:p w14:paraId="7A25C1D1">
            <w:pPr>
              <w:spacing w:line="240" w:lineRule="auto"/>
              <w:ind w:left="22" w:leftChars="0" w:right="22" w:rightChars="0"/>
              <w:jc w:val="center"/>
              <w:rPr>
                <w:rFonts w:hint="default" w:ascii="Times New Roman" w:hAnsi="Times New Roman" w:cs="Times New Roman"/>
                <w:color w:val="FF0000"/>
              </w:rPr>
            </w:pPr>
            <w:r>
              <w:rPr>
                <w:rFonts w:hint="eastAsia" w:ascii="Times New Roman" w:hAnsi="Times New Roman" w:eastAsia="宋体" w:cs="Times New Roman"/>
                <w:color w:val="auto"/>
                <w:lang w:val="en-US" w:eastAsia="zh-CN"/>
              </w:rPr>
              <w:t>/</w:t>
            </w:r>
          </w:p>
        </w:tc>
        <w:tc>
          <w:tcPr>
            <w:tcW w:w="302" w:type="pct"/>
            <w:shd w:val="clear" w:color="auto" w:fill="auto"/>
            <w:vAlign w:val="center"/>
          </w:tcPr>
          <w:p w14:paraId="598A0BF2">
            <w:pPr>
              <w:spacing w:line="240" w:lineRule="auto"/>
              <w:ind w:left="22" w:leftChars="0" w:right="22" w:rightChars="0"/>
              <w:jc w:val="center"/>
              <w:rPr>
                <w:rFonts w:hint="default" w:ascii="Times New Roman" w:hAnsi="Times New Roman" w:cs="Times New Roman"/>
                <w:color w:val="FF0000"/>
              </w:rPr>
            </w:pPr>
            <w:r>
              <w:rPr>
                <w:rFonts w:hint="eastAsia" w:ascii="Times New Roman" w:hAnsi="Times New Roman" w:eastAsia="宋体" w:cs="Times New Roman"/>
                <w:color w:val="auto"/>
                <w:lang w:val="en-US" w:eastAsia="zh-CN"/>
              </w:rPr>
              <w:t>/</w:t>
            </w:r>
          </w:p>
        </w:tc>
      </w:tr>
      <w:tr w14:paraId="245E411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0" w:type="pct"/>
            <w:vAlign w:val="center"/>
          </w:tcPr>
          <w:p w14:paraId="40D44CC6">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W5</w:t>
            </w:r>
          </w:p>
        </w:tc>
        <w:tc>
          <w:tcPr>
            <w:tcW w:w="399" w:type="pct"/>
            <w:vAlign w:val="center"/>
          </w:tcPr>
          <w:p w14:paraId="2051E3BB">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配胶、喷胶及烘干</w:t>
            </w:r>
            <w:r>
              <w:rPr>
                <w:rFonts w:hint="default" w:ascii="Times New Roman" w:hAnsi="Times New Roman" w:cs="Times New Roman"/>
                <w:color w:val="auto"/>
                <w:lang w:val="en-US" w:eastAsia="zh-CN"/>
              </w:rPr>
              <w:t>、发泡</w:t>
            </w:r>
          </w:p>
        </w:tc>
        <w:tc>
          <w:tcPr>
            <w:tcW w:w="301" w:type="pct"/>
            <w:vAlign w:val="center"/>
          </w:tcPr>
          <w:p w14:paraId="191B23B0">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10</w:t>
            </w:r>
          </w:p>
        </w:tc>
        <w:tc>
          <w:tcPr>
            <w:tcW w:w="350" w:type="pct"/>
            <w:vAlign w:val="center"/>
          </w:tcPr>
          <w:p w14:paraId="6E92765F">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13</w:t>
            </w:r>
          </w:p>
        </w:tc>
        <w:tc>
          <w:tcPr>
            <w:tcW w:w="363" w:type="pct"/>
            <w:vAlign w:val="center"/>
          </w:tcPr>
          <w:p w14:paraId="2007D6C1">
            <w:pPr>
              <w:spacing w:line="240" w:lineRule="auto"/>
              <w:ind w:left="22" w:right="22"/>
              <w:jc w:val="center"/>
              <w:rPr>
                <w:rFonts w:hint="default" w:ascii="Times New Roman" w:hAnsi="Times New Roman" w:cs="Times New Roman"/>
                <w:color w:val="auto"/>
              </w:rPr>
            </w:pPr>
            <w:r>
              <w:rPr>
                <w:rFonts w:hint="eastAsia" w:ascii="Times New Roman" w:hAnsi="Times New Roman" w:eastAsia="宋体" w:cs="Times New Roman"/>
                <w:color w:val="auto"/>
                <w:lang w:eastAsia="zh-CN"/>
              </w:rPr>
              <w:t>1</w:t>
            </w:r>
            <w:r>
              <w:rPr>
                <w:rFonts w:hint="eastAsia" w:ascii="Times New Roman" w:hAnsi="Times New Roman" w:eastAsia="宋体" w:cs="Times New Roman"/>
                <w:color w:val="auto"/>
                <w:lang w:val="en-US" w:eastAsia="zh-CN"/>
              </w:rPr>
              <w:t>86</w:t>
            </w:r>
          </w:p>
        </w:tc>
        <w:tc>
          <w:tcPr>
            <w:tcW w:w="295" w:type="pct"/>
            <w:vAlign w:val="center"/>
          </w:tcPr>
          <w:p w14:paraId="1355AD5D">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180</w:t>
            </w:r>
          </w:p>
        </w:tc>
        <w:tc>
          <w:tcPr>
            <w:tcW w:w="306" w:type="pct"/>
            <w:vAlign w:val="center"/>
          </w:tcPr>
          <w:p w14:paraId="0CDFB7EC">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60</w:t>
            </w:r>
          </w:p>
        </w:tc>
        <w:tc>
          <w:tcPr>
            <w:tcW w:w="384" w:type="pct"/>
            <w:vAlign w:val="center"/>
          </w:tcPr>
          <w:p w14:paraId="57E94618">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40</w:t>
            </w:r>
          </w:p>
        </w:tc>
        <w:tc>
          <w:tcPr>
            <w:tcW w:w="390" w:type="pct"/>
            <w:vAlign w:val="center"/>
          </w:tcPr>
          <w:p w14:paraId="44669DB1">
            <w:pPr>
              <w:spacing w:line="240" w:lineRule="auto"/>
              <w:ind w:left="22" w:right="22"/>
              <w:jc w:val="center"/>
              <w:rPr>
                <w:rFonts w:hint="default" w:ascii="Times New Roman" w:hAnsi="Times New Roman" w:cs="Times New Roman"/>
                <w:color w:val="auto"/>
              </w:rPr>
            </w:pPr>
            <w:r>
              <w:rPr>
                <w:rFonts w:hint="default" w:ascii="Times New Roman" w:hAnsi="Times New Roman" w:cs="Times New Roman"/>
                <w:color w:val="auto"/>
              </w:rPr>
              <w:t>3</w:t>
            </w:r>
          </w:p>
        </w:tc>
        <w:tc>
          <w:tcPr>
            <w:tcW w:w="345" w:type="pct"/>
            <w:vAlign w:val="center"/>
          </w:tcPr>
          <w:p w14:paraId="4FF23942">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6960</w:t>
            </w:r>
          </w:p>
        </w:tc>
        <w:tc>
          <w:tcPr>
            <w:tcW w:w="362" w:type="pct"/>
            <w:vAlign w:val="center"/>
          </w:tcPr>
          <w:p w14:paraId="3F6C99F8">
            <w:pPr>
              <w:spacing w:line="240" w:lineRule="auto"/>
              <w:ind w:left="22" w:right="22"/>
              <w:jc w:val="center"/>
              <w:rPr>
                <w:rFonts w:hint="default" w:ascii="Times New Roman" w:hAnsi="Times New Roman" w:cs="Times New Roman"/>
                <w:color w:val="auto"/>
              </w:rPr>
            </w:pPr>
            <w:r>
              <w:rPr>
                <w:rFonts w:hint="default" w:ascii="Times New Roman" w:hAnsi="Times New Roman" w:cs="Times New Roman"/>
                <w:color w:val="auto"/>
              </w:rPr>
              <w:t>正常工况</w:t>
            </w:r>
          </w:p>
        </w:tc>
        <w:tc>
          <w:tcPr>
            <w:tcW w:w="282" w:type="pct"/>
            <w:vAlign w:val="center"/>
          </w:tcPr>
          <w:p w14:paraId="4CA9A233">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243" w:type="pct"/>
            <w:tcBorders>
              <w:right w:val="single" w:color="000000" w:sz="4" w:space="0"/>
            </w:tcBorders>
            <w:vAlign w:val="center"/>
          </w:tcPr>
          <w:p w14:paraId="41F41AEC">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0.156</w:t>
            </w:r>
          </w:p>
        </w:tc>
        <w:tc>
          <w:tcPr>
            <w:tcW w:w="159" w:type="pct"/>
            <w:tcBorders>
              <w:left w:val="single" w:color="000000" w:sz="4" w:space="0"/>
            </w:tcBorders>
            <w:vAlign w:val="center"/>
          </w:tcPr>
          <w:p w14:paraId="16E1DCD5">
            <w:pPr>
              <w:pStyle w:val="83"/>
              <w:spacing w:line="240" w:lineRule="auto"/>
              <w:ind w:left="22" w:right="22"/>
              <w:rPr>
                <w:rFonts w:hint="default" w:ascii="Times New Roman" w:hAnsi="Times New Roman" w:cs="Times New Roman"/>
                <w:color w:val="FF0000"/>
              </w:rPr>
            </w:pPr>
          </w:p>
        </w:tc>
        <w:tc>
          <w:tcPr>
            <w:tcW w:w="273" w:type="pct"/>
            <w:shd w:val="clear" w:color="auto" w:fill="auto"/>
            <w:vAlign w:val="center"/>
          </w:tcPr>
          <w:p w14:paraId="2C2F28B8">
            <w:pPr>
              <w:pStyle w:val="83"/>
              <w:spacing w:line="240" w:lineRule="auto"/>
              <w:ind w:left="22" w:right="22"/>
              <w:rPr>
                <w:rFonts w:hint="default" w:ascii="Times New Roman" w:hAnsi="Times New Roman" w:cs="Times New Roman"/>
                <w:color w:val="FF0000"/>
              </w:rPr>
            </w:pPr>
          </w:p>
        </w:tc>
        <w:tc>
          <w:tcPr>
            <w:tcW w:w="302" w:type="pct"/>
            <w:shd w:val="clear" w:color="auto" w:fill="auto"/>
            <w:vAlign w:val="center"/>
          </w:tcPr>
          <w:p w14:paraId="0387D11C">
            <w:pPr>
              <w:pStyle w:val="83"/>
              <w:spacing w:line="240" w:lineRule="auto"/>
              <w:ind w:left="22" w:right="22"/>
              <w:rPr>
                <w:rFonts w:hint="default" w:ascii="Times New Roman" w:hAnsi="Times New Roman" w:cs="Times New Roman"/>
                <w:color w:val="FF0000"/>
              </w:rPr>
            </w:pPr>
          </w:p>
        </w:tc>
      </w:tr>
    </w:tbl>
    <w:p w14:paraId="21C3475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eastAsia" w:ascii="Times New Roman" w:hAnsi="Times New Roman" w:eastAsia="宋体" w:cs="Times New Roman"/>
          <w:color w:val="auto"/>
          <w:sz w:val="24"/>
          <w:szCs w:val="24"/>
          <w:lang w:val="en-US" w:eastAsia="zh-CN"/>
        </w:rPr>
        <w:t>4、</w:t>
      </w:r>
      <w:r>
        <w:rPr>
          <w:rFonts w:hint="default" w:ascii="Times New Roman" w:hAnsi="Times New Roman" w:cs="Times New Roman"/>
          <w:color w:val="auto"/>
          <w:sz w:val="24"/>
          <w:szCs w:val="24"/>
        </w:rPr>
        <w:t>预测结果</w:t>
      </w:r>
    </w:p>
    <w:p w14:paraId="2B8848F6">
      <w:pPr>
        <w:pStyle w:val="7"/>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rPr>
        <w:t>根据预测结果可知，</w:t>
      </w:r>
      <w:r>
        <w:rPr>
          <w:rFonts w:hint="default" w:ascii="Times New Roman" w:hAnsi="Times New Roman" w:cs="Times New Roman"/>
          <w:iCs/>
          <w:color w:val="auto"/>
          <w:sz w:val="24"/>
          <w:szCs w:val="24"/>
        </w:rPr>
        <w:t>本项目排放的污染物中最大地面浓度占标率是</w:t>
      </w:r>
      <w:r>
        <w:rPr>
          <w:rFonts w:hint="eastAsia" w:ascii="Times New Roman" w:hAnsi="Times New Roman" w:eastAsia="宋体" w:cs="Times New Roman"/>
          <w:color w:val="auto"/>
          <w:sz w:val="24"/>
          <w:szCs w:val="24"/>
          <w:lang w:val="en-US" w:eastAsia="zh-CN"/>
        </w:rPr>
        <w:t>喷涂</w:t>
      </w:r>
      <w:r>
        <w:rPr>
          <w:rFonts w:hint="default" w:ascii="Times New Roman" w:hAnsi="Times New Roman" w:cs="Times New Roman"/>
          <w:color w:val="auto"/>
          <w:sz w:val="24"/>
          <w:szCs w:val="24"/>
        </w:rPr>
        <w:t>车间无组织排放</w:t>
      </w:r>
      <w:r>
        <w:rPr>
          <w:rFonts w:hint="eastAsia" w:ascii="Times New Roman" w:hAnsi="Times New Roman" w:eastAsia="宋体" w:cs="Times New Roman"/>
          <w:color w:val="auto"/>
          <w:sz w:val="24"/>
          <w:szCs w:val="24"/>
          <w:lang w:val="en-US" w:eastAsia="zh-CN"/>
        </w:rPr>
        <w:t>颗粒物</w:t>
      </w:r>
      <w:r>
        <w:rPr>
          <w:rFonts w:hint="default" w:ascii="Times New Roman" w:hAnsi="Times New Roman" w:cs="Times New Roman"/>
          <w:iCs/>
          <w:color w:val="auto"/>
          <w:sz w:val="24"/>
          <w:szCs w:val="24"/>
        </w:rPr>
        <w:t>，Pmax=</w:t>
      </w:r>
      <w:r>
        <w:rPr>
          <w:rFonts w:hint="eastAsia" w:ascii="Times New Roman" w:hAnsi="Times New Roman" w:eastAsia="宋体" w:cs="Times New Roman"/>
          <w:iCs/>
          <w:color w:val="auto"/>
          <w:sz w:val="24"/>
          <w:szCs w:val="24"/>
          <w:lang w:val="en-US" w:eastAsia="zh-CN"/>
        </w:rPr>
        <w:t>7.57</w:t>
      </w:r>
      <w:r>
        <w:rPr>
          <w:rFonts w:hint="default" w:ascii="Times New Roman" w:hAnsi="Times New Roman" w:cs="Times New Roman"/>
          <w:iCs/>
          <w:color w:val="auto"/>
          <w:sz w:val="24"/>
          <w:szCs w:val="24"/>
        </w:rPr>
        <w:t>%&lt;10%。</w:t>
      </w:r>
      <w:r>
        <w:rPr>
          <w:rFonts w:hint="default" w:ascii="Times New Roman" w:hAnsi="Times New Roman" w:cs="Times New Roman"/>
          <w:color w:val="auto"/>
          <w:sz w:val="24"/>
          <w:szCs w:val="24"/>
        </w:rPr>
        <w:t>根据《环境影响评价技术导则 大气环境》（HJ2.2-2018）分级判据，确定本项目大气环境影响评价工作等级为二级，不进行进一步预测与评价，只对污染物排放量进行核算。</w:t>
      </w:r>
    </w:p>
    <w:p w14:paraId="5A45DDFC">
      <w:pPr>
        <w:rPr>
          <w:rFonts w:hint="default" w:ascii="Times New Roman" w:hAnsi="Times New Roman" w:cs="Times New Roman"/>
          <w:color w:val="FF0000"/>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6F3E9B3">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5.2.1.2大气污染物排放量核算</w:t>
      </w:r>
    </w:p>
    <w:p w14:paraId="198961F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color w:val="auto"/>
        </w:rPr>
      </w:pPr>
      <w:r>
        <w:rPr>
          <w:rFonts w:hint="default" w:ascii="Times New Roman" w:hAnsi="Times New Roman" w:cs="Times New Roman"/>
          <w:color w:val="auto"/>
          <w:sz w:val="24"/>
          <w:szCs w:val="24"/>
          <w:lang w:eastAsia="zh-CN"/>
        </w:rPr>
        <w:t>根据源强核算章节，项目有组织排放量核算表见表5.2-</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lang w:eastAsia="zh-CN"/>
        </w:rPr>
        <w:t>，无组织排放量核算见表5.2-</w:t>
      </w:r>
      <w:r>
        <w:rPr>
          <w:rFonts w:hint="eastAsia" w:ascii="Times New Roman" w:hAnsi="Times New Roman" w:cs="Times New Roman"/>
          <w:color w:val="auto"/>
          <w:sz w:val="24"/>
          <w:szCs w:val="24"/>
          <w:lang w:val="en-US" w:eastAsia="zh-CN"/>
        </w:rPr>
        <w:t>6</w:t>
      </w:r>
      <w:r>
        <w:rPr>
          <w:rFonts w:hint="default" w:ascii="Times New Roman" w:hAnsi="Times New Roman" w:cs="Times New Roman"/>
          <w:color w:val="auto"/>
          <w:sz w:val="24"/>
          <w:szCs w:val="24"/>
          <w:lang w:eastAsia="zh-CN"/>
        </w:rPr>
        <w:t>，年核算量见表5.2-</w:t>
      </w:r>
      <w:r>
        <w:rPr>
          <w:rFonts w:hint="eastAsia"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lang w:eastAsia="zh-CN"/>
        </w:rPr>
        <w:t>。</w:t>
      </w:r>
    </w:p>
    <w:p w14:paraId="090922E6">
      <w:pPr>
        <w:bidi w:val="0"/>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表</w:t>
      </w:r>
      <w:r>
        <w:rPr>
          <w:rFonts w:hint="default" w:ascii="Times New Roman" w:hAnsi="Times New Roman" w:cs="Times New Roman"/>
          <w:b/>
          <w:bCs/>
          <w:color w:val="auto"/>
          <w:sz w:val="24"/>
          <w:szCs w:val="24"/>
          <w:lang w:val="en-US" w:eastAsia="zh-CN"/>
        </w:rPr>
        <w:t>5.2</w:t>
      </w:r>
      <w:r>
        <w:rPr>
          <w:rFonts w:hint="default" w:ascii="Times New Roman" w:hAnsi="Times New Roman" w:cs="Times New Roman"/>
          <w:b/>
          <w:bCs/>
          <w:color w:val="auto"/>
          <w:sz w:val="24"/>
          <w:szCs w:val="24"/>
          <w:lang w:eastAsia="zh-CN"/>
        </w:rPr>
        <w:t>-</w:t>
      </w:r>
      <w:r>
        <w:rPr>
          <w:rFonts w:hint="eastAsia" w:ascii="Times New Roman" w:hAnsi="Times New Roman" w:cs="Times New Roman"/>
          <w:b/>
          <w:bCs/>
          <w:color w:val="auto"/>
          <w:sz w:val="24"/>
          <w:szCs w:val="24"/>
          <w:lang w:val="en-US" w:eastAsia="zh-CN"/>
        </w:rPr>
        <w:t>5</w:t>
      </w:r>
      <w:r>
        <w:rPr>
          <w:rFonts w:hint="default" w:ascii="Times New Roman" w:hAnsi="Times New Roman" w:cs="Times New Roman"/>
          <w:b/>
          <w:bCs/>
          <w:color w:val="auto"/>
          <w:sz w:val="24"/>
          <w:szCs w:val="24"/>
          <w:lang w:val="en-US" w:eastAsia="zh-CN"/>
        </w:rPr>
        <w:t xml:space="preserve"> </w:t>
      </w:r>
      <w:r>
        <w:rPr>
          <w:rFonts w:hint="default" w:ascii="Times New Roman" w:hAnsi="Times New Roman" w:cs="Times New Roman"/>
          <w:b/>
          <w:bCs/>
          <w:color w:val="auto"/>
          <w:sz w:val="24"/>
          <w:szCs w:val="24"/>
        </w:rPr>
        <w:t>大气污染物有组织排放量核算表</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08"/>
        <w:gridCol w:w="2011"/>
        <w:gridCol w:w="1463"/>
        <w:gridCol w:w="1397"/>
        <w:gridCol w:w="1470"/>
        <w:gridCol w:w="1475"/>
      </w:tblGrid>
      <w:tr w14:paraId="5ABE130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15" w:type="pct"/>
            <w:tcBorders>
              <w:tl2br w:val="nil"/>
              <w:tr2bl w:val="nil"/>
            </w:tcBorders>
            <w:vAlign w:val="center"/>
          </w:tcPr>
          <w:p w14:paraId="782E9D8A">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序号</w:t>
            </w:r>
          </w:p>
        </w:tc>
        <w:tc>
          <w:tcPr>
            <w:tcW w:w="1179" w:type="pct"/>
            <w:tcBorders>
              <w:tl2br w:val="nil"/>
              <w:tr2bl w:val="nil"/>
            </w:tcBorders>
            <w:vAlign w:val="center"/>
          </w:tcPr>
          <w:p w14:paraId="0A88575B">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排放口</w:t>
            </w:r>
          </w:p>
        </w:tc>
        <w:tc>
          <w:tcPr>
            <w:tcW w:w="858" w:type="pct"/>
            <w:tcBorders>
              <w:tl2br w:val="nil"/>
              <w:tr2bl w:val="nil"/>
            </w:tcBorders>
            <w:vAlign w:val="center"/>
          </w:tcPr>
          <w:p w14:paraId="555776D9">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污染物</w:t>
            </w:r>
          </w:p>
        </w:tc>
        <w:tc>
          <w:tcPr>
            <w:tcW w:w="819" w:type="pct"/>
            <w:tcBorders>
              <w:tl2br w:val="nil"/>
              <w:tr2bl w:val="nil"/>
            </w:tcBorders>
            <w:vAlign w:val="center"/>
          </w:tcPr>
          <w:p w14:paraId="135DD1FA">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排放浓度mg/m</w:t>
            </w:r>
            <w:r>
              <w:rPr>
                <w:rFonts w:hint="default" w:ascii="Times New Roman" w:hAnsi="Times New Roman" w:cs="Times New Roman"/>
                <w:color w:val="auto"/>
                <w:vertAlign w:val="superscript"/>
              </w:rPr>
              <w:t>3</w:t>
            </w:r>
          </w:p>
        </w:tc>
        <w:tc>
          <w:tcPr>
            <w:tcW w:w="862" w:type="pct"/>
            <w:tcBorders>
              <w:tl2br w:val="nil"/>
              <w:tr2bl w:val="nil"/>
            </w:tcBorders>
            <w:vAlign w:val="center"/>
          </w:tcPr>
          <w:p w14:paraId="4595B099">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排放速率kg/h</w:t>
            </w:r>
          </w:p>
        </w:tc>
        <w:tc>
          <w:tcPr>
            <w:tcW w:w="865" w:type="pct"/>
            <w:tcBorders>
              <w:tl2br w:val="nil"/>
              <w:tr2bl w:val="nil"/>
            </w:tcBorders>
            <w:vAlign w:val="center"/>
          </w:tcPr>
          <w:p w14:paraId="353BF3E8">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排放量t/a</w:t>
            </w:r>
          </w:p>
        </w:tc>
      </w:tr>
      <w:tr w14:paraId="5BC3A69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62" w:hRule="atLeast"/>
          <w:jc w:val="center"/>
        </w:trPr>
        <w:tc>
          <w:tcPr>
            <w:tcW w:w="415" w:type="pct"/>
            <w:vMerge w:val="restart"/>
            <w:tcBorders>
              <w:tl2br w:val="nil"/>
              <w:tr2bl w:val="nil"/>
            </w:tcBorders>
            <w:vAlign w:val="center"/>
          </w:tcPr>
          <w:p w14:paraId="58E80496">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1</w:t>
            </w:r>
          </w:p>
        </w:tc>
        <w:tc>
          <w:tcPr>
            <w:tcW w:w="1179" w:type="pct"/>
            <w:vMerge w:val="restart"/>
            <w:tcBorders>
              <w:tl2br w:val="nil"/>
              <w:tr2bl w:val="nil"/>
            </w:tcBorders>
            <w:vAlign w:val="center"/>
          </w:tcPr>
          <w:p w14:paraId="55396C82">
            <w:pPr>
              <w:pStyle w:val="83"/>
              <w:spacing w:line="240" w:lineRule="auto"/>
              <w:ind w:left="19" w:leftChars="9" w:right="19" w:rightChars="9" w:firstLine="0" w:firstLineChars="0"/>
              <w:rPr>
                <w:rFonts w:hint="default" w:ascii="Times New Roman" w:hAnsi="Times New Roman" w:cs="Times New Roman"/>
                <w:color w:val="auto"/>
                <w:lang w:val="en-US"/>
              </w:rPr>
            </w:pPr>
            <w:r>
              <w:rPr>
                <w:rFonts w:hint="eastAsia" w:ascii="Times New Roman" w:hAnsi="Times New Roman" w:eastAsia="宋体" w:cs="Times New Roman"/>
                <w:color w:val="auto"/>
                <w:lang w:val="en-US" w:eastAsia="zh-CN"/>
              </w:rPr>
              <w:t>注塑废气排气筒DA001</w:t>
            </w:r>
          </w:p>
        </w:tc>
        <w:tc>
          <w:tcPr>
            <w:tcW w:w="858" w:type="pct"/>
            <w:tcBorders>
              <w:tl2br w:val="nil"/>
              <w:tr2bl w:val="nil"/>
            </w:tcBorders>
            <w:vAlign w:val="center"/>
          </w:tcPr>
          <w:p w14:paraId="770266AB">
            <w:pPr>
              <w:pStyle w:val="37"/>
              <w:bidi w:val="0"/>
              <w:ind w:firstLine="0" w:firstLineChars="0"/>
              <w:rPr>
                <w:rFonts w:hint="default" w:ascii="Times New Roman" w:hAnsi="Times New Roman" w:cs="Times New Roman"/>
                <w:color w:val="auto"/>
              </w:rPr>
            </w:pPr>
            <w:r>
              <w:rPr>
                <w:rFonts w:hint="default" w:ascii="Times New Roman" w:hAnsi="Times New Roman" w:cs="Times New Roman"/>
                <w:color w:val="auto"/>
                <w:highlight w:val="none"/>
                <w:lang w:val="en-US" w:eastAsia="zh-CN"/>
              </w:rPr>
              <w:t>非甲烷总烃</w:t>
            </w:r>
          </w:p>
        </w:tc>
        <w:tc>
          <w:tcPr>
            <w:tcW w:w="819" w:type="pct"/>
            <w:tcBorders>
              <w:tl2br w:val="nil"/>
              <w:tr2bl w:val="nil"/>
            </w:tcBorders>
            <w:vAlign w:val="center"/>
          </w:tcPr>
          <w:p w14:paraId="4A0DD102">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1.293</w:t>
            </w:r>
          </w:p>
        </w:tc>
        <w:tc>
          <w:tcPr>
            <w:tcW w:w="862" w:type="pct"/>
            <w:tcBorders>
              <w:tl2br w:val="nil"/>
              <w:tr2bl w:val="nil"/>
            </w:tcBorders>
            <w:vAlign w:val="center"/>
          </w:tcPr>
          <w:p w14:paraId="1CE0AD1E">
            <w:pPr>
              <w:pStyle w:val="37"/>
              <w:bidi w:val="0"/>
              <w:ind w:firstLine="0" w:firstLineChars="0"/>
              <w:rPr>
                <w:rFonts w:hint="default" w:ascii="Times New Roman" w:hAnsi="Times New Roman" w:cs="Times New Roman"/>
                <w:color w:val="auto"/>
                <w:lang w:val="en-US"/>
              </w:rPr>
            </w:pPr>
            <w:r>
              <w:rPr>
                <w:rFonts w:hint="eastAsia" w:ascii="Times New Roman" w:hAnsi="Times New Roman" w:cs="Times New Roman"/>
                <w:color w:val="auto"/>
                <w:highlight w:val="none"/>
                <w:lang w:val="en-US" w:eastAsia="zh-CN"/>
              </w:rPr>
              <w:t>0.039</w:t>
            </w:r>
          </w:p>
        </w:tc>
        <w:tc>
          <w:tcPr>
            <w:tcW w:w="865" w:type="pct"/>
            <w:tcBorders>
              <w:tl2br w:val="nil"/>
              <w:tr2bl w:val="nil"/>
            </w:tcBorders>
            <w:vAlign w:val="center"/>
          </w:tcPr>
          <w:p w14:paraId="55BFD89F">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0.27</w:t>
            </w:r>
          </w:p>
        </w:tc>
      </w:tr>
      <w:tr w14:paraId="76F563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415" w:type="pct"/>
            <w:vMerge w:val="continue"/>
            <w:tcBorders>
              <w:tl2br w:val="nil"/>
              <w:tr2bl w:val="nil"/>
            </w:tcBorders>
            <w:vAlign w:val="center"/>
          </w:tcPr>
          <w:p w14:paraId="62B4C102">
            <w:pPr>
              <w:pStyle w:val="83"/>
              <w:spacing w:line="240" w:lineRule="auto"/>
              <w:ind w:left="22" w:right="22"/>
              <w:rPr>
                <w:rFonts w:hint="default" w:ascii="Times New Roman" w:hAnsi="Times New Roman" w:cs="Times New Roman"/>
                <w:color w:val="auto"/>
              </w:rPr>
            </w:pPr>
          </w:p>
        </w:tc>
        <w:tc>
          <w:tcPr>
            <w:tcW w:w="1179" w:type="pct"/>
            <w:vMerge w:val="continue"/>
            <w:tcBorders>
              <w:tl2br w:val="nil"/>
              <w:tr2bl w:val="nil"/>
            </w:tcBorders>
            <w:vAlign w:val="center"/>
          </w:tcPr>
          <w:p w14:paraId="2A7B2E96">
            <w:pPr>
              <w:pStyle w:val="83"/>
              <w:spacing w:line="240" w:lineRule="auto"/>
              <w:ind w:left="19" w:leftChars="9" w:right="19" w:rightChars="9" w:firstLine="0" w:firstLineChars="0"/>
              <w:rPr>
                <w:rFonts w:hint="eastAsia" w:ascii="Times New Roman" w:hAnsi="Times New Roman" w:eastAsia="宋体" w:cs="Times New Roman"/>
                <w:color w:val="auto"/>
                <w:lang w:val="en-US" w:eastAsia="zh-CN"/>
              </w:rPr>
            </w:pPr>
          </w:p>
        </w:tc>
        <w:tc>
          <w:tcPr>
            <w:tcW w:w="858" w:type="pct"/>
            <w:tcBorders>
              <w:tl2br w:val="nil"/>
              <w:tr2bl w:val="nil"/>
            </w:tcBorders>
            <w:vAlign w:val="center"/>
          </w:tcPr>
          <w:p w14:paraId="3E7EE408">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丙烯腈</w:t>
            </w:r>
          </w:p>
        </w:tc>
        <w:tc>
          <w:tcPr>
            <w:tcW w:w="819" w:type="pct"/>
            <w:tcBorders>
              <w:tl2br w:val="nil"/>
              <w:tr2bl w:val="nil"/>
            </w:tcBorders>
            <w:vAlign w:val="center"/>
          </w:tcPr>
          <w:p w14:paraId="044C781E">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0.006</w:t>
            </w:r>
          </w:p>
        </w:tc>
        <w:tc>
          <w:tcPr>
            <w:tcW w:w="862" w:type="pct"/>
            <w:tcBorders>
              <w:tl2br w:val="nil"/>
              <w:tr2bl w:val="nil"/>
            </w:tcBorders>
            <w:vAlign w:val="center"/>
          </w:tcPr>
          <w:p w14:paraId="015958D7">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0.0002</w:t>
            </w:r>
          </w:p>
        </w:tc>
        <w:tc>
          <w:tcPr>
            <w:tcW w:w="865" w:type="pct"/>
            <w:tcBorders>
              <w:tl2br w:val="nil"/>
              <w:tr2bl w:val="nil"/>
            </w:tcBorders>
            <w:vAlign w:val="center"/>
          </w:tcPr>
          <w:p w14:paraId="6957F5DB">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0.001</w:t>
            </w:r>
          </w:p>
        </w:tc>
      </w:tr>
      <w:tr w14:paraId="2D30A2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415" w:type="pct"/>
            <w:vMerge w:val="continue"/>
            <w:tcBorders>
              <w:tl2br w:val="nil"/>
              <w:tr2bl w:val="nil"/>
            </w:tcBorders>
            <w:vAlign w:val="center"/>
          </w:tcPr>
          <w:p w14:paraId="6F630510">
            <w:pPr>
              <w:pStyle w:val="83"/>
              <w:spacing w:line="240" w:lineRule="auto"/>
              <w:ind w:left="22" w:right="22"/>
              <w:rPr>
                <w:rFonts w:hint="default" w:ascii="Times New Roman" w:hAnsi="Times New Roman" w:cs="Times New Roman"/>
                <w:color w:val="auto"/>
              </w:rPr>
            </w:pPr>
          </w:p>
        </w:tc>
        <w:tc>
          <w:tcPr>
            <w:tcW w:w="1179" w:type="pct"/>
            <w:vMerge w:val="continue"/>
            <w:tcBorders>
              <w:tl2br w:val="nil"/>
              <w:tr2bl w:val="nil"/>
            </w:tcBorders>
            <w:vAlign w:val="center"/>
          </w:tcPr>
          <w:p w14:paraId="11C7E290">
            <w:pPr>
              <w:pStyle w:val="83"/>
              <w:spacing w:line="240" w:lineRule="auto"/>
              <w:ind w:left="19" w:leftChars="9" w:right="19" w:rightChars="9" w:firstLine="0" w:firstLineChars="0"/>
              <w:rPr>
                <w:rFonts w:hint="eastAsia" w:ascii="Times New Roman" w:hAnsi="Times New Roman" w:eastAsia="宋体" w:cs="Times New Roman"/>
                <w:color w:val="auto"/>
                <w:lang w:val="en-US" w:eastAsia="zh-CN"/>
              </w:rPr>
            </w:pPr>
          </w:p>
        </w:tc>
        <w:tc>
          <w:tcPr>
            <w:tcW w:w="858" w:type="pct"/>
            <w:tcBorders>
              <w:tl2br w:val="nil"/>
              <w:tr2bl w:val="nil"/>
            </w:tcBorders>
            <w:vAlign w:val="center"/>
          </w:tcPr>
          <w:p w14:paraId="0388744C">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乙苯</w:t>
            </w:r>
          </w:p>
        </w:tc>
        <w:tc>
          <w:tcPr>
            <w:tcW w:w="819" w:type="pct"/>
            <w:tcBorders>
              <w:tl2br w:val="nil"/>
              <w:tr2bl w:val="nil"/>
            </w:tcBorders>
            <w:vAlign w:val="center"/>
          </w:tcPr>
          <w:p w14:paraId="5386944D">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0.008</w:t>
            </w:r>
          </w:p>
        </w:tc>
        <w:tc>
          <w:tcPr>
            <w:tcW w:w="862" w:type="pct"/>
            <w:tcBorders>
              <w:tl2br w:val="nil"/>
              <w:tr2bl w:val="nil"/>
            </w:tcBorders>
            <w:vAlign w:val="center"/>
          </w:tcPr>
          <w:p w14:paraId="54738B3A">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0.0002</w:t>
            </w:r>
          </w:p>
        </w:tc>
        <w:tc>
          <w:tcPr>
            <w:tcW w:w="865" w:type="pct"/>
            <w:tcBorders>
              <w:tl2br w:val="nil"/>
              <w:tr2bl w:val="nil"/>
            </w:tcBorders>
            <w:vAlign w:val="center"/>
          </w:tcPr>
          <w:p w14:paraId="55BF5C70">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0.002</w:t>
            </w:r>
          </w:p>
        </w:tc>
      </w:tr>
      <w:tr w14:paraId="32170D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415" w:type="pct"/>
            <w:vMerge w:val="continue"/>
            <w:tcBorders>
              <w:tl2br w:val="nil"/>
              <w:tr2bl w:val="nil"/>
            </w:tcBorders>
            <w:vAlign w:val="center"/>
          </w:tcPr>
          <w:p w14:paraId="3A2F3103">
            <w:pPr>
              <w:pStyle w:val="83"/>
              <w:spacing w:line="240" w:lineRule="auto"/>
              <w:ind w:left="22" w:right="22"/>
              <w:rPr>
                <w:rFonts w:hint="default" w:ascii="Times New Roman" w:hAnsi="Times New Roman" w:cs="Times New Roman"/>
                <w:color w:val="auto"/>
              </w:rPr>
            </w:pPr>
          </w:p>
        </w:tc>
        <w:tc>
          <w:tcPr>
            <w:tcW w:w="1179" w:type="pct"/>
            <w:vMerge w:val="continue"/>
            <w:tcBorders>
              <w:tl2br w:val="nil"/>
              <w:tr2bl w:val="nil"/>
            </w:tcBorders>
            <w:vAlign w:val="center"/>
          </w:tcPr>
          <w:p w14:paraId="0302F592">
            <w:pPr>
              <w:pStyle w:val="83"/>
              <w:spacing w:line="240" w:lineRule="auto"/>
              <w:ind w:left="19" w:leftChars="9" w:right="19" w:rightChars="9" w:firstLine="0" w:firstLineChars="0"/>
              <w:rPr>
                <w:rFonts w:hint="eastAsia" w:ascii="Times New Roman" w:hAnsi="Times New Roman" w:eastAsia="宋体" w:cs="Times New Roman"/>
                <w:color w:val="auto"/>
                <w:lang w:val="en-US" w:eastAsia="zh-CN"/>
              </w:rPr>
            </w:pPr>
          </w:p>
        </w:tc>
        <w:tc>
          <w:tcPr>
            <w:tcW w:w="858" w:type="pct"/>
            <w:tcBorders>
              <w:tl2br w:val="nil"/>
              <w:tr2bl w:val="nil"/>
            </w:tcBorders>
            <w:vAlign w:val="center"/>
          </w:tcPr>
          <w:p w14:paraId="4C4CE6A1">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甲苯</w:t>
            </w:r>
          </w:p>
        </w:tc>
        <w:tc>
          <w:tcPr>
            <w:tcW w:w="819" w:type="pct"/>
            <w:tcBorders>
              <w:tl2br w:val="nil"/>
              <w:tr2bl w:val="nil"/>
            </w:tcBorders>
            <w:vAlign w:val="center"/>
          </w:tcPr>
          <w:p w14:paraId="66C128B5">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0.018</w:t>
            </w:r>
          </w:p>
        </w:tc>
        <w:tc>
          <w:tcPr>
            <w:tcW w:w="862" w:type="pct"/>
            <w:tcBorders>
              <w:tl2br w:val="nil"/>
              <w:tr2bl w:val="nil"/>
            </w:tcBorders>
            <w:vAlign w:val="center"/>
          </w:tcPr>
          <w:p w14:paraId="572DD128">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0.0005</w:t>
            </w:r>
          </w:p>
        </w:tc>
        <w:tc>
          <w:tcPr>
            <w:tcW w:w="865" w:type="pct"/>
            <w:tcBorders>
              <w:tl2br w:val="nil"/>
              <w:tr2bl w:val="nil"/>
            </w:tcBorders>
            <w:vAlign w:val="center"/>
          </w:tcPr>
          <w:p w14:paraId="0FF2FC0D">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0.004</w:t>
            </w:r>
          </w:p>
        </w:tc>
      </w:tr>
      <w:tr w14:paraId="4462BFF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415" w:type="pct"/>
            <w:vMerge w:val="continue"/>
            <w:tcBorders>
              <w:tl2br w:val="nil"/>
              <w:tr2bl w:val="nil"/>
            </w:tcBorders>
            <w:vAlign w:val="center"/>
          </w:tcPr>
          <w:p w14:paraId="46401E4A">
            <w:pPr>
              <w:pStyle w:val="83"/>
              <w:spacing w:line="240" w:lineRule="auto"/>
              <w:ind w:left="22" w:right="22"/>
              <w:rPr>
                <w:rFonts w:hint="default" w:ascii="Times New Roman" w:hAnsi="Times New Roman" w:cs="Times New Roman"/>
                <w:color w:val="auto"/>
              </w:rPr>
            </w:pPr>
          </w:p>
        </w:tc>
        <w:tc>
          <w:tcPr>
            <w:tcW w:w="1179" w:type="pct"/>
            <w:vMerge w:val="continue"/>
            <w:tcBorders>
              <w:tl2br w:val="nil"/>
              <w:tr2bl w:val="nil"/>
            </w:tcBorders>
            <w:vAlign w:val="center"/>
          </w:tcPr>
          <w:p w14:paraId="094F74CC">
            <w:pPr>
              <w:pStyle w:val="83"/>
              <w:spacing w:line="240" w:lineRule="auto"/>
              <w:ind w:left="19" w:leftChars="9" w:right="19" w:rightChars="9" w:firstLine="0" w:firstLineChars="0"/>
              <w:rPr>
                <w:rFonts w:hint="eastAsia" w:ascii="Times New Roman" w:hAnsi="Times New Roman" w:eastAsia="宋体" w:cs="Times New Roman"/>
                <w:color w:val="auto"/>
                <w:lang w:val="en-US" w:eastAsia="zh-CN"/>
              </w:rPr>
            </w:pPr>
          </w:p>
        </w:tc>
        <w:tc>
          <w:tcPr>
            <w:tcW w:w="858" w:type="pct"/>
            <w:tcBorders>
              <w:tl2br w:val="nil"/>
              <w:tr2bl w:val="nil"/>
            </w:tcBorders>
            <w:vAlign w:val="center"/>
          </w:tcPr>
          <w:p w14:paraId="5AFB20C6">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1,3-丁二烯</w:t>
            </w:r>
          </w:p>
        </w:tc>
        <w:tc>
          <w:tcPr>
            <w:tcW w:w="819" w:type="pct"/>
            <w:tcBorders>
              <w:tl2br w:val="nil"/>
              <w:tr2bl w:val="nil"/>
            </w:tcBorders>
            <w:vAlign w:val="center"/>
          </w:tcPr>
          <w:p w14:paraId="097B6D3A">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0.002</w:t>
            </w:r>
          </w:p>
        </w:tc>
        <w:tc>
          <w:tcPr>
            <w:tcW w:w="862" w:type="pct"/>
            <w:tcBorders>
              <w:tl2br w:val="nil"/>
              <w:tr2bl w:val="nil"/>
            </w:tcBorders>
            <w:vAlign w:val="center"/>
          </w:tcPr>
          <w:p w14:paraId="5B11A7D2">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0.0001</w:t>
            </w:r>
          </w:p>
        </w:tc>
        <w:tc>
          <w:tcPr>
            <w:tcW w:w="865" w:type="pct"/>
            <w:tcBorders>
              <w:tl2br w:val="nil"/>
              <w:tr2bl w:val="nil"/>
            </w:tcBorders>
            <w:vAlign w:val="center"/>
          </w:tcPr>
          <w:p w14:paraId="2A694858">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0.0005</w:t>
            </w:r>
          </w:p>
        </w:tc>
      </w:tr>
      <w:tr w14:paraId="1DBE5E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415" w:type="pct"/>
            <w:vMerge w:val="continue"/>
            <w:tcBorders>
              <w:tl2br w:val="nil"/>
              <w:tr2bl w:val="nil"/>
            </w:tcBorders>
            <w:vAlign w:val="center"/>
          </w:tcPr>
          <w:p w14:paraId="043DF5FB">
            <w:pPr>
              <w:pStyle w:val="83"/>
              <w:spacing w:line="240" w:lineRule="auto"/>
              <w:ind w:left="22" w:right="22"/>
              <w:rPr>
                <w:rFonts w:hint="default" w:ascii="Times New Roman" w:hAnsi="Times New Roman" w:cs="Times New Roman"/>
                <w:color w:val="auto"/>
              </w:rPr>
            </w:pPr>
          </w:p>
        </w:tc>
        <w:tc>
          <w:tcPr>
            <w:tcW w:w="1179" w:type="pct"/>
            <w:vMerge w:val="continue"/>
            <w:tcBorders>
              <w:tl2br w:val="nil"/>
              <w:tr2bl w:val="nil"/>
            </w:tcBorders>
            <w:vAlign w:val="center"/>
          </w:tcPr>
          <w:p w14:paraId="29210CF9">
            <w:pPr>
              <w:pStyle w:val="83"/>
              <w:spacing w:line="240" w:lineRule="auto"/>
              <w:ind w:left="19" w:leftChars="9" w:right="19" w:rightChars="9" w:firstLine="0" w:firstLineChars="0"/>
              <w:rPr>
                <w:rFonts w:hint="eastAsia" w:ascii="Times New Roman" w:hAnsi="Times New Roman" w:eastAsia="宋体" w:cs="Times New Roman"/>
                <w:color w:val="auto"/>
                <w:lang w:val="en-US" w:eastAsia="zh-CN"/>
              </w:rPr>
            </w:pPr>
          </w:p>
        </w:tc>
        <w:tc>
          <w:tcPr>
            <w:tcW w:w="858" w:type="pct"/>
            <w:tcBorders>
              <w:tl2br w:val="nil"/>
              <w:tr2bl w:val="nil"/>
            </w:tcBorders>
            <w:vAlign w:val="center"/>
          </w:tcPr>
          <w:p w14:paraId="223B15FF">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酚类</w:t>
            </w:r>
          </w:p>
        </w:tc>
        <w:tc>
          <w:tcPr>
            <w:tcW w:w="819" w:type="pct"/>
            <w:tcBorders>
              <w:tl2br w:val="nil"/>
              <w:tr2bl w:val="nil"/>
            </w:tcBorders>
            <w:vAlign w:val="center"/>
          </w:tcPr>
          <w:p w14:paraId="2E6402B3">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0.035</w:t>
            </w:r>
          </w:p>
        </w:tc>
        <w:tc>
          <w:tcPr>
            <w:tcW w:w="862" w:type="pct"/>
            <w:tcBorders>
              <w:tl2br w:val="nil"/>
              <w:tr2bl w:val="nil"/>
            </w:tcBorders>
            <w:vAlign w:val="center"/>
          </w:tcPr>
          <w:p w14:paraId="58320A0D">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0.001</w:t>
            </w:r>
          </w:p>
        </w:tc>
        <w:tc>
          <w:tcPr>
            <w:tcW w:w="865" w:type="pct"/>
            <w:tcBorders>
              <w:tl2br w:val="nil"/>
              <w:tr2bl w:val="nil"/>
            </w:tcBorders>
            <w:vAlign w:val="center"/>
          </w:tcPr>
          <w:p w14:paraId="69BE05BF">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0.007</w:t>
            </w:r>
          </w:p>
        </w:tc>
      </w:tr>
      <w:tr w14:paraId="707ECE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415" w:type="pct"/>
            <w:vMerge w:val="continue"/>
            <w:tcBorders>
              <w:tl2br w:val="nil"/>
              <w:tr2bl w:val="nil"/>
            </w:tcBorders>
            <w:vAlign w:val="center"/>
          </w:tcPr>
          <w:p w14:paraId="53751231">
            <w:pPr>
              <w:pStyle w:val="83"/>
              <w:spacing w:line="240" w:lineRule="auto"/>
              <w:ind w:left="22" w:right="22"/>
              <w:rPr>
                <w:rFonts w:hint="default" w:ascii="Times New Roman" w:hAnsi="Times New Roman" w:cs="Times New Roman"/>
                <w:color w:val="auto"/>
              </w:rPr>
            </w:pPr>
          </w:p>
        </w:tc>
        <w:tc>
          <w:tcPr>
            <w:tcW w:w="1179" w:type="pct"/>
            <w:vMerge w:val="continue"/>
            <w:tcBorders>
              <w:tl2br w:val="nil"/>
              <w:tr2bl w:val="nil"/>
            </w:tcBorders>
            <w:vAlign w:val="center"/>
          </w:tcPr>
          <w:p w14:paraId="7EA0C51A">
            <w:pPr>
              <w:pStyle w:val="83"/>
              <w:spacing w:line="240" w:lineRule="auto"/>
              <w:ind w:left="19" w:leftChars="9" w:right="19" w:rightChars="9" w:firstLine="0" w:firstLineChars="0"/>
              <w:rPr>
                <w:rFonts w:hint="eastAsia" w:ascii="Times New Roman" w:hAnsi="Times New Roman" w:eastAsia="宋体" w:cs="Times New Roman"/>
                <w:color w:val="auto"/>
                <w:lang w:val="en-US" w:eastAsia="zh-CN"/>
              </w:rPr>
            </w:pPr>
          </w:p>
        </w:tc>
        <w:tc>
          <w:tcPr>
            <w:tcW w:w="858" w:type="pct"/>
            <w:tcBorders>
              <w:tl2br w:val="nil"/>
              <w:tr2bl w:val="nil"/>
            </w:tcBorders>
            <w:vAlign w:val="center"/>
          </w:tcPr>
          <w:p w14:paraId="196566B7">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氯苯类</w:t>
            </w:r>
          </w:p>
        </w:tc>
        <w:tc>
          <w:tcPr>
            <w:tcW w:w="819" w:type="pct"/>
            <w:tcBorders>
              <w:tl2br w:val="nil"/>
              <w:tr2bl w:val="nil"/>
            </w:tcBorders>
            <w:vAlign w:val="center"/>
          </w:tcPr>
          <w:p w14:paraId="0B3F0BC9">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0.023</w:t>
            </w:r>
          </w:p>
        </w:tc>
        <w:tc>
          <w:tcPr>
            <w:tcW w:w="862" w:type="pct"/>
            <w:tcBorders>
              <w:tl2br w:val="nil"/>
              <w:tr2bl w:val="nil"/>
            </w:tcBorders>
            <w:vAlign w:val="center"/>
          </w:tcPr>
          <w:p w14:paraId="32076835">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0.0007</w:t>
            </w:r>
          </w:p>
        </w:tc>
        <w:tc>
          <w:tcPr>
            <w:tcW w:w="865" w:type="pct"/>
            <w:tcBorders>
              <w:tl2br w:val="nil"/>
              <w:tr2bl w:val="nil"/>
            </w:tcBorders>
            <w:vAlign w:val="center"/>
          </w:tcPr>
          <w:p w14:paraId="33EC1BBF">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0.005</w:t>
            </w:r>
          </w:p>
        </w:tc>
      </w:tr>
      <w:tr w14:paraId="11644D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415" w:type="pct"/>
            <w:vMerge w:val="continue"/>
            <w:tcBorders>
              <w:tl2br w:val="nil"/>
              <w:tr2bl w:val="nil"/>
            </w:tcBorders>
            <w:vAlign w:val="center"/>
          </w:tcPr>
          <w:p w14:paraId="56CB17FF">
            <w:pPr>
              <w:pStyle w:val="83"/>
              <w:spacing w:line="240" w:lineRule="auto"/>
              <w:ind w:left="22" w:right="22"/>
              <w:rPr>
                <w:rFonts w:hint="default" w:ascii="Times New Roman" w:hAnsi="Times New Roman" w:cs="Times New Roman"/>
                <w:color w:val="auto"/>
              </w:rPr>
            </w:pPr>
          </w:p>
        </w:tc>
        <w:tc>
          <w:tcPr>
            <w:tcW w:w="1179" w:type="pct"/>
            <w:vMerge w:val="continue"/>
            <w:tcBorders>
              <w:tl2br w:val="nil"/>
              <w:tr2bl w:val="nil"/>
            </w:tcBorders>
            <w:vAlign w:val="center"/>
          </w:tcPr>
          <w:p w14:paraId="3D9A1202">
            <w:pPr>
              <w:pStyle w:val="83"/>
              <w:spacing w:line="240" w:lineRule="auto"/>
              <w:ind w:left="19" w:leftChars="9" w:right="19" w:rightChars="9" w:firstLine="0" w:firstLineChars="0"/>
              <w:rPr>
                <w:rFonts w:hint="eastAsia" w:ascii="Times New Roman" w:hAnsi="Times New Roman" w:eastAsia="宋体" w:cs="Times New Roman"/>
                <w:color w:val="auto"/>
                <w:lang w:val="en-US" w:eastAsia="zh-CN"/>
              </w:rPr>
            </w:pPr>
          </w:p>
        </w:tc>
        <w:tc>
          <w:tcPr>
            <w:tcW w:w="858" w:type="pct"/>
            <w:tcBorders>
              <w:tl2br w:val="nil"/>
              <w:tr2bl w:val="nil"/>
            </w:tcBorders>
            <w:vAlign w:val="center"/>
          </w:tcPr>
          <w:p w14:paraId="4CE79EA4">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二氯甲烷</w:t>
            </w:r>
          </w:p>
        </w:tc>
        <w:tc>
          <w:tcPr>
            <w:tcW w:w="819" w:type="pct"/>
            <w:tcBorders>
              <w:tl2br w:val="nil"/>
              <w:tr2bl w:val="nil"/>
            </w:tcBorders>
            <w:vAlign w:val="center"/>
          </w:tcPr>
          <w:p w14:paraId="604818E8">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0.24</w:t>
            </w:r>
          </w:p>
        </w:tc>
        <w:tc>
          <w:tcPr>
            <w:tcW w:w="862" w:type="pct"/>
            <w:tcBorders>
              <w:tl2br w:val="nil"/>
              <w:tr2bl w:val="nil"/>
            </w:tcBorders>
            <w:vAlign w:val="center"/>
          </w:tcPr>
          <w:p w14:paraId="5AC77A1C">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0.0072</w:t>
            </w:r>
          </w:p>
        </w:tc>
        <w:tc>
          <w:tcPr>
            <w:tcW w:w="865" w:type="pct"/>
            <w:tcBorders>
              <w:tl2br w:val="nil"/>
              <w:tr2bl w:val="nil"/>
            </w:tcBorders>
            <w:vAlign w:val="center"/>
          </w:tcPr>
          <w:p w14:paraId="4F2D37C8">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0.05</w:t>
            </w:r>
          </w:p>
        </w:tc>
      </w:tr>
      <w:tr w14:paraId="2347C4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415" w:type="pct"/>
            <w:vMerge w:val="continue"/>
            <w:tcBorders>
              <w:tl2br w:val="nil"/>
              <w:tr2bl w:val="nil"/>
            </w:tcBorders>
            <w:vAlign w:val="center"/>
          </w:tcPr>
          <w:p w14:paraId="508205A0">
            <w:pPr>
              <w:pStyle w:val="83"/>
              <w:spacing w:line="240" w:lineRule="auto"/>
              <w:ind w:left="22" w:right="22"/>
              <w:rPr>
                <w:rFonts w:hint="default" w:ascii="Times New Roman" w:hAnsi="Times New Roman" w:cs="Times New Roman"/>
                <w:color w:val="auto"/>
              </w:rPr>
            </w:pPr>
          </w:p>
        </w:tc>
        <w:tc>
          <w:tcPr>
            <w:tcW w:w="1179" w:type="pct"/>
            <w:vMerge w:val="continue"/>
            <w:tcBorders>
              <w:tl2br w:val="nil"/>
              <w:tr2bl w:val="nil"/>
            </w:tcBorders>
            <w:vAlign w:val="center"/>
          </w:tcPr>
          <w:p w14:paraId="10936C35">
            <w:pPr>
              <w:pStyle w:val="83"/>
              <w:spacing w:line="240" w:lineRule="auto"/>
              <w:ind w:left="19" w:leftChars="9" w:right="19" w:rightChars="9" w:firstLine="0" w:firstLineChars="0"/>
              <w:rPr>
                <w:rFonts w:hint="eastAsia" w:ascii="Times New Roman" w:hAnsi="Times New Roman" w:eastAsia="宋体" w:cs="Times New Roman"/>
                <w:color w:val="auto"/>
                <w:lang w:val="en-US" w:eastAsia="zh-CN"/>
              </w:rPr>
            </w:pPr>
          </w:p>
        </w:tc>
        <w:tc>
          <w:tcPr>
            <w:tcW w:w="858" w:type="pct"/>
            <w:tcBorders>
              <w:tl2br w:val="nil"/>
              <w:tr2bl w:val="nil"/>
            </w:tcBorders>
            <w:vAlign w:val="center"/>
          </w:tcPr>
          <w:p w14:paraId="5C6E2AD6">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苯乙烯</w:t>
            </w:r>
          </w:p>
        </w:tc>
        <w:tc>
          <w:tcPr>
            <w:tcW w:w="819" w:type="pct"/>
            <w:tcBorders>
              <w:tl2br w:val="nil"/>
              <w:tr2bl w:val="nil"/>
            </w:tcBorders>
            <w:vAlign w:val="center"/>
          </w:tcPr>
          <w:p w14:paraId="1BD44161">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0.239</w:t>
            </w:r>
          </w:p>
        </w:tc>
        <w:tc>
          <w:tcPr>
            <w:tcW w:w="862" w:type="pct"/>
            <w:tcBorders>
              <w:tl2br w:val="nil"/>
              <w:tr2bl w:val="nil"/>
            </w:tcBorders>
            <w:vAlign w:val="center"/>
          </w:tcPr>
          <w:p w14:paraId="40883DCF">
            <w:pPr>
              <w:pStyle w:val="37"/>
              <w:bidi w:val="0"/>
              <w:ind w:firstLine="0" w:firstLineChars="0"/>
              <w:rPr>
                <w:rFonts w:hint="default" w:ascii="Times New Roman" w:hAnsi="Times New Roman" w:cs="Times New Roman"/>
                <w:color w:val="auto"/>
                <w:lang w:val="en-US"/>
              </w:rPr>
            </w:pPr>
            <w:r>
              <w:rPr>
                <w:rFonts w:hint="eastAsia" w:ascii="Times New Roman" w:hAnsi="Times New Roman" w:cs="Times New Roman"/>
                <w:color w:val="auto"/>
                <w:highlight w:val="none"/>
                <w:lang w:val="en-US" w:eastAsia="zh-CN"/>
              </w:rPr>
              <w:t>0.007</w:t>
            </w:r>
          </w:p>
        </w:tc>
        <w:tc>
          <w:tcPr>
            <w:tcW w:w="865" w:type="pct"/>
            <w:tcBorders>
              <w:tl2br w:val="nil"/>
              <w:tr2bl w:val="nil"/>
            </w:tcBorders>
            <w:vAlign w:val="center"/>
          </w:tcPr>
          <w:p w14:paraId="012D4147">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0.046</w:t>
            </w:r>
          </w:p>
        </w:tc>
      </w:tr>
      <w:tr w14:paraId="4166555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415" w:type="pct"/>
            <w:vMerge w:val="restart"/>
            <w:tcBorders>
              <w:tl2br w:val="nil"/>
              <w:tr2bl w:val="nil"/>
            </w:tcBorders>
            <w:vAlign w:val="center"/>
          </w:tcPr>
          <w:p w14:paraId="642CFB73">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2</w:t>
            </w:r>
          </w:p>
        </w:tc>
        <w:tc>
          <w:tcPr>
            <w:tcW w:w="1179" w:type="pct"/>
            <w:vMerge w:val="restart"/>
            <w:tcBorders>
              <w:tl2br w:val="nil"/>
              <w:tr2bl w:val="nil"/>
            </w:tcBorders>
            <w:shd w:val="clear" w:color="auto" w:fill="auto"/>
            <w:vAlign w:val="center"/>
          </w:tcPr>
          <w:p w14:paraId="59919CC8">
            <w:pPr>
              <w:pStyle w:val="83"/>
              <w:spacing w:line="240" w:lineRule="auto"/>
              <w:ind w:left="19" w:leftChars="9" w:right="19" w:rightChars="9" w:firstLine="0" w:firstLineChars="0"/>
              <w:rPr>
                <w:rFonts w:hint="default" w:ascii="Times New Roman" w:hAnsi="Times New Roman" w:cs="Times New Roman"/>
                <w:color w:val="auto"/>
                <w:lang w:val="en-US"/>
              </w:rPr>
            </w:pPr>
            <w:r>
              <w:rPr>
                <w:rFonts w:hint="eastAsia" w:ascii="Times New Roman" w:hAnsi="Times New Roman" w:eastAsia="宋体" w:cs="Times New Roman"/>
                <w:color w:val="auto"/>
                <w:lang w:val="en-US" w:eastAsia="zh-CN"/>
              </w:rPr>
              <w:t>喷涂、管路和喷枪清洗、丝印废气排气筒DA002</w:t>
            </w:r>
          </w:p>
        </w:tc>
        <w:tc>
          <w:tcPr>
            <w:tcW w:w="858" w:type="pct"/>
            <w:tcBorders>
              <w:tl2br w:val="nil"/>
              <w:tr2bl w:val="nil"/>
            </w:tcBorders>
            <w:shd w:val="clear" w:color="auto" w:fill="auto"/>
            <w:vAlign w:val="center"/>
          </w:tcPr>
          <w:p w14:paraId="066CDA17">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非甲烷总烃</w:t>
            </w:r>
          </w:p>
        </w:tc>
        <w:tc>
          <w:tcPr>
            <w:tcW w:w="1397" w:type="dxa"/>
            <w:tcBorders>
              <w:tl2br w:val="nil"/>
              <w:tr2bl w:val="nil"/>
            </w:tcBorders>
            <w:shd w:val="clear" w:color="auto" w:fill="auto"/>
            <w:vAlign w:val="center"/>
          </w:tcPr>
          <w:p w14:paraId="298ABC76">
            <w:pPr>
              <w:pStyle w:val="37"/>
              <w:bidi w:val="0"/>
              <w:ind w:firstLine="0" w:firstLineChars="0"/>
              <w:rPr>
                <w:rFonts w:hint="default" w:ascii="Times New Roman" w:hAnsi="Times New Roman" w:cs="Times New Roman"/>
                <w:color w:val="auto"/>
              </w:rPr>
            </w:pPr>
            <w:r>
              <w:rPr>
                <w:rFonts w:hint="eastAsia" w:ascii="Times New Roman" w:hAnsi="Times New Roman" w:eastAsia="宋体" w:cs="Times New Roman"/>
                <w:color w:val="auto"/>
                <w:highlight w:val="none"/>
                <w:lang w:val="en-US" w:eastAsia="zh-CN"/>
              </w:rPr>
              <w:t>107</w:t>
            </w:r>
          </w:p>
        </w:tc>
        <w:tc>
          <w:tcPr>
            <w:tcW w:w="1470" w:type="dxa"/>
            <w:tcBorders>
              <w:tl2br w:val="nil"/>
              <w:tr2bl w:val="nil"/>
            </w:tcBorders>
            <w:shd w:val="clear" w:color="auto" w:fill="auto"/>
            <w:vAlign w:val="center"/>
          </w:tcPr>
          <w:p w14:paraId="0988DBDD">
            <w:pPr>
              <w:pStyle w:val="37"/>
              <w:bidi w:val="0"/>
              <w:ind w:firstLine="0" w:firstLineChars="0"/>
              <w:rPr>
                <w:rFonts w:hint="default" w:ascii="Times New Roman" w:hAnsi="Times New Roman" w:cs="Times New Roman"/>
                <w:color w:val="auto"/>
              </w:rPr>
            </w:pPr>
            <w:r>
              <w:rPr>
                <w:rFonts w:hint="eastAsia" w:ascii="Times New Roman" w:hAnsi="Times New Roman" w:eastAsia="宋体" w:cs="Times New Roman"/>
                <w:color w:val="auto"/>
                <w:highlight w:val="none"/>
                <w:lang w:val="en-US" w:eastAsia="zh-CN"/>
              </w:rPr>
              <w:t>2.15</w:t>
            </w:r>
          </w:p>
        </w:tc>
        <w:tc>
          <w:tcPr>
            <w:tcW w:w="865" w:type="pct"/>
            <w:tcBorders>
              <w:tl2br w:val="nil"/>
              <w:tr2bl w:val="nil"/>
            </w:tcBorders>
            <w:shd w:val="clear" w:color="auto" w:fill="auto"/>
            <w:vAlign w:val="center"/>
          </w:tcPr>
          <w:p w14:paraId="39A89017">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14.96</w:t>
            </w:r>
          </w:p>
        </w:tc>
      </w:tr>
      <w:tr w14:paraId="0B8E81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415" w:type="pct"/>
            <w:vMerge w:val="continue"/>
            <w:tcBorders>
              <w:tl2br w:val="nil"/>
              <w:tr2bl w:val="nil"/>
            </w:tcBorders>
            <w:vAlign w:val="center"/>
          </w:tcPr>
          <w:p w14:paraId="2CA5A59D">
            <w:pPr>
              <w:pStyle w:val="83"/>
              <w:spacing w:line="240" w:lineRule="auto"/>
              <w:ind w:left="22" w:right="22"/>
              <w:rPr>
                <w:rFonts w:hint="default" w:ascii="Times New Roman" w:hAnsi="Times New Roman" w:cs="Times New Roman"/>
                <w:color w:val="auto"/>
              </w:rPr>
            </w:pPr>
          </w:p>
        </w:tc>
        <w:tc>
          <w:tcPr>
            <w:tcW w:w="1179" w:type="pct"/>
            <w:vMerge w:val="continue"/>
            <w:tcBorders>
              <w:tl2br w:val="nil"/>
              <w:tr2bl w:val="nil"/>
            </w:tcBorders>
            <w:shd w:val="clear" w:color="auto" w:fill="auto"/>
            <w:vAlign w:val="center"/>
          </w:tcPr>
          <w:p w14:paraId="05081BC8">
            <w:pPr>
              <w:pStyle w:val="83"/>
              <w:spacing w:line="240" w:lineRule="auto"/>
              <w:ind w:left="19" w:leftChars="9" w:right="19" w:rightChars="9" w:firstLine="0" w:firstLineChars="0"/>
              <w:rPr>
                <w:rFonts w:hint="eastAsia" w:ascii="Times New Roman" w:hAnsi="Times New Roman" w:eastAsia="宋体" w:cs="Times New Roman"/>
                <w:color w:val="auto"/>
                <w:lang w:val="en-US" w:eastAsia="zh-CN"/>
              </w:rPr>
            </w:pPr>
          </w:p>
        </w:tc>
        <w:tc>
          <w:tcPr>
            <w:tcW w:w="858" w:type="pct"/>
            <w:tcBorders>
              <w:tl2br w:val="nil"/>
              <w:tr2bl w:val="nil"/>
            </w:tcBorders>
            <w:shd w:val="clear" w:color="auto" w:fill="auto"/>
            <w:vAlign w:val="center"/>
          </w:tcPr>
          <w:p w14:paraId="133C56A1">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颗粒物</w:t>
            </w:r>
          </w:p>
        </w:tc>
        <w:tc>
          <w:tcPr>
            <w:tcW w:w="1397" w:type="dxa"/>
            <w:tcBorders>
              <w:tl2br w:val="nil"/>
              <w:tr2bl w:val="nil"/>
            </w:tcBorders>
            <w:shd w:val="clear" w:color="auto" w:fill="auto"/>
            <w:vAlign w:val="center"/>
          </w:tcPr>
          <w:p w14:paraId="2B277289">
            <w:pPr>
              <w:pStyle w:val="37"/>
              <w:bidi w:val="0"/>
              <w:ind w:firstLine="0" w:firstLineChars="0"/>
              <w:rPr>
                <w:rFonts w:hint="default" w:ascii="Times New Roman" w:hAnsi="Times New Roman" w:cs="Times New Roman"/>
                <w:color w:val="auto"/>
              </w:rPr>
            </w:pPr>
            <w:r>
              <w:rPr>
                <w:rFonts w:hint="eastAsia" w:ascii="Times New Roman" w:hAnsi="Times New Roman" w:eastAsia="宋体" w:cs="Times New Roman"/>
                <w:color w:val="auto"/>
                <w:highlight w:val="none"/>
                <w:lang w:val="en-US" w:eastAsia="zh-CN"/>
              </w:rPr>
              <w:t>104</w:t>
            </w:r>
          </w:p>
        </w:tc>
        <w:tc>
          <w:tcPr>
            <w:tcW w:w="1470" w:type="dxa"/>
            <w:tcBorders>
              <w:tl2br w:val="nil"/>
              <w:tr2bl w:val="nil"/>
            </w:tcBorders>
            <w:shd w:val="clear" w:color="auto" w:fill="auto"/>
            <w:vAlign w:val="center"/>
          </w:tcPr>
          <w:p w14:paraId="071A4D3D">
            <w:pPr>
              <w:pStyle w:val="37"/>
              <w:bidi w:val="0"/>
              <w:ind w:firstLine="0" w:firstLineChars="0"/>
              <w:rPr>
                <w:rFonts w:hint="default" w:ascii="Times New Roman" w:hAnsi="Times New Roman" w:cs="Times New Roman"/>
                <w:color w:val="auto"/>
              </w:rPr>
            </w:pPr>
            <w:r>
              <w:rPr>
                <w:rFonts w:hint="eastAsia" w:ascii="Times New Roman" w:hAnsi="Times New Roman" w:eastAsia="宋体" w:cs="Times New Roman"/>
                <w:color w:val="auto"/>
                <w:highlight w:val="none"/>
                <w:lang w:val="en-US" w:eastAsia="zh-CN"/>
              </w:rPr>
              <w:t>2.083</w:t>
            </w:r>
          </w:p>
        </w:tc>
        <w:tc>
          <w:tcPr>
            <w:tcW w:w="865" w:type="pct"/>
            <w:tcBorders>
              <w:tl2br w:val="nil"/>
              <w:tr2bl w:val="nil"/>
            </w:tcBorders>
            <w:shd w:val="clear" w:color="auto" w:fill="auto"/>
            <w:vAlign w:val="center"/>
          </w:tcPr>
          <w:p w14:paraId="5806D785">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14.5</w:t>
            </w:r>
          </w:p>
        </w:tc>
      </w:tr>
      <w:tr w14:paraId="31A6BB8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415" w:type="pct"/>
            <w:vMerge w:val="restart"/>
            <w:tcBorders>
              <w:tl2br w:val="nil"/>
              <w:tr2bl w:val="nil"/>
            </w:tcBorders>
            <w:vAlign w:val="center"/>
          </w:tcPr>
          <w:p w14:paraId="64200076">
            <w:pPr>
              <w:pStyle w:val="83"/>
              <w:spacing w:line="240" w:lineRule="auto"/>
              <w:ind w:left="22" w:right="22"/>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179" w:type="pct"/>
            <w:vMerge w:val="restart"/>
            <w:tcBorders>
              <w:tl2br w:val="nil"/>
              <w:tr2bl w:val="nil"/>
            </w:tcBorders>
            <w:shd w:val="clear" w:color="auto" w:fill="auto"/>
            <w:vAlign w:val="center"/>
          </w:tcPr>
          <w:p w14:paraId="30058557">
            <w:pPr>
              <w:pStyle w:val="83"/>
              <w:spacing w:line="240" w:lineRule="auto"/>
              <w:ind w:left="19" w:leftChars="9" w:right="19" w:rightChars="9" w:firstLine="0" w:firstLineChars="0"/>
              <w:rPr>
                <w:rFonts w:hint="default" w:ascii="Times New Roman" w:hAnsi="Times New Roman" w:cs="Times New Roman"/>
                <w:color w:val="auto"/>
                <w:highlight w:val="none"/>
                <w:lang w:val="en-US"/>
              </w:rPr>
            </w:pPr>
            <w:r>
              <w:rPr>
                <w:rFonts w:hint="eastAsia" w:ascii="Times New Roman" w:hAnsi="Times New Roman" w:eastAsia="宋体" w:cs="Times New Roman"/>
                <w:color w:val="auto"/>
                <w:highlight w:val="none"/>
                <w:lang w:val="en-US" w:eastAsia="zh-CN"/>
              </w:rPr>
              <w:t>天然气燃烧机废气烟囱DA003</w:t>
            </w:r>
          </w:p>
        </w:tc>
        <w:tc>
          <w:tcPr>
            <w:tcW w:w="858" w:type="pct"/>
            <w:tcBorders>
              <w:tl2br w:val="nil"/>
              <w:tr2bl w:val="nil"/>
            </w:tcBorders>
            <w:shd w:val="clear" w:color="auto" w:fill="auto"/>
            <w:vAlign w:val="center"/>
          </w:tcPr>
          <w:p w14:paraId="0EB69323">
            <w:pPr>
              <w:pStyle w:val="83"/>
              <w:spacing w:line="240" w:lineRule="auto"/>
              <w:ind w:left="19" w:leftChars="9" w:right="19" w:rightChars="9" w:firstLine="0" w:firstLineChars="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烟尘</w:t>
            </w:r>
          </w:p>
        </w:tc>
        <w:tc>
          <w:tcPr>
            <w:tcW w:w="1397" w:type="dxa"/>
            <w:tcBorders>
              <w:tl2br w:val="nil"/>
              <w:tr2bl w:val="nil"/>
            </w:tcBorders>
            <w:shd w:val="clear" w:color="auto" w:fill="auto"/>
            <w:vAlign w:val="center"/>
          </w:tcPr>
          <w:p w14:paraId="67381806">
            <w:pPr>
              <w:pStyle w:val="37"/>
              <w:bidi w:val="0"/>
              <w:ind w:firstLine="0" w:firstLineChars="0"/>
              <w:rPr>
                <w:rFonts w:hint="default" w:ascii="Times New Roman" w:hAnsi="Times New Roman" w:cs="Times New Roman"/>
                <w:color w:val="auto"/>
              </w:rPr>
            </w:pPr>
            <w:r>
              <w:rPr>
                <w:rFonts w:hint="eastAsia" w:ascii="Times New Roman" w:hAnsi="Times New Roman" w:eastAsia="宋体" w:cs="Times New Roman"/>
                <w:color w:val="auto"/>
                <w:highlight w:val="none"/>
                <w:lang w:val="en-US" w:eastAsia="zh-CN"/>
              </w:rPr>
              <w:t>14.864</w:t>
            </w:r>
          </w:p>
        </w:tc>
        <w:tc>
          <w:tcPr>
            <w:tcW w:w="1470" w:type="dxa"/>
            <w:tcBorders>
              <w:tl2br w:val="nil"/>
              <w:tr2bl w:val="nil"/>
            </w:tcBorders>
            <w:shd w:val="clear" w:color="auto" w:fill="auto"/>
            <w:vAlign w:val="center"/>
          </w:tcPr>
          <w:p w14:paraId="39E25DBB">
            <w:pPr>
              <w:pStyle w:val="37"/>
              <w:bidi w:val="0"/>
              <w:ind w:firstLine="0" w:firstLineChars="0"/>
              <w:rPr>
                <w:rFonts w:hint="default" w:ascii="Times New Roman" w:hAnsi="Times New Roman" w:cs="Times New Roman"/>
                <w:color w:val="auto"/>
              </w:rPr>
            </w:pPr>
            <w:r>
              <w:rPr>
                <w:rFonts w:hint="eastAsia" w:ascii="Times New Roman" w:hAnsi="Times New Roman" w:eastAsia="宋体" w:cs="Times New Roman"/>
                <w:color w:val="auto"/>
                <w:highlight w:val="none"/>
                <w:lang w:val="en-US" w:eastAsia="zh-CN"/>
              </w:rPr>
              <w:t>0.009</w:t>
            </w:r>
          </w:p>
        </w:tc>
        <w:tc>
          <w:tcPr>
            <w:tcW w:w="865" w:type="pct"/>
            <w:tcBorders>
              <w:tl2br w:val="nil"/>
              <w:tr2bl w:val="nil"/>
            </w:tcBorders>
            <w:shd w:val="clear" w:color="auto" w:fill="auto"/>
            <w:vAlign w:val="center"/>
          </w:tcPr>
          <w:p w14:paraId="542C283C">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0.061</w:t>
            </w:r>
          </w:p>
        </w:tc>
      </w:tr>
      <w:tr w14:paraId="7E4716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415" w:type="pct"/>
            <w:vMerge w:val="continue"/>
            <w:tcBorders>
              <w:tl2br w:val="nil"/>
              <w:tr2bl w:val="nil"/>
            </w:tcBorders>
            <w:vAlign w:val="center"/>
          </w:tcPr>
          <w:p w14:paraId="52659A03">
            <w:pPr>
              <w:pStyle w:val="83"/>
              <w:spacing w:line="240" w:lineRule="auto"/>
              <w:ind w:left="22" w:right="22"/>
              <w:rPr>
                <w:rFonts w:hint="default" w:ascii="Times New Roman" w:hAnsi="Times New Roman" w:cs="Times New Roman"/>
                <w:color w:val="auto"/>
              </w:rPr>
            </w:pPr>
          </w:p>
        </w:tc>
        <w:tc>
          <w:tcPr>
            <w:tcW w:w="1179" w:type="pct"/>
            <w:vMerge w:val="continue"/>
            <w:tcBorders>
              <w:tl2br w:val="nil"/>
              <w:tr2bl w:val="nil"/>
            </w:tcBorders>
            <w:shd w:val="clear" w:color="auto" w:fill="auto"/>
            <w:vAlign w:val="center"/>
          </w:tcPr>
          <w:p w14:paraId="46569460">
            <w:pPr>
              <w:pStyle w:val="83"/>
              <w:spacing w:line="240" w:lineRule="auto"/>
              <w:ind w:left="19" w:leftChars="9" w:right="19" w:rightChars="9" w:firstLine="0" w:firstLineChars="0"/>
              <w:rPr>
                <w:rFonts w:hint="eastAsia" w:ascii="Times New Roman" w:hAnsi="Times New Roman" w:eastAsia="宋体" w:cs="Times New Roman"/>
                <w:color w:val="auto"/>
                <w:lang w:val="en-US" w:eastAsia="zh-CN"/>
              </w:rPr>
            </w:pPr>
          </w:p>
        </w:tc>
        <w:tc>
          <w:tcPr>
            <w:tcW w:w="858" w:type="pct"/>
            <w:tcBorders>
              <w:tl2br w:val="nil"/>
              <w:tr2bl w:val="nil"/>
            </w:tcBorders>
            <w:shd w:val="clear" w:color="auto" w:fill="auto"/>
            <w:vAlign w:val="center"/>
          </w:tcPr>
          <w:p w14:paraId="37433DAE">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二氧化硫</w:t>
            </w:r>
          </w:p>
        </w:tc>
        <w:tc>
          <w:tcPr>
            <w:tcW w:w="1397" w:type="dxa"/>
            <w:tcBorders>
              <w:tl2br w:val="nil"/>
              <w:tr2bl w:val="nil"/>
            </w:tcBorders>
            <w:shd w:val="clear" w:color="auto" w:fill="auto"/>
            <w:vAlign w:val="center"/>
          </w:tcPr>
          <w:p w14:paraId="3B5B4B3C">
            <w:pPr>
              <w:pStyle w:val="37"/>
              <w:bidi w:val="0"/>
              <w:ind w:firstLine="0" w:firstLineChars="0"/>
              <w:rPr>
                <w:rFonts w:hint="default" w:ascii="Times New Roman" w:hAnsi="Times New Roman" w:cs="Times New Roman"/>
                <w:color w:val="auto"/>
              </w:rPr>
            </w:pPr>
            <w:r>
              <w:rPr>
                <w:rFonts w:hint="eastAsia" w:ascii="Times New Roman" w:hAnsi="Times New Roman" w:eastAsia="宋体" w:cs="Times New Roman"/>
                <w:color w:val="auto"/>
                <w:highlight w:val="none"/>
                <w:lang w:val="en-US" w:eastAsia="zh-CN"/>
              </w:rPr>
              <w:t>0.731</w:t>
            </w:r>
          </w:p>
        </w:tc>
        <w:tc>
          <w:tcPr>
            <w:tcW w:w="1470" w:type="dxa"/>
            <w:tcBorders>
              <w:tl2br w:val="nil"/>
              <w:tr2bl w:val="nil"/>
            </w:tcBorders>
            <w:shd w:val="clear" w:color="auto" w:fill="auto"/>
            <w:vAlign w:val="center"/>
          </w:tcPr>
          <w:p w14:paraId="2A4B8EE8">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0.0004</w:t>
            </w:r>
          </w:p>
        </w:tc>
        <w:tc>
          <w:tcPr>
            <w:tcW w:w="865" w:type="pct"/>
            <w:tcBorders>
              <w:tl2br w:val="nil"/>
              <w:tr2bl w:val="nil"/>
            </w:tcBorders>
            <w:shd w:val="clear" w:color="auto" w:fill="auto"/>
            <w:vAlign w:val="center"/>
          </w:tcPr>
          <w:p w14:paraId="700E599B">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0.003</w:t>
            </w:r>
          </w:p>
        </w:tc>
      </w:tr>
      <w:tr w14:paraId="25C0BC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415" w:type="pct"/>
            <w:vMerge w:val="continue"/>
            <w:tcBorders>
              <w:tl2br w:val="nil"/>
              <w:tr2bl w:val="nil"/>
            </w:tcBorders>
            <w:vAlign w:val="center"/>
          </w:tcPr>
          <w:p w14:paraId="3C3EC124">
            <w:pPr>
              <w:pStyle w:val="83"/>
              <w:spacing w:line="240" w:lineRule="auto"/>
              <w:ind w:left="22" w:right="22"/>
              <w:rPr>
                <w:rFonts w:hint="default" w:ascii="Times New Roman" w:hAnsi="Times New Roman" w:cs="Times New Roman"/>
                <w:color w:val="auto"/>
              </w:rPr>
            </w:pPr>
          </w:p>
        </w:tc>
        <w:tc>
          <w:tcPr>
            <w:tcW w:w="1179" w:type="pct"/>
            <w:vMerge w:val="continue"/>
            <w:tcBorders>
              <w:tl2br w:val="nil"/>
              <w:tr2bl w:val="nil"/>
            </w:tcBorders>
            <w:shd w:val="clear" w:color="auto" w:fill="auto"/>
            <w:vAlign w:val="center"/>
          </w:tcPr>
          <w:p w14:paraId="75D77B26">
            <w:pPr>
              <w:pStyle w:val="83"/>
              <w:spacing w:line="240" w:lineRule="auto"/>
              <w:ind w:left="19" w:leftChars="9" w:right="19" w:rightChars="9" w:firstLine="0" w:firstLineChars="0"/>
              <w:rPr>
                <w:rFonts w:hint="eastAsia" w:ascii="Times New Roman" w:hAnsi="Times New Roman" w:eastAsia="宋体" w:cs="Times New Roman"/>
                <w:color w:val="auto"/>
                <w:lang w:val="en-US" w:eastAsia="zh-CN"/>
              </w:rPr>
            </w:pPr>
          </w:p>
        </w:tc>
        <w:tc>
          <w:tcPr>
            <w:tcW w:w="858" w:type="pct"/>
            <w:tcBorders>
              <w:tl2br w:val="nil"/>
              <w:tr2bl w:val="nil"/>
            </w:tcBorders>
            <w:shd w:val="clear" w:color="auto" w:fill="auto"/>
            <w:vAlign w:val="center"/>
          </w:tcPr>
          <w:p w14:paraId="06CF57E4">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氮氧化物</w:t>
            </w:r>
          </w:p>
        </w:tc>
        <w:tc>
          <w:tcPr>
            <w:tcW w:w="1397" w:type="dxa"/>
            <w:tcBorders>
              <w:tl2br w:val="nil"/>
              <w:tr2bl w:val="nil"/>
            </w:tcBorders>
            <w:shd w:val="clear" w:color="auto" w:fill="auto"/>
            <w:vAlign w:val="center"/>
          </w:tcPr>
          <w:p w14:paraId="6933018B">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150</w:t>
            </w:r>
          </w:p>
        </w:tc>
        <w:tc>
          <w:tcPr>
            <w:tcW w:w="1470" w:type="dxa"/>
            <w:tcBorders>
              <w:tl2br w:val="nil"/>
              <w:tr2bl w:val="nil"/>
            </w:tcBorders>
            <w:shd w:val="clear" w:color="auto" w:fill="auto"/>
            <w:vAlign w:val="center"/>
          </w:tcPr>
          <w:p w14:paraId="4B603EBD">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0.089</w:t>
            </w:r>
          </w:p>
        </w:tc>
        <w:tc>
          <w:tcPr>
            <w:tcW w:w="865" w:type="pct"/>
            <w:tcBorders>
              <w:tl2br w:val="nil"/>
              <w:tr2bl w:val="nil"/>
            </w:tcBorders>
            <w:shd w:val="clear" w:color="auto" w:fill="auto"/>
            <w:vAlign w:val="center"/>
          </w:tcPr>
          <w:p w14:paraId="5F9D34A9">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0.616</w:t>
            </w:r>
          </w:p>
        </w:tc>
      </w:tr>
      <w:tr w14:paraId="24112E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415" w:type="pct"/>
            <w:tcBorders>
              <w:tl2br w:val="nil"/>
              <w:tr2bl w:val="nil"/>
            </w:tcBorders>
            <w:vAlign w:val="center"/>
          </w:tcPr>
          <w:p w14:paraId="2023AF64">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4</w:t>
            </w:r>
          </w:p>
        </w:tc>
        <w:tc>
          <w:tcPr>
            <w:tcW w:w="1179" w:type="pct"/>
            <w:tcBorders>
              <w:tl2br w:val="nil"/>
              <w:tr2bl w:val="nil"/>
            </w:tcBorders>
            <w:vAlign w:val="center"/>
          </w:tcPr>
          <w:p w14:paraId="5AF2DBED">
            <w:pPr>
              <w:pStyle w:val="83"/>
              <w:spacing w:line="240" w:lineRule="auto"/>
              <w:ind w:left="19" w:leftChars="9" w:right="19" w:rightChars="9" w:firstLine="0" w:firstLineChars="0"/>
              <w:rPr>
                <w:rFonts w:hint="default" w:ascii="Times New Roman" w:hAnsi="Times New Roman" w:cs="Times New Roman"/>
                <w:color w:val="auto"/>
                <w:lang w:val="en-US"/>
              </w:rPr>
            </w:pPr>
            <w:r>
              <w:rPr>
                <w:rFonts w:hint="eastAsia" w:ascii="Times New Roman" w:hAnsi="Times New Roman" w:cs="Times New Roman"/>
                <w:color w:val="auto"/>
                <w:lang w:val="en-US" w:eastAsia="zh-CN"/>
              </w:rPr>
              <w:t>配胶、喷胶及烘干</w:t>
            </w:r>
            <w:r>
              <w:rPr>
                <w:rFonts w:hint="default" w:ascii="Times New Roman" w:hAnsi="Times New Roman" w:cs="Times New Roman"/>
                <w:color w:val="auto"/>
                <w:lang w:val="en-US" w:eastAsia="zh-CN"/>
              </w:rPr>
              <w:t>废气、发泡废气</w:t>
            </w:r>
            <w:r>
              <w:rPr>
                <w:rFonts w:hint="eastAsia" w:ascii="Times New Roman" w:hAnsi="Times New Roman" w:cs="Times New Roman"/>
                <w:color w:val="auto"/>
                <w:lang w:val="en-US" w:eastAsia="zh-CN"/>
              </w:rPr>
              <w:t>排气筒DA004</w:t>
            </w:r>
          </w:p>
        </w:tc>
        <w:tc>
          <w:tcPr>
            <w:tcW w:w="858" w:type="pct"/>
            <w:tcBorders>
              <w:tl2br w:val="nil"/>
              <w:tr2bl w:val="nil"/>
            </w:tcBorders>
            <w:vAlign w:val="center"/>
          </w:tcPr>
          <w:p w14:paraId="02D96304">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非甲烷总烃</w:t>
            </w:r>
          </w:p>
        </w:tc>
        <w:tc>
          <w:tcPr>
            <w:tcW w:w="1397" w:type="dxa"/>
            <w:tcBorders>
              <w:tl2br w:val="nil"/>
              <w:tr2bl w:val="nil"/>
            </w:tcBorders>
            <w:vAlign w:val="center"/>
          </w:tcPr>
          <w:p w14:paraId="175B895E">
            <w:pPr>
              <w:pStyle w:val="37"/>
              <w:bidi w:val="0"/>
              <w:ind w:firstLine="0" w:firstLineChars="0"/>
              <w:rPr>
                <w:rFonts w:hint="default" w:ascii="Times New Roman" w:hAnsi="Times New Roman" w:cs="Times New Roman"/>
                <w:color w:val="auto"/>
              </w:rPr>
            </w:pPr>
            <w:r>
              <w:rPr>
                <w:rFonts w:hint="eastAsia" w:ascii="Times New Roman" w:hAnsi="Times New Roman" w:eastAsia="宋体" w:cs="Times New Roman"/>
                <w:color w:val="auto"/>
                <w:highlight w:val="none"/>
                <w:lang w:val="en-US" w:eastAsia="zh-CN"/>
              </w:rPr>
              <w:t>18</w:t>
            </w:r>
          </w:p>
        </w:tc>
        <w:tc>
          <w:tcPr>
            <w:tcW w:w="1470" w:type="dxa"/>
            <w:tcBorders>
              <w:tl2br w:val="nil"/>
              <w:tr2bl w:val="nil"/>
            </w:tcBorders>
            <w:vAlign w:val="center"/>
          </w:tcPr>
          <w:p w14:paraId="6664C98C">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0.088</w:t>
            </w:r>
          </w:p>
        </w:tc>
        <w:tc>
          <w:tcPr>
            <w:tcW w:w="865" w:type="pct"/>
            <w:tcBorders>
              <w:tl2br w:val="nil"/>
              <w:tr2bl w:val="nil"/>
            </w:tcBorders>
            <w:vAlign w:val="center"/>
          </w:tcPr>
          <w:p w14:paraId="3AA5895D">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0.612</w:t>
            </w:r>
          </w:p>
        </w:tc>
      </w:tr>
      <w:tr w14:paraId="519288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94" w:type="pct"/>
            <w:gridSpan w:val="2"/>
            <w:vMerge w:val="restart"/>
            <w:tcBorders>
              <w:tl2br w:val="nil"/>
              <w:tr2bl w:val="nil"/>
            </w:tcBorders>
            <w:vAlign w:val="center"/>
          </w:tcPr>
          <w:p w14:paraId="78735803">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有组织排放合计</w:t>
            </w:r>
          </w:p>
        </w:tc>
        <w:tc>
          <w:tcPr>
            <w:tcW w:w="2539" w:type="pct"/>
            <w:gridSpan w:val="3"/>
            <w:tcBorders>
              <w:tl2br w:val="nil"/>
              <w:tr2bl w:val="nil"/>
            </w:tcBorders>
            <w:vAlign w:val="center"/>
          </w:tcPr>
          <w:p w14:paraId="4B681B38">
            <w:pPr>
              <w:pStyle w:val="37"/>
              <w:bidi w:val="0"/>
              <w:ind w:firstLine="0" w:firstLineChars="0"/>
              <w:rPr>
                <w:rFonts w:hint="default" w:ascii="Times New Roman" w:hAnsi="Times New Roman" w:cs="Times New Roman"/>
                <w:color w:val="auto"/>
              </w:rPr>
            </w:pPr>
            <w:r>
              <w:rPr>
                <w:rFonts w:hint="default" w:ascii="Times New Roman" w:hAnsi="Times New Roman" w:cs="Times New Roman"/>
                <w:color w:val="auto"/>
                <w:highlight w:val="none"/>
                <w:lang w:val="en-US" w:eastAsia="zh-CN"/>
              </w:rPr>
              <w:t>非甲烷总烃</w:t>
            </w:r>
          </w:p>
        </w:tc>
        <w:tc>
          <w:tcPr>
            <w:tcW w:w="865" w:type="pct"/>
            <w:tcBorders>
              <w:tl2br w:val="nil"/>
              <w:tr2bl w:val="nil"/>
            </w:tcBorders>
            <w:vAlign w:val="center"/>
          </w:tcPr>
          <w:p w14:paraId="0EC63FC7">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15.842</w:t>
            </w:r>
          </w:p>
        </w:tc>
      </w:tr>
      <w:tr w14:paraId="021DF8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94" w:type="pct"/>
            <w:gridSpan w:val="2"/>
            <w:vMerge w:val="continue"/>
            <w:tcBorders>
              <w:tl2br w:val="nil"/>
              <w:tr2bl w:val="nil"/>
            </w:tcBorders>
            <w:vAlign w:val="center"/>
          </w:tcPr>
          <w:p w14:paraId="4D4822B6">
            <w:pPr>
              <w:pStyle w:val="83"/>
              <w:spacing w:line="240" w:lineRule="auto"/>
              <w:ind w:left="22" w:right="22"/>
              <w:rPr>
                <w:rFonts w:hint="default" w:ascii="Times New Roman" w:hAnsi="Times New Roman" w:cs="Times New Roman"/>
                <w:color w:val="auto"/>
              </w:rPr>
            </w:pPr>
          </w:p>
        </w:tc>
        <w:tc>
          <w:tcPr>
            <w:tcW w:w="2539" w:type="pct"/>
            <w:gridSpan w:val="3"/>
            <w:tcBorders>
              <w:tl2br w:val="nil"/>
              <w:tr2bl w:val="nil"/>
            </w:tcBorders>
            <w:vAlign w:val="center"/>
          </w:tcPr>
          <w:p w14:paraId="31A625C3">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丙烯腈</w:t>
            </w:r>
          </w:p>
        </w:tc>
        <w:tc>
          <w:tcPr>
            <w:tcW w:w="1475" w:type="dxa"/>
            <w:tcBorders>
              <w:tl2br w:val="nil"/>
              <w:tr2bl w:val="nil"/>
            </w:tcBorders>
            <w:vAlign w:val="center"/>
          </w:tcPr>
          <w:p w14:paraId="58975480">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0.001</w:t>
            </w:r>
          </w:p>
        </w:tc>
      </w:tr>
      <w:tr w14:paraId="108C9F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94" w:type="pct"/>
            <w:gridSpan w:val="2"/>
            <w:vMerge w:val="continue"/>
            <w:tcBorders>
              <w:tl2br w:val="nil"/>
              <w:tr2bl w:val="nil"/>
            </w:tcBorders>
            <w:vAlign w:val="center"/>
          </w:tcPr>
          <w:p w14:paraId="4D1C3235">
            <w:pPr>
              <w:pStyle w:val="83"/>
              <w:spacing w:line="240" w:lineRule="auto"/>
              <w:ind w:left="22" w:right="22"/>
              <w:rPr>
                <w:rFonts w:hint="default" w:ascii="Times New Roman" w:hAnsi="Times New Roman" w:cs="Times New Roman"/>
                <w:color w:val="auto"/>
              </w:rPr>
            </w:pPr>
          </w:p>
        </w:tc>
        <w:tc>
          <w:tcPr>
            <w:tcW w:w="2539" w:type="pct"/>
            <w:gridSpan w:val="3"/>
            <w:tcBorders>
              <w:tl2br w:val="nil"/>
              <w:tr2bl w:val="nil"/>
            </w:tcBorders>
            <w:vAlign w:val="center"/>
          </w:tcPr>
          <w:p w14:paraId="27190B52">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乙苯</w:t>
            </w:r>
          </w:p>
        </w:tc>
        <w:tc>
          <w:tcPr>
            <w:tcW w:w="1475" w:type="dxa"/>
            <w:tcBorders>
              <w:tl2br w:val="nil"/>
              <w:tr2bl w:val="nil"/>
            </w:tcBorders>
            <w:vAlign w:val="center"/>
          </w:tcPr>
          <w:p w14:paraId="4E51D913">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0.002</w:t>
            </w:r>
          </w:p>
        </w:tc>
      </w:tr>
      <w:tr w14:paraId="3AEF15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94" w:type="pct"/>
            <w:gridSpan w:val="2"/>
            <w:vMerge w:val="continue"/>
            <w:tcBorders>
              <w:tl2br w:val="nil"/>
              <w:tr2bl w:val="nil"/>
            </w:tcBorders>
            <w:vAlign w:val="center"/>
          </w:tcPr>
          <w:p w14:paraId="6D27BE73">
            <w:pPr>
              <w:pStyle w:val="83"/>
              <w:spacing w:line="240" w:lineRule="auto"/>
              <w:ind w:left="22" w:right="22"/>
              <w:rPr>
                <w:rFonts w:hint="default" w:ascii="Times New Roman" w:hAnsi="Times New Roman" w:cs="Times New Roman"/>
                <w:color w:val="auto"/>
              </w:rPr>
            </w:pPr>
          </w:p>
        </w:tc>
        <w:tc>
          <w:tcPr>
            <w:tcW w:w="2539" w:type="pct"/>
            <w:gridSpan w:val="3"/>
            <w:tcBorders>
              <w:tl2br w:val="nil"/>
              <w:tr2bl w:val="nil"/>
            </w:tcBorders>
            <w:vAlign w:val="center"/>
          </w:tcPr>
          <w:p w14:paraId="2A49103C">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甲苯</w:t>
            </w:r>
          </w:p>
        </w:tc>
        <w:tc>
          <w:tcPr>
            <w:tcW w:w="1475" w:type="dxa"/>
            <w:tcBorders>
              <w:tl2br w:val="nil"/>
              <w:tr2bl w:val="nil"/>
            </w:tcBorders>
            <w:vAlign w:val="center"/>
          </w:tcPr>
          <w:p w14:paraId="18BCCEC6">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0.004</w:t>
            </w:r>
          </w:p>
        </w:tc>
      </w:tr>
      <w:tr w14:paraId="1156E4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94" w:type="pct"/>
            <w:gridSpan w:val="2"/>
            <w:vMerge w:val="continue"/>
            <w:tcBorders>
              <w:tl2br w:val="nil"/>
              <w:tr2bl w:val="nil"/>
            </w:tcBorders>
            <w:vAlign w:val="center"/>
          </w:tcPr>
          <w:p w14:paraId="1C6E2485">
            <w:pPr>
              <w:pStyle w:val="83"/>
              <w:spacing w:line="240" w:lineRule="auto"/>
              <w:ind w:left="22" w:right="22"/>
              <w:rPr>
                <w:rFonts w:hint="default" w:ascii="Times New Roman" w:hAnsi="Times New Roman" w:cs="Times New Roman"/>
                <w:color w:val="auto"/>
              </w:rPr>
            </w:pPr>
          </w:p>
        </w:tc>
        <w:tc>
          <w:tcPr>
            <w:tcW w:w="2539" w:type="pct"/>
            <w:gridSpan w:val="3"/>
            <w:tcBorders>
              <w:tl2br w:val="nil"/>
              <w:tr2bl w:val="nil"/>
            </w:tcBorders>
            <w:vAlign w:val="center"/>
          </w:tcPr>
          <w:p w14:paraId="0ADEDA06">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1,3-丁二烯</w:t>
            </w:r>
          </w:p>
        </w:tc>
        <w:tc>
          <w:tcPr>
            <w:tcW w:w="1475" w:type="dxa"/>
            <w:tcBorders>
              <w:tl2br w:val="nil"/>
              <w:tr2bl w:val="nil"/>
            </w:tcBorders>
            <w:vAlign w:val="center"/>
          </w:tcPr>
          <w:p w14:paraId="489035B7">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0.0005</w:t>
            </w:r>
          </w:p>
        </w:tc>
      </w:tr>
      <w:tr w14:paraId="574183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94" w:type="pct"/>
            <w:gridSpan w:val="2"/>
            <w:vMerge w:val="continue"/>
            <w:tcBorders>
              <w:tl2br w:val="nil"/>
              <w:tr2bl w:val="nil"/>
            </w:tcBorders>
            <w:vAlign w:val="center"/>
          </w:tcPr>
          <w:p w14:paraId="14706FCC">
            <w:pPr>
              <w:pStyle w:val="83"/>
              <w:spacing w:line="240" w:lineRule="auto"/>
              <w:ind w:left="22" w:right="22"/>
              <w:rPr>
                <w:rFonts w:hint="default" w:ascii="Times New Roman" w:hAnsi="Times New Roman" w:cs="Times New Roman"/>
                <w:color w:val="auto"/>
              </w:rPr>
            </w:pPr>
          </w:p>
        </w:tc>
        <w:tc>
          <w:tcPr>
            <w:tcW w:w="2539" w:type="pct"/>
            <w:gridSpan w:val="3"/>
            <w:tcBorders>
              <w:tl2br w:val="nil"/>
              <w:tr2bl w:val="nil"/>
            </w:tcBorders>
            <w:vAlign w:val="center"/>
          </w:tcPr>
          <w:p w14:paraId="5D28A77C">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酚类</w:t>
            </w:r>
          </w:p>
        </w:tc>
        <w:tc>
          <w:tcPr>
            <w:tcW w:w="1475" w:type="dxa"/>
            <w:tcBorders>
              <w:tl2br w:val="nil"/>
              <w:tr2bl w:val="nil"/>
            </w:tcBorders>
            <w:vAlign w:val="center"/>
          </w:tcPr>
          <w:p w14:paraId="63FE79BC">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0.007</w:t>
            </w:r>
          </w:p>
        </w:tc>
      </w:tr>
      <w:tr w14:paraId="0AC163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94" w:type="pct"/>
            <w:gridSpan w:val="2"/>
            <w:vMerge w:val="continue"/>
            <w:tcBorders>
              <w:tl2br w:val="nil"/>
              <w:tr2bl w:val="nil"/>
            </w:tcBorders>
            <w:vAlign w:val="center"/>
          </w:tcPr>
          <w:p w14:paraId="1ED30650">
            <w:pPr>
              <w:pStyle w:val="83"/>
              <w:spacing w:line="240" w:lineRule="auto"/>
              <w:ind w:left="22" w:right="22"/>
              <w:rPr>
                <w:rFonts w:hint="default" w:ascii="Times New Roman" w:hAnsi="Times New Roman" w:cs="Times New Roman"/>
                <w:color w:val="auto"/>
              </w:rPr>
            </w:pPr>
          </w:p>
        </w:tc>
        <w:tc>
          <w:tcPr>
            <w:tcW w:w="2539" w:type="pct"/>
            <w:gridSpan w:val="3"/>
            <w:tcBorders>
              <w:tl2br w:val="nil"/>
              <w:tr2bl w:val="nil"/>
            </w:tcBorders>
            <w:vAlign w:val="center"/>
          </w:tcPr>
          <w:p w14:paraId="14A505AF">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氯苯类</w:t>
            </w:r>
          </w:p>
        </w:tc>
        <w:tc>
          <w:tcPr>
            <w:tcW w:w="1475" w:type="dxa"/>
            <w:tcBorders>
              <w:tl2br w:val="nil"/>
              <w:tr2bl w:val="nil"/>
            </w:tcBorders>
            <w:vAlign w:val="center"/>
          </w:tcPr>
          <w:p w14:paraId="41A854E9">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0.005</w:t>
            </w:r>
          </w:p>
        </w:tc>
      </w:tr>
      <w:tr w14:paraId="4E1858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94" w:type="pct"/>
            <w:gridSpan w:val="2"/>
            <w:vMerge w:val="continue"/>
            <w:tcBorders>
              <w:tl2br w:val="nil"/>
              <w:tr2bl w:val="nil"/>
            </w:tcBorders>
            <w:vAlign w:val="center"/>
          </w:tcPr>
          <w:p w14:paraId="09D7EE93">
            <w:pPr>
              <w:pStyle w:val="83"/>
              <w:spacing w:line="240" w:lineRule="auto"/>
              <w:ind w:left="22" w:right="22"/>
              <w:rPr>
                <w:rFonts w:hint="default" w:ascii="Times New Roman" w:hAnsi="Times New Roman" w:cs="Times New Roman"/>
                <w:color w:val="auto"/>
              </w:rPr>
            </w:pPr>
          </w:p>
        </w:tc>
        <w:tc>
          <w:tcPr>
            <w:tcW w:w="2539" w:type="pct"/>
            <w:gridSpan w:val="3"/>
            <w:tcBorders>
              <w:tl2br w:val="nil"/>
              <w:tr2bl w:val="nil"/>
            </w:tcBorders>
            <w:vAlign w:val="center"/>
          </w:tcPr>
          <w:p w14:paraId="58057275">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二氯甲烷</w:t>
            </w:r>
          </w:p>
        </w:tc>
        <w:tc>
          <w:tcPr>
            <w:tcW w:w="1475" w:type="dxa"/>
            <w:tcBorders>
              <w:tl2br w:val="nil"/>
              <w:tr2bl w:val="nil"/>
            </w:tcBorders>
            <w:vAlign w:val="center"/>
          </w:tcPr>
          <w:p w14:paraId="18E702BF">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0.05</w:t>
            </w:r>
          </w:p>
        </w:tc>
      </w:tr>
      <w:tr w14:paraId="44CD8E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94" w:type="pct"/>
            <w:gridSpan w:val="2"/>
            <w:vMerge w:val="continue"/>
            <w:tcBorders>
              <w:tl2br w:val="nil"/>
              <w:tr2bl w:val="nil"/>
            </w:tcBorders>
            <w:vAlign w:val="center"/>
          </w:tcPr>
          <w:p w14:paraId="3BD9F387">
            <w:pPr>
              <w:pStyle w:val="83"/>
              <w:spacing w:line="240" w:lineRule="auto"/>
              <w:ind w:left="22" w:right="22"/>
              <w:rPr>
                <w:rFonts w:hint="default" w:ascii="Times New Roman" w:hAnsi="Times New Roman" w:cs="Times New Roman"/>
                <w:color w:val="auto"/>
              </w:rPr>
            </w:pPr>
          </w:p>
        </w:tc>
        <w:tc>
          <w:tcPr>
            <w:tcW w:w="2539" w:type="pct"/>
            <w:gridSpan w:val="3"/>
            <w:tcBorders>
              <w:tl2br w:val="nil"/>
              <w:tr2bl w:val="nil"/>
            </w:tcBorders>
            <w:vAlign w:val="center"/>
          </w:tcPr>
          <w:p w14:paraId="24E8BC2F">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苯乙烯</w:t>
            </w:r>
          </w:p>
        </w:tc>
        <w:tc>
          <w:tcPr>
            <w:tcW w:w="1475" w:type="dxa"/>
            <w:tcBorders>
              <w:tl2br w:val="nil"/>
              <w:tr2bl w:val="nil"/>
            </w:tcBorders>
            <w:vAlign w:val="center"/>
          </w:tcPr>
          <w:p w14:paraId="21BA7D80">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0.046</w:t>
            </w:r>
          </w:p>
        </w:tc>
      </w:tr>
      <w:tr w14:paraId="3741D31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94" w:type="pct"/>
            <w:gridSpan w:val="2"/>
            <w:vMerge w:val="continue"/>
            <w:tcBorders>
              <w:tl2br w:val="nil"/>
              <w:tr2bl w:val="nil"/>
            </w:tcBorders>
            <w:vAlign w:val="center"/>
          </w:tcPr>
          <w:p w14:paraId="21CD8DDF">
            <w:pPr>
              <w:pStyle w:val="83"/>
              <w:spacing w:line="240" w:lineRule="auto"/>
              <w:ind w:left="22" w:right="22"/>
              <w:rPr>
                <w:rFonts w:hint="default" w:ascii="Times New Roman" w:hAnsi="Times New Roman" w:cs="Times New Roman"/>
                <w:color w:val="auto"/>
              </w:rPr>
            </w:pPr>
          </w:p>
        </w:tc>
        <w:tc>
          <w:tcPr>
            <w:tcW w:w="2539" w:type="pct"/>
            <w:gridSpan w:val="3"/>
            <w:tcBorders>
              <w:tl2br w:val="nil"/>
              <w:tr2bl w:val="nil"/>
            </w:tcBorders>
            <w:vAlign w:val="center"/>
          </w:tcPr>
          <w:p w14:paraId="3F8AECDF">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颗粒物</w:t>
            </w:r>
          </w:p>
        </w:tc>
        <w:tc>
          <w:tcPr>
            <w:tcW w:w="865" w:type="pct"/>
            <w:tcBorders>
              <w:tl2br w:val="nil"/>
              <w:tr2bl w:val="nil"/>
            </w:tcBorders>
            <w:vAlign w:val="center"/>
          </w:tcPr>
          <w:p w14:paraId="2C2FAC8C">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14.5</w:t>
            </w:r>
          </w:p>
        </w:tc>
      </w:tr>
      <w:tr w14:paraId="27E385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94" w:type="pct"/>
            <w:gridSpan w:val="2"/>
            <w:vMerge w:val="continue"/>
            <w:tcBorders>
              <w:tl2br w:val="nil"/>
              <w:tr2bl w:val="nil"/>
            </w:tcBorders>
            <w:vAlign w:val="center"/>
          </w:tcPr>
          <w:p w14:paraId="4CB350FF">
            <w:pPr>
              <w:pStyle w:val="83"/>
              <w:spacing w:line="240" w:lineRule="auto"/>
              <w:ind w:left="22" w:right="22"/>
              <w:rPr>
                <w:rFonts w:hint="default" w:ascii="Times New Roman" w:hAnsi="Times New Roman" w:cs="Times New Roman"/>
                <w:color w:val="auto"/>
              </w:rPr>
            </w:pPr>
          </w:p>
        </w:tc>
        <w:tc>
          <w:tcPr>
            <w:tcW w:w="2539" w:type="pct"/>
            <w:gridSpan w:val="3"/>
            <w:tcBorders>
              <w:tl2br w:val="nil"/>
              <w:tr2bl w:val="nil"/>
            </w:tcBorders>
            <w:vAlign w:val="center"/>
          </w:tcPr>
          <w:p w14:paraId="1FDA9270">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烟尘</w:t>
            </w:r>
          </w:p>
        </w:tc>
        <w:tc>
          <w:tcPr>
            <w:tcW w:w="1475" w:type="dxa"/>
            <w:tcBorders>
              <w:tl2br w:val="nil"/>
              <w:tr2bl w:val="nil"/>
            </w:tcBorders>
            <w:vAlign w:val="center"/>
          </w:tcPr>
          <w:p w14:paraId="3D551DBE">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0.061</w:t>
            </w:r>
          </w:p>
        </w:tc>
      </w:tr>
      <w:tr w14:paraId="4C3DB5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94" w:type="pct"/>
            <w:gridSpan w:val="2"/>
            <w:vMerge w:val="continue"/>
            <w:tcBorders>
              <w:tl2br w:val="nil"/>
              <w:tr2bl w:val="nil"/>
            </w:tcBorders>
            <w:vAlign w:val="center"/>
          </w:tcPr>
          <w:p w14:paraId="3DB7573A">
            <w:pPr>
              <w:pStyle w:val="83"/>
              <w:spacing w:line="240" w:lineRule="auto"/>
              <w:ind w:left="22" w:right="22"/>
              <w:rPr>
                <w:rFonts w:hint="default" w:ascii="Times New Roman" w:hAnsi="Times New Roman" w:cs="Times New Roman"/>
                <w:color w:val="auto"/>
              </w:rPr>
            </w:pPr>
          </w:p>
        </w:tc>
        <w:tc>
          <w:tcPr>
            <w:tcW w:w="2539" w:type="pct"/>
            <w:gridSpan w:val="3"/>
            <w:tcBorders>
              <w:tl2br w:val="nil"/>
              <w:tr2bl w:val="nil"/>
            </w:tcBorders>
            <w:vAlign w:val="center"/>
          </w:tcPr>
          <w:p w14:paraId="7D56DEF8">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二氧化硫</w:t>
            </w:r>
          </w:p>
        </w:tc>
        <w:tc>
          <w:tcPr>
            <w:tcW w:w="1475" w:type="dxa"/>
            <w:tcBorders>
              <w:tl2br w:val="nil"/>
              <w:tr2bl w:val="nil"/>
            </w:tcBorders>
            <w:vAlign w:val="center"/>
          </w:tcPr>
          <w:p w14:paraId="0387E0F5">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0.003</w:t>
            </w:r>
          </w:p>
        </w:tc>
      </w:tr>
      <w:tr w14:paraId="018C43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94" w:type="pct"/>
            <w:gridSpan w:val="2"/>
            <w:vMerge w:val="continue"/>
            <w:tcBorders>
              <w:tl2br w:val="nil"/>
              <w:tr2bl w:val="nil"/>
            </w:tcBorders>
            <w:vAlign w:val="center"/>
          </w:tcPr>
          <w:p w14:paraId="25A2EDFC">
            <w:pPr>
              <w:pStyle w:val="83"/>
              <w:spacing w:line="240" w:lineRule="auto"/>
              <w:ind w:left="22" w:right="22"/>
              <w:rPr>
                <w:rFonts w:hint="default" w:ascii="Times New Roman" w:hAnsi="Times New Roman" w:cs="Times New Roman"/>
                <w:color w:val="auto"/>
              </w:rPr>
            </w:pPr>
          </w:p>
        </w:tc>
        <w:tc>
          <w:tcPr>
            <w:tcW w:w="2539" w:type="pct"/>
            <w:gridSpan w:val="3"/>
            <w:tcBorders>
              <w:tl2br w:val="nil"/>
              <w:tr2bl w:val="nil"/>
            </w:tcBorders>
            <w:vAlign w:val="center"/>
          </w:tcPr>
          <w:p w14:paraId="62B92B3D">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氮氧化物</w:t>
            </w:r>
          </w:p>
        </w:tc>
        <w:tc>
          <w:tcPr>
            <w:tcW w:w="1475" w:type="dxa"/>
            <w:tcBorders>
              <w:tl2br w:val="nil"/>
              <w:tr2bl w:val="nil"/>
            </w:tcBorders>
            <w:vAlign w:val="center"/>
          </w:tcPr>
          <w:p w14:paraId="30621EC9">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0.616</w:t>
            </w:r>
          </w:p>
        </w:tc>
      </w:tr>
    </w:tbl>
    <w:p w14:paraId="5D679CA3">
      <w:pPr>
        <w:bidi w:val="0"/>
        <w:rPr>
          <w:rFonts w:hint="default"/>
        </w:rPr>
      </w:pPr>
    </w:p>
    <w:p w14:paraId="598DC286">
      <w:pPr>
        <w:pStyle w:val="10"/>
        <w:rPr>
          <w:rFonts w:hint="default"/>
        </w:rPr>
      </w:pPr>
    </w:p>
    <w:p w14:paraId="33055226">
      <w:pPr>
        <w:pStyle w:val="28"/>
        <w:rPr>
          <w:rFonts w:hint="default"/>
        </w:rPr>
      </w:pPr>
    </w:p>
    <w:p w14:paraId="319AFC43">
      <w:pPr>
        <w:pStyle w:val="44"/>
        <w:tabs>
          <w:tab w:val="left" w:pos="567"/>
          <w:tab w:val="clear" w:pos="1120"/>
        </w:tabs>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eastAsia" w:ascii="Times New Roman" w:hAnsi="Times New Roman" w:cs="Times New Roman"/>
          <w:color w:val="auto"/>
          <w:lang w:val="en-US" w:eastAsia="zh-CN"/>
        </w:rPr>
        <w:t>5.2</w:t>
      </w:r>
      <w:r>
        <w:rPr>
          <w:rFonts w:hint="default" w:ascii="Times New Roman" w:hAnsi="Times New Roman" w:cs="Times New Roman"/>
          <w:color w:val="auto"/>
          <w:lang w:eastAsia="zh-CN"/>
        </w:rPr>
        <w:t>-</w:t>
      </w:r>
      <w:r>
        <w:rPr>
          <w:rFonts w:hint="eastAsia" w:cs="Times New Roman"/>
          <w:color w:val="auto"/>
          <w:lang w:val="en-US" w:eastAsia="zh-CN"/>
        </w:rPr>
        <w:t>6</w:t>
      </w:r>
      <w:r>
        <w:rPr>
          <w:rFonts w:hint="default" w:ascii="Times New Roman" w:hAnsi="Times New Roman" w:eastAsia="宋体" w:cs="Times New Roman"/>
          <w:color w:val="auto"/>
          <w:highlight w:val="none"/>
          <w:lang w:val="en-US"/>
        </w:rPr>
        <w:t xml:space="preserve"> </w:t>
      </w:r>
      <w:r>
        <w:rPr>
          <w:rFonts w:hint="default" w:ascii="Times New Roman" w:hAnsi="Times New Roman" w:eastAsia="宋体" w:cs="Times New Roman"/>
          <w:color w:val="auto"/>
          <w:highlight w:val="none"/>
        </w:rPr>
        <w:t>大气污染物无组织排放量核算表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96"/>
        <w:gridCol w:w="1197"/>
        <w:gridCol w:w="1408"/>
        <w:gridCol w:w="900"/>
        <w:gridCol w:w="1938"/>
        <w:gridCol w:w="1354"/>
        <w:gridCol w:w="1035"/>
      </w:tblGrid>
      <w:tr w14:paraId="53A99CD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08" w:type="pct"/>
            <w:tcBorders>
              <w:tl2br w:val="nil"/>
              <w:tr2bl w:val="nil"/>
            </w:tcBorders>
            <w:vAlign w:val="center"/>
          </w:tcPr>
          <w:p w14:paraId="1E565FFB">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序号</w:t>
            </w:r>
          </w:p>
        </w:tc>
        <w:tc>
          <w:tcPr>
            <w:tcW w:w="701" w:type="pct"/>
            <w:tcBorders>
              <w:tl2br w:val="nil"/>
              <w:tr2bl w:val="nil"/>
            </w:tcBorders>
            <w:vAlign w:val="center"/>
          </w:tcPr>
          <w:p w14:paraId="02826820">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产污环节</w:t>
            </w:r>
          </w:p>
        </w:tc>
        <w:tc>
          <w:tcPr>
            <w:tcW w:w="825" w:type="pct"/>
            <w:tcBorders>
              <w:tl2br w:val="nil"/>
              <w:tr2bl w:val="nil"/>
            </w:tcBorders>
            <w:vAlign w:val="center"/>
          </w:tcPr>
          <w:p w14:paraId="578A4ABD">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污染物</w:t>
            </w:r>
          </w:p>
        </w:tc>
        <w:tc>
          <w:tcPr>
            <w:tcW w:w="527" w:type="pct"/>
            <w:tcBorders>
              <w:tl2br w:val="nil"/>
              <w:tr2bl w:val="nil"/>
            </w:tcBorders>
            <w:vAlign w:val="center"/>
          </w:tcPr>
          <w:p w14:paraId="0505A284">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防治措施</w:t>
            </w:r>
          </w:p>
        </w:tc>
        <w:tc>
          <w:tcPr>
            <w:tcW w:w="1136" w:type="pct"/>
            <w:tcBorders>
              <w:tl2br w:val="nil"/>
              <w:tr2bl w:val="nil"/>
            </w:tcBorders>
            <w:vAlign w:val="center"/>
          </w:tcPr>
          <w:p w14:paraId="0694B451">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标准名称</w:t>
            </w:r>
          </w:p>
        </w:tc>
        <w:tc>
          <w:tcPr>
            <w:tcW w:w="793" w:type="pct"/>
            <w:tcBorders>
              <w:tl2br w:val="nil"/>
              <w:tr2bl w:val="nil"/>
            </w:tcBorders>
            <w:vAlign w:val="center"/>
          </w:tcPr>
          <w:p w14:paraId="65EFAD02">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浓度限值mg/m</w:t>
            </w:r>
            <w:r>
              <w:rPr>
                <w:rFonts w:hint="default" w:ascii="Times New Roman" w:hAnsi="Times New Roman" w:cs="Times New Roman"/>
                <w:color w:val="auto"/>
                <w:vertAlign w:val="superscript"/>
              </w:rPr>
              <w:t>3</w:t>
            </w:r>
          </w:p>
        </w:tc>
        <w:tc>
          <w:tcPr>
            <w:tcW w:w="606" w:type="pct"/>
            <w:tcBorders>
              <w:tl2br w:val="nil"/>
              <w:tr2bl w:val="nil"/>
            </w:tcBorders>
            <w:vAlign w:val="center"/>
          </w:tcPr>
          <w:p w14:paraId="4FB7D4A4">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排放量t/a</w:t>
            </w:r>
          </w:p>
        </w:tc>
      </w:tr>
      <w:tr w14:paraId="32FE39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408" w:type="pct"/>
            <w:vMerge w:val="restart"/>
            <w:tcBorders>
              <w:tl2br w:val="nil"/>
              <w:tr2bl w:val="nil"/>
            </w:tcBorders>
            <w:vAlign w:val="center"/>
          </w:tcPr>
          <w:p w14:paraId="0217B9A4">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1</w:t>
            </w:r>
          </w:p>
        </w:tc>
        <w:tc>
          <w:tcPr>
            <w:tcW w:w="701" w:type="pct"/>
            <w:vMerge w:val="restart"/>
            <w:tcBorders>
              <w:tl2br w:val="nil"/>
              <w:tr2bl w:val="nil"/>
            </w:tcBorders>
            <w:vAlign w:val="center"/>
          </w:tcPr>
          <w:p w14:paraId="4991E75B">
            <w:pPr>
              <w:pStyle w:val="83"/>
              <w:spacing w:line="240" w:lineRule="auto"/>
              <w:ind w:left="22" w:right="22"/>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val="en-US" w:eastAsia="zh-CN"/>
              </w:rPr>
              <w:t>注塑</w:t>
            </w:r>
          </w:p>
        </w:tc>
        <w:tc>
          <w:tcPr>
            <w:tcW w:w="825" w:type="pct"/>
            <w:tcBorders>
              <w:tl2br w:val="nil"/>
              <w:tr2bl w:val="nil"/>
            </w:tcBorders>
            <w:vAlign w:val="center"/>
          </w:tcPr>
          <w:p w14:paraId="24ACE1D3">
            <w:pPr>
              <w:pStyle w:val="37"/>
              <w:bidi w:val="0"/>
              <w:ind w:firstLine="0" w:firstLineChars="0"/>
              <w:rPr>
                <w:rFonts w:hint="default" w:ascii="Times New Roman" w:hAnsi="Times New Roman" w:cs="Times New Roman"/>
                <w:color w:val="auto"/>
              </w:rPr>
            </w:pPr>
            <w:r>
              <w:rPr>
                <w:rFonts w:hint="default" w:ascii="Times New Roman" w:hAnsi="Times New Roman" w:cs="Times New Roman"/>
                <w:color w:val="auto"/>
                <w:highlight w:val="none"/>
                <w:lang w:val="en-US" w:eastAsia="zh-CN"/>
              </w:rPr>
              <w:t>非甲烷总烃</w:t>
            </w:r>
          </w:p>
        </w:tc>
        <w:tc>
          <w:tcPr>
            <w:tcW w:w="527" w:type="pct"/>
            <w:vMerge w:val="restart"/>
            <w:tcBorders>
              <w:tl2br w:val="nil"/>
              <w:tr2bl w:val="nil"/>
            </w:tcBorders>
            <w:vAlign w:val="center"/>
          </w:tcPr>
          <w:p w14:paraId="72152B49">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车间密闭，集气罩</w:t>
            </w:r>
            <w:r>
              <w:rPr>
                <w:rFonts w:hint="default" w:ascii="Times New Roman" w:hAnsi="Times New Roman" w:cs="Times New Roman"/>
                <w:color w:val="auto"/>
              </w:rPr>
              <w:t>收集</w:t>
            </w:r>
          </w:p>
        </w:tc>
        <w:tc>
          <w:tcPr>
            <w:tcW w:w="1136" w:type="pct"/>
            <w:tcBorders>
              <w:bottom w:val="single" w:color="000000" w:sz="4" w:space="0"/>
              <w:tl2br w:val="nil"/>
              <w:tr2bl w:val="nil"/>
            </w:tcBorders>
            <w:vAlign w:val="center"/>
          </w:tcPr>
          <w:p w14:paraId="554BC53E">
            <w:pPr>
              <w:pStyle w:val="83"/>
              <w:spacing w:line="240" w:lineRule="auto"/>
              <w:ind w:left="22" w:right="22"/>
              <w:rPr>
                <w:rFonts w:hint="default" w:ascii="Times New Roman" w:hAnsi="Times New Roman" w:cs="Times New Roman"/>
                <w:color w:val="auto"/>
                <w:highlight w:val="green"/>
              </w:rPr>
            </w:pPr>
            <w:r>
              <w:rPr>
                <w:rFonts w:hint="eastAsia"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合成树脂工业污染物排放标准》（GB31572-2015）</w:t>
            </w:r>
            <w:r>
              <w:rPr>
                <w:rFonts w:hint="default" w:ascii="Times New Roman" w:hAnsi="Times New Roman" w:eastAsia="宋体" w:cs="Times New Roman"/>
                <w:color w:val="auto"/>
                <w:sz w:val="21"/>
                <w:szCs w:val="21"/>
                <w:highlight w:val="none"/>
                <w:lang w:val="en-US" w:eastAsia="zh-CN"/>
              </w:rPr>
              <w:t>表9企业边界大气污染物浓度限值</w:t>
            </w:r>
          </w:p>
        </w:tc>
        <w:tc>
          <w:tcPr>
            <w:tcW w:w="793" w:type="pct"/>
            <w:tcBorders>
              <w:bottom w:val="single" w:color="000000" w:sz="4" w:space="0"/>
              <w:tl2br w:val="nil"/>
              <w:tr2bl w:val="nil"/>
            </w:tcBorders>
            <w:vAlign w:val="center"/>
          </w:tcPr>
          <w:p w14:paraId="5C0141FB">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4.0</w:t>
            </w:r>
          </w:p>
        </w:tc>
        <w:tc>
          <w:tcPr>
            <w:tcW w:w="606" w:type="pct"/>
            <w:tcBorders>
              <w:tl2br w:val="nil"/>
              <w:tr2bl w:val="nil"/>
            </w:tcBorders>
            <w:vAlign w:val="center"/>
          </w:tcPr>
          <w:p w14:paraId="088F6E81">
            <w:pPr>
              <w:pStyle w:val="83"/>
              <w:spacing w:line="240" w:lineRule="auto"/>
              <w:ind w:left="22" w:right="22"/>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auto"/>
                <w:lang w:val="en-US" w:eastAsia="zh-CN"/>
              </w:rPr>
              <w:t>0.48</w:t>
            </w:r>
          </w:p>
        </w:tc>
      </w:tr>
      <w:tr w14:paraId="41C72E1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408" w:type="pct"/>
            <w:vMerge w:val="continue"/>
            <w:tcBorders>
              <w:tl2br w:val="nil"/>
              <w:tr2bl w:val="nil"/>
            </w:tcBorders>
            <w:vAlign w:val="center"/>
          </w:tcPr>
          <w:p w14:paraId="1FC7364D">
            <w:pPr>
              <w:pStyle w:val="83"/>
              <w:spacing w:line="240" w:lineRule="auto"/>
              <w:ind w:left="22" w:right="22"/>
              <w:rPr>
                <w:rFonts w:hint="default" w:ascii="Times New Roman" w:hAnsi="Times New Roman" w:cs="Times New Roman"/>
                <w:color w:val="auto"/>
              </w:rPr>
            </w:pPr>
          </w:p>
        </w:tc>
        <w:tc>
          <w:tcPr>
            <w:tcW w:w="701" w:type="pct"/>
            <w:vMerge w:val="continue"/>
            <w:tcBorders>
              <w:tl2br w:val="nil"/>
              <w:tr2bl w:val="nil"/>
            </w:tcBorders>
            <w:vAlign w:val="center"/>
          </w:tcPr>
          <w:p w14:paraId="3C6952FF">
            <w:pPr>
              <w:pStyle w:val="83"/>
              <w:spacing w:line="240" w:lineRule="auto"/>
              <w:ind w:left="22" w:right="22"/>
              <w:rPr>
                <w:rFonts w:hint="eastAsia" w:ascii="Times New Roman" w:hAnsi="Times New Roman" w:eastAsia="宋体" w:cs="Times New Roman"/>
                <w:color w:val="auto"/>
                <w:lang w:val="en-US" w:eastAsia="zh-CN"/>
              </w:rPr>
            </w:pPr>
          </w:p>
        </w:tc>
        <w:tc>
          <w:tcPr>
            <w:tcW w:w="825" w:type="pct"/>
            <w:tcBorders>
              <w:tl2br w:val="nil"/>
              <w:tr2bl w:val="nil"/>
            </w:tcBorders>
            <w:vAlign w:val="center"/>
          </w:tcPr>
          <w:p w14:paraId="09DF73DE">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丙烯腈</w:t>
            </w:r>
          </w:p>
        </w:tc>
        <w:tc>
          <w:tcPr>
            <w:tcW w:w="527" w:type="pct"/>
            <w:vMerge w:val="continue"/>
            <w:tcBorders>
              <w:tl2br w:val="nil"/>
              <w:tr2bl w:val="nil"/>
            </w:tcBorders>
            <w:vAlign w:val="center"/>
          </w:tcPr>
          <w:p w14:paraId="60D9A15C">
            <w:pPr>
              <w:pStyle w:val="83"/>
              <w:spacing w:line="240" w:lineRule="auto"/>
              <w:ind w:left="22" w:right="22"/>
              <w:rPr>
                <w:rFonts w:hint="default" w:ascii="Times New Roman" w:hAnsi="Times New Roman" w:cs="Times New Roman"/>
                <w:color w:val="auto"/>
              </w:rPr>
            </w:pPr>
          </w:p>
        </w:tc>
        <w:tc>
          <w:tcPr>
            <w:tcW w:w="1136" w:type="pct"/>
            <w:tcBorders>
              <w:top w:val="single" w:color="000000" w:sz="4" w:space="0"/>
              <w:bottom w:val="single" w:color="000000" w:sz="4" w:space="0"/>
              <w:tl2br w:val="nil"/>
              <w:tr2bl w:val="nil"/>
            </w:tcBorders>
            <w:vAlign w:val="center"/>
          </w:tcPr>
          <w:p w14:paraId="271C04F4">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《大气污染物综合排放标准》（GB16297-1996）表2无组织排放监控浓度限值</w:t>
            </w:r>
          </w:p>
        </w:tc>
        <w:tc>
          <w:tcPr>
            <w:tcW w:w="793" w:type="pct"/>
            <w:tcBorders>
              <w:top w:val="single" w:color="000000" w:sz="4" w:space="0"/>
              <w:bottom w:val="single" w:color="000000" w:sz="4" w:space="0"/>
              <w:tl2br w:val="nil"/>
              <w:tr2bl w:val="nil"/>
            </w:tcBorders>
            <w:vAlign w:val="center"/>
          </w:tcPr>
          <w:p w14:paraId="34969DEE">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0.6</w:t>
            </w:r>
          </w:p>
        </w:tc>
        <w:tc>
          <w:tcPr>
            <w:tcW w:w="606" w:type="pct"/>
            <w:tcBorders>
              <w:tl2br w:val="nil"/>
              <w:tr2bl w:val="nil"/>
            </w:tcBorders>
            <w:vAlign w:val="center"/>
          </w:tcPr>
          <w:p w14:paraId="505A7B34">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0.002</w:t>
            </w:r>
          </w:p>
        </w:tc>
      </w:tr>
      <w:tr w14:paraId="66EC59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408" w:type="pct"/>
            <w:vMerge w:val="continue"/>
            <w:tcBorders>
              <w:tl2br w:val="nil"/>
              <w:tr2bl w:val="nil"/>
            </w:tcBorders>
            <w:vAlign w:val="center"/>
          </w:tcPr>
          <w:p w14:paraId="38C7CA1F">
            <w:pPr>
              <w:pStyle w:val="83"/>
              <w:spacing w:line="240" w:lineRule="auto"/>
              <w:ind w:left="22" w:right="22"/>
              <w:rPr>
                <w:rFonts w:hint="default" w:ascii="Times New Roman" w:hAnsi="Times New Roman" w:cs="Times New Roman"/>
                <w:color w:val="auto"/>
              </w:rPr>
            </w:pPr>
          </w:p>
        </w:tc>
        <w:tc>
          <w:tcPr>
            <w:tcW w:w="701" w:type="pct"/>
            <w:vMerge w:val="continue"/>
            <w:tcBorders>
              <w:tl2br w:val="nil"/>
              <w:tr2bl w:val="nil"/>
            </w:tcBorders>
            <w:vAlign w:val="center"/>
          </w:tcPr>
          <w:p w14:paraId="033AA5C1">
            <w:pPr>
              <w:pStyle w:val="83"/>
              <w:spacing w:line="240" w:lineRule="auto"/>
              <w:ind w:left="22" w:right="22"/>
              <w:rPr>
                <w:rFonts w:hint="eastAsia" w:ascii="Times New Roman" w:hAnsi="Times New Roman" w:eastAsia="宋体" w:cs="Times New Roman"/>
                <w:color w:val="auto"/>
                <w:lang w:val="en-US" w:eastAsia="zh-CN"/>
              </w:rPr>
            </w:pPr>
          </w:p>
        </w:tc>
        <w:tc>
          <w:tcPr>
            <w:tcW w:w="825" w:type="pct"/>
            <w:tcBorders>
              <w:tl2br w:val="nil"/>
              <w:tr2bl w:val="nil"/>
            </w:tcBorders>
            <w:vAlign w:val="center"/>
          </w:tcPr>
          <w:p w14:paraId="25D0A2FC">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乙苯</w:t>
            </w:r>
          </w:p>
        </w:tc>
        <w:tc>
          <w:tcPr>
            <w:tcW w:w="527" w:type="pct"/>
            <w:vMerge w:val="continue"/>
            <w:tcBorders>
              <w:tl2br w:val="nil"/>
              <w:tr2bl w:val="nil"/>
            </w:tcBorders>
            <w:vAlign w:val="center"/>
          </w:tcPr>
          <w:p w14:paraId="0740B850">
            <w:pPr>
              <w:pStyle w:val="83"/>
              <w:spacing w:line="240" w:lineRule="auto"/>
              <w:ind w:left="22" w:right="22"/>
              <w:rPr>
                <w:rFonts w:hint="default" w:ascii="Times New Roman" w:hAnsi="Times New Roman" w:cs="Times New Roman"/>
                <w:color w:val="auto"/>
              </w:rPr>
            </w:pPr>
          </w:p>
        </w:tc>
        <w:tc>
          <w:tcPr>
            <w:tcW w:w="1136" w:type="pct"/>
            <w:tcBorders>
              <w:top w:val="single" w:color="000000" w:sz="4" w:space="0"/>
              <w:bottom w:val="single" w:color="000000" w:sz="4" w:space="0"/>
              <w:tl2br w:val="nil"/>
              <w:tr2bl w:val="nil"/>
            </w:tcBorders>
            <w:vAlign w:val="center"/>
          </w:tcPr>
          <w:p w14:paraId="1E409BC9">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793" w:type="pct"/>
            <w:tcBorders>
              <w:top w:val="single" w:color="000000" w:sz="4" w:space="0"/>
              <w:bottom w:val="single" w:color="000000" w:sz="4" w:space="0"/>
              <w:tl2br w:val="nil"/>
              <w:tr2bl w:val="nil"/>
            </w:tcBorders>
            <w:vAlign w:val="center"/>
          </w:tcPr>
          <w:p w14:paraId="3BA44EB7">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606" w:type="pct"/>
            <w:tcBorders>
              <w:tl2br w:val="nil"/>
              <w:tr2bl w:val="nil"/>
            </w:tcBorders>
            <w:vAlign w:val="center"/>
          </w:tcPr>
          <w:p w14:paraId="02FCE760">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0.0031</w:t>
            </w:r>
          </w:p>
        </w:tc>
      </w:tr>
      <w:tr w14:paraId="51EFFD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408" w:type="pct"/>
            <w:vMerge w:val="continue"/>
            <w:tcBorders>
              <w:tl2br w:val="nil"/>
              <w:tr2bl w:val="nil"/>
            </w:tcBorders>
            <w:vAlign w:val="center"/>
          </w:tcPr>
          <w:p w14:paraId="1B493C27">
            <w:pPr>
              <w:pStyle w:val="83"/>
              <w:spacing w:line="240" w:lineRule="auto"/>
              <w:ind w:left="22" w:right="22"/>
              <w:rPr>
                <w:rFonts w:hint="default" w:ascii="Times New Roman" w:hAnsi="Times New Roman" w:cs="Times New Roman"/>
                <w:color w:val="auto"/>
              </w:rPr>
            </w:pPr>
          </w:p>
        </w:tc>
        <w:tc>
          <w:tcPr>
            <w:tcW w:w="701" w:type="pct"/>
            <w:vMerge w:val="continue"/>
            <w:tcBorders>
              <w:tl2br w:val="nil"/>
              <w:tr2bl w:val="nil"/>
            </w:tcBorders>
            <w:vAlign w:val="center"/>
          </w:tcPr>
          <w:p w14:paraId="0413994D">
            <w:pPr>
              <w:pStyle w:val="83"/>
              <w:spacing w:line="240" w:lineRule="auto"/>
              <w:ind w:left="22" w:right="22"/>
              <w:rPr>
                <w:rFonts w:hint="eastAsia" w:ascii="Times New Roman" w:hAnsi="Times New Roman" w:eastAsia="宋体" w:cs="Times New Roman"/>
                <w:color w:val="auto"/>
                <w:lang w:val="en-US" w:eastAsia="zh-CN"/>
              </w:rPr>
            </w:pPr>
          </w:p>
        </w:tc>
        <w:tc>
          <w:tcPr>
            <w:tcW w:w="825" w:type="pct"/>
            <w:tcBorders>
              <w:tl2br w:val="nil"/>
              <w:tr2bl w:val="nil"/>
            </w:tcBorders>
            <w:vAlign w:val="center"/>
          </w:tcPr>
          <w:p w14:paraId="76356223">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甲苯</w:t>
            </w:r>
          </w:p>
        </w:tc>
        <w:tc>
          <w:tcPr>
            <w:tcW w:w="527" w:type="pct"/>
            <w:vMerge w:val="continue"/>
            <w:tcBorders>
              <w:tl2br w:val="nil"/>
              <w:tr2bl w:val="nil"/>
            </w:tcBorders>
            <w:vAlign w:val="center"/>
          </w:tcPr>
          <w:p w14:paraId="7DE50302">
            <w:pPr>
              <w:pStyle w:val="83"/>
              <w:spacing w:line="240" w:lineRule="auto"/>
              <w:ind w:left="22" w:right="22"/>
              <w:rPr>
                <w:rFonts w:hint="default" w:ascii="Times New Roman" w:hAnsi="Times New Roman" w:cs="Times New Roman"/>
                <w:color w:val="auto"/>
              </w:rPr>
            </w:pPr>
          </w:p>
        </w:tc>
        <w:tc>
          <w:tcPr>
            <w:tcW w:w="1136" w:type="pct"/>
            <w:tcBorders>
              <w:top w:val="single" w:color="000000" w:sz="4" w:space="0"/>
              <w:bottom w:val="single" w:color="000000" w:sz="4" w:space="0"/>
              <w:tl2br w:val="nil"/>
              <w:tr2bl w:val="nil"/>
            </w:tcBorders>
            <w:vAlign w:val="center"/>
          </w:tcPr>
          <w:p w14:paraId="464F10EC">
            <w:pPr>
              <w:pStyle w:val="83"/>
              <w:spacing w:line="240" w:lineRule="auto"/>
              <w:ind w:left="22" w:right="22"/>
              <w:rPr>
                <w:rFonts w:hint="default" w:ascii="Times New Roman" w:hAnsi="Times New Roman" w:cs="Times New Roman"/>
                <w:color w:val="auto"/>
              </w:rPr>
            </w:pPr>
            <w:r>
              <w:rPr>
                <w:rFonts w:hint="eastAsia"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合成树脂工业污染物排放标准》（GB31572-2015）</w:t>
            </w:r>
            <w:r>
              <w:rPr>
                <w:rFonts w:hint="default" w:ascii="Times New Roman" w:hAnsi="Times New Roman" w:eastAsia="宋体" w:cs="Times New Roman"/>
                <w:color w:val="auto"/>
                <w:sz w:val="21"/>
                <w:szCs w:val="21"/>
                <w:highlight w:val="none"/>
                <w:lang w:val="en-US" w:eastAsia="zh-CN"/>
              </w:rPr>
              <w:t>表9企业边界大气污染物浓度限值</w:t>
            </w:r>
          </w:p>
        </w:tc>
        <w:tc>
          <w:tcPr>
            <w:tcW w:w="793" w:type="pct"/>
            <w:tcBorders>
              <w:top w:val="single" w:color="000000" w:sz="4" w:space="0"/>
              <w:bottom w:val="single" w:color="000000" w:sz="4" w:space="0"/>
              <w:tl2br w:val="nil"/>
              <w:tr2bl w:val="nil"/>
            </w:tcBorders>
            <w:vAlign w:val="center"/>
          </w:tcPr>
          <w:p w14:paraId="563EEC6A">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0.8</w:t>
            </w:r>
          </w:p>
        </w:tc>
        <w:tc>
          <w:tcPr>
            <w:tcW w:w="606" w:type="pct"/>
            <w:tcBorders>
              <w:tl2br w:val="nil"/>
              <w:tr2bl w:val="nil"/>
            </w:tcBorders>
            <w:vAlign w:val="center"/>
          </w:tcPr>
          <w:p w14:paraId="64EED024">
            <w:pPr>
              <w:pStyle w:val="83"/>
              <w:spacing w:line="240" w:lineRule="auto"/>
              <w:ind w:left="22" w:right="22"/>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auto"/>
                <w:lang w:val="en-US" w:eastAsia="zh-CN"/>
              </w:rPr>
              <w:t>0.0066</w:t>
            </w:r>
          </w:p>
        </w:tc>
      </w:tr>
      <w:tr w14:paraId="7C208FF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408" w:type="pct"/>
            <w:vMerge w:val="continue"/>
            <w:tcBorders>
              <w:tl2br w:val="nil"/>
              <w:tr2bl w:val="nil"/>
            </w:tcBorders>
            <w:vAlign w:val="center"/>
          </w:tcPr>
          <w:p w14:paraId="2ABF8774">
            <w:pPr>
              <w:pStyle w:val="83"/>
              <w:spacing w:line="240" w:lineRule="auto"/>
              <w:ind w:left="22" w:right="22"/>
              <w:rPr>
                <w:rFonts w:hint="default" w:ascii="Times New Roman" w:hAnsi="Times New Roman" w:cs="Times New Roman"/>
                <w:color w:val="auto"/>
              </w:rPr>
            </w:pPr>
          </w:p>
        </w:tc>
        <w:tc>
          <w:tcPr>
            <w:tcW w:w="701" w:type="pct"/>
            <w:vMerge w:val="continue"/>
            <w:tcBorders>
              <w:tl2br w:val="nil"/>
              <w:tr2bl w:val="nil"/>
            </w:tcBorders>
            <w:vAlign w:val="center"/>
          </w:tcPr>
          <w:p w14:paraId="7695D900">
            <w:pPr>
              <w:pStyle w:val="83"/>
              <w:spacing w:line="240" w:lineRule="auto"/>
              <w:ind w:left="22" w:right="22"/>
              <w:rPr>
                <w:rFonts w:hint="eastAsia" w:ascii="Times New Roman" w:hAnsi="Times New Roman" w:eastAsia="宋体" w:cs="Times New Roman"/>
                <w:color w:val="auto"/>
                <w:lang w:val="en-US" w:eastAsia="zh-CN"/>
              </w:rPr>
            </w:pPr>
          </w:p>
        </w:tc>
        <w:tc>
          <w:tcPr>
            <w:tcW w:w="825" w:type="pct"/>
            <w:tcBorders>
              <w:tl2br w:val="nil"/>
              <w:tr2bl w:val="nil"/>
            </w:tcBorders>
            <w:vAlign w:val="center"/>
          </w:tcPr>
          <w:p w14:paraId="6150360D">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1,3-丁二烯</w:t>
            </w:r>
          </w:p>
        </w:tc>
        <w:tc>
          <w:tcPr>
            <w:tcW w:w="527" w:type="pct"/>
            <w:vMerge w:val="continue"/>
            <w:tcBorders>
              <w:tl2br w:val="nil"/>
              <w:tr2bl w:val="nil"/>
            </w:tcBorders>
            <w:vAlign w:val="center"/>
          </w:tcPr>
          <w:p w14:paraId="4E1C56DD">
            <w:pPr>
              <w:pStyle w:val="83"/>
              <w:spacing w:line="240" w:lineRule="auto"/>
              <w:ind w:left="22" w:right="22"/>
              <w:rPr>
                <w:rFonts w:hint="default" w:ascii="Times New Roman" w:hAnsi="Times New Roman" w:cs="Times New Roman"/>
                <w:color w:val="auto"/>
              </w:rPr>
            </w:pPr>
          </w:p>
        </w:tc>
        <w:tc>
          <w:tcPr>
            <w:tcW w:w="1136" w:type="pct"/>
            <w:tcBorders>
              <w:top w:val="single" w:color="000000" w:sz="4" w:space="0"/>
              <w:bottom w:val="single" w:color="000000" w:sz="4" w:space="0"/>
              <w:tl2br w:val="nil"/>
              <w:tr2bl w:val="nil"/>
            </w:tcBorders>
            <w:vAlign w:val="center"/>
          </w:tcPr>
          <w:p w14:paraId="31477AB8">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w:t>
            </w:r>
          </w:p>
        </w:tc>
        <w:tc>
          <w:tcPr>
            <w:tcW w:w="793" w:type="pct"/>
            <w:tcBorders>
              <w:top w:val="single" w:color="000000" w:sz="4" w:space="0"/>
              <w:bottom w:val="single" w:color="000000" w:sz="4" w:space="0"/>
              <w:tl2br w:val="nil"/>
              <w:tr2bl w:val="nil"/>
            </w:tcBorders>
            <w:vAlign w:val="center"/>
          </w:tcPr>
          <w:p w14:paraId="417800DE">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w:t>
            </w:r>
          </w:p>
        </w:tc>
        <w:tc>
          <w:tcPr>
            <w:tcW w:w="606" w:type="pct"/>
            <w:tcBorders>
              <w:tl2br w:val="nil"/>
              <w:tr2bl w:val="nil"/>
            </w:tcBorders>
            <w:vAlign w:val="center"/>
          </w:tcPr>
          <w:p w14:paraId="14D1D561">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0.0009</w:t>
            </w:r>
          </w:p>
        </w:tc>
      </w:tr>
      <w:tr w14:paraId="74099F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408" w:type="pct"/>
            <w:vMerge w:val="continue"/>
            <w:tcBorders>
              <w:tl2br w:val="nil"/>
              <w:tr2bl w:val="nil"/>
            </w:tcBorders>
            <w:vAlign w:val="center"/>
          </w:tcPr>
          <w:p w14:paraId="64ADF07D">
            <w:pPr>
              <w:pStyle w:val="83"/>
              <w:spacing w:line="240" w:lineRule="auto"/>
              <w:ind w:left="22" w:right="22"/>
              <w:rPr>
                <w:rFonts w:hint="default" w:ascii="Times New Roman" w:hAnsi="Times New Roman" w:cs="Times New Roman"/>
                <w:color w:val="auto"/>
              </w:rPr>
            </w:pPr>
          </w:p>
        </w:tc>
        <w:tc>
          <w:tcPr>
            <w:tcW w:w="701" w:type="pct"/>
            <w:vMerge w:val="continue"/>
            <w:tcBorders>
              <w:tl2br w:val="nil"/>
              <w:tr2bl w:val="nil"/>
            </w:tcBorders>
            <w:vAlign w:val="center"/>
          </w:tcPr>
          <w:p w14:paraId="57B64B03">
            <w:pPr>
              <w:pStyle w:val="83"/>
              <w:spacing w:line="240" w:lineRule="auto"/>
              <w:ind w:left="22" w:right="22"/>
              <w:rPr>
                <w:rFonts w:hint="eastAsia" w:ascii="Times New Roman" w:hAnsi="Times New Roman" w:eastAsia="宋体" w:cs="Times New Roman"/>
                <w:color w:val="auto"/>
                <w:lang w:val="en-US" w:eastAsia="zh-CN"/>
              </w:rPr>
            </w:pPr>
          </w:p>
        </w:tc>
        <w:tc>
          <w:tcPr>
            <w:tcW w:w="825" w:type="pct"/>
            <w:tcBorders>
              <w:tl2br w:val="nil"/>
              <w:tr2bl w:val="nil"/>
            </w:tcBorders>
            <w:vAlign w:val="center"/>
          </w:tcPr>
          <w:p w14:paraId="5B229973">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酚类</w:t>
            </w:r>
          </w:p>
        </w:tc>
        <w:tc>
          <w:tcPr>
            <w:tcW w:w="527" w:type="pct"/>
            <w:vMerge w:val="continue"/>
            <w:tcBorders>
              <w:tl2br w:val="nil"/>
              <w:tr2bl w:val="nil"/>
            </w:tcBorders>
            <w:vAlign w:val="center"/>
          </w:tcPr>
          <w:p w14:paraId="6F03FABE">
            <w:pPr>
              <w:pStyle w:val="83"/>
              <w:spacing w:line="240" w:lineRule="auto"/>
              <w:ind w:left="22" w:right="22"/>
              <w:rPr>
                <w:rFonts w:hint="default" w:ascii="Times New Roman" w:hAnsi="Times New Roman" w:cs="Times New Roman"/>
                <w:color w:val="auto"/>
              </w:rPr>
            </w:pPr>
          </w:p>
        </w:tc>
        <w:tc>
          <w:tcPr>
            <w:tcW w:w="1136" w:type="pct"/>
            <w:vMerge w:val="restart"/>
            <w:tcBorders>
              <w:top w:val="single" w:color="000000" w:sz="4" w:space="0"/>
              <w:tl2br w:val="nil"/>
              <w:tr2bl w:val="nil"/>
            </w:tcBorders>
            <w:vAlign w:val="center"/>
          </w:tcPr>
          <w:p w14:paraId="0CD48408">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《大气污染物综合排放标准》（GB16297-1996）表2无组织排放监控浓度限值</w:t>
            </w:r>
          </w:p>
        </w:tc>
        <w:tc>
          <w:tcPr>
            <w:tcW w:w="793" w:type="pct"/>
            <w:tcBorders>
              <w:top w:val="single" w:color="000000" w:sz="4" w:space="0"/>
              <w:bottom w:val="single" w:color="000000" w:sz="4" w:space="0"/>
              <w:tl2br w:val="nil"/>
              <w:tr2bl w:val="nil"/>
            </w:tcBorders>
            <w:vAlign w:val="center"/>
          </w:tcPr>
          <w:p w14:paraId="0DE73C7E">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0.08</w:t>
            </w:r>
          </w:p>
        </w:tc>
        <w:tc>
          <w:tcPr>
            <w:tcW w:w="606" w:type="pct"/>
            <w:tcBorders>
              <w:tl2br w:val="nil"/>
              <w:tr2bl w:val="nil"/>
            </w:tcBorders>
            <w:vAlign w:val="center"/>
          </w:tcPr>
          <w:p w14:paraId="3C85A8AC">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0.013</w:t>
            </w:r>
          </w:p>
        </w:tc>
      </w:tr>
      <w:tr w14:paraId="12C4AD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408" w:type="pct"/>
            <w:vMerge w:val="continue"/>
            <w:tcBorders>
              <w:tl2br w:val="nil"/>
              <w:tr2bl w:val="nil"/>
            </w:tcBorders>
            <w:vAlign w:val="center"/>
          </w:tcPr>
          <w:p w14:paraId="1EFEFFCF">
            <w:pPr>
              <w:pStyle w:val="83"/>
              <w:spacing w:line="240" w:lineRule="auto"/>
              <w:ind w:left="22" w:right="22"/>
              <w:rPr>
                <w:rFonts w:hint="default" w:ascii="Times New Roman" w:hAnsi="Times New Roman" w:cs="Times New Roman"/>
                <w:color w:val="auto"/>
              </w:rPr>
            </w:pPr>
          </w:p>
        </w:tc>
        <w:tc>
          <w:tcPr>
            <w:tcW w:w="701" w:type="pct"/>
            <w:vMerge w:val="continue"/>
            <w:tcBorders>
              <w:tl2br w:val="nil"/>
              <w:tr2bl w:val="nil"/>
            </w:tcBorders>
            <w:vAlign w:val="center"/>
          </w:tcPr>
          <w:p w14:paraId="69C9B2EF">
            <w:pPr>
              <w:pStyle w:val="83"/>
              <w:spacing w:line="240" w:lineRule="auto"/>
              <w:ind w:left="22" w:right="22"/>
              <w:rPr>
                <w:rFonts w:hint="eastAsia" w:ascii="Times New Roman" w:hAnsi="Times New Roman" w:eastAsia="宋体" w:cs="Times New Roman"/>
                <w:color w:val="auto"/>
                <w:lang w:val="en-US" w:eastAsia="zh-CN"/>
              </w:rPr>
            </w:pPr>
          </w:p>
        </w:tc>
        <w:tc>
          <w:tcPr>
            <w:tcW w:w="825" w:type="pct"/>
            <w:tcBorders>
              <w:tl2br w:val="nil"/>
              <w:tr2bl w:val="nil"/>
            </w:tcBorders>
            <w:vAlign w:val="center"/>
          </w:tcPr>
          <w:p w14:paraId="3E682305">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氯苯类</w:t>
            </w:r>
          </w:p>
        </w:tc>
        <w:tc>
          <w:tcPr>
            <w:tcW w:w="527" w:type="pct"/>
            <w:vMerge w:val="continue"/>
            <w:tcBorders>
              <w:tl2br w:val="nil"/>
              <w:tr2bl w:val="nil"/>
            </w:tcBorders>
            <w:vAlign w:val="center"/>
          </w:tcPr>
          <w:p w14:paraId="7BA9EB4D">
            <w:pPr>
              <w:pStyle w:val="83"/>
              <w:spacing w:line="240" w:lineRule="auto"/>
              <w:ind w:left="22" w:right="22"/>
              <w:rPr>
                <w:rFonts w:hint="default" w:ascii="Times New Roman" w:hAnsi="Times New Roman" w:cs="Times New Roman"/>
                <w:color w:val="auto"/>
              </w:rPr>
            </w:pPr>
          </w:p>
        </w:tc>
        <w:tc>
          <w:tcPr>
            <w:tcW w:w="1136" w:type="pct"/>
            <w:vMerge w:val="continue"/>
            <w:tcBorders>
              <w:bottom w:val="single" w:color="000000" w:sz="4" w:space="0"/>
              <w:tl2br w:val="nil"/>
              <w:tr2bl w:val="nil"/>
            </w:tcBorders>
            <w:vAlign w:val="center"/>
          </w:tcPr>
          <w:p w14:paraId="2FE723A4">
            <w:pPr>
              <w:pStyle w:val="83"/>
              <w:spacing w:line="240" w:lineRule="auto"/>
              <w:ind w:left="22" w:right="22"/>
              <w:rPr>
                <w:rFonts w:hint="default" w:ascii="Times New Roman" w:hAnsi="Times New Roman" w:cs="Times New Roman"/>
                <w:color w:val="auto"/>
              </w:rPr>
            </w:pPr>
          </w:p>
        </w:tc>
        <w:tc>
          <w:tcPr>
            <w:tcW w:w="793" w:type="pct"/>
            <w:tcBorders>
              <w:top w:val="single" w:color="000000" w:sz="4" w:space="0"/>
              <w:bottom w:val="single" w:color="000000" w:sz="4" w:space="0"/>
              <w:tl2br w:val="nil"/>
              <w:tr2bl w:val="nil"/>
            </w:tcBorders>
            <w:vAlign w:val="center"/>
          </w:tcPr>
          <w:p w14:paraId="2D593F1A">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0.4</w:t>
            </w:r>
          </w:p>
        </w:tc>
        <w:tc>
          <w:tcPr>
            <w:tcW w:w="606" w:type="pct"/>
            <w:tcBorders>
              <w:tl2br w:val="nil"/>
              <w:tr2bl w:val="nil"/>
            </w:tcBorders>
            <w:vAlign w:val="center"/>
          </w:tcPr>
          <w:p w14:paraId="3CF2C548">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0.008</w:t>
            </w:r>
          </w:p>
        </w:tc>
      </w:tr>
      <w:tr w14:paraId="61A1DF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408" w:type="pct"/>
            <w:vMerge w:val="continue"/>
            <w:tcBorders>
              <w:tl2br w:val="nil"/>
              <w:tr2bl w:val="nil"/>
            </w:tcBorders>
            <w:vAlign w:val="center"/>
          </w:tcPr>
          <w:p w14:paraId="408A9D50">
            <w:pPr>
              <w:pStyle w:val="83"/>
              <w:spacing w:line="240" w:lineRule="auto"/>
              <w:ind w:left="22" w:right="22"/>
              <w:rPr>
                <w:rFonts w:hint="default" w:ascii="Times New Roman" w:hAnsi="Times New Roman" w:cs="Times New Roman"/>
                <w:color w:val="auto"/>
              </w:rPr>
            </w:pPr>
          </w:p>
        </w:tc>
        <w:tc>
          <w:tcPr>
            <w:tcW w:w="701" w:type="pct"/>
            <w:vMerge w:val="continue"/>
            <w:tcBorders>
              <w:tl2br w:val="nil"/>
              <w:tr2bl w:val="nil"/>
            </w:tcBorders>
            <w:vAlign w:val="center"/>
          </w:tcPr>
          <w:p w14:paraId="7BA48E13">
            <w:pPr>
              <w:pStyle w:val="83"/>
              <w:spacing w:line="240" w:lineRule="auto"/>
              <w:ind w:left="22" w:right="22"/>
              <w:rPr>
                <w:rFonts w:hint="eastAsia" w:ascii="Times New Roman" w:hAnsi="Times New Roman" w:eastAsia="宋体" w:cs="Times New Roman"/>
                <w:color w:val="auto"/>
                <w:lang w:val="en-US" w:eastAsia="zh-CN"/>
              </w:rPr>
            </w:pPr>
          </w:p>
        </w:tc>
        <w:tc>
          <w:tcPr>
            <w:tcW w:w="825" w:type="pct"/>
            <w:tcBorders>
              <w:tl2br w:val="nil"/>
              <w:tr2bl w:val="nil"/>
            </w:tcBorders>
            <w:vAlign w:val="center"/>
          </w:tcPr>
          <w:p w14:paraId="456077DD">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二氯甲烷</w:t>
            </w:r>
          </w:p>
        </w:tc>
        <w:tc>
          <w:tcPr>
            <w:tcW w:w="527" w:type="pct"/>
            <w:vMerge w:val="continue"/>
            <w:tcBorders>
              <w:tl2br w:val="nil"/>
              <w:tr2bl w:val="nil"/>
            </w:tcBorders>
            <w:vAlign w:val="center"/>
          </w:tcPr>
          <w:p w14:paraId="0608DEBE">
            <w:pPr>
              <w:pStyle w:val="83"/>
              <w:spacing w:line="240" w:lineRule="auto"/>
              <w:ind w:left="22" w:right="22"/>
              <w:rPr>
                <w:rFonts w:hint="default" w:ascii="Times New Roman" w:hAnsi="Times New Roman" w:cs="Times New Roman"/>
                <w:color w:val="auto"/>
              </w:rPr>
            </w:pPr>
          </w:p>
        </w:tc>
        <w:tc>
          <w:tcPr>
            <w:tcW w:w="1136" w:type="pct"/>
            <w:tcBorders>
              <w:top w:val="single" w:color="000000" w:sz="4" w:space="0"/>
              <w:bottom w:val="single" w:color="000000" w:sz="4" w:space="0"/>
              <w:tl2br w:val="nil"/>
              <w:tr2bl w:val="nil"/>
            </w:tcBorders>
            <w:vAlign w:val="center"/>
          </w:tcPr>
          <w:p w14:paraId="792C6F18">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w:t>
            </w:r>
          </w:p>
        </w:tc>
        <w:tc>
          <w:tcPr>
            <w:tcW w:w="793" w:type="pct"/>
            <w:tcBorders>
              <w:top w:val="single" w:color="000000" w:sz="4" w:space="0"/>
              <w:bottom w:val="single" w:color="000000" w:sz="4" w:space="0"/>
              <w:tl2br w:val="nil"/>
              <w:tr2bl w:val="nil"/>
            </w:tcBorders>
            <w:vAlign w:val="center"/>
          </w:tcPr>
          <w:p w14:paraId="2127FF77">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w:t>
            </w:r>
          </w:p>
        </w:tc>
        <w:tc>
          <w:tcPr>
            <w:tcW w:w="606" w:type="pct"/>
            <w:tcBorders>
              <w:tl2br w:val="nil"/>
              <w:tr2bl w:val="nil"/>
            </w:tcBorders>
            <w:vAlign w:val="center"/>
          </w:tcPr>
          <w:p w14:paraId="5DAEBB61">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0.089</w:t>
            </w:r>
          </w:p>
        </w:tc>
      </w:tr>
      <w:tr w14:paraId="17F9E1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5" w:hRule="atLeast"/>
          <w:jc w:val="center"/>
        </w:trPr>
        <w:tc>
          <w:tcPr>
            <w:tcW w:w="408" w:type="pct"/>
            <w:vMerge w:val="continue"/>
            <w:tcBorders>
              <w:tl2br w:val="nil"/>
              <w:tr2bl w:val="nil"/>
            </w:tcBorders>
            <w:vAlign w:val="center"/>
          </w:tcPr>
          <w:p w14:paraId="4C849AB7">
            <w:pPr>
              <w:pStyle w:val="83"/>
              <w:spacing w:line="240" w:lineRule="auto"/>
              <w:ind w:left="22" w:right="22"/>
              <w:rPr>
                <w:rFonts w:hint="default" w:ascii="Times New Roman" w:hAnsi="Times New Roman" w:cs="Times New Roman"/>
                <w:color w:val="auto"/>
              </w:rPr>
            </w:pPr>
          </w:p>
        </w:tc>
        <w:tc>
          <w:tcPr>
            <w:tcW w:w="701" w:type="pct"/>
            <w:vMerge w:val="continue"/>
            <w:tcBorders>
              <w:tl2br w:val="nil"/>
              <w:tr2bl w:val="nil"/>
            </w:tcBorders>
            <w:vAlign w:val="center"/>
          </w:tcPr>
          <w:p w14:paraId="0377DD2A">
            <w:pPr>
              <w:pStyle w:val="83"/>
              <w:spacing w:line="240" w:lineRule="auto"/>
              <w:ind w:left="22" w:right="22"/>
              <w:rPr>
                <w:rFonts w:hint="default" w:ascii="Times New Roman" w:hAnsi="Times New Roman" w:cs="Times New Roman"/>
                <w:color w:val="auto"/>
              </w:rPr>
            </w:pPr>
          </w:p>
        </w:tc>
        <w:tc>
          <w:tcPr>
            <w:tcW w:w="825" w:type="pct"/>
            <w:tcBorders>
              <w:tl2br w:val="nil"/>
              <w:tr2bl w:val="nil"/>
            </w:tcBorders>
            <w:vAlign w:val="center"/>
          </w:tcPr>
          <w:p w14:paraId="43CAB8C6">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苯乙烯</w:t>
            </w:r>
          </w:p>
        </w:tc>
        <w:tc>
          <w:tcPr>
            <w:tcW w:w="527" w:type="pct"/>
            <w:vMerge w:val="continue"/>
            <w:tcBorders>
              <w:bottom w:val="single" w:color="000000" w:sz="4" w:space="0"/>
              <w:tl2br w:val="nil"/>
              <w:tr2bl w:val="nil"/>
            </w:tcBorders>
            <w:vAlign w:val="center"/>
          </w:tcPr>
          <w:p w14:paraId="6A543899">
            <w:pPr>
              <w:pStyle w:val="83"/>
              <w:spacing w:line="240" w:lineRule="auto"/>
              <w:ind w:left="22" w:right="22"/>
              <w:rPr>
                <w:rFonts w:hint="default" w:ascii="Times New Roman" w:hAnsi="Times New Roman" w:cs="Times New Roman"/>
                <w:color w:val="auto"/>
              </w:rPr>
            </w:pPr>
          </w:p>
        </w:tc>
        <w:tc>
          <w:tcPr>
            <w:tcW w:w="1136" w:type="pct"/>
            <w:tcBorders>
              <w:top w:val="single" w:color="000000" w:sz="4" w:space="0"/>
              <w:bottom w:val="single" w:color="000000" w:sz="4" w:space="0"/>
              <w:tl2br w:val="nil"/>
              <w:tr2bl w:val="nil"/>
            </w:tcBorders>
            <w:vAlign w:val="center"/>
          </w:tcPr>
          <w:p w14:paraId="0CD1EFAF">
            <w:pPr>
              <w:pStyle w:val="83"/>
              <w:spacing w:line="240" w:lineRule="auto"/>
              <w:ind w:left="22" w:right="22"/>
              <w:rPr>
                <w:rFonts w:hint="default" w:ascii="Times New Roman" w:hAnsi="Times New Roman" w:cs="Times New Roman"/>
                <w:color w:val="auto"/>
                <w:highlight w:val="green"/>
              </w:rPr>
            </w:pPr>
            <w:r>
              <w:rPr>
                <w:rFonts w:hint="eastAsia" w:ascii="Times New Roman" w:hAnsi="Times New Roman" w:eastAsia="宋体" w:cs="Times New Roman"/>
                <w:color w:val="auto"/>
                <w:sz w:val="21"/>
                <w:szCs w:val="21"/>
                <w:highlight w:val="none"/>
                <w:lang w:val="en-US" w:eastAsia="zh-CN"/>
              </w:rPr>
              <w:t>《恶臭污染物排放标准》（GB14554-93）表1中二级排放标准</w:t>
            </w:r>
          </w:p>
        </w:tc>
        <w:tc>
          <w:tcPr>
            <w:tcW w:w="793" w:type="pct"/>
            <w:tcBorders>
              <w:top w:val="single" w:color="000000" w:sz="4" w:space="0"/>
              <w:tl2br w:val="nil"/>
              <w:tr2bl w:val="nil"/>
            </w:tcBorders>
            <w:vAlign w:val="center"/>
          </w:tcPr>
          <w:p w14:paraId="62221A8A">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5.0</w:t>
            </w:r>
          </w:p>
        </w:tc>
        <w:tc>
          <w:tcPr>
            <w:tcW w:w="606" w:type="pct"/>
            <w:tcBorders>
              <w:tl2br w:val="nil"/>
              <w:tr2bl w:val="nil"/>
            </w:tcBorders>
            <w:vAlign w:val="center"/>
          </w:tcPr>
          <w:p w14:paraId="5B237120">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0.005</w:t>
            </w:r>
          </w:p>
        </w:tc>
      </w:tr>
      <w:tr w14:paraId="32B6EB9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408" w:type="pct"/>
            <w:vMerge w:val="restart"/>
            <w:tcBorders>
              <w:tl2br w:val="nil"/>
              <w:tr2bl w:val="nil"/>
            </w:tcBorders>
            <w:vAlign w:val="center"/>
          </w:tcPr>
          <w:p w14:paraId="34DC52CD">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2</w:t>
            </w:r>
          </w:p>
        </w:tc>
        <w:tc>
          <w:tcPr>
            <w:tcW w:w="701" w:type="pct"/>
            <w:vMerge w:val="restart"/>
            <w:tcBorders>
              <w:tl2br w:val="nil"/>
              <w:tr2bl w:val="nil"/>
            </w:tcBorders>
            <w:vAlign w:val="center"/>
          </w:tcPr>
          <w:p w14:paraId="6579F6A2">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喷涂、管路和喷枪清洗、丝印</w:t>
            </w:r>
          </w:p>
        </w:tc>
        <w:tc>
          <w:tcPr>
            <w:tcW w:w="825" w:type="pct"/>
            <w:tcBorders>
              <w:tl2br w:val="nil"/>
              <w:tr2bl w:val="nil"/>
            </w:tcBorders>
            <w:vAlign w:val="center"/>
          </w:tcPr>
          <w:p w14:paraId="47EEA698">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非甲烷总烃</w:t>
            </w:r>
          </w:p>
        </w:tc>
        <w:tc>
          <w:tcPr>
            <w:tcW w:w="527" w:type="pct"/>
            <w:vMerge w:val="restart"/>
            <w:tcBorders>
              <w:top w:val="single" w:color="000000" w:sz="4" w:space="0"/>
              <w:tl2br w:val="nil"/>
              <w:tr2bl w:val="nil"/>
            </w:tcBorders>
            <w:vAlign w:val="center"/>
          </w:tcPr>
          <w:p w14:paraId="0666A226">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密闭，负压收集</w:t>
            </w:r>
          </w:p>
        </w:tc>
        <w:tc>
          <w:tcPr>
            <w:tcW w:w="1136" w:type="pct"/>
            <w:vMerge w:val="restart"/>
            <w:tcBorders>
              <w:top w:val="single" w:color="000000" w:sz="4" w:space="0"/>
              <w:tl2br w:val="nil"/>
              <w:tr2bl w:val="nil"/>
            </w:tcBorders>
            <w:vAlign w:val="center"/>
          </w:tcPr>
          <w:p w14:paraId="07328501">
            <w:pPr>
              <w:pStyle w:val="83"/>
              <w:spacing w:line="240" w:lineRule="auto"/>
              <w:ind w:left="19" w:leftChars="9" w:right="19" w:rightChars="9" w:firstLine="0" w:firstLineChars="0"/>
              <w:rPr>
                <w:rFonts w:hint="default" w:ascii="Times New Roman" w:hAnsi="Times New Roman" w:cs="Times New Roman"/>
                <w:color w:val="auto"/>
                <w:highlight w:val="green"/>
              </w:rPr>
            </w:pPr>
            <w:r>
              <w:rPr>
                <w:rFonts w:hint="eastAsia"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合成树脂工业污染物排放标准》（GB31572-2015）</w:t>
            </w:r>
            <w:r>
              <w:rPr>
                <w:rFonts w:hint="default" w:ascii="Times New Roman" w:hAnsi="Times New Roman" w:eastAsia="宋体" w:cs="Times New Roman"/>
                <w:color w:val="auto"/>
                <w:sz w:val="21"/>
                <w:szCs w:val="21"/>
                <w:highlight w:val="none"/>
                <w:lang w:val="en-US" w:eastAsia="zh-CN"/>
              </w:rPr>
              <w:t>表9企业边界大气污染物浓度限值</w:t>
            </w:r>
          </w:p>
        </w:tc>
        <w:tc>
          <w:tcPr>
            <w:tcW w:w="793" w:type="pct"/>
            <w:tcBorders>
              <w:tl2br w:val="nil"/>
              <w:tr2bl w:val="nil"/>
            </w:tcBorders>
            <w:vAlign w:val="center"/>
          </w:tcPr>
          <w:p w14:paraId="1152EF60">
            <w:pPr>
              <w:pStyle w:val="83"/>
              <w:spacing w:line="240" w:lineRule="auto"/>
              <w:ind w:left="19" w:leftChars="9" w:right="19" w:rightChars="9" w:firstLine="0" w:firstLineChars="0"/>
              <w:rPr>
                <w:rFonts w:hint="default" w:ascii="Times New Roman" w:hAnsi="Times New Roman" w:cs="Times New Roman"/>
                <w:color w:val="auto"/>
              </w:rPr>
            </w:pPr>
            <w:r>
              <w:rPr>
                <w:rFonts w:hint="eastAsia" w:ascii="Times New Roman" w:hAnsi="Times New Roman" w:eastAsia="宋体" w:cs="Times New Roman"/>
                <w:color w:val="auto"/>
                <w:lang w:val="en-US" w:eastAsia="zh-CN"/>
              </w:rPr>
              <w:t>4.0</w:t>
            </w:r>
          </w:p>
        </w:tc>
        <w:tc>
          <w:tcPr>
            <w:tcW w:w="606" w:type="pct"/>
            <w:tcBorders>
              <w:tl2br w:val="nil"/>
              <w:tr2bl w:val="nil"/>
            </w:tcBorders>
            <w:vAlign w:val="center"/>
          </w:tcPr>
          <w:p w14:paraId="31EAA573">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3.779</w:t>
            </w:r>
          </w:p>
        </w:tc>
      </w:tr>
      <w:tr w14:paraId="0A846A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408" w:type="pct"/>
            <w:vMerge w:val="continue"/>
            <w:tcBorders>
              <w:tl2br w:val="nil"/>
              <w:tr2bl w:val="nil"/>
            </w:tcBorders>
            <w:vAlign w:val="center"/>
          </w:tcPr>
          <w:p w14:paraId="70AFC6B9">
            <w:pPr>
              <w:pStyle w:val="83"/>
              <w:spacing w:line="240" w:lineRule="auto"/>
              <w:ind w:left="22" w:right="22"/>
              <w:rPr>
                <w:rFonts w:hint="default" w:ascii="Times New Roman" w:hAnsi="Times New Roman" w:cs="Times New Roman"/>
                <w:color w:val="FF0000"/>
              </w:rPr>
            </w:pPr>
          </w:p>
        </w:tc>
        <w:tc>
          <w:tcPr>
            <w:tcW w:w="701" w:type="pct"/>
            <w:vMerge w:val="continue"/>
            <w:tcBorders>
              <w:tl2br w:val="nil"/>
              <w:tr2bl w:val="nil"/>
            </w:tcBorders>
            <w:vAlign w:val="center"/>
          </w:tcPr>
          <w:p w14:paraId="1BC228D3">
            <w:pPr>
              <w:pStyle w:val="83"/>
              <w:spacing w:line="240" w:lineRule="auto"/>
              <w:ind w:left="22" w:right="22"/>
              <w:rPr>
                <w:rFonts w:hint="default" w:ascii="Times New Roman" w:hAnsi="Times New Roman" w:cs="Times New Roman"/>
                <w:color w:val="FF0000"/>
              </w:rPr>
            </w:pPr>
          </w:p>
        </w:tc>
        <w:tc>
          <w:tcPr>
            <w:tcW w:w="825" w:type="pct"/>
            <w:tcBorders>
              <w:tl2br w:val="nil"/>
              <w:tr2bl w:val="nil"/>
            </w:tcBorders>
            <w:vAlign w:val="center"/>
          </w:tcPr>
          <w:p w14:paraId="39F24937">
            <w:pPr>
              <w:pStyle w:val="83"/>
              <w:spacing w:line="240" w:lineRule="auto"/>
              <w:ind w:left="19" w:leftChars="9" w:right="19" w:rightChars="9" w:firstLine="0" w:firstLineChars="0"/>
              <w:rPr>
                <w:rFonts w:hint="default" w:ascii="Times New Roman" w:hAnsi="Times New Roman" w:cs="Times New Roman"/>
                <w:color w:val="FF0000"/>
              </w:rPr>
            </w:pPr>
            <w:r>
              <w:rPr>
                <w:rFonts w:hint="default" w:ascii="Times New Roman" w:hAnsi="Times New Roman" w:cs="Times New Roman"/>
                <w:color w:val="auto"/>
              </w:rPr>
              <w:t>颗粒物</w:t>
            </w:r>
          </w:p>
        </w:tc>
        <w:tc>
          <w:tcPr>
            <w:tcW w:w="527" w:type="pct"/>
            <w:vMerge w:val="continue"/>
            <w:tcBorders>
              <w:bottom w:val="single" w:color="000000" w:sz="4" w:space="0"/>
              <w:tl2br w:val="nil"/>
              <w:tr2bl w:val="nil"/>
            </w:tcBorders>
            <w:vAlign w:val="center"/>
          </w:tcPr>
          <w:p w14:paraId="294BB46B">
            <w:pPr>
              <w:pStyle w:val="83"/>
              <w:spacing w:line="240" w:lineRule="auto"/>
              <w:ind w:left="22" w:right="22"/>
              <w:rPr>
                <w:rFonts w:hint="default" w:ascii="Times New Roman" w:hAnsi="Times New Roman" w:cs="Times New Roman"/>
                <w:color w:val="FF0000"/>
              </w:rPr>
            </w:pPr>
          </w:p>
        </w:tc>
        <w:tc>
          <w:tcPr>
            <w:tcW w:w="1136" w:type="pct"/>
            <w:vMerge w:val="continue"/>
            <w:tcBorders>
              <w:tl2br w:val="nil"/>
              <w:tr2bl w:val="nil"/>
            </w:tcBorders>
            <w:vAlign w:val="center"/>
          </w:tcPr>
          <w:p w14:paraId="3C1BFFFC">
            <w:pPr>
              <w:pStyle w:val="83"/>
              <w:spacing w:line="240" w:lineRule="auto"/>
              <w:ind w:left="22" w:right="22"/>
              <w:rPr>
                <w:rFonts w:hint="default" w:ascii="Times New Roman" w:hAnsi="Times New Roman" w:cs="Times New Roman"/>
                <w:color w:val="auto"/>
                <w:highlight w:val="green"/>
              </w:rPr>
            </w:pPr>
          </w:p>
        </w:tc>
        <w:tc>
          <w:tcPr>
            <w:tcW w:w="793" w:type="pct"/>
            <w:tcBorders>
              <w:tl2br w:val="nil"/>
              <w:tr2bl w:val="nil"/>
            </w:tcBorders>
            <w:vAlign w:val="center"/>
          </w:tcPr>
          <w:p w14:paraId="723ACF17">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1.0</w:t>
            </w:r>
          </w:p>
        </w:tc>
        <w:tc>
          <w:tcPr>
            <w:tcW w:w="606" w:type="pct"/>
            <w:tcBorders>
              <w:tl2br w:val="nil"/>
              <w:tr2bl w:val="nil"/>
            </w:tcBorders>
            <w:vAlign w:val="center"/>
          </w:tcPr>
          <w:p w14:paraId="7F2CFE8F">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1.462</w:t>
            </w:r>
          </w:p>
        </w:tc>
      </w:tr>
      <w:tr w14:paraId="76011F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408" w:type="pct"/>
            <w:tcBorders>
              <w:tl2br w:val="nil"/>
              <w:tr2bl w:val="nil"/>
            </w:tcBorders>
            <w:vAlign w:val="center"/>
          </w:tcPr>
          <w:p w14:paraId="21716EA1">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w:t>
            </w:r>
          </w:p>
        </w:tc>
        <w:tc>
          <w:tcPr>
            <w:tcW w:w="701" w:type="pct"/>
            <w:tcBorders>
              <w:tl2br w:val="nil"/>
              <w:tr2bl w:val="nil"/>
            </w:tcBorders>
            <w:vAlign w:val="center"/>
          </w:tcPr>
          <w:p w14:paraId="1186E81B">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破碎</w:t>
            </w:r>
          </w:p>
        </w:tc>
        <w:tc>
          <w:tcPr>
            <w:tcW w:w="825" w:type="pct"/>
            <w:tcBorders>
              <w:tl2br w:val="nil"/>
              <w:tr2bl w:val="nil"/>
            </w:tcBorders>
            <w:vAlign w:val="center"/>
          </w:tcPr>
          <w:p w14:paraId="5C996591">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颗粒物</w:t>
            </w:r>
          </w:p>
        </w:tc>
        <w:tc>
          <w:tcPr>
            <w:tcW w:w="527" w:type="pct"/>
            <w:tcBorders>
              <w:top w:val="single" w:color="000000" w:sz="4" w:space="0"/>
              <w:tl2br w:val="nil"/>
              <w:tr2bl w:val="nil"/>
            </w:tcBorders>
            <w:vAlign w:val="center"/>
          </w:tcPr>
          <w:p w14:paraId="3EE73DF9">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车间密闭</w:t>
            </w:r>
          </w:p>
        </w:tc>
        <w:tc>
          <w:tcPr>
            <w:tcW w:w="1136" w:type="pct"/>
            <w:vMerge w:val="continue"/>
            <w:tcBorders>
              <w:tl2br w:val="nil"/>
              <w:tr2bl w:val="nil"/>
            </w:tcBorders>
            <w:vAlign w:val="center"/>
          </w:tcPr>
          <w:p w14:paraId="6745933E">
            <w:pPr>
              <w:pStyle w:val="83"/>
              <w:spacing w:line="240" w:lineRule="auto"/>
              <w:ind w:left="22" w:right="22"/>
              <w:rPr>
                <w:rFonts w:hint="default" w:ascii="Times New Roman" w:hAnsi="Times New Roman" w:cs="Times New Roman"/>
                <w:color w:val="FF0000"/>
                <w:highlight w:val="green"/>
              </w:rPr>
            </w:pPr>
          </w:p>
        </w:tc>
        <w:tc>
          <w:tcPr>
            <w:tcW w:w="793" w:type="pct"/>
            <w:tcBorders>
              <w:bottom w:val="single" w:color="000000" w:sz="4" w:space="0"/>
              <w:tl2br w:val="nil"/>
              <w:tr2bl w:val="nil"/>
            </w:tcBorders>
            <w:vAlign w:val="center"/>
          </w:tcPr>
          <w:p w14:paraId="09B71EC5">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1.0</w:t>
            </w:r>
          </w:p>
        </w:tc>
        <w:tc>
          <w:tcPr>
            <w:tcW w:w="606" w:type="pct"/>
            <w:tcBorders>
              <w:tl2br w:val="nil"/>
              <w:tr2bl w:val="nil"/>
            </w:tcBorders>
            <w:vAlign w:val="center"/>
          </w:tcPr>
          <w:p w14:paraId="12BA9FAB">
            <w:pPr>
              <w:pStyle w:val="83"/>
              <w:spacing w:line="240" w:lineRule="auto"/>
              <w:ind w:left="22" w:right="22"/>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auto"/>
                <w:lang w:val="en-US" w:eastAsia="zh-CN"/>
              </w:rPr>
              <w:t>0.017</w:t>
            </w:r>
          </w:p>
        </w:tc>
      </w:tr>
      <w:tr w14:paraId="0634C0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8" w:type="pct"/>
            <w:tcBorders>
              <w:tl2br w:val="nil"/>
              <w:tr2bl w:val="nil"/>
            </w:tcBorders>
            <w:vAlign w:val="center"/>
          </w:tcPr>
          <w:p w14:paraId="473799B3">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w:t>
            </w:r>
          </w:p>
        </w:tc>
        <w:tc>
          <w:tcPr>
            <w:tcW w:w="701" w:type="pct"/>
            <w:tcBorders>
              <w:tl2br w:val="nil"/>
              <w:tr2bl w:val="nil"/>
            </w:tcBorders>
            <w:vAlign w:val="center"/>
          </w:tcPr>
          <w:p w14:paraId="3935ADE2">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打磨、抛光</w:t>
            </w:r>
          </w:p>
        </w:tc>
        <w:tc>
          <w:tcPr>
            <w:tcW w:w="825" w:type="pct"/>
            <w:tcBorders>
              <w:tl2br w:val="nil"/>
              <w:tr2bl w:val="nil"/>
            </w:tcBorders>
            <w:vAlign w:val="center"/>
          </w:tcPr>
          <w:p w14:paraId="0A5C6437">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颗粒物</w:t>
            </w:r>
          </w:p>
        </w:tc>
        <w:tc>
          <w:tcPr>
            <w:tcW w:w="527" w:type="pct"/>
            <w:tcBorders>
              <w:tl2br w:val="nil"/>
              <w:tr2bl w:val="nil"/>
            </w:tcBorders>
            <w:vAlign w:val="center"/>
          </w:tcPr>
          <w:p w14:paraId="34958264">
            <w:pPr>
              <w:pStyle w:val="83"/>
              <w:spacing w:line="240" w:lineRule="auto"/>
              <w:ind w:left="19" w:leftChars="9" w:right="19" w:rightChars="9" w:firstLine="0" w:firstLineChars="0"/>
              <w:rPr>
                <w:rFonts w:hint="default" w:ascii="Times New Roman" w:hAnsi="Times New Roman" w:cs="Times New Roman"/>
                <w:color w:val="auto"/>
              </w:rPr>
            </w:pPr>
            <w:r>
              <w:rPr>
                <w:rFonts w:hint="default" w:ascii="Times New Roman" w:hAnsi="Times New Roman" w:cs="Times New Roman"/>
                <w:color w:val="auto"/>
              </w:rPr>
              <w:t>布袋除尘</w:t>
            </w:r>
          </w:p>
        </w:tc>
        <w:tc>
          <w:tcPr>
            <w:tcW w:w="1136" w:type="pct"/>
            <w:vMerge w:val="continue"/>
            <w:tcBorders>
              <w:tl2br w:val="nil"/>
              <w:tr2bl w:val="nil"/>
            </w:tcBorders>
            <w:vAlign w:val="center"/>
          </w:tcPr>
          <w:p w14:paraId="4AB80F4F">
            <w:pPr>
              <w:pStyle w:val="83"/>
              <w:spacing w:line="240" w:lineRule="auto"/>
              <w:ind w:left="22" w:right="22"/>
              <w:rPr>
                <w:rFonts w:hint="default" w:ascii="Times New Roman" w:hAnsi="Times New Roman" w:cs="Times New Roman"/>
                <w:color w:val="FF0000"/>
                <w:highlight w:val="green"/>
              </w:rPr>
            </w:pPr>
          </w:p>
        </w:tc>
        <w:tc>
          <w:tcPr>
            <w:tcW w:w="793" w:type="pct"/>
            <w:tcBorders>
              <w:top w:val="single" w:color="000000" w:sz="4" w:space="0"/>
              <w:bottom w:val="single" w:color="000000" w:sz="4" w:space="0"/>
              <w:tl2br w:val="nil"/>
              <w:tr2bl w:val="nil"/>
            </w:tcBorders>
            <w:vAlign w:val="center"/>
          </w:tcPr>
          <w:p w14:paraId="5B401947">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1.0</w:t>
            </w:r>
          </w:p>
        </w:tc>
        <w:tc>
          <w:tcPr>
            <w:tcW w:w="606" w:type="pct"/>
            <w:tcBorders>
              <w:tl2br w:val="nil"/>
              <w:tr2bl w:val="nil"/>
            </w:tcBorders>
            <w:vAlign w:val="center"/>
          </w:tcPr>
          <w:p w14:paraId="77888165">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2.366</w:t>
            </w:r>
          </w:p>
        </w:tc>
      </w:tr>
      <w:tr w14:paraId="460E78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8" w:type="pct"/>
            <w:tcBorders>
              <w:tl2br w:val="nil"/>
              <w:tr2bl w:val="nil"/>
            </w:tcBorders>
            <w:vAlign w:val="center"/>
          </w:tcPr>
          <w:p w14:paraId="38A76FB1">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w:t>
            </w:r>
          </w:p>
        </w:tc>
        <w:tc>
          <w:tcPr>
            <w:tcW w:w="701" w:type="pct"/>
            <w:tcBorders>
              <w:tl2br w:val="nil"/>
              <w:tr2bl w:val="nil"/>
            </w:tcBorders>
            <w:shd w:val="clear" w:color="auto" w:fill="auto"/>
            <w:vAlign w:val="center"/>
          </w:tcPr>
          <w:p w14:paraId="74FF4CB3">
            <w:pPr>
              <w:pStyle w:val="37"/>
              <w:bidi w:val="0"/>
              <w:ind w:firstLine="0" w:firstLineChars="0"/>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highlight w:val="none"/>
                <w:lang w:val="en-US" w:eastAsia="zh-CN"/>
              </w:rPr>
              <w:t>配胶、喷胶及烘干、发泡</w:t>
            </w:r>
          </w:p>
        </w:tc>
        <w:tc>
          <w:tcPr>
            <w:tcW w:w="825" w:type="pct"/>
            <w:tcBorders>
              <w:tl2br w:val="nil"/>
              <w:tr2bl w:val="nil"/>
            </w:tcBorders>
            <w:vAlign w:val="center"/>
          </w:tcPr>
          <w:p w14:paraId="0B2A2F17">
            <w:pPr>
              <w:pStyle w:val="83"/>
              <w:spacing w:line="240" w:lineRule="auto"/>
              <w:ind w:left="22" w:right="2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非甲烷总烃</w:t>
            </w:r>
          </w:p>
        </w:tc>
        <w:tc>
          <w:tcPr>
            <w:tcW w:w="527" w:type="pct"/>
            <w:tcBorders>
              <w:tl2br w:val="nil"/>
              <w:tr2bl w:val="nil"/>
            </w:tcBorders>
            <w:vAlign w:val="center"/>
          </w:tcPr>
          <w:p w14:paraId="4DC3F238">
            <w:pPr>
              <w:pStyle w:val="83"/>
              <w:spacing w:line="240" w:lineRule="auto"/>
              <w:ind w:left="22" w:right="22"/>
              <w:rPr>
                <w:rFonts w:hint="default" w:ascii="Times New Roman" w:hAnsi="Times New Roman" w:cs="Times New Roman"/>
                <w:color w:val="auto"/>
              </w:rPr>
            </w:pPr>
            <w:r>
              <w:rPr>
                <w:rFonts w:hint="eastAsia" w:ascii="Times New Roman" w:hAnsi="Times New Roman" w:eastAsia="宋体" w:cs="Times New Roman"/>
                <w:color w:val="auto"/>
                <w:lang w:val="en-US" w:eastAsia="zh-CN"/>
              </w:rPr>
              <w:t>车间密闭，集气罩</w:t>
            </w:r>
            <w:r>
              <w:rPr>
                <w:rFonts w:hint="default" w:ascii="Times New Roman" w:hAnsi="Times New Roman" w:cs="Times New Roman"/>
                <w:color w:val="auto"/>
              </w:rPr>
              <w:t>收集</w:t>
            </w:r>
          </w:p>
        </w:tc>
        <w:tc>
          <w:tcPr>
            <w:tcW w:w="1136" w:type="pct"/>
            <w:vMerge w:val="continue"/>
            <w:tcBorders>
              <w:tl2br w:val="nil"/>
              <w:tr2bl w:val="nil"/>
            </w:tcBorders>
            <w:vAlign w:val="center"/>
          </w:tcPr>
          <w:p w14:paraId="6492B6F9">
            <w:pPr>
              <w:pStyle w:val="83"/>
              <w:spacing w:line="240" w:lineRule="auto"/>
              <w:ind w:left="22" w:right="22"/>
              <w:rPr>
                <w:rFonts w:hint="default" w:ascii="Times New Roman" w:hAnsi="Times New Roman" w:cs="Times New Roman"/>
                <w:color w:val="FF0000"/>
                <w:highlight w:val="green"/>
              </w:rPr>
            </w:pPr>
          </w:p>
        </w:tc>
        <w:tc>
          <w:tcPr>
            <w:tcW w:w="793" w:type="pct"/>
            <w:tcBorders>
              <w:top w:val="single" w:color="000000" w:sz="4" w:space="0"/>
              <w:tl2br w:val="nil"/>
              <w:tr2bl w:val="nil"/>
            </w:tcBorders>
            <w:vAlign w:val="center"/>
          </w:tcPr>
          <w:p w14:paraId="21B7FEC8">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4.0</w:t>
            </w:r>
          </w:p>
        </w:tc>
        <w:tc>
          <w:tcPr>
            <w:tcW w:w="606" w:type="pct"/>
            <w:tcBorders>
              <w:tl2br w:val="nil"/>
              <w:tr2bl w:val="nil"/>
            </w:tcBorders>
            <w:vAlign w:val="center"/>
          </w:tcPr>
          <w:p w14:paraId="6744C9AE">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1.088</w:t>
            </w:r>
          </w:p>
        </w:tc>
      </w:tr>
      <w:tr w14:paraId="5ECBE95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7"/>
            <w:tcBorders>
              <w:tl2br w:val="nil"/>
              <w:tr2bl w:val="nil"/>
            </w:tcBorders>
            <w:vAlign w:val="center"/>
          </w:tcPr>
          <w:p w14:paraId="29CEFE32">
            <w:pPr>
              <w:pStyle w:val="83"/>
              <w:spacing w:line="240" w:lineRule="auto"/>
              <w:ind w:left="22" w:right="22"/>
              <w:rPr>
                <w:rFonts w:hint="default" w:ascii="Times New Roman" w:hAnsi="Times New Roman" w:cs="Times New Roman"/>
                <w:color w:val="FF0000"/>
              </w:rPr>
            </w:pPr>
            <w:r>
              <w:rPr>
                <w:rFonts w:hint="default" w:ascii="Times New Roman" w:hAnsi="Times New Roman" w:cs="Times New Roman"/>
                <w:color w:val="auto"/>
              </w:rPr>
              <w:t>无组织排放总计</w:t>
            </w:r>
          </w:p>
        </w:tc>
      </w:tr>
      <w:tr w14:paraId="4E253F4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1935" w:type="pct"/>
            <w:gridSpan w:val="3"/>
            <w:vMerge w:val="restart"/>
            <w:tcBorders>
              <w:tl2br w:val="nil"/>
              <w:tr2bl w:val="nil"/>
            </w:tcBorders>
            <w:vAlign w:val="center"/>
          </w:tcPr>
          <w:p w14:paraId="0CECB9D0">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无组织排放汇总</w:t>
            </w:r>
          </w:p>
        </w:tc>
        <w:tc>
          <w:tcPr>
            <w:tcW w:w="2457" w:type="pct"/>
            <w:gridSpan w:val="3"/>
            <w:tcBorders>
              <w:tl2br w:val="nil"/>
              <w:tr2bl w:val="nil"/>
            </w:tcBorders>
            <w:vAlign w:val="center"/>
          </w:tcPr>
          <w:p w14:paraId="2F4F17F4">
            <w:pPr>
              <w:pStyle w:val="37"/>
              <w:bidi w:val="0"/>
              <w:ind w:firstLine="0" w:firstLineChars="0"/>
              <w:rPr>
                <w:rFonts w:hint="default" w:ascii="Times New Roman" w:hAnsi="Times New Roman" w:cs="Times New Roman"/>
                <w:color w:val="auto"/>
              </w:rPr>
            </w:pPr>
            <w:r>
              <w:rPr>
                <w:rFonts w:hint="default" w:ascii="Times New Roman" w:hAnsi="Times New Roman" w:cs="Times New Roman"/>
                <w:color w:val="auto"/>
                <w:highlight w:val="none"/>
                <w:lang w:val="en-US" w:eastAsia="zh-CN"/>
              </w:rPr>
              <w:t>非甲烷总烃</w:t>
            </w:r>
          </w:p>
        </w:tc>
        <w:tc>
          <w:tcPr>
            <w:tcW w:w="606" w:type="pct"/>
            <w:tcBorders>
              <w:tl2br w:val="nil"/>
              <w:tr2bl w:val="nil"/>
            </w:tcBorders>
            <w:vAlign w:val="center"/>
          </w:tcPr>
          <w:p w14:paraId="4E3CD2F8">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5.347</w:t>
            </w:r>
          </w:p>
        </w:tc>
      </w:tr>
      <w:tr w14:paraId="770E8E7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935" w:type="pct"/>
            <w:gridSpan w:val="3"/>
            <w:vMerge w:val="continue"/>
            <w:tcBorders>
              <w:tl2br w:val="nil"/>
              <w:tr2bl w:val="nil"/>
            </w:tcBorders>
            <w:vAlign w:val="center"/>
          </w:tcPr>
          <w:p w14:paraId="655BD2B0">
            <w:pPr>
              <w:pStyle w:val="83"/>
              <w:spacing w:line="240" w:lineRule="auto"/>
              <w:ind w:left="22" w:right="22"/>
              <w:rPr>
                <w:rFonts w:hint="default" w:ascii="Times New Roman" w:hAnsi="Times New Roman" w:cs="Times New Roman"/>
                <w:color w:val="auto"/>
              </w:rPr>
            </w:pPr>
          </w:p>
        </w:tc>
        <w:tc>
          <w:tcPr>
            <w:tcW w:w="2457" w:type="pct"/>
            <w:gridSpan w:val="3"/>
            <w:tcBorders>
              <w:tl2br w:val="nil"/>
              <w:tr2bl w:val="nil"/>
            </w:tcBorders>
            <w:vAlign w:val="center"/>
          </w:tcPr>
          <w:p w14:paraId="43D35F66">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丙烯腈</w:t>
            </w:r>
          </w:p>
        </w:tc>
        <w:tc>
          <w:tcPr>
            <w:tcW w:w="1035" w:type="dxa"/>
            <w:tcBorders>
              <w:tl2br w:val="nil"/>
              <w:tr2bl w:val="nil"/>
            </w:tcBorders>
            <w:vAlign w:val="center"/>
          </w:tcPr>
          <w:p w14:paraId="3A7796E3">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0.002</w:t>
            </w:r>
          </w:p>
        </w:tc>
      </w:tr>
      <w:tr w14:paraId="7074CC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935" w:type="pct"/>
            <w:gridSpan w:val="3"/>
            <w:vMerge w:val="continue"/>
            <w:tcBorders>
              <w:tl2br w:val="nil"/>
              <w:tr2bl w:val="nil"/>
            </w:tcBorders>
            <w:vAlign w:val="center"/>
          </w:tcPr>
          <w:p w14:paraId="7D261843">
            <w:pPr>
              <w:pStyle w:val="83"/>
              <w:spacing w:line="240" w:lineRule="auto"/>
              <w:ind w:left="22" w:right="22"/>
              <w:rPr>
                <w:rFonts w:hint="default" w:ascii="Times New Roman" w:hAnsi="Times New Roman" w:cs="Times New Roman"/>
                <w:color w:val="auto"/>
              </w:rPr>
            </w:pPr>
          </w:p>
        </w:tc>
        <w:tc>
          <w:tcPr>
            <w:tcW w:w="2457" w:type="pct"/>
            <w:gridSpan w:val="3"/>
            <w:tcBorders>
              <w:tl2br w:val="nil"/>
              <w:tr2bl w:val="nil"/>
            </w:tcBorders>
            <w:vAlign w:val="center"/>
          </w:tcPr>
          <w:p w14:paraId="0886C1E5">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乙苯</w:t>
            </w:r>
          </w:p>
        </w:tc>
        <w:tc>
          <w:tcPr>
            <w:tcW w:w="1035" w:type="dxa"/>
            <w:tcBorders>
              <w:tl2br w:val="nil"/>
              <w:tr2bl w:val="nil"/>
            </w:tcBorders>
            <w:vAlign w:val="center"/>
          </w:tcPr>
          <w:p w14:paraId="3E4F125D">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0.0031</w:t>
            </w:r>
          </w:p>
        </w:tc>
      </w:tr>
      <w:tr w14:paraId="1675A6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935" w:type="pct"/>
            <w:gridSpan w:val="3"/>
            <w:vMerge w:val="continue"/>
            <w:tcBorders>
              <w:tl2br w:val="nil"/>
              <w:tr2bl w:val="nil"/>
            </w:tcBorders>
            <w:vAlign w:val="center"/>
          </w:tcPr>
          <w:p w14:paraId="15A7DE89">
            <w:pPr>
              <w:pStyle w:val="83"/>
              <w:spacing w:line="240" w:lineRule="auto"/>
              <w:ind w:left="22" w:right="22"/>
              <w:rPr>
                <w:rFonts w:hint="default" w:ascii="Times New Roman" w:hAnsi="Times New Roman" w:cs="Times New Roman"/>
                <w:color w:val="auto"/>
              </w:rPr>
            </w:pPr>
          </w:p>
        </w:tc>
        <w:tc>
          <w:tcPr>
            <w:tcW w:w="2457" w:type="pct"/>
            <w:gridSpan w:val="3"/>
            <w:tcBorders>
              <w:tl2br w:val="nil"/>
              <w:tr2bl w:val="nil"/>
            </w:tcBorders>
            <w:vAlign w:val="center"/>
          </w:tcPr>
          <w:p w14:paraId="695DA50B">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甲苯</w:t>
            </w:r>
          </w:p>
        </w:tc>
        <w:tc>
          <w:tcPr>
            <w:tcW w:w="1035" w:type="dxa"/>
            <w:tcBorders>
              <w:tl2br w:val="nil"/>
              <w:tr2bl w:val="nil"/>
            </w:tcBorders>
            <w:vAlign w:val="center"/>
          </w:tcPr>
          <w:p w14:paraId="0F2884EF">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0.0066</w:t>
            </w:r>
          </w:p>
        </w:tc>
      </w:tr>
      <w:tr w14:paraId="7279DF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935" w:type="pct"/>
            <w:gridSpan w:val="3"/>
            <w:vMerge w:val="continue"/>
            <w:tcBorders>
              <w:tl2br w:val="nil"/>
              <w:tr2bl w:val="nil"/>
            </w:tcBorders>
            <w:vAlign w:val="center"/>
          </w:tcPr>
          <w:p w14:paraId="456CC4A2">
            <w:pPr>
              <w:pStyle w:val="83"/>
              <w:spacing w:line="240" w:lineRule="auto"/>
              <w:ind w:left="22" w:right="22"/>
              <w:rPr>
                <w:rFonts w:hint="default" w:ascii="Times New Roman" w:hAnsi="Times New Roman" w:cs="Times New Roman"/>
                <w:color w:val="auto"/>
              </w:rPr>
            </w:pPr>
          </w:p>
        </w:tc>
        <w:tc>
          <w:tcPr>
            <w:tcW w:w="2457" w:type="pct"/>
            <w:gridSpan w:val="3"/>
            <w:tcBorders>
              <w:tl2br w:val="nil"/>
              <w:tr2bl w:val="nil"/>
            </w:tcBorders>
            <w:vAlign w:val="center"/>
          </w:tcPr>
          <w:p w14:paraId="5F2719D9">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1,3-丁二烯</w:t>
            </w:r>
          </w:p>
        </w:tc>
        <w:tc>
          <w:tcPr>
            <w:tcW w:w="1035" w:type="dxa"/>
            <w:tcBorders>
              <w:tl2br w:val="nil"/>
              <w:tr2bl w:val="nil"/>
            </w:tcBorders>
            <w:vAlign w:val="center"/>
          </w:tcPr>
          <w:p w14:paraId="751E18AA">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0.0009</w:t>
            </w:r>
          </w:p>
        </w:tc>
      </w:tr>
      <w:tr w14:paraId="168C8E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935" w:type="pct"/>
            <w:gridSpan w:val="3"/>
            <w:vMerge w:val="continue"/>
            <w:tcBorders>
              <w:tl2br w:val="nil"/>
              <w:tr2bl w:val="nil"/>
            </w:tcBorders>
            <w:vAlign w:val="center"/>
          </w:tcPr>
          <w:p w14:paraId="2445EC36">
            <w:pPr>
              <w:pStyle w:val="83"/>
              <w:spacing w:line="240" w:lineRule="auto"/>
              <w:ind w:left="22" w:right="22"/>
              <w:rPr>
                <w:rFonts w:hint="default" w:ascii="Times New Roman" w:hAnsi="Times New Roman" w:cs="Times New Roman"/>
                <w:color w:val="auto"/>
              </w:rPr>
            </w:pPr>
          </w:p>
        </w:tc>
        <w:tc>
          <w:tcPr>
            <w:tcW w:w="2457" w:type="pct"/>
            <w:gridSpan w:val="3"/>
            <w:tcBorders>
              <w:tl2br w:val="nil"/>
              <w:tr2bl w:val="nil"/>
            </w:tcBorders>
            <w:vAlign w:val="center"/>
          </w:tcPr>
          <w:p w14:paraId="37DE4558">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酚类</w:t>
            </w:r>
          </w:p>
        </w:tc>
        <w:tc>
          <w:tcPr>
            <w:tcW w:w="1035" w:type="dxa"/>
            <w:tcBorders>
              <w:tl2br w:val="nil"/>
              <w:tr2bl w:val="nil"/>
            </w:tcBorders>
            <w:vAlign w:val="center"/>
          </w:tcPr>
          <w:p w14:paraId="02EB33B9">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0.013</w:t>
            </w:r>
          </w:p>
        </w:tc>
      </w:tr>
      <w:tr w14:paraId="4D4F50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935" w:type="pct"/>
            <w:gridSpan w:val="3"/>
            <w:vMerge w:val="continue"/>
            <w:tcBorders>
              <w:tl2br w:val="nil"/>
              <w:tr2bl w:val="nil"/>
            </w:tcBorders>
            <w:vAlign w:val="center"/>
          </w:tcPr>
          <w:p w14:paraId="0F72FACD">
            <w:pPr>
              <w:pStyle w:val="83"/>
              <w:spacing w:line="240" w:lineRule="auto"/>
              <w:ind w:left="22" w:right="22"/>
              <w:rPr>
                <w:rFonts w:hint="default" w:ascii="Times New Roman" w:hAnsi="Times New Roman" w:cs="Times New Roman"/>
                <w:color w:val="auto"/>
              </w:rPr>
            </w:pPr>
          </w:p>
        </w:tc>
        <w:tc>
          <w:tcPr>
            <w:tcW w:w="2457" w:type="pct"/>
            <w:gridSpan w:val="3"/>
            <w:tcBorders>
              <w:tl2br w:val="nil"/>
              <w:tr2bl w:val="nil"/>
            </w:tcBorders>
            <w:vAlign w:val="center"/>
          </w:tcPr>
          <w:p w14:paraId="2BC54F8F">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氯苯类</w:t>
            </w:r>
          </w:p>
        </w:tc>
        <w:tc>
          <w:tcPr>
            <w:tcW w:w="1035" w:type="dxa"/>
            <w:tcBorders>
              <w:tl2br w:val="nil"/>
              <w:tr2bl w:val="nil"/>
            </w:tcBorders>
            <w:vAlign w:val="center"/>
          </w:tcPr>
          <w:p w14:paraId="5191CEC0">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0.008</w:t>
            </w:r>
          </w:p>
        </w:tc>
      </w:tr>
      <w:tr w14:paraId="34921D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935" w:type="pct"/>
            <w:gridSpan w:val="3"/>
            <w:vMerge w:val="continue"/>
            <w:tcBorders>
              <w:tl2br w:val="nil"/>
              <w:tr2bl w:val="nil"/>
            </w:tcBorders>
            <w:vAlign w:val="center"/>
          </w:tcPr>
          <w:p w14:paraId="4B0A52FA">
            <w:pPr>
              <w:pStyle w:val="83"/>
              <w:spacing w:line="240" w:lineRule="auto"/>
              <w:ind w:left="22" w:right="22"/>
              <w:rPr>
                <w:rFonts w:hint="default" w:ascii="Times New Roman" w:hAnsi="Times New Roman" w:cs="Times New Roman"/>
                <w:color w:val="auto"/>
              </w:rPr>
            </w:pPr>
          </w:p>
        </w:tc>
        <w:tc>
          <w:tcPr>
            <w:tcW w:w="2457" w:type="pct"/>
            <w:gridSpan w:val="3"/>
            <w:tcBorders>
              <w:tl2br w:val="nil"/>
              <w:tr2bl w:val="nil"/>
            </w:tcBorders>
            <w:vAlign w:val="center"/>
          </w:tcPr>
          <w:p w14:paraId="0D3EC83A">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二氯甲烷</w:t>
            </w:r>
          </w:p>
        </w:tc>
        <w:tc>
          <w:tcPr>
            <w:tcW w:w="1035" w:type="dxa"/>
            <w:tcBorders>
              <w:tl2br w:val="nil"/>
              <w:tr2bl w:val="nil"/>
            </w:tcBorders>
            <w:vAlign w:val="center"/>
          </w:tcPr>
          <w:p w14:paraId="1B779B1B">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0.089</w:t>
            </w:r>
          </w:p>
        </w:tc>
      </w:tr>
      <w:tr w14:paraId="5A109A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935" w:type="pct"/>
            <w:gridSpan w:val="3"/>
            <w:vMerge w:val="continue"/>
            <w:tcBorders>
              <w:tl2br w:val="nil"/>
              <w:tr2bl w:val="nil"/>
            </w:tcBorders>
            <w:vAlign w:val="center"/>
          </w:tcPr>
          <w:p w14:paraId="2B280859">
            <w:pPr>
              <w:pStyle w:val="83"/>
              <w:spacing w:line="240" w:lineRule="auto"/>
              <w:ind w:left="22" w:right="22"/>
              <w:rPr>
                <w:rFonts w:hint="default" w:ascii="Times New Roman" w:hAnsi="Times New Roman" w:cs="Times New Roman"/>
                <w:color w:val="auto"/>
              </w:rPr>
            </w:pPr>
          </w:p>
        </w:tc>
        <w:tc>
          <w:tcPr>
            <w:tcW w:w="2457" w:type="pct"/>
            <w:gridSpan w:val="3"/>
            <w:tcBorders>
              <w:tl2br w:val="nil"/>
              <w:tr2bl w:val="nil"/>
            </w:tcBorders>
            <w:vAlign w:val="center"/>
          </w:tcPr>
          <w:p w14:paraId="4E4EC668">
            <w:pPr>
              <w:pStyle w:val="37"/>
              <w:bidi w:val="0"/>
              <w:ind w:firstLine="0" w:firstLineChars="0"/>
              <w:rPr>
                <w:rFonts w:hint="default" w:ascii="Times New Roman" w:hAnsi="Times New Roman" w:cs="Times New Roman"/>
                <w:color w:val="auto"/>
              </w:rPr>
            </w:pPr>
            <w:r>
              <w:rPr>
                <w:rFonts w:hint="eastAsia" w:ascii="Times New Roman" w:hAnsi="Times New Roman" w:cs="Times New Roman"/>
                <w:color w:val="auto"/>
                <w:highlight w:val="none"/>
                <w:lang w:val="en-US" w:eastAsia="zh-CN"/>
              </w:rPr>
              <w:t>苯乙烯</w:t>
            </w:r>
          </w:p>
        </w:tc>
        <w:tc>
          <w:tcPr>
            <w:tcW w:w="1035" w:type="dxa"/>
            <w:tcBorders>
              <w:tl2br w:val="nil"/>
              <w:tr2bl w:val="nil"/>
            </w:tcBorders>
            <w:vAlign w:val="center"/>
          </w:tcPr>
          <w:p w14:paraId="49A09192">
            <w:pPr>
              <w:pStyle w:val="83"/>
              <w:spacing w:line="240" w:lineRule="auto"/>
              <w:ind w:left="19" w:leftChars="9" w:right="19" w:rightChars="9" w:firstLine="0" w:firstLineChars="0"/>
              <w:rPr>
                <w:rFonts w:hint="default" w:ascii="Times New Roman" w:hAnsi="Times New Roman" w:cs="Times New Roman"/>
                <w:color w:val="FF0000"/>
              </w:rPr>
            </w:pPr>
            <w:r>
              <w:rPr>
                <w:rFonts w:hint="eastAsia" w:ascii="Times New Roman" w:hAnsi="Times New Roman" w:eastAsia="宋体" w:cs="Times New Roman"/>
                <w:color w:val="auto"/>
                <w:lang w:val="en-US" w:eastAsia="zh-CN"/>
              </w:rPr>
              <w:t>0.005</w:t>
            </w:r>
          </w:p>
        </w:tc>
      </w:tr>
      <w:tr w14:paraId="105A3A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3" w:hRule="atLeast"/>
          <w:jc w:val="center"/>
        </w:trPr>
        <w:tc>
          <w:tcPr>
            <w:tcW w:w="1935" w:type="pct"/>
            <w:gridSpan w:val="3"/>
            <w:vMerge w:val="continue"/>
            <w:tcBorders>
              <w:tl2br w:val="nil"/>
              <w:tr2bl w:val="nil"/>
            </w:tcBorders>
            <w:vAlign w:val="center"/>
          </w:tcPr>
          <w:p w14:paraId="7B5B6FC9">
            <w:pPr>
              <w:pStyle w:val="83"/>
              <w:spacing w:line="240" w:lineRule="auto"/>
              <w:ind w:left="22" w:right="22"/>
              <w:rPr>
                <w:rFonts w:hint="default" w:ascii="Times New Roman" w:hAnsi="Times New Roman" w:cs="Times New Roman"/>
                <w:color w:val="auto"/>
              </w:rPr>
            </w:pPr>
          </w:p>
        </w:tc>
        <w:tc>
          <w:tcPr>
            <w:tcW w:w="2457" w:type="pct"/>
            <w:gridSpan w:val="3"/>
            <w:tcBorders>
              <w:tl2br w:val="nil"/>
              <w:tr2bl w:val="nil"/>
            </w:tcBorders>
            <w:vAlign w:val="center"/>
          </w:tcPr>
          <w:p w14:paraId="54D329D2">
            <w:pPr>
              <w:pStyle w:val="83"/>
              <w:spacing w:line="240" w:lineRule="auto"/>
              <w:ind w:left="22" w:right="22"/>
              <w:rPr>
                <w:rFonts w:hint="default" w:ascii="Times New Roman" w:hAnsi="Times New Roman" w:cs="Times New Roman"/>
                <w:color w:val="auto"/>
              </w:rPr>
            </w:pPr>
            <w:r>
              <w:rPr>
                <w:rFonts w:hint="default" w:ascii="Times New Roman" w:hAnsi="Times New Roman" w:cs="Times New Roman"/>
                <w:color w:val="auto"/>
              </w:rPr>
              <w:t>颗粒物</w:t>
            </w:r>
          </w:p>
        </w:tc>
        <w:tc>
          <w:tcPr>
            <w:tcW w:w="606" w:type="pct"/>
            <w:tcBorders>
              <w:tl2br w:val="nil"/>
              <w:tr2bl w:val="nil"/>
            </w:tcBorders>
            <w:vAlign w:val="center"/>
          </w:tcPr>
          <w:p w14:paraId="526A2A3A">
            <w:pPr>
              <w:pStyle w:val="83"/>
              <w:spacing w:line="240" w:lineRule="auto"/>
              <w:ind w:left="22" w:right="22"/>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3.845</w:t>
            </w:r>
          </w:p>
        </w:tc>
      </w:tr>
    </w:tbl>
    <w:p w14:paraId="3C774181">
      <w:pPr>
        <w:pStyle w:val="44"/>
        <w:tabs>
          <w:tab w:val="left" w:pos="567"/>
          <w:tab w:val="clear" w:pos="1120"/>
        </w:tabs>
        <w:bidi w:val="0"/>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rPr>
        <w:t>表</w:t>
      </w:r>
      <w:r>
        <w:rPr>
          <w:rFonts w:hint="eastAsia" w:ascii="Times New Roman" w:hAnsi="Times New Roman" w:cs="Times New Roman"/>
          <w:color w:val="auto"/>
          <w:lang w:val="en-US" w:eastAsia="zh-CN"/>
        </w:rPr>
        <w:t>5.2</w:t>
      </w:r>
      <w:r>
        <w:rPr>
          <w:rFonts w:hint="default" w:ascii="Times New Roman" w:hAnsi="Times New Roman" w:cs="Times New Roman"/>
          <w:color w:val="auto"/>
          <w:lang w:eastAsia="zh-CN"/>
        </w:rPr>
        <w:t>-</w:t>
      </w:r>
      <w:r>
        <w:rPr>
          <w:rFonts w:hint="eastAsia" w:cs="Times New Roman"/>
          <w:color w:val="auto"/>
          <w:lang w:val="en-US" w:eastAsia="zh-CN"/>
        </w:rPr>
        <w:t>7</w:t>
      </w:r>
      <w:r>
        <w:rPr>
          <w:rFonts w:hint="default" w:ascii="Times New Roman" w:hAnsi="Times New Roman" w:eastAsia="宋体" w:cs="Times New Roman"/>
          <w:color w:val="auto"/>
          <w:highlight w:val="none"/>
          <w:lang w:val="en-US"/>
        </w:rPr>
        <w:t xml:space="preserve"> </w:t>
      </w:r>
      <w:r>
        <w:rPr>
          <w:rFonts w:hint="default" w:ascii="Times New Roman" w:hAnsi="Times New Roman" w:eastAsia="宋体" w:cs="Times New Roman"/>
          <w:color w:val="auto"/>
          <w:highlight w:val="none"/>
        </w:rPr>
        <w:t>大气污染物排放量核算表</w:t>
      </w:r>
    </w:p>
    <w:tbl>
      <w:tblPr>
        <w:tblStyle w:val="22"/>
        <w:tblW w:w="8562" w:type="dxa"/>
        <w:tblInd w:w="-119"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290"/>
        <w:gridCol w:w="2452"/>
        <w:gridCol w:w="3820"/>
      </w:tblGrid>
      <w:tr w14:paraId="2EDD3F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5" w:hRule="atLeast"/>
        </w:trPr>
        <w:tc>
          <w:tcPr>
            <w:tcW w:w="2290" w:type="dxa"/>
            <w:tcBorders>
              <w:tl2br w:val="nil"/>
              <w:tr2bl w:val="nil"/>
            </w:tcBorders>
            <w:vAlign w:val="center"/>
          </w:tcPr>
          <w:p w14:paraId="4DBD837D">
            <w:pPr>
              <w:pStyle w:val="34"/>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2452" w:type="dxa"/>
            <w:tcBorders>
              <w:tl2br w:val="nil"/>
              <w:tr2bl w:val="nil"/>
            </w:tcBorders>
            <w:vAlign w:val="center"/>
          </w:tcPr>
          <w:p w14:paraId="1E26E9F3">
            <w:pPr>
              <w:pStyle w:val="34"/>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w:t>
            </w:r>
          </w:p>
        </w:tc>
        <w:tc>
          <w:tcPr>
            <w:tcW w:w="3820" w:type="dxa"/>
            <w:tcBorders>
              <w:tl2br w:val="nil"/>
              <w:tr2bl w:val="nil"/>
            </w:tcBorders>
            <w:vAlign w:val="center"/>
          </w:tcPr>
          <w:p w14:paraId="25CF622B">
            <w:pPr>
              <w:pStyle w:val="34"/>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排放量/（t/a）</w:t>
            </w:r>
          </w:p>
        </w:tc>
      </w:tr>
      <w:tr w14:paraId="641F0A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6" w:hRule="atLeast"/>
        </w:trPr>
        <w:tc>
          <w:tcPr>
            <w:tcW w:w="2290" w:type="dxa"/>
            <w:tcBorders>
              <w:tl2br w:val="nil"/>
              <w:tr2bl w:val="nil"/>
            </w:tcBorders>
            <w:vAlign w:val="center"/>
          </w:tcPr>
          <w:p w14:paraId="2F70E112">
            <w:pPr>
              <w:pStyle w:val="34"/>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2452" w:type="dxa"/>
            <w:tcBorders>
              <w:tl2br w:val="nil"/>
              <w:tr2bl w:val="nil"/>
            </w:tcBorders>
            <w:shd w:val="clear" w:color="auto" w:fill="auto"/>
            <w:vAlign w:val="center"/>
          </w:tcPr>
          <w:p w14:paraId="706D0D7F">
            <w:pPr>
              <w:pStyle w:val="37"/>
              <w:bidi w:val="0"/>
              <w:ind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非甲烷总烃</w:t>
            </w:r>
          </w:p>
        </w:tc>
        <w:tc>
          <w:tcPr>
            <w:tcW w:w="3820" w:type="dxa"/>
            <w:tcBorders>
              <w:tl2br w:val="nil"/>
              <w:tr2bl w:val="nil"/>
            </w:tcBorders>
            <w:vAlign w:val="center"/>
          </w:tcPr>
          <w:p w14:paraId="5D71CEA3">
            <w:pPr>
              <w:pStyle w:val="3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21.189</w:t>
            </w:r>
          </w:p>
        </w:tc>
      </w:tr>
      <w:tr w14:paraId="671A1F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5" w:hRule="atLeast"/>
        </w:trPr>
        <w:tc>
          <w:tcPr>
            <w:tcW w:w="2290" w:type="dxa"/>
            <w:tcBorders>
              <w:tl2br w:val="nil"/>
              <w:tr2bl w:val="nil"/>
            </w:tcBorders>
            <w:vAlign w:val="center"/>
          </w:tcPr>
          <w:p w14:paraId="4D3CEC49">
            <w:pPr>
              <w:pStyle w:val="34"/>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2452" w:type="dxa"/>
            <w:tcBorders>
              <w:tl2br w:val="nil"/>
              <w:tr2bl w:val="nil"/>
            </w:tcBorders>
            <w:shd w:val="clear" w:color="auto" w:fill="auto"/>
            <w:vAlign w:val="center"/>
          </w:tcPr>
          <w:p w14:paraId="1C2A2710">
            <w:pPr>
              <w:pStyle w:val="37"/>
              <w:bidi w:val="0"/>
              <w:ind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cs="Times New Roman"/>
                <w:color w:val="auto"/>
                <w:highlight w:val="none"/>
                <w:lang w:val="en-US" w:eastAsia="zh-CN"/>
              </w:rPr>
              <w:t>丙烯腈</w:t>
            </w:r>
          </w:p>
        </w:tc>
        <w:tc>
          <w:tcPr>
            <w:tcW w:w="3820" w:type="dxa"/>
            <w:tcBorders>
              <w:tl2br w:val="nil"/>
              <w:tr2bl w:val="nil"/>
            </w:tcBorders>
            <w:vAlign w:val="center"/>
          </w:tcPr>
          <w:p w14:paraId="561961CA">
            <w:pPr>
              <w:pStyle w:val="3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0.003</w:t>
            </w:r>
          </w:p>
        </w:tc>
      </w:tr>
      <w:tr w14:paraId="4BB4F6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5" w:hRule="atLeast"/>
        </w:trPr>
        <w:tc>
          <w:tcPr>
            <w:tcW w:w="2290" w:type="dxa"/>
            <w:tcBorders>
              <w:tl2br w:val="nil"/>
              <w:tr2bl w:val="nil"/>
            </w:tcBorders>
            <w:vAlign w:val="center"/>
          </w:tcPr>
          <w:p w14:paraId="5E08783F">
            <w:pPr>
              <w:pStyle w:val="34"/>
              <w:bidi w:val="0"/>
              <w:jc w:val="center"/>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rPr>
              <w:t>3</w:t>
            </w:r>
          </w:p>
        </w:tc>
        <w:tc>
          <w:tcPr>
            <w:tcW w:w="2452" w:type="dxa"/>
            <w:tcBorders>
              <w:tl2br w:val="nil"/>
              <w:tr2bl w:val="nil"/>
            </w:tcBorders>
            <w:shd w:val="clear" w:color="auto" w:fill="auto"/>
            <w:vAlign w:val="center"/>
          </w:tcPr>
          <w:p w14:paraId="3BFE00DD">
            <w:pPr>
              <w:pStyle w:val="37"/>
              <w:bidi w:val="0"/>
              <w:ind w:firstLine="0" w:firstLineChars="0"/>
              <w:jc w:val="center"/>
              <w:rPr>
                <w:rFonts w:hint="default" w:ascii="Times New Roman" w:hAnsi="Times New Roman" w:eastAsia="宋体" w:cs="Times New Roman"/>
                <w:snapToGrid w:val="0"/>
                <w:color w:val="auto"/>
                <w:kern w:val="2"/>
                <w:sz w:val="21"/>
                <w:szCs w:val="21"/>
                <w:lang w:val="en-US" w:eastAsia="zh-CN" w:bidi="ar-SA"/>
              </w:rPr>
            </w:pPr>
            <w:r>
              <w:rPr>
                <w:rFonts w:hint="eastAsia" w:ascii="Times New Roman" w:hAnsi="Times New Roman" w:cs="Times New Roman"/>
                <w:color w:val="auto"/>
                <w:highlight w:val="none"/>
                <w:lang w:val="en-US" w:eastAsia="zh-CN"/>
              </w:rPr>
              <w:t>乙苯</w:t>
            </w:r>
          </w:p>
        </w:tc>
        <w:tc>
          <w:tcPr>
            <w:tcW w:w="3820" w:type="dxa"/>
            <w:tcBorders>
              <w:tl2br w:val="nil"/>
              <w:tr2bl w:val="nil"/>
            </w:tcBorders>
            <w:vAlign w:val="center"/>
          </w:tcPr>
          <w:p w14:paraId="730CFCCB">
            <w:pPr>
              <w:pStyle w:val="3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0.0051</w:t>
            </w:r>
          </w:p>
        </w:tc>
      </w:tr>
      <w:tr w14:paraId="6DBE5E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5" w:hRule="atLeast"/>
        </w:trPr>
        <w:tc>
          <w:tcPr>
            <w:tcW w:w="2290" w:type="dxa"/>
            <w:tcBorders>
              <w:tl2br w:val="nil"/>
              <w:tr2bl w:val="nil"/>
            </w:tcBorders>
            <w:vAlign w:val="center"/>
          </w:tcPr>
          <w:p w14:paraId="75DFCA2A">
            <w:pPr>
              <w:pStyle w:val="34"/>
              <w:bidi w:val="0"/>
              <w:jc w:val="center"/>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rPr>
              <w:t>4</w:t>
            </w:r>
          </w:p>
        </w:tc>
        <w:tc>
          <w:tcPr>
            <w:tcW w:w="2452" w:type="dxa"/>
            <w:tcBorders>
              <w:tl2br w:val="nil"/>
              <w:tr2bl w:val="nil"/>
            </w:tcBorders>
            <w:shd w:val="clear" w:color="auto" w:fill="auto"/>
            <w:vAlign w:val="center"/>
          </w:tcPr>
          <w:p w14:paraId="20E07712">
            <w:pPr>
              <w:pStyle w:val="37"/>
              <w:bidi w:val="0"/>
              <w:ind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cs="Times New Roman"/>
                <w:color w:val="auto"/>
                <w:highlight w:val="none"/>
                <w:lang w:val="en-US" w:eastAsia="zh-CN"/>
              </w:rPr>
              <w:t>甲苯</w:t>
            </w:r>
          </w:p>
        </w:tc>
        <w:tc>
          <w:tcPr>
            <w:tcW w:w="3820" w:type="dxa"/>
            <w:tcBorders>
              <w:tl2br w:val="nil"/>
              <w:tr2bl w:val="nil"/>
            </w:tcBorders>
            <w:shd w:val="clear" w:color="auto" w:fill="auto"/>
            <w:vAlign w:val="center"/>
          </w:tcPr>
          <w:p w14:paraId="6F964BE3">
            <w:pPr>
              <w:pStyle w:val="34"/>
              <w:bidi w:val="0"/>
              <w:ind w:left="0" w:leftChars="0"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0.0106</w:t>
            </w:r>
          </w:p>
        </w:tc>
      </w:tr>
      <w:tr w14:paraId="737D48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5" w:hRule="atLeast"/>
        </w:trPr>
        <w:tc>
          <w:tcPr>
            <w:tcW w:w="2290" w:type="dxa"/>
            <w:tcBorders>
              <w:tl2br w:val="nil"/>
              <w:tr2bl w:val="nil"/>
            </w:tcBorders>
            <w:vAlign w:val="center"/>
          </w:tcPr>
          <w:p w14:paraId="083B495F">
            <w:pPr>
              <w:pStyle w:val="34"/>
              <w:bidi w:val="0"/>
              <w:jc w:val="center"/>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rPr>
              <w:t>5</w:t>
            </w:r>
          </w:p>
        </w:tc>
        <w:tc>
          <w:tcPr>
            <w:tcW w:w="2452" w:type="dxa"/>
            <w:tcBorders>
              <w:tl2br w:val="nil"/>
              <w:tr2bl w:val="nil"/>
            </w:tcBorders>
            <w:shd w:val="clear" w:color="auto" w:fill="auto"/>
            <w:vAlign w:val="center"/>
          </w:tcPr>
          <w:p w14:paraId="6039B65D">
            <w:pPr>
              <w:pStyle w:val="37"/>
              <w:bidi w:val="0"/>
              <w:ind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cs="Times New Roman"/>
                <w:color w:val="auto"/>
                <w:highlight w:val="none"/>
                <w:lang w:val="en-US" w:eastAsia="zh-CN"/>
              </w:rPr>
              <w:t>1,3-丁二烯</w:t>
            </w:r>
          </w:p>
        </w:tc>
        <w:tc>
          <w:tcPr>
            <w:tcW w:w="3820" w:type="dxa"/>
            <w:tcBorders>
              <w:tl2br w:val="nil"/>
              <w:tr2bl w:val="nil"/>
            </w:tcBorders>
            <w:shd w:val="clear" w:color="auto" w:fill="auto"/>
            <w:vAlign w:val="center"/>
          </w:tcPr>
          <w:p w14:paraId="33680ABE">
            <w:pPr>
              <w:pStyle w:val="34"/>
              <w:bidi w:val="0"/>
              <w:ind w:left="0" w:leftChars="0"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0.0014</w:t>
            </w:r>
          </w:p>
        </w:tc>
      </w:tr>
      <w:tr w14:paraId="379E99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5" w:hRule="atLeast"/>
        </w:trPr>
        <w:tc>
          <w:tcPr>
            <w:tcW w:w="2290" w:type="dxa"/>
            <w:tcBorders>
              <w:tl2br w:val="nil"/>
              <w:tr2bl w:val="nil"/>
            </w:tcBorders>
            <w:vAlign w:val="center"/>
          </w:tcPr>
          <w:p w14:paraId="7AB9D70D">
            <w:pPr>
              <w:pStyle w:val="34"/>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w:t>
            </w:r>
          </w:p>
        </w:tc>
        <w:tc>
          <w:tcPr>
            <w:tcW w:w="2452" w:type="dxa"/>
            <w:tcBorders>
              <w:tl2br w:val="nil"/>
              <w:tr2bl w:val="nil"/>
            </w:tcBorders>
            <w:shd w:val="clear" w:color="auto" w:fill="auto"/>
            <w:vAlign w:val="center"/>
          </w:tcPr>
          <w:p w14:paraId="55E141D5">
            <w:pPr>
              <w:pStyle w:val="37"/>
              <w:bidi w:val="0"/>
              <w:ind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cs="Times New Roman"/>
                <w:color w:val="auto"/>
                <w:highlight w:val="none"/>
                <w:lang w:val="en-US" w:eastAsia="zh-CN"/>
              </w:rPr>
              <w:t>酚类</w:t>
            </w:r>
          </w:p>
        </w:tc>
        <w:tc>
          <w:tcPr>
            <w:tcW w:w="3820" w:type="dxa"/>
            <w:tcBorders>
              <w:tl2br w:val="nil"/>
              <w:tr2bl w:val="nil"/>
            </w:tcBorders>
            <w:shd w:val="clear" w:color="auto" w:fill="auto"/>
            <w:vAlign w:val="center"/>
          </w:tcPr>
          <w:p w14:paraId="208C1655">
            <w:pPr>
              <w:pStyle w:val="34"/>
              <w:bidi w:val="0"/>
              <w:ind w:left="0" w:leftChars="0"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0.02</w:t>
            </w:r>
          </w:p>
        </w:tc>
      </w:tr>
      <w:tr w14:paraId="4FE8CA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5" w:hRule="atLeast"/>
        </w:trPr>
        <w:tc>
          <w:tcPr>
            <w:tcW w:w="2290" w:type="dxa"/>
            <w:tcBorders>
              <w:tl2br w:val="nil"/>
              <w:tr2bl w:val="nil"/>
            </w:tcBorders>
            <w:vAlign w:val="center"/>
          </w:tcPr>
          <w:p w14:paraId="30D22BAF">
            <w:pPr>
              <w:pStyle w:val="3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w:t>
            </w:r>
          </w:p>
        </w:tc>
        <w:tc>
          <w:tcPr>
            <w:tcW w:w="2452" w:type="dxa"/>
            <w:tcBorders>
              <w:tl2br w:val="nil"/>
              <w:tr2bl w:val="nil"/>
            </w:tcBorders>
            <w:shd w:val="clear" w:color="auto" w:fill="auto"/>
            <w:vAlign w:val="center"/>
          </w:tcPr>
          <w:p w14:paraId="6E76AE5D">
            <w:pPr>
              <w:pStyle w:val="37"/>
              <w:bidi w:val="0"/>
              <w:ind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cs="Times New Roman"/>
                <w:color w:val="auto"/>
                <w:highlight w:val="none"/>
                <w:lang w:val="en-US" w:eastAsia="zh-CN"/>
              </w:rPr>
              <w:t>氯苯类</w:t>
            </w:r>
          </w:p>
        </w:tc>
        <w:tc>
          <w:tcPr>
            <w:tcW w:w="3820" w:type="dxa"/>
            <w:tcBorders>
              <w:tl2br w:val="nil"/>
              <w:tr2bl w:val="nil"/>
            </w:tcBorders>
            <w:shd w:val="clear" w:color="auto" w:fill="auto"/>
            <w:vAlign w:val="center"/>
          </w:tcPr>
          <w:p w14:paraId="56FDB6E8">
            <w:pPr>
              <w:pStyle w:val="34"/>
              <w:bidi w:val="0"/>
              <w:ind w:left="0" w:leftChars="0"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0.013</w:t>
            </w:r>
          </w:p>
        </w:tc>
      </w:tr>
      <w:tr w14:paraId="1C7517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5" w:hRule="atLeast"/>
        </w:trPr>
        <w:tc>
          <w:tcPr>
            <w:tcW w:w="2290" w:type="dxa"/>
            <w:tcBorders>
              <w:tl2br w:val="nil"/>
              <w:tr2bl w:val="nil"/>
            </w:tcBorders>
            <w:vAlign w:val="center"/>
          </w:tcPr>
          <w:p w14:paraId="3DB2D730">
            <w:pPr>
              <w:pStyle w:val="3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w:t>
            </w:r>
          </w:p>
        </w:tc>
        <w:tc>
          <w:tcPr>
            <w:tcW w:w="2452" w:type="dxa"/>
            <w:tcBorders>
              <w:tl2br w:val="nil"/>
              <w:tr2bl w:val="nil"/>
            </w:tcBorders>
            <w:shd w:val="clear" w:color="auto" w:fill="auto"/>
            <w:vAlign w:val="center"/>
          </w:tcPr>
          <w:p w14:paraId="6395CFFA">
            <w:pPr>
              <w:pStyle w:val="37"/>
              <w:bidi w:val="0"/>
              <w:ind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cs="Times New Roman"/>
                <w:color w:val="auto"/>
                <w:highlight w:val="none"/>
                <w:lang w:val="en-US" w:eastAsia="zh-CN"/>
              </w:rPr>
              <w:t>二氯甲烷</w:t>
            </w:r>
          </w:p>
        </w:tc>
        <w:tc>
          <w:tcPr>
            <w:tcW w:w="3820" w:type="dxa"/>
            <w:tcBorders>
              <w:tl2br w:val="nil"/>
              <w:tr2bl w:val="nil"/>
            </w:tcBorders>
            <w:shd w:val="clear" w:color="auto" w:fill="auto"/>
            <w:vAlign w:val="center"/>
          </w:tcPr>
          <w:p w14:paraId="39EF1068">
            <w:pPr>
              <w:pStyle w:val="34"/>
              <w:bidi w:val="0"/>
              <w:ind w:left="0" w:leftChars="0"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0.139</w:t>
            </w:r>
          </w:p>
        </w:tc>
      </w:tr>
      <w:tr w14:paraId="5C2A88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5" w:hRule="atLeast"/>
        </w:trPr>
        <w:tc>
          <w:tcPr>
            <w:tcW w:w="2290" w:type="dxa"/>
            <w:tcBorders>
              <w:tl2br w:val="nil"/>
              <w:tr2bl w:val="nil"/>
            </w:tcBorders>
            <w:vAlign w:val="center"/>
          </w:tcPr>
          <w:p w14:paraId="45B842E8">
            <w:pPr>
              <w:pStyle w:val="3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w:t>
            </w:r>
          </w:p>
        </w:tc>
        <w:tc>
          <w:tcPr>
            <w:tcW w:w="2452" w:type="dxa"/>
            <w:tcBorders>
              <w:tl2br w:val="nil"/>
              <w:tr2bl w:val="nil"/>
            </w:tcBorders>
            <w:shd w:val="clear" w:color="auto" w:fill="auto"/>
            <w:vAlign w:val="center"/>
          </w:tcPr>
          <w:p w14:paraId="4A9BCDBB">
            <w:pPr>
              <w:pStyle w:val="37"/>
              <w:bidi w:val="0"/>
              <w:ind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cs="Times New Roman"/>
                <w:color w:val="auto"/>
                <w:highlight w:val="none"/>
                <w:lang w:val="en-US" w:eastAsia="zh-CN"/>
              </w:rPr>
              <w:t>苯乙烯</w:t>
            </w:r>
          </w:p>
        </w:tc>
        <w:tc>
          <w:tcPr>
            <w:tcW w:w="3820" w:type="dxa"/>
            <w:tcBorders>
              <w:tl2br w:val="nil"/>
              <w:tr2bl w:val="nil"/>
            </w:tcBorders>
            <w:shd w:val="clear" w:color="auto" w:fill="auto"/>
            <w:vAlign w:val="center"/>
          </w:tcPr>
          <w:p w14:paraId="4101103F">
            <w:pPr>
              <w:pStyle w:val="34"/>
              <w:bidi w:val="0"/>
              <w:ind w:left="0" w:leftChars="0"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0.051</w:t>
            </w:r>
          </w:p>
        </w:tc>
      </w:tr>
      <w:tr w14:paraId="442C73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5" w:hRule="atLeast"/>
        </w:trPr>
        <w:tc>
          <w:tcPr>
            <w:tcW w:w="2290" w:type="dxa"/>
            <w:tcBorders>
              <w:tl2br w:val="nil"/>
              <w:tr2bl w:val="nil"/>
            </w:tcBorders>
            <w:vAlign w:val="center"/>
          </w:tcPr>
          <w:p w14:paraId="3F5D15C9">
            <w:pPr>
              <w:pStyle w:val="3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w:t>
            </w:r>
          </w:p>
        </w:tc>
        <w:tc>
          <w:tcPr>
            <w:tcW w:w="2452" w:type="dxa"/>
            <w:tcBorders>
              <w:tl2br w:val="nil"/>
              <w:tr2bl w:val="nil"/>
            </w:tcBorders>
            <w:shd w:val="clear" w:color="auto" w:fill="auto"/>
            <w:vAlign w:val="center"/>
          </w:tcPr>
          <w:p w14:paraId="1BB2E375">
            <w:pPr>
              <w:pStyle w:val="83"/>
              <w:spacing w:line="240" w:lineRule="auto"/>
              <w:ind w:left="19" w:leftChars="9" w:right="19" w:rightChars="9"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rPr>
              <w:t>颗粒物</w:t>
            </w:r>
          </w:p>
        </w:tc>
        <w:tc>
          <w:tcPr>
            <w:tcW w:w="3820" w:type="dxa"/>
            <w:tcBorders>
              <w:tl2br w:val="nil"/>
              <w:tr2bl w:val="nil"/>
            </w:tcBorders>
            <w:shd w:val="clear" w:color="auto" w:fill="auto"/>
            <w:vAlign w:val="center"/>
          </w:tcPr>
          <w:p w14:paraId="293A23A1">
            <w:pPr>
              <w:pStyle w:val="34"/>
              <w:bidi w:val="0"/>
              <w:ind w:left="0" w:leftChars="0" w:firstLine="0" w:firstLineChars="0"/>
              <w:jc w:val="center"/>
              <w:rPr>
                <w:rFonts w:hint="default" w:ascii="Times New Roman" w:hAnsi="Times New Roman" w:eastAsia="宋体" w:cs="Times New Roman"/>
                <w:snapToGrid w:val="0"/>
                <w:color w:val="FF0000"/>
                <w:kern w:val="2"/>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18.345</w:t>
            </w:r>
          </w:p>
        </w:tc>
      </w:tr>
      <w:tr w14:paraId="0A7C47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5" w:hRule="atLeast"/>
        </w:trPr>
        <w:tc>
          <w:tcPr>
            <w:tcW w:w="2290" w:type="dxa"/>
            <w:tcBorders>
              <w:tl2br w:val="nil"/>
              <w:tr2bl w:val="nil"/>
            </w:tcBorders>
            <w:vAlign w:val="center"/>
          </w:tcPr>
          <w:p w14:paraId="092C7FE3">
            <w:pPr>
              <w:pStyle w:val="3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w:t>
            </w:r>
          </w:p>
        </w:tc>
        <w:tc>
          <w:tcPr>
            <w:tcW w:w="2452" w:type="dxa"/>
            <w:tcBorders>
              <w:tl2br w:val="nil"/>
              <w:tr2bl w:val="nil"/>
            </w:tcBorders>
            <w:shd w:val="clear" w:color="auto" w:fill="auto"/>
            <w:vAlign w:val="center"/>
          </w:tcPr>
          <w:p w14:paraId="474C1627">
            <w:pPr>
              <w:pStyle w:val="83"/>
              <w:spacing w:line="240" w:lineRule="auto"/>
              <w:ind w:left="19" w:leftChars="9" w:right="19" w:rightChars="9"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color w:val="auto"/>
                <w:lang w:val="en-US" w:eastAsia="zh-CN"/>
              </w:rPr>
              <w:t>烟尘</w:t>
            </w:r>
          </w:p>
        </w:tc>
        <w:tc>
          <w:tcPr>
            <w:tcW w:w="3820" w:type="dxa"/>
            <w:tcBorders>
              <w:tl2br w:val="nil"/>
              <w:tr2bl w:val="nil"/>
            </w:tcBorders>
            <w:shd w:val="clear" w:color="auto" w:fill="auto"/>
            <w:vAlign w:val="center"/>
          </w:tcPr>
          <w:p w14:paraId="2A4DC9B3">
            <w:pPr>
              <w:pStyle w:val="83"/>
              <w:spacing w:line="240" w:lineRule="auto"/>
              <w:ind w:left="19" w:leftChars="9" w:right="19" w:rightChars="9" w:firstLine="0" w:firstLineChars="0"/>
              <w:jc w:val="center"/>
              <w:rPr>
                <w:rFonts w:hint="default" w:ascii="Times New Roman" w:hAnsi="Times New Roman" w:eastAsia="宋体" w:cs="Times New Roman"/>
                <w:snapToGrid w:val="0"/>
                <w:color w:val="FF0000"/>
                <w:kern w:val="2"/>
                <w:sz w:val="21"/>
                <w:szCs w:val="21"/>
                <w:highlight w:val="none"/>
                <w:lang w:val="en-US" w:eastAsia="zh-CN" w:bidi="ar-SA"/>
              </w:rPr>
            </w:pPr>
            <w:r>
              <w:rPr>
                <w:rFonts w:hint="eastAsia" w:ascii="Times New Roman" w:hAnsi="Times New Roman" w:eastAsia="宋体" w:cs="Times New Roman"/>
                <w:color w:val="auto"/>
                <w:lang w:val="en-US" w:eastAsia="zh-CN"/>
              </w:rPr>
              <w:t>0.061</w:t>
            </w:r>
          </w:p>
        </w:tc>
      </w:tr>
      <w:tr w14:paraId="0B5EE4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5" w:hRule="atLeast"/>
        </w:trPr>
        <w:tc>
          <w:tcPr>
            <w:tcW w:w="2290" w:type="dxa"/>
            <w:tcBorders>
              <w:tl2br w:val="nil"/>
              <w:tr2bl w:val="nil"/>
            </w:tcBorders>
            <w:vAlign w:val="center"/>
          </w:tcPr>
          <w:p w14:paraId="799BAA8B">
            <w:pPr>
              <w:pStyle w:val="3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w:t>
            </w:r>
          </w:p>
        </w:tc>
        <w:tc>
          <w:tcPr>
            <w:tcW w:w="2452" w:type="dxa"/>
            <w:tcBorders>
              <w:tl2br w:val="nil"/>
              <w:tr2bl w:val="nil"/>
            </w:tcBorders>
            <w:shd w:val="clear" w:color="auto" w:fill="auto"/>
            <w:vAlign w:val="center"/>
          </w:tcPr>
          <w:p w14:paraId="430DD61E">
            <w:pPr>
              <w:pStyle w:val="83"/>
              <w:spacing w:line="240" w:lineRule="auto"/>
              <w:ind w:left="19" w:leftChars="9" w:right="19" w:rightChars="9"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rPr>
              <w:t>二氧化硫</w:t>
            </w:r>
          </w:p>
        </w:tc>
        <w:tc>
          <w:tcPr>
            <w:tcW w:w="3820" w:type="dxa"/>
            <w:tcBorders>
              <w:tl2br w:val="nil"/>
              <w:tr2bl w:val="nil"/>
            </w:tcBorders>
            <w:shd w:val="clear" w:color="auto" w:fill="auto"/>
            <w:vAlign w:val="center"/>
          </w:tcPr>
          <w:p w14:paraId="04EF01F6">
            <w:pPr>
              <w:pStyle w:val="83"/>
              <w:spacing w:line="240" w:lineRule="auto"/>
              <w:ind w:left="19" w:leftChars="9" w:right="19" w:rightChars="9" w:firstLine="0" w:firstLineChars="0"/>
              <w:jc w:val="center"/>
              <w:rPr>
                <w:rFonts w:hint="default" w:ascii="Times New Roman" w:hAnsi="Times New Roman" w:eastAsia="宋体" w:cs="Times New Roman"/>
                <w:snapToGrid w:val="0"/>
                <w:color w:val="FF0000"/>
                <w:kern w:val="2"/>
                <w:sz w:val="21"/>
                <w:szCs w:val="21"/>
                <w:highlight w:val="none"/>
                <w:lang w:val="en-US" w:eastAsia="zh-CN" w:bidi="ar-SA"/>
              </w:rPr>
            </w:pPr>
            <w:r>
              <w:rPr>
                <w:rFonts w:hint="eastAsia" w:ascii="Times New Roman" w:hAnsi="Times New Roman" w:eastAsia="宋体" w:cs="Times New Roman"/>
                <w:color w:val="auto"/>
                <w:lang w:val="en-US" w:eastAsia="zh-CN"/>
              </w:rPr>
              <w:t>0.003</w:t>
            </w:r>
          </w:p>
        </w:tc>
      </w:tr>
      <w:tr w14:paraId="056B96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5" w:hRule="atLeast"/>
        </w:trPr>
        <w:tc>
          <w:tcPr>
            <w:tcW w:w="2290" w:type="dxa"/>
            <w:tcBorders>
              <w:tl2br w:val="nil"/>
              <w:tr2bl w:val="nil"/>
            </w:tcBorders>
            <w:vAlign w:val="center"/>
          </w:tcPr>
          <w:p w14:paraId="66BBB1AB">
            <w:pPr>
              <w:pStyle w:val="34"/>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w:t>
            </w:r>
          </w:p>
        </w:tc>
        <w:tc>
          <w:tcPr>
            <w:tcW w:w="2452" w:type="dxa"/>
            <w:tcBorders>
              <w:tl2br w:val="nil"/>
              <w:tr2bl w:val="nil"/>
            </w:tcBorders>
            <w:shd w:val="clear" w:color="auto" w:fill="auto"/>
            <w:vAlign w:val="center"/>
          </w:tcPr>
          <w:p w14:paraId="1122A722">
            <w:pPr>
              <w:pStyle w:val="83"/>
              <w:spacing w:line="240" w:lineRule="auto"/>
              <w:ind w:left="19" w:leftChars="9" w:right="19" w:rightChars="9" w:firstLine="0" w:firstLine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rPr>
              <w:t>氮氧化物</w:t>
            </w:r>
          </w:p>
        </w:tc>
        <w:tc>
          <w:tcPr>
            <w:tcW w:w="3820" w:type="dxa"/>
            <w:tcBorders>
              <w:tl2br w:val="nil"/>
              <w:tr2bl w:val="nil"/>
            </w:tcBorders>
            <w:shd w:val="clear" w:color="auto" w:fill="auto"/>
            <w:vAlign w:val="center"/>
          </w:tcPr>
          <w:p w14:paraId="5416BE22">
            <w:pPr>
              <w:pStyle w:val="83"/>
              <w:spacing w:line="240" w:lineRule="auto"/>
              <w:ind w:left="19" w:leftChars="9" w:right="19" w:rightChars="9" w:firstLine="0" w:firstLineChars="0"/>
              <w:jc w:val="center"/>
              <w:rPr>
                <w:rFonts w:hint="default" w:ascii="Times New Roman" w:hAnsi="Times New Roman" w:eastAsia="宋体" w:cs="Times New Roman"/>
                <w:snapToGrid w:val="0"/>
                <w:color w:val="FF0000"/>
                <w:kern w:val="2"/>
                <w:sz w:val="21"/>
                <w:szCs w:val="21"/>
                <w:highlight w:val="none"/>
                <w:lang w:val="en-US" w:eastAsia="zh-CN" w:bidi="ar-SA"/>
              </w:rPr>
            </w:pPr>
            <w:r>
              <w:rPr>
                <w:rFonts w:hint="eastAsia" w:ascii="Times New Roman" w:hAnsi="Times New Roman" w:eastAsia="宋体" w:cs="Times New Roman"/>
                <w:color w:val="auto"/>
                <w:lang w:val="en-US" w:eastAsia="zh-CN"/>
              </w:rPr>
              <w:t>0.616</w:t>
            </w:r>
          </w:p>
        </w:tc>
      </w:tr>
    </w:tbl>
    <w:p w14:paraId="541DB485">
      <w:pPr>
        <w:pStyle w:val="44"/>
        <w:bidi w:val="0"/>
        <w:rPr>
          <w:color w:val="auto"/>
          <w:highlight w:val="none"/>
        </w:rPr>
      </w:pPr>
      <w:r>
        <w:rPr>
          <w:color w:val="auto"/>
          <w:highlight w:val="none"/>
        </w:rPr>
        <w:t>表5.2-</w:t>
      </w:r>
      <w:r>
        <w:rPr>
          <w:rFonts w:hint="eastAsia"/>
          <w:color w:val="auto"/>
          <w:highlight w:val="none"/>
          <w:lang w:val="en-US" w:eastAsia="zh-CN"/>
        </w:rPr>
        <w:t>8</w:t>
      </w:r>
      <w:r>
        <w:rPr>
          <w:color w:val="auto"/>
          <w:highlight w:val="none"/>
        </w:rPr>
        <w:t xml:space="preserve">   非正常排放量核算表</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1"/>
        <w:gridCol w:w="780"/>
        <w:gridCol w:w="1122"/>
        <w:gridCol w:w="1443"/>
        <w:gridCol w:w="1140"/>
        <w:gridCol w:w="1050"/>
        <w:gridCol w:w="720"/>
        <w:gridCol w:w="675"/>
        <w:gridCol w:w="681"/>
      </w:tblGrid>
      <w:tr w14:paraId="6CAC0F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4" w:type="pct"/>
            <w:tcBorders>
              <w:top w:val="single" w:color="auto" w:sz="12" w:space="0"/>
              <w:left w:val="nil"/>
            </w:tcBorders>
            <w:noWrap w:val="0"/>
            <w:vAlign w:val="center"/>
          </w:tcPr>
          <w:p w14:paraId="2C4978F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457" w:type="pct"/>
            <w:tcBorders>
              <w:top w:val="single" w:color="auto" w:sz="12" w:space="0"/>
            </w:tcBorders>
            <w:noWrap w:val="0"/>
            <w:vAlign w:val="center"/>
          </w:tcPr>
          <w:p w14:paraId="7936E474">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w:t>
            </w:r>
          </w:p>
        </w:tc>
        <w:tc>
          <w:tcPr>
            <w:tcW w:w="658" w:type="pct"/>
            <w:tcBorders>
              <w:top w:val="single" w:color="auto" w:sz="12" w:space="0"/>
            </w:tcBorders>
            <w:noWrap w:val="0"/>
            <w:vAlign w:val="center"/>
          </w:tcPr>
          <w:p w14:paraId="525DAF3B">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非正常原因</w:t>
            </w:r>
          </w:p>
        </w:tc>
        <w:tc>
          <w:tcPr>
            <w:tcW w:w="846" w:type="pct"/>
            <w:tcBorders>
              <w:top w:val="single" w:color="auto" w:sz="12" w:space="0"/>
            </w:tcBorders>
            <w:noWrap w:val="0"/>
            <w:vAlign w:val="center"/>
          </w:tcPr>
          <w:p w14:paraId="115890A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668" w:type="pct"/>
            <w:tcBorders>
              <w:top w:val="single" w:color="auto" w:sz="12" w:space="0"/>
            </w:tcBorders>
            <w:noWrap w:val="0"/>
            <w:vAlign w:val="center"/>
          </w:tcPr>
          <w:p w14:paraId="18C7866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非正常排放浓度</w:t>
            </w:r>
          </w:p>
          <w:p w14:paraId="69D990F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616" w:type="pct"/>
            <w:tcBorders>
              <w:top w:val="single" w:color="auto" w:sz="12" w:space="0"/>
            </w:tcBorders>
            <w:noWrap w:val="0"/>
            <w:vAlign w:val="center"/>
          </w:tcPr>
          <w:p w14:paraId="0BE5CA0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非正常排放速率</w:t>
            </w:r>
          </w:p>
          <w:p w14:paraId="60032B30">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（kg/h）</w:t>
            </w:r>
          </w:p>
        </w:tc>
        <w:tc>
          <w:tcPr>
            <w:tcW w:w="422" w:type="pct"/>
            <w:tcBorders>
              <w:top w:val="single" w:color="auto" w:sz="12" w:space="0"/>
            </w:tcBorders>
            <w:noWrap w:val="0"/>
            <w:vAlign w:val="center"/>
          </w:tcPr>
          <w:p w14:paraId="68BDDA8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单次持续时间/h</w:t>
            </w:r>
          </w:p>
        </w:tc>
        <w:tc>
          <w:tcPr>
            <w:tcW w:w="396" w:type="pct"/>
            <w:tcBorders>
              <w:top w:val="single" w:color="auto" w:sz="12" w:space="0"/>
            </w:tcBorders>
            <w:noWrap w:val="0"/>
            <w:vAlign w:val="center"/>
          </w:tcPr>
          <w:p w14:paraId="13A553A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年发生频次/次</w:t>
            </w:r>
          </w:p>
        </w:tc>
        <w:tc>
          <w:tcPr>
            <w:tcW w:w="399" w:type="pct"/>
            <w:tcBorders>
              <w:top w:val="single" w:color="auto" w:sz="12" w:space="0"/>
              <w:right w:val="nil"/>
            </w:tcBorders>
            <w:noWrap w:val="0"/>
            <w:vAlign w:val="center"/>
          </w:tcPr>
          <w:p w14:paraId="3E6CA28B">
            <w:pPr>
              <w:pStyle w:val="37"/>
              <w:bidi w:val="0"/>
              <w:rPr>
                <w:color w:val="auto"/>
                <w:highlight w:val="none"/>
              </w:rPr>
            </w:pPr>
            <w:r>
              <w:rPr>
                <w:rFonts w:hint="eastAsia"/>
                <w:color w:val="auto"/>
                <w:highlight w:val="none"/>
              </w:rPr>
              <w:t>应对措施</w:t>
            </w:r>
          </w:p>
        </w:tc>
      </w:tr>
      <w:tr w14:paraId="03D078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4" w:type="pct"/>
            <w:vMerge w:val="restart"/>
            <w:tcBorders>
              <w:left w:val="nil"/>
            </w:tcBorders>
            <w:shd w:val="clear" w:color="auto" w:fill="auto"/>
            <w:noWrap w:val="0"/>
            <w:vAlign w:val="center"/>
          </w:tcPr>
          <w:p w14:paraId="7C8520D9">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DA001</w:t>
            </w:r>
          </w:p>
        </w:tc>
        <w:tc>
          <w:tcPr>
            <w:tcW w:w="457" w:type="pct"/>
            <w:vMerge w:val="restart"/>
            <w:shd w:val="clear" w:color="auto" w:fill="auto"/>
            <w:noWrap w:val="0"/>
            <w:vAlign w:val="center"/>
          </w:tcPr>
          <w:p w14:paraId="5F7B8C06">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注塑废气</w:t>
            </w:r>
          </w:p>
        </w:tc>
        <w:tc>
          <w:tcPr>
            <w:tcW w:w="658" w:type="pct"/>
            <w:vMerge w:val="restart"/>
            <w:noWrap w:val="0"/>
            <w:vAlign w:val="center"/>
          </w:tcPr>
          <w:p w14:paraId="14CBEA7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活性炭装置</w:t>
            </w:r>
            <w:r>
              <w:rPr>
                <w:rFonts w:hint="default" w:ascii="Times New Roman" w:hAnsi="Times New Roman" w:cs="Times New Roman"/>
                <w:color w:val="auto"/>
                <w:highlight w:val="none"/>
              </w:rPr>
              <w:t>故障，处理效率为</w:t>
            </w:r>
            <w:r>
              <w:rPr>
                <w:rFonts w:hint="eastAsia" w:ascii="Times New Roman" w:hAnsi="Times New Roman" w:cs="Times New Roman"/>
                <w:color w:val="auto"/>
                <w:highlight w:val="none"/>
                <w:lang w:val="en-US" w:eastAsia="zh-CN"/>
              </w:rPr>
              <w:t>80</w:t>
            </w:r>
            <w:r>
              <w:rPr>
                <w:rFonts w:hint="default" w:ascii="Times New Roman" w:hAnsi="Times New Roman" w:cs="Times New Roman"/>
                <w:color w:val="auto"/>
                <w:highlight w:val="none"/>
              </w:rPr>
              <w:t>%</w:t>
            </w:r>
          </w:p>
        </w:tc>
        <w:tc>
          <w:tcPr>
            <w:tcW w:w="846" w:type="pct"/>
            <w:shd w:val="clear" w:color="auto" w:fill="auto"/>
            <w:noWrap w:val="0"/>
            <w:vAlign w:val="center"/>
          </w:tcPr>
          <w:p w14:paraId="05D6DB6B">
            <w:pPr>
              <w:pStyle w:val="37"/>
              <w:bidi w:val="0"/>
              <w:ind w:firstLine="0" w:firstLineChars="0"/>
              <w:jc w:val="center"/>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非甲烷总烃</w:t>
            </w:r>
          </w:p>
        </w:tc>
        <w:tc>
          <w:tcPr>
            <w:tcW w:w="668" w:type="pct"/>
            <w:shd w:val="clear" w:color="auto" w:fill="auto"/>
            <w:noWrap w:val="0"/>
            <w:vAlign w:val="center"/>
          </w:tcPr>
          <w:p w14:paraId="7236FB90">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4.138</w:t>
            </w:r>
          </w:p>
        </w:tc>
        <w:tc>
          <w:tcPr>
            <w:tcW w:w="616" w:type="pct"/>
            <w:shd w:val="clear" w:color="auto" w:fill="auto"/>
            <w:noWrap w:val="0"/>
            <w:vAlign w:val="center"/>
          </w:tcPr>
          <w:p w14:paraId="0780D925">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0.1242</w:t>
            </w:r>
          </w:p>
        </w:tc>
        <w:tc>
          <w:tcPr>
            <w:tcW w:w="422" w:type="pct"/>
            <w:vMerge w:val="restart"/>
            <w:noWrap w:val="0"/>
            <w:vAlign w:val="center"/>
          </w:tcPr>
          <w:p w14:paraId="204E0D21">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w:t>
            </w:r>
          </w:p>
        </w:tc>
        <w:tc>
          <w:tcPr>
            <w:tcW w:w="396" w:type="pct"/>
            <w:vMerge w:val="restart"/>
            <w:noWrap w:val="0"/>
            <w:vAlign w:val="center"/>
          </w:tcPr>
          <w:p w14:paraId="0A276064">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399" w:type="pct"/>
            <w:vMerge w:val="restart"/>
            <w:tcBorders>
              <w:right w:val="nil"/>
            </w:tcBorders>
            <w:noWrap w:val="0"/>
            <w:vAlign w:val="center"/>
          </w:tcPr>
          <w:p w14:paraId="43BAB2F7">
            <w:pPr>
              <w:pStyle w:val="37"/>
              <w:bidi w:val="0"/>
              <w:rPr>
                <w:color w:val="auto"/>
                <w:highlight w:val="none"/>
              </w:rPr>
            </w:pPr>
            <w:r>
              <w:rPr>
                <w:rFonts w:hint="eastAsia"/>
                <w:color w:val="auto"/>
                <w:highlight w:val="none"/>
              </w:rPr>
              <w:t>停止生产，及时检修及维护</w:t>
            </w:r>
          </w:p>
        </w:tc>
      </w:tr>
      <w:tr w14:paraId="7937F2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4" w:type="pct"/>
            <w:vMerge w:val="continue"/>
            <w:tcBorders>
              <w:left w:val="nil"/>
            </w:tcBorders>
            <w:shd w:val="clear" w:color="auto" w:fill="auto"/>
            <w:noWrap w:val="0"/>
            <w:vAlign w:val="center"/>
          </w:tcPr>
          <w:p w14:paraId="3556CA0D">
            <w:pPr>
              <w:pStyle w:val="37"/>
              <w:bidi w:val="0"/>
              <w:rPr>
                <w:rFonts w:hint="default" w:ascii="Times New Roman" w:hAnsi="Times New Roman" w:cs="Times New Roman"/>
                <w:color w:val="FF0000"/>
                <w:highlight w:val="none"/>
              </w:rPr>
            </w:pPr>
          </w:p>
        </w:tc>
        <w:tc>
          <w:tcPr>
            <w:tcW w:w="457" w:type="pct"/>
            <w:vMerge w:val="continue"/>
            <w:shd w:val="clear" w:color="auto" w:fill="auto"/>
            <w:noWrap w:val="0"/>
            <w:vAlign w:val="center"/>
          </w:tcPr>
          <w:p w14:paraId="5AEB2A63">
            <w:pPr>
              <w:pStyle w:val="37"/>
              <w:bidi w:val="0"/>
              <w:rPr>
                <w:rFonts w:hint="eastAsia" w:ascii="Times New Roman" w:hAnsi="Times New Roman" w:cs="Times New Roman"/>
                <w:color w:val="FF0000"/>
                <w:highlight w:val="none"/>
                <w:lang w:val="en-US" w:eastAsia="zh-CN"/>
              </w:rPr>
            </w:pPr>
          </w:p>
        </w:tc>
        <w:tc>
          <w:tcPr>
            <w:tcW w:w="658" w:type="pct"/>
            <w:vMerge w:val="continue"/>
            <w:noWrap w:val="0"/>
            <w:vAlign w:val="center"/>
          </w:tcPr>
          <w:p w14:paraId="44EA994A">
            <w:pPr>
              <w:pStyle w:val="37"/>
              <w:bidi w:val="0"/>
              <w:rPr>
                <w:rFonts w:hint="default" w:ascii="Times New Roman" w:hAnsi="Times New Roman" w:cs="Times New Roman"/>
                <w:color w:val="FF0000"/>
                <w:highlight w:val="none"/>
                <w:lang w:val="en-US" w:eastAsia="zh-CN"/>
              </w:rPr>
            </w:pPr>
          </w:p>
        </w:tc>
        <w:tc>
          <w:tcPr>
            <w:tcW w:w="846" w:type="pct"/>
            <w:shd w:val="clear" w:color="auto" w:fill="auto"/>
            <w:noWrap w:val="0"/>
            <w:vAlign w:val="center"/>
          </w:tcPr>
          <w:p w14:paraId="3E102702">
            <w:pPr>
              <w:pStyle w:val="37"/>
              <w:bidi w:val="0"/>
              <w:ind w:firstLine="0" w:firstLineChars="0"/>
              <w:jc w:val="center"/>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color w:val="auto"/>
                <w:highlight w:val="none"/>
                <w:lang w:val="en-US" w:eastAsia="zh-CN"/>
              </w:rPr>
              <w:t>丙烯腈</w:t>
            </w:r>
          </w:p>
        </w:tc>
        <w:tc>
          <w:tcPr>
            <w:tcW w:w="668" w:type="pct"/>
            <w:shd w:val="clear" w:color="auto" w:fill="auto"/>
            <w:noWrap w:val="0"/>
            <w:vAlign w:val="center"/>
          </w:tcPr>
          <w:p w14:paraId="1B684A4C">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0.0182</w:t>
            </w:r>
          </w:p>
        </w:tc>
        <w:tc>
          <w:tcPr>
            <w:tcW w:w="616" w:type="pct"/>
            <w:shd w:val="clear" w:color="auto" w:fill="auto"/>
            <w:noWrap w:val="0"/>
            <w:vAlign w:val="center"/>
          </w:tcPr>
          <w:p w14:paraId="76F1A932">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0.00054</w:t>
            </w:r>
          </w:p>
        </w:tc>
        <w:tc>
          <w:tcPr>
            <w:tcW w:w="422" w:type="pct"/>
            <w:vMerge w:val="continue"/>
            <w:noWrap w:val="0"/>
            <w:vAlign w:val="center"/>
          </w:tcPr>
          <w:p w14:paraId="07449E64">
            <w:pPr>
              <w:pStyle w:val="37"/>
              <w:bidi w:val="0"/>
              <w:rPr>
                <w:rFonts w:hint="default" w:ascii="Times New Roman" w:hAnsi="Times New Roman" w:cs="Times New Roman"/>
                <w:color w:val="FF0000"/>
                <w:highlight w:val="none"/>
                <w:lang w:val="en-US" w:eastAsia="zh-CN"/>
              </w:rPr>
            </w:pPr>
          </w:p>
        </w:tc>
        <w:tc>
          <w:tcPr>
            <w:tcW w:w="396" w:type="pct"/>
            <w:vMerge w:val="continue"/>
            <w:noWrap w:val="0"/>
            <w:vAlign w:val="center"/>
          </w:tcPr>
          <w:p w14:paraId="17A1024D">
            <w:pPr>
              <w:pStyle w:val="37"/>
              <w:bidi w:val="0"/>
              <w:rPr>
                <w:rFonts w:hint="default" w:ascii="Times New Roman" w:hAnsi="Times New Roman" w:cs="Times New Roman"/>
                <w:color w:val="FF0000"/>
                <w:highlight w:val="none"/>
              </w:rPr>
            </w:pPr>
          </w:p>
        </w:tc>
        <w:tc>
          <w:tcPr>
            <w:tcW w:w="399" w:type="pct"/>
            <w:vMerge w:val="continue"/>
            <w:tcBorders>
              <w:right w:val="nil"/>
            </w:tcBorders>
            <w:noWrap w:val="0"/>
            <w:vAlign w:val="center"/>
          </w:tcPr>
          <w:p w14:paraId="31E98874">
            <w:pPr>
              <w:pStyle w:val="37"/>
              <w:bidi w:val="0"/>
              <w:rPr>
                <w:rFonts w:hint="eastAsia"/>
                <w:color w:val="FF0000"/>
                <w:highlight w:val="none"/>
              </w:rPr>
            </w:pPr>
          </w:p>
        </w:tc>
      </w:tr>
      <w:tr w14:paraId="3CE600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4" w:type="pct"/>
            <w:vMerge w:val="continue"/>
            <w:tcBorders>
              <w:left w:val="nil"/>
            </w:tcBorders>
            <w:shd w:val="clear" w:color="auto" w:fill="auto"/>
            <w:noWrap w:val="0"/>
            <w:vAlign w:val="center"/>
          </w:tcPr>
          <w:p w14:paraId="433C7268">
            <w:pPr>
              <w:pStyle w:val="37"/>
              <w:bidi w:val="0"/>
              <w:rPr>
                <w:rFonts w:hint="default" w:ascii="Times New Roman" w:hAnsi="Times New Roman" w:cs="Times New Roman"/>
                <w:color w:val="FF0000"/>
                <w:highlight w:val="none"/>
              </w:rPr>
            </w:pPr>
          </w:p>
        </w:tc>
        <w:tc>
          <w:tcPr>
            <w:tcW w:w="457" w:type="pct"/>
            <w:vMerge w:val="continue"/>
            <w:shd w:val="clear" w:color="auto" w:fill="auto"/>
            <w:noWrap w:val="0"/>
            <w:vAlign w:val="center"/>
          </w:tcPr>
          <w:p w14:paraId="1082F178">
            <w:pPr>
              <w:pStyle w:val="37"/>
              <w:bidi w:val="0"/>
              <w:rPr>
                <w:rFonts w:hint="eastAsia" w:ascii="Times New Roman" w:hAnsi="Times New Roman" w:cs="Times New Roman"/>
                <w:color w:val="FF0000"/>
                <w:highlight w:val="none"/>
                <w:lang w:val="en-US" w:eastAsia="zh-CN"/>
              </w:rPr>
            </w:pPr>
          </w:p>
        </w:tc>
        <w:tc>
          <w:tcPr>
            <w:tcW w:w="658" w:type="pct"/>
            <w:vMerge w:val="continue"/>
            <w:noWrap w:val="0"/>
            <w:vAlign w:val="center"/>
          </w:tcPr>
          <w:p w14:paraId="5D851062">
            <w:pPr>
              <w:pStyle w:val="37"/>
              <w:bidi w:val="0"/>
              <w:rPr>
                <w:rFonts w:hint="default" w:ascii="Times New Roman" w:hAnsi="Times New Roman" w:cs="Times New Roman"/>
                <w:color w:val="FF0000"/>
                <w:highlight w:val="none"/>
                <w:lang w:val="en-US" w:eastAsia="zh-CN"/>
              </w:rPr>
            </w:pPr>
          </w:p>
        </w:tc>
        <w:tc>
          <w:tcPr>
            <w:tcW w:w="846" w:type="pct"/>
            <w:shd w:val="clear" w:color="auto" w:fill="auto"/>
            <w:noWrap w:val="0"/>
            <w:vAlign w:val="center"/>
          </w:tcPr>
          <w:p w14:paraId="55105D01">
            <w:pPr>
              <w:pStyle w:val="37"/>
              <w:bidi w:val="0"/>
              <w:ind w:firstLine="0" w:firstLineChars="0"/>
              <w:jc w:val="center"/>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color w:val="auto"/>
                <w:highlight w:val="none"/>
                <w:lang w:val="en-US" w:eastAsia="zh-CN"/>
              </w:rPr>
              <w:t>乙苯</w:t>
            </w:r>
          </w:p>
        </w:tc>
        <w:tc>
          <w:tcPr>
            <w:tcW w:w="668" w:type="pct"/>
            <w:shd w:val="clear" w:color="auto" w:fill="auto"/>
            <w:noWrap w:val="0"/>
            <w:vAlign w:val="center"/>
          </w:tcPr>
          <w:p w14:paraId="1B529ED2">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0.0268</w:t>
            </w:r>
          </w:p>
        </w:tc>
        <w:tc>
          <w:tcPr>
            <w:tcW w:w="616" w:type="pct"/>
            <w:shd w:val="clear" w:color="auto" w:fill="auto"/>
            <w:noWrap w:val="0"/>
            <w:vAlign w:val="center"/>
          </w:tcPr>
          <w:p w14:paraId="388EE3E9">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0.00004</w:t>
            </w:r>
          </w:p>
        </w:tc>
        <w:tc>
          <w:tcPr>
            <w:tcW w:w="422" w:type="pct"/>
            <w:vMerge w:val="continue"/>
            <w:noWrap w:val="0"/>
            <w:vAlign w:val="center"/>
          </w:tcPr>
          <w:p w14:paraId="38943A0C">
            <w:pPr>
              <w:pStyle w:val="37"/>
              <w:bidi w:val="0"/>
              <w:rPr>
                <w:rFonts w:hint="default" w:ascii="Times New Roman" w:hAnsi="Times New Roman" w:cs="Times New Roman"/>
                <w:color w:val="FF0000"/>
                <w:highlight w:val="none"/>
                <w:lang w:val="en-US" w:eastAsia="zh-CN"/>
              </w:rPr>
            </w:pPr>
          </w:p>
        </w:tc>
        <w:tc>
          <w:tcPr>
            <w:tcW w:w="396" w:type="pct"/>
            <w:vMerge w:val="continue"/>
            <w:noWrap w:val="0"/>
            <w:vAlign w:val="center"/>
          </w:tcPr>
          <w:p w14:paraId="534173EC">
            <w:pPr>
              <w:pStyle w:val="37"/>
              <w:bidi w:val="0"/>
              <w:rPr>
                <w:rFonts w:hint="default" w:ascii="Times New Roman" w:hAnsi="Times New Roman" w:cs="Times New Roman"/>
                <w:color w:val="FF0000"/>
                <w:highlight w:val="none"/>
              </w:rPr>
            </w:pPr>
          </w:p>
        </w:tc>
        <w:tc>
          <w:tcPr>
            <w:tcW w:w="399" w:type="pct"/>
            <w:vMerge w:val="continue"/>
            <w:tcBorders>
              <w:right w:val="nil"/>
            </w:tcBorders>
            <w:noWrap w:val="0"/>
            <w:vAlign w:val="center"/>
          </w:tcPr>
          <w:p w14:paraId="2C2B153A">
            <w:pPr>
              <w:pStyle w:val="37"/>
              <w:bidi w:val="0"/>
              <w:rPr>
                <w:rFonts w:hint="eastAsia"/>
                <w:color w:val="FF0000"/>
                <w:highlight w:val="none"/>
              </w:rPr>
            </w:pPr>
          </w:p>
        </w:tc>
      </w:tr>
      <w:tr w14:paraId="1076C4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4" w:type="pct"/>
            <w:vMerge w:val="continue"/>
            <w:tcBorders>
              <w:left w:val="nil"/>
            </w:tcBorders>
            <w:shd w:val="clear" w:color="auto" w:fill="auto"/>
            <w:noWrap w:val="0"/>
            <w:vAlign w:val="center"/>
          </w:tcPr>
          <w:p w14:paraId="7E8091F4">
            <w:pPr>
              <w:pStyle w:val="37"/>
              <w:bidi w:val="0"/>
              <w:rPr>
                <w:rFonts w:hint="default" w:ascii="Times New Roman" w:hAnsi="Times New Roman" w:cs="Times New Roman"/>
                <w:color w:val="FF0000"/>
                <w:highlight w:val="none"/>
              </w:rPr>
            </w:pPr>
          </w:p>
        </w:tc>
        <w:tc>
          <w:tcPr>
            <w:tcW w:w="457" w:type="pct"/>
            <w:vMerge w:val="continue"/>
            <w:shd w:val="clear" w:color="auto" w:fill="auto"/>
            <w:noWrap w:val="0"/>
            <w:vAlign w:val="center"/>
          </w:tcPr>
          <w:p w14:paraId="7829E9EE">
            <w:pPr>
              <w:pStyle w:val="37"/>
              <w:bidi w:val="0"/>
              <w:rPr>
                <w:rFonts w:hint="eastAsia" w:ascii="Times New Roman" w:hAnsi="Times New Roman" w:cs="Times New Roman"/>
                <w:color w:val="FF0000"/>
                <w:highlight w:val="none"/>
                <w:lang w:val="en-US" w:eastAsia="zh-CN"/>
              </w:rPr>
            </w:pPr>
          </w:p>
        </w:tc>
        <w:tc>
          <w:tcPr>
            <w:tcW w:w="658" w:type="pct"/>
            <w:vMerge w:val="continue"/>
            <w:noWrap w:val="0"/>
            <w:vAlign w:val="center"/>
          </w:tcPr>
          <w:p w14:paraId="1D80A512">
            <w:pPr>
              <w:pStyle w:val="37"/>
              <w:bidi w:val="0"/>
              <w:rPr>
                <w:rFonts w:hint="default" w:ascii="Times New Roman" w:hAnsi="Times New Roman" w:cs="Times New Roman"/>
                <w:color w:val="FF0000"/>
                <w:highlight w:val="none"/>
                <w:lang w:val="en-US" w:eastAsia="zh-CN"/>
              </w:rPr>
            </w:pPr>
          </w:p>
        </w:tc>
        <w:tc>
          <w:tcPr>
            <w:tcW w:w="846" w:type="pct"/>
            <w:shd w:val="clear" w:color="auto" w:fill="auto"/>
            <w:noWrap w:val="0"/>
            <w:vAlign w:val="center"/>
          </w:tcPr>
          <w:p w14:paraId="4F5E0254">
            <w:pPr>
              <w:pStyle w:val="37"/>
              <w:bidi w:val="0"/>
              <w:ind w:firstLine="0" w:firstLineChars="0"/>
              <w:jc w:val="center"/>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color w:val="auto"/>
                <w:highlight w:val="none"/>
                <w:lang w:val="en-US" w:eastAsia="zh-CN"/>
              </w:rPr>
              <w:t>甲苯</w:t>
            </w:r>
          </w:p>
        </w:tc>
        <w:tc>
          <w:tcPr>
            <w:tcW w:w="668" w:type="pct"/>
            <w:shd w:val="clear" w:color="auto" w:fill="auto"/>
            <w:noWrap w:val="0"/>
            <w:vAlign w:val="center"/>
          </w:tcPr>
          <w:p w14:paraId="45F569B6">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0.0574</w:t>
            </w:r>
          </w:p>
        </w:tc>
        <w:tc>
          <w:tcPr>
            <w:tcW w:w="616" w:type="pct"/>
            <w:shd w:val="clear" w:color="auto" w:fill="auto"/>
            <w:noWrap w:val="0"/>
            <w:vAlign w:val="center"/>
          </w:tcPr>
          <w:p w14:paraId="4DDF8A72">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0.0016</w:t>
            </w:r>
          </w:p>
        </w:tc>
        <w:tc>
          <w:tcPr>
            <w:tcW w:w="422" w:type="pct"/>
            <w:vMerge w:val="continue"/>
            <w:noWrap w:val="0"/>
            <w:vAlign w:val="center"/>
          </w:tcPr>
          <w:p w14:paraId="052F907A">
            <w:pPr>
              <w:pStyle w:val="37"/>
              <w:bidi w:val="0"/>
              <w:rPr>
                <w:rFonts w:hint="default" w:ascii="Times New Roman" w:hAnsi="Times New Roman" w:cs="Times New Roman"/>
                <w:color w:val="FF0000"/>
                <w:highlight w:val="none"/>
                <w:lang w:val="en-US" w:eastAsia="zh-CN"/>
              </w:rPr>
            </w:pPr>
          </w:p>
        </w:tc>
        <w:tc>
          <w:tcPr>
            <w:tcW w:w="396" w:type="pct"/>
            <w:vMerge w:val="continue"/>
            <w:noWrap w:val="0"/>
            <w:vAlign w:val="center"/>
          </w:tcPr>
          <w:p w14:paraId="624F7DA9">
            <w:pPr>
              <w:pStyle w:val="37"/>
              <w:bidi w:val="0"/>
              <w:rPr>
                <w:rFonts w:hint="default" w:ascii="Times New Roman" w:hAnsi="Times New Roman" w:cs="Times New Roman"/>
                <w:color w:val="FF0000"/>
                <w:highlight w:val="none"/>
              </w:rPr>
            </w:pPr>
          </w:p>
        </w:tc>
        <w:tc>
          <w:tcPr>
            <w:tcW w:w="399" w:type="pct"/>
            <w:vMerge w:val="continue"/>
            <w:tcBorders>
              <w:right w:val="nil"/>
            </w:tcBorders>
            <w:noWrap w:val="0"/>
            <w:vAlign w:val="center"/>
          </w:tcPr>
          <w:p w14:paraId="4AF40BCB">
            <w:pPr>
              <w:pStyle w:val="37"/>
              <w:bidi w:val="0"/>
              <w:rPr>
                <w:rFonts w:hint="eastAsia"/>
                <w:color w:val="FF0000"/>
                <w:highlight w:val="none"/>
              </w:rPr>
            </w:pPr>
          </w:p>
        </w:tc>
      </w:tr>
      <w:tr w14:paraId="287B61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4" w:type="pct"/>
            <w:vMerge w:val="continue"/>
            <w:tcBorders>
              <w:left w:val="nil"/>
            </w:tcBorders>
            <w:shd w:val="clear" w:color="auto" w:fill="auto"/>
            <w:noWrap w:val="0"/>
            <w:vAlign w:val="center"/>
          </w:tcPr>
          <w:p w14:paraId="0491C4F7">
            <w:pPr>
              <w:pStyle w:val="37"/>
              <w:bidi w:val="0"/>
              <w:rPr>
                <w:rFonts w:hint="default" w:ascii="Times New Roman" w:hAnsi="Times New Roman" w:cs="Times New Roman"/>
                <w:color w:val="FF0000"/>
                <w:highlight w:val="none"/>
              </w:rPr>
            </w:pPr>
          </w:p>
        </w:tc>
        <w:tc>
          <w:tcPr>
            <w:tcW w:w="457" w:type="pct"/>
            <w:vMerge w:val="continue"/>
            <w:shd w:val="clear" w:color="auto" w:fill="auto"/>
            <w:noWrap w:val="0"/>
            <w:vAlign w:val="center"/>
          </w:tcPr>
          <w:p w14:paraId="5B114AF5">
            <w:pPr>
              <w:pStyle w:val="37"/>
              <w:bidi w:val="0"/>
              <w:rPr>
                <w:rFonts w:hint="eastAsia" w:ascii="Times New Roman" w:hAnsi="Times New Roman" w:cs="Times New Roman"/>
                <w:color w:val="FF0000"/>
                <w:highlight w:val="none"/>
                <w:lang w:val="en-US" w:eastAsia="zh-CN"/>
              </w:rPr>
            </w:pPr>
          </w:p>
        </w:tc>
        <w:tc>
          <w:tcPr>
            <w:tcW w:w="658" w:type="pct"/>
            <w:vMerge w:val="continue"/>
            <w:noWrap w:val="0"/>
            <w:vAlign w:val="center"/>
          </w:tcPr>
          <w:p w14:paraId="25E66A48">
            <w:pPr>
              <w:pStyle w:val="37"/>
              <w:bidi w:val="0"/>
              <w:rPr>
                <w:rFonts w:hint="default" w:ascii="Times New Roman" w:hAnsi="Times New Roman" w:cs="Times New Roman"/>
                <w:color w:val="FF0000"/>
                <w:highlight w:val="none"/>
                <w:lang w:val="en-US" w:eastAsia="zh-CN"/>
              </w:rPr>
            </w:pPr>
          </w:p>
        </w:tc>
        <w:tc>
          <w:tcPr>
            <w:tcW w:w="846" w:type="pct"/>
            <w:shd w:val="clear" w:color="auto" w:fill="auto"/>
            <w:noWrap w:val="0"/>
            <w:vAlign w:val="center"/>
          </w:tcPr>
          <w:p w14:paraId="0D8181A2">
            <w:pPr>
              <w:pStyle w:val="37"/>
              <w:bidi w:val="0"/>
              <w:ind w:firstLine="0" w:firstLineChars="0"/>
              <w:jc w:val="center"/>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color w:val="auto"/>
                <w:highlight w:val="none"/>
                <w:lang w:val="en-US" w:eastAsia="zh-CN"/>
              </w:rPr>
              <w:t>1,3-丁二烯</w:t>
            </w:r>
          </w:p>
        </w:tc>
        <w:tc>
          <w:tcPr>
            <w:tcW w:w="668" w:type="pct"/>
            <w:shd w:val="clear" w:color="auto" w:fill="auto"/>
            <w:noWrap w:val="0"/>
            <w:vAlign w:val="center"/>
          </w:tcPr>
          <w:p w14:paraId="6AAA2732">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0.0076</w:t>
            </w:r>
          </w:p>
        </w:tc>
        <w:tc>
          <w:tcPr>
            <w:tcW w:w="616" w:type="pct"/>
            <w:shd w:val="clear" w:color="auto" w:fill="auto"/>
            <w:noWrap w:val="0"/>
            <w:vAlign w:val="center"/>
          </w:tcPr>
          <w:p w14:paraId="4996B718">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0.00018</w:t>
            </w:r>
          </w:p>
        </w:tc>
        <w:tc>
          <w:tcPr>
            <w:tcW w:w="422" w:type="pct"/>
            <w:vMerge w:val="continue"/>
            <w:noWrap w:val="0"/>
            <w:vAlign w:val="center"/>
          </w:tcPr>
          <w:p w14:paraId="5B7E1ECF">
            <w:pPr>
              <w:pStyle w:val="37"/>
              <w:bidi w:val="0"/>
              <w:rPr>
                <w:rFonts w:hint="default" w:ascii="Times New Roman" w:hAnsi="Times New Roman" w:cs="Times New Roman"/>
                <w:color w:val="FF0000"/>
                <w:highlight w:val="none"/>
                <w:lang w:val="en-US" w:eastAsia="zh-CN"/>
              </w:rPr>
            </w:pPr>
          </w:p>
        </w:tc>
        <w:tc>
          <w:tcPr>
            <w:tcW w:w="396" w:type="pct"/>
            <w:vMerge w:val="continue"/>
            <w:noWrap w:val="0"/>
            <w:vAlign w:val="center"/>
          </w:tcPr>
          <w:p w14:paraId="727526A3">
            <w:pPr>
              <w:pStyle w:val="37"/>
              <w:bidi w:val="0"/>
              <w:rPr>
                <w:rFonts w:hint="default" w:ascii="Times New Roman" w:hAnsi="Times New Roman" w:cs="Times New Roman"/>
                <w:color w:val="FF0000"/>
                <w:highlight w:val="none"/>
              </w:rPr>
            </w:pPr>
          </w:p>
        </w:tc>
        <w:tc>
          <w:tcPr>
            <w:tcW w:w="399" w:type="pct"/>
            <w:vMerge w:val="continue"/>
            <w:tcBorders>
              <w:right w:val="nil"/>
            </w:tcBorders>
            <w:noWrap w:val="0"/>
            <w:vAlign w:val="center"/>
          </w:tcPr>
          <w:p w14:paraId="129910BC">
            <w:pPr>
              <w:pStyle w:val="37"/>
              <w:bidi w:val="0"/>
              <w:rPr>
                <w:rFonts w:hint="eastAsia"/>
                <w:color w:val="FF0000"/>
                <w:highlight w:val="none"/>
              </w:rPr>
            </w:pPr>
          </w:p>
        </w:tc>
      </w:tr>
      <w:tr w14:paraId="6E8649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4" w:type="pct"/>
            <w:vMerge w:val="continue"/>
            <w:tcBorders>
              <w:left w:val="nil"/>
            </w:tcBorders>
            <w:shd w:val="clear" w:color="auto" w:fill="auto"/>
            <w:noWrap w:val="0"/>
            <w:vAlign w:val="center"/>
          </w:tcPr>
          <w:p w14:paraId="6A02B8E0">
            <w:pPr>
              <w:pStyle w:val="37"/>
              <w:bidi w:val="0"/>
              <w:rPr>
                <w:rFonts w:hint="default" w:ascii="Times New Roman" w:hAnsi="Times New Roman" w:cs="Times New Roman"/>
                <w:color w:val="FF0000"/>
                <w:highlight w:val="none"/>
              </w:rPr>
            </w:pPr>
          </w:p>
        </w:tc>
        <w:tc>
          <w:tcPr>
            <w:tcW w:w="457" w:type="pct"/>
            <w:vMerge w:val="continue"/>
            <w:shd w:val="clear" w:color="auto" w:fill="auto"/>
            <w:noWrap w:val="0"/>
            <w:vAlign w:val="center"/>
          </w:tcPr>
          <w:p w14:paraId="59D83631">
            <w:pPr>
              <w:pStyle w:val="37"/>
              <w:bidi w:val="0"/>
              <w:rPr>
                <w:rFonts w:hint="eastAsia" w:ascii="Times New Roman" w:hAnsi="Times New Roman" w:cs="Times New Roman"/>
                <w:color w:val="FF0000"/>
                <w:highlight w:val="none"/>
                <w:lang w:val="en-US" w:eastAsia="zh-CN"/>
              </w:rPr>
            </w:pPr>
          </w:p>
        </w:tc>
        <w:tc>
          <w:tcPr>
            <w:tcW w:w="658" w:type="pct"/>
            <w:vMerge w:val="continue"/>
            <w:noWrap w:val="0"/>
            <w:vAlign w:val="center"/>
          </w:tcPr>
          <w:p w14:paraId="43DCBE1A">
            <w:pPr>
              <w:pStyle w:val="37"/>
              <w:bidi w:val="0"/>
              <w:rPr>
                <w:rFonts w:hint="default" w:ascii="Times New Roman" w:hAnsi="Times New Roman" w:cs="Times New Roman"/>
                <w:color w:val="FF0000"/>
                <w:highlight w:val="none"/>
                <w:lang w:val="en-US" w:eastAsia="zh-CN"/>
              </w:rPr>
            </w:pPr>
          </w:p>
        </w:tc>
        <w:tc>
          <w:tcPr>
            <w:tcW w:w="846" w:type="pct"/>
            <w:shd w:val="clear" w:color="auto" w:fill="auto"/>
            <w:noWrap w:val="0"/>
            <w:vAlign w:val="center"/>
          </w:tcPr>
          <w:p w14:paraId="49F73596">
            <w:pPr>
              <w:pStyle w:val="37"/>
              <w:bidi w:val="0"/>
              <w:ind w:firstLine="0" w:firstLineChars="0"/>
              <w:jc w:val="center"/>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color w:val="auto"/>
                <w:highlight w:val="none"/>
                <w:lang w:val="en-US" w:eastAsia="zh-CN"/>
              </w:rPr>
              <w:t>酚类</w:t>
            </w:r>
          </w:p>
        </w:tc>
        <w:tc>
          <w:tcPr>
            <w:tcW w:w="668" w:type="pct"/>
            <w:shd w:val="clear" w:color="auto" w:fill="auto"/>
            <w:noWrap w:val="0"/>
            <w:vAlign w:val="center"/>
          </w:tcPr>
          <w:p w14:paraId="5D4C501E">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0.1112</w:t>
            </w:r>
          </w:p>
        </w:tc>
        <w:tc>
          <w:tcPr>
            <w:tcW w:w="616" w:type="pct"/>
            <w:shd w:val="clear" w:color="auto" w:fill="auto"/>
            <w:noWrap w:val="0"/>
            <w:vAlign w:val="center"/>
          </w:tcPr>
          <w:p w14:paraId="37C07BCC">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0.00342</w:t>
            </w:r>
          </w:p>
        </w:tc>
        <w:tc>
          <w:tcPr>
            <w:tcW w:w="422" w:type="pct"/>
            <w:vMerge w:val="continue"/>
            <w:noWrap w:val="0"/>
            <w:vAlign w:val="center"/>
          </w:tcPr>
          <w:p w14:paraId="24854FDB">
            <w:pPr>
              <w:pStyle w:val="37"/>
              <w:bidi w:val="0"/>
              <w:rPr>
                <w:rFonts w:hint="default" w:ascii="Times New Roman" w:hAnsi="Times New Roman" w:cs="Times New Roman"/>
                <w:color w:val="FF0000"/>
                <w:highlight w:val="none"/>
                <w:lang w:val="en-US" w:eastAsia="zh-CN"/>
              </w:rPr>
            </w:pPr>
          </w:p>
        </w:tc>
        <w:tc>
          <w:tcPr>
            <w:tcW w:w="396" w:type="pct"/>
            <w:vMerge w:val="continue"/>
            <w:noWrap w:val="0"/>
            <w:vAlign w:val="center"/>
          </w:tcPr>
          <w:p w14:paraId="254C3CA3">
            <w:pPr>
              <w:pStyle w:val="37"/>
              <w:bidi w:val="0"/>
              <w:rPr>
                <w:rFonts w:hint="default" w:ascii="Times New Roman" w:hAnsi="Times New Roman" w:cs="Times New Roman"/>
                <w:color w:val="FF0000"/>
                <w:highlight w:val="none"/>
              </w:rPr>
            </w:pPr>
          </w:p>
        </w:tc>
        <w:tc>
          <w:tcPr>
            <w:tcW w:w="399" w:type="pct"/>
            <w:vMerge w:val="continue"/>
            <w:tcBorders>
              <w:right w:val="nil"/>
            </w:tcBorders>
            <w:noWrap w:val="0"/>
            <w:vAlign w:val="center"/>
          </w:tcPr>
          <w:p w14:paraId="16300DB8">
            <w:pPr>
              <w:pStyle w:val="37"/>
              <w:bidi w:val="0"/>
              <w:rPr>
                <w:rFonts w:hint="eastAsia"/>
                <w:color w:val="FF0000"/>
                <w:highlight w:val="none"/>
              </w:rPr>
            </w:pPr>
          </w:p>
        </w:tc>
      </w:tr>
      <w:tr w14:paraId="31167B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4" w:type="pct"/>
            <w:vMerge w:val="continue"/>
            <w:tcBorders>
              <w:left w:val="nil"/>
            </w:tcBorders>
            <w:shd w:val="clear" w:color="auto" w:fill="auto"/>
            <w:noWrap w:val="0"/>
            <w:vAlign w:val="center"/>
          </w:tcPr>
          <w:p w14:paraId="37B33B94">
            <w:pPr>
              <w:pStyle w:val="37"/>
              <w:bidi w:val="0"/>
              <w:rPr>
                <w:rFonts w:hint="default" w:ascii="Times New Roman" w:hAnsi="Times New Roman" w:cs="Times New Roman"/>
                <w:color w:val="FF0000"/>
                <w:highlight w:val="none"/>
              </w:rPr>
            </w:pPr>
          </w:p>
        </w:tc>
        <w:tc>
          <w:tcPr>
            <w:tcW w:w="457" w:type="pct"/>
            <w:vMerge w:val="continue"/>
            <w:shd w:val="clear" w:color="auto" w:fill="auto"/>
            <w:noWrap w:val="0"/>
            <w:vAlign w:val="center"/>
          </w:tcPr>
          <w:p w14:paraId="2EC0C491">
            <w:pPr>
              <w:pStyle w:val="37"/>
              <w:bidi w:val="0"/>
              <w:rPr>
                <w:rFonts w:hint="eastAsia" w:ascii="Times New Roman" w:hAnsi="Times New Roman" w:cs="Times New Roman"/>
                <w:color w:val="FF0000"/>
                <w:highlight w:val="none"/>
                <w:lang w:val="en-US" w:eastAsia="zh-CN"/>
              </w:rPr>
            </w:pPr>
          </w:p>
        </w:tc>
        <w:tc>
          <w:tcPr>
            <w:tcW w:w="658" w:type="pct"/>
            <w:vMerge w:val="continue"/>
            <w:noWrap w:val="0"/>
            <w:vAlign w:val="center"/>
          </w:tcPr>
          <w:p w14:paraId="602158D3">
            <w:pPr>
              <w:pStyle w:val="37"/>
              <w:bidi w:val="0"/>
              <w:rPr>
                <w:rFonts w:hint="default" w:ascii="Times New Roman" w:hAnsi="Times New Roman" w:cs="Times New Roman"/>
                <w:color w:val="FF0000"/>
                <w:highlight w:val="none"/>
                <w:lang w:val="en-US" w:eastAsia="zh-CN"/>
              </w:rPr>
            </w:pPr>
          </w:p>
        </w:tc>
        <w:tc>
          <w:tcPr>
            <w:tcW w:w="846" w:type="pct"/>
            <w:shd w:val="clear" w:color="auto" w:fill="auto"/>
            <w:noWrap w:val="0"/>
            <w:vAlign w:val="center"/>
          </w:tcPr>
          <w:p w14:paraId="7980439A">
            <w:pPr>
              <w:pStyle w:val="37"/>
              <w:bidi w:val="0"/>
              <w:ind w:firstLine="0" w:firstLineChars="0"/>
              <w:jc w:val="center"/>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color w:val="auto"/>
                <w:highlight w:val="none"/>
                <w:lang w:val="en-US" w:eastAsia="zh-CN"/>
              </w:rPr>
              <w:t>氯苯类</w:t>
            </w:r>
          </w:p>
        </w:tc>
        <w:tc>
          <w:tcPr>
            <w:tcW w:w="668" w:type="pct"/>
            <w:shd w:val="clear" w:color="auto" w:fill="auto"/>
            <w:noWrap w:val="0"/>
            <w:vAlign w:val="center"/>
          </w:tcPr>
          <w:p w14:paraId="4FA7148A">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0.0728</w:t>
            </w:r>
          </w:p>
        </w:tc>
        <w:tc>
          <w:tcPr>
            <w:tcW w:w="616" w:type="pct"/>
            <w:shd w:val="clear" w:color="auto" w:fill="auto"/>
            <w:noWrap w:val="0"/>
            <w:vAlign w:val="center"/>
          </w:tcPr>
          <w:p w14:paraId="71D6DF81">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0.00216</w:t>
            </w:r>
          </w:p>
        </w:tc>
        <w:tc>
          <w:tcPr>
            <w:tcW w:w="422" w:type="pct"/>
            <w:vMerge w:val="continue"/>
            <w:noWrap w:val="0"/>
            <w:vAlign w:val="center"/>
          </w:tcPr>
          <w:p w14:paraId="274A31E1">
            <w:pPr>
              <w:pStyle w:val="37"/>
              <w:bidi w:val="0"/>
              <w:rPr>
                <w:rFonts w:hint="default" w:ascii="Times New Roman" w:hAnsi="Times New Roman" w:cs="Times New Roman"/>
                <w:color w:val="FF0000"/>
                <w:highlight w:val="none"/>
                <w:lang w:val="en-US" w:eastAsia="zh-CN"/>
              </w:rPr>
            </w:pPr>
          </w:p>
        </w:tc>
        <w:tc>
          <w:tcPr>
            <w:tcW w:w="396" w:type="pct"/>
            <w:vMerge w:val="continue"/>
            <w:noWrap w:val="0"/>
            <w:vAlign w:val="center"/>
          </w:tcPr>
          <w:p w14:paraId="2B52A16B">
            <w:pPr>
              <w:pStyle w:val="37"/>
              <w:bidi w:val="0"/>
              <w:rPr>
                <w:rFonts w:hint="default" w:ascii="Times New Roman" w:hAnsi="Times New Roman" w:cs="Times New Roman"/>
                <w:color w:val="FF0000"/>
                <w:highlight w:val="none"/>
              </w:rPr>
            </w:pPr>
          </w:p>
        </w:tc>
        <w:tc>
          <w:tcPr>
            <w:tcW w:w="399" w:type="pct"/>
            <w:vMerge w:val="continue"/>
            <w:tcBorders>
              <w:right w:val="nil"/>
            </w:tcBorders>
            <w:noWrap w:val="0"/>
            <w:vAlign w:val="center"/>
          </w:tcPr>
          <w:p w14:paraId="3E34BED6">
            <w:pPr>
              <w:pStyle w:val="37"/>
              <w:bidi w:val="0"/>
              <w:rPr>
                <w:rFonts w:hint="eastAsia"/>
                <w:color w:val="FF0000"/>
                <w:highlight w:val="none"/>
              </w:rPr>
            </w:pPr>
          </w:p>
        </w:tc>
      </w:tr>
      <w:tr w14:paraId="24E67B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4" w:type="pct"/>
            <w:vMerge w:val="continue"/>
            <w:tcBorders>
              <w:left w:val="nil"/>
            </w:tcBorders>
            <w:shd w:val="clear" w:color="auto" w:fill="auto"/>
            <w:noWrap w:val="0"/>
            <w:vAlign w:val="center"/>
          </w:tcPr>
          <w:p w14:paraId="143E03BC">
            <w:pPr>
              <w:pStyle w:val="37"/>
              <w:bidi w:val="0"/>
              <w:rPr>
                <w:rFonts w:hint="default" w:ascii="Times New Roman" w:hAnsi="Times New Roman" w:cs="Times New Roman"/>
                <w:color w:val="FF0000"/>
                <w:highlight w:val="none"/>
              </w:rPr>
            </w:pPr>
          </w:p>
        </w:tc>
        <w:tc>
          <w:tcPr>
            <w:tcW w:w="457" w:type="pct"/>
            <w:vMerge w:val="continue"/>
            <w:shd w:val="clear" w:color="auto" w:fill="auto"/>
            <w:noWrap w:val="0"/>
            <w:vAlign w:val="center"/>
          </w:tcPr>
          <w:p w14:paraId="3C77E1EE">
            <w:pPr>
              <w:pStyle w:val="37"/>
              <w:bidi w:val="0"/>
              <w:rPr>
                <w:rFonts w:hint="eastAsia" w:ascii="Times New Roman" w:hAnsi="Times New Roman" w:cs="Times New Roman"/>
                <w:color w:val="FF0000"/>
                <w:highlight w:val="none"/>
                <w:lang w:val="en-US" w:eastAsia="zh-CN"/>
              </w:rPr>
            </w:pPr>
          </w:p>
        </w:tc>
        <w:tc>
          <w:tcPr>
            <w:tcW w:w="658" w:type="pct"/>
            <w:vMerge w:val="continue"/>
            <w:noWrap w:val="0"/>
            <w:vAlign w:val="center"/>
          </w:tcPr>
          <w:p w14:paraId="3E28183D">
            <w:pPr>
              <w:pStyle w:val="37"/>
              <w:bidi w:val="0"/>
              <w:rPr>
                <w:rFonts w:hint="default" w:ascii="Times New Roman" w:hAnsi="Times New Roman" w:cs="Times New Roman"/>
                <w:color w:val="FF0000"/>
                <w:highlight w:val="none"/>
                <w:lang w:val="en-US" w:eastAsia="zh-CN"/>
              </w:rPr>
            </w:pPr>
          </w:p>
        </w:tc>
        <w:tc>
          <w:tcPr>
            <w:tcW w:w="846" w:type="pct"/>
            <w:shd w:val="clear" w:color="auto" w:fill="auto"/>
            <w:noWrap w:val="0"/>
            <w:vAlign w:val="center"/>
          </w:tcPr>
          <w:p w14:paraId="2E9BCB42">
            <w:pPr>
              <w:pStyle w:val="37"/>
              <w:bidi w:val="0"/>
              <w:ind w:firstLine="0" w:firstLineChars="0"/>
              <w:jc w:val="center"/>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color w:val="auto"/>
                <w:highlight w:val="none"/>
                <w:lang w:val="en-US" w:eastAsia="zh-CN"/>
              </w:rPr>
              <w:t>二氯甲烷</w:t>
            </w:r>
          </w:p>
        </w:tc>
        <w:tc>
          <w:tcPr>
            <w:tcW w:w="668" w:type="pct"/>
            <w:shd w:val="clear" w:color="auto" w:fill="auto"/>
            <w:noWrap w:val="0"/>
            <w:vAlign w:val="center"/>
          </w:tcPr>
          <w:p w14:paraId="7676A9E9">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0.7692</w:t>
            </w:r>
          </w:p>
        </w:tc>
        <w:tc>
          <w:tcPr>
            <w:tcW w:w="616" w:type="pct"/>
            <w:shd w:val="clear" w:color="auto" w:fill="auto"/>
            <w:noWrap w:val="0"/>
            <w:vAlign w:val="center"/>
          </w:tcPr>
          <w:p w14:paraId="46D3C2E1">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0.02304</w:t>
            </w:r>
          </w:p>
        </w:tc>
        <w:tc>
          <w:tcPr>
            <w:tcW w:w="422" w:type="pct"/>
            <w:vMerge w:val="continue"/>
            <w:noWrap w:val="0"/>
            <w:vAlign w:val="center"/>
          </w:tcPr>
          <w:p w14:paraId="3A91CE11">
            <w:pPr>
              <w:pStyle w:val="37"/>
              <w:bidi w:val="0"/>
              <w:rPr>
                <w:rFonts w:hint="default" w:ascii="Times New Roman" w:hAnsi="Times New Roman" w:cs="Times New Roman"/>
                <w:color w:val="FF0000"/>
                <w:highlight w:val="none"/>
                <w:lang w:val="en-US" w:eastAsia="zh-CN"/>
              </w:rPr>
            </w:pPr>
          </w:p>
        </w:tc>
        <w:tc>
          <w:tcPr>
            <w:tcW w:w="396" w:type="pct"/>
            <w:vMerge w:val="continue"/>
            <w:noWrap w:val="0"/>
            <w:vAlign w:val="center"/>
          </w:tcPr>
          <w:p w14:paraId="1FD56814">
            <w:pPr>
              <w:pStyle w:val="37"/>
              <w:bidi w:val="0"/>
              <w:rPr>
                <w:rFonts w:hint="default" w:ascii="Times New Roman" w:hAnsi="Times New Roman" w:cs="Times New Roman"/>
                <w:color w:val="FF0000"/>
                <w:highlight w:val="none"/>
              </w:rPr>
            </w:pPr>
          </w:p>
        </w:tc>
        <w:tc>
          <w:tcPr>
            <w:tcW w:w="399" w:type="pct"/>
            <w:vMerge w:val="continue"/>
            <w:tcBorders>
              <w:right w:val="nil"/>
            </w:tcBorders>
            <w:noWrap w:val="0"/>
            <w:vAlign w:val="center"/>
          </w:tcPr>
          <w:p w14:paraId="65E3EE96">
            <w:pPr>
              <w:pStyle w:val="37"/>
              <w:bidi w:val="0"/>
              <w:rPr>
                <w:rFonts w:hint="eastAsia"/>
                <w:color w:val="FF0000"/>
                <w:highlight w:val="none"/>
              </w:rPr>
            </w:pPr>
          </w:p>
        </w:tc>
      </w:tr>
      <w:tr w14:paraId="5D0E20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4" w:type="pct"/>
            <w:vMerge w:val="restart"/>
            <w:tcBorders>
              <w:left w:val="nil"/>
            </w:tcBorders>
            <w:shd w:val="clear" w:color="auto" w:fill="auto"/>
            <w:noWrap w:val="0"/>
            <w:vAlign w:val="center"/>
          </w:tcPr>
          <w:p w14:paraId="4210D84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DA002</w:t>
            </w:r>
          </w:p>
        </w:tc>
        <w:tc>
          <w:tcPr>
            <w:tcW w:w="457" w:type="pct"/>
            <w:vMerge w:val="restart"/>
            <w:shd w:val="clear" w:color="auto" w:fill="auto"/>
            <w:noWrap w:val="0"/>
            <w:vAlign w:val="center"/>
          </w:tcPr>
          <w:p w14:paraId="6B7557F8">
            <w:pPr>
              <w:pStyle w:val="37"/>
              <w:bidi w:val="0"/>
              <w:rPr>
                <w:rFonts w:hint="eastAsia" w:ascii="Times New Roman" w:hAnsi="Times New Roman" w:cs="Times New Roman"/>
                <w:color w:val="auto"/>
                <w:highlight w:val="none"/>
                <w:lang w:val="en-US" w:eastAsia="zh-CN"/>
              </w:rPr>
            </w:pPr>
            <w:r>
              <w:rPr>
                <w:rFonts w:hint="eastAsia" w:ascii="Times New Roman" w:hAnsi="Times New Roman" w:eastAsia="宋体" w:cs="Times New Roman"/>
                <w:color w:val="auto"/>
                <w:highlight w:val="none"/>
                <w:lang w:val="en-US" w:eastAsia="zh-CN"/>
              </w:rPr>
              <w:t>喷涂、管路和喷枪清洗、丝印</w:t>
            </w:r>
          </w:p>
        </w:tc>
        <w:tc>
          <w:tcPr>
            <w:tcW w:w="658" w:type="pct"/>
            <w:noWrap w:val="0"/>
            <w:vAlign w:val="center"/>
          </w:tcPr>
          <w:p w14:paraId="1998E775">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水帘漆雾净化装置故障，处理效率为80%</w:t>
            </w:r>
          </w:p>
        </w:tc>
        <w:tc>
          <w:tcPr>
            <w:tcW w:w="846" w:type="pct"/>
            <w:shd w:val="clear" w:color="auto" w:fill="auto"/>
            <w:noWrap w:val="0"/>
            <w:vAlign w:val="center"/>
          </w:tcPr>
          <w:p w14:paraId="4057ADCC">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eastAsia="宋体" w:cs="Times New Roman"/>
                <w:snapToGrid w:val="0"/>
                <w:color w:val="auto"/>
                <w:spacing w:val="6"/>
                <w:sz w:val="21"/>
                <w:szCs w:val="21"/>
                <w:highlight w:val="none"/>
                <w:lang w:val="en-US" w:eastAsia="zh-CN" w:bidi="ar-SA"/>
              </w:rPr>
              <w:t>颗粒物</w:t>
            </w:r>
          </w:p>
        </w:tc>
        <w:tc>
          <w:tcPr>
            <w:tcW w:w="668" w:type="pct"/>
            <w:shd w:val="clear" w:color="auto" w:fill="auto"/>
            <w:noWrap w:val="0"/>
            <w:vAlign w:val="center"/>
          </w:tcPr>
          <w:p w14:paraId="44ACD458">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208.4</w:t>
            </w:r>
          </w:p>
        </w:tc>
        <w:tc>
          <w:tcPr>
            <w:tcW w:w="616" w:type="pct"/>
            <w:shd w:val="clear" w:color="auto" w:fill="auto"/>
            <w:noWrap w:val="0"/>
            <w:vAlign w:val="center"/>
          </w:tcPr>
          <w:p w14:paraId="36BEA246">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7.328</w:t>
            </w:r>
          </w:p>
        </w:tc>
        <w:tc>
          <w:tcPr>
            <w:tcW w:w="422" w:type="pct"/>
            <w:vMerge w:val="continue"/>
            <w:noWrap w:val="0"/>
            <w:vAlign w:val="center"/>
          </w:tcPr>
          <w:p w14:paraId="550266C5">
            <w:pPr>
              <w:pStyle w:val="37"/>
              <w:bidi w:val="0"/>
              <w:rPr>
                <w:rFonts w:hint="default" w:ascii="Times New Roman" w:hAnsi="Times New Roman" w:cs="Times New Roman"/>
                <w:color w:val="FF0000"/>
                <w:highlight w:val="none"/>
                <w:lang w:val="en-US" w:eastAsia="zh-CN"/>
              </w:rPr>
            </w:pPr>
          </w:p>
        </w:tc>
        <w:tc>
          <w:tcPr>
            <w:tcW w:w="396" w:type="pct"/>
            <w:vMerge w:val="continue"/>
            <w:noWrap w:val="0"/>
            <w:vAlign w:val="center"/>
          </w:tcPr>
          <w:p w14:paraId="3A60266A">
            <w:pPr>
              <w:pStyle w:val="37"/>
              <w:bidi w:val="0"/>
              <w:rPr>
                <w:rFonts w:hint="default" w:ascii="Times New Roman" w:hAnsi="Times New Roman" w:cs="Times New Roman"/>
                <w:color w:val="FF0000"/>
                <w:highlight w:val="none"/>
              </w:rPr>
            </w:pPr>
          </w:p>
        </w:tc>
        <w:tc>
          <w:tcPr>
            <w:tcW w:w="399" w:type="pct"/>
            <w:vMerge w:val="continue"/>
            <w:tcBorders>
              <w:right w:val="nil"/>
            </w:tcBorders>
            <w:noWrap w:val="0"/>
            <w:vAlign w:val="center"/>
          </w:tcPr>
          <w:p w14:paraId="53260B1A">
            <w:pPr>
              <w:pStyle w:val="37"/>
              <w:bidi w:val="0"/>
              <w:rPr>
                <w:rFonts w:hint="eastAsia"/>
                <w:color w:val="FF0000"/>
                <w:highlight w:val="none"/>
              </w:rPr>
            </w:pPr>
          </w:p>
        </w:tc>
      </w:tr>
      <w:tr w14:paraId="65067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4" w:type="pct"/>
            <w:vMerge w:val="continue"/>
            <w:tcBorders>
              <w:left w:val="nil"/>
            </w:tcBorders>
            <w:shd w:val="clear" w:color="auto" w:fill="auto"/>
            <w:noWrap w:val="0"/>
            <w:vAlign w:val="center"/>
          </w:tcPr>
          <w:p w14:paraId="7C223B7F">
            <w:pPr>
              <w:pStyle w:val="37"/>
              <w:bidi w:val="0"/>
              <w:rPr>
                <w:rFonts w:hint="default" w:ascii="Times New Roman" w:hAnsi="Times New Roman" w:cs="Times New Roman"/>
                <w:color w:val="auto"/>
                <w:highlight w:val="none"/>
              </w:rPr>
            </w:pPr>
          </w:p>
        </w:tc>
        <w:tc>
          <w:tcPr>
            <w:tcW w:w="457" w:type="pct"/>
            <w:vMerge w:val="continue"/>
            <w:shd w:val="clear" w:color="auto" w:fill="auto"/>
            <w:noWrap w:val="0"/>
            <w:vAlign w:val="center"/>
          </w:tcPr>
          <w:p w14:paraId="2EC9599D">
            <w:pPr>
              <w:pStyle w:val="37"/>
              <w:bidi w:val="0"/>
              <w:rPr>
                <w:rFonts w:hint="eastAsia" w:ascii="Times New Roman" w:hAnsi="Times New Roman" w:cs="Times New Roman"/>
                <w:color w:val="auto"/>
                <w:highlight w:val="none"/>
                <w:lang w:val="en-US" w:eastAsia="zh-CN"/>
              </w:rPr>
            </w:pPr>
          </w:p>
        </w:tc>
        <w:tc>
          <w:tcPr>
            <w:tcW w:w="658" w:type="pct"/>
            <w:noWrap w:val="0"/>
            <w:vAlign w:val="center"/>
          </w:tcPr>
          <w:p w14:paraId="7539D76A">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沸石转轮吸附+RTO焚烧装置</w:t>
            </w:r>
            <w:r>
              <w:rPr>
                <w:rFonts w:hint="eastAsia" w:ascii="Times New Roman" w:hAnsi="Times New Roman" w:cs="Times New Roman"/>
                <w:color w:val="auto"/>
                <w:highlight w:val="none"/>
                <w:lang w:val="en-US" w:eastAsia="zh-CN"/>
              </w:rPr>
              <w:t>故障，处理效率为80%</w:t>
            </w:r>
          </w:p>
        </w:tc>
        <w:tc>
          <w:tcPr>
            <w:tcW w:w="846" w:type="pct"/>
            <w:shd w:val="clear" w:color="auto" w:fill="auto"/>
            <w:noWrap w:val="0"/>
            <w:vAlign w:val="center"/>
          </w:tcPr>
          <w:p w14:paraId="28FB5B78">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highlight w:val="none"/>
                <w:lang w:val="en-US" w:eastAsia="zh-CN"/>
              </w:rPr>
              <w:t>非甲烷总烃</w:t>
            </w:r>
          </w:p>
        </w:tc>
        <w:tc>
          <w:tcPr>
            <w:tcW w:w="668" w:type="pct"/>
            <w:shd w:val="clear" w:color="auto" w:fill="auto"/>
            <w:noWrap w:val="0"/>
            <w:vAlign w:val="center"/>
          </w:tcPr>
          <w:p w14:paraId="48326CD5">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537.4</w:t>
            </w:r>
          </w:p>
        </w:tc>
        <w:tc>
          <w:tcPr>
            <w:tcW w:w="616" w:type="pct"/>
            <w:shd w:val="clear" w:color="auto" w:fill="auto"/>
            <w:noWrap w:val="0"/>
            <w:vAlign w:val="center"/>
          </w:tcPr>
          <w:p w14:paraId="3B5A8E52">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10.748</w:t>
            </w:r>
          </w:p>
        </w:tc>
        <w:tc>
          <w:tcPr>
            <w:tcW w:w="422" w:type="pct"/>
            <w:vMerge w:val="continue"/>
            <w:noWrap w:val="0"/>
            <w:vAlign w:val="center"/>
          </w:tcPr>
          <w:p w14:paraId="734AC1BA">
            <w:pPr>
              <w:pStyle w:val="37"/>
              <w:bidi w:val="0"/>
              <w:rPr>
                <w:rFonts w:hint="default" w:ascii="Times New Roman" w:hAnsi="Times New Roman" w:cs="Times New Roman"/>
                <w:color w:val="FF0000"/>
                <w:highlight w:val="none"/>
                <w:lang w:val="en-US" w:eastAsia="zh-CN"/>
              </w:rPr>
            </w:pPr>
          </w:p>
        </w:tc>
        <w:tc>
          <w:tcPr>
            <w:tcW w:w="396" w:type="pct"/>
            <w:vMerge w:val="continue"/>
            <w:noWrap w:val="0"/>
            <w:vAlign w:val="center"/>
          </w:tcPr>
          <w:p w14:paraId="10148DC3">
            <w:pPr>
              <w:pStyle w:val="37"/>
              <w:bidi w:val="0"/>
              <w:rPr>
                <w:rFonts w:hint="default" w:ascii="Times New Roman" w:hAnsi="Times New Roman" w:cs="Times New Roman"/>
                <w:color w:val="FF0000"/>
                <w:highlight w:val="none"/>
              </w:rPr>
            </w:pPr>
          </w:p>
        </w:tc>
        <w:tc>
          <w:tcPr>
            <w:tcW w:w="399" w:type="pct"/>
            <w:vMerge w:val="continue"/>
            <w:tcBorders>
              <w:right w:val="nil"/>
            </w:tcBorders>
            <w:noWrap w:val="0"/>
            <w:vAlign w:val="center"/>
          </w:tcPr>
          <w:p w14:paraId="331FE067">
            <w:pPr>
              <w:pStyle w:val="37"/>
              <w:bidi w:val="0"/>
              <w:rPr>
                <w:rFonts w:hint="eastAsia"/>
                <w:color w:val="FF0000"/>
                <w:highlight w:val="none"/>
              </w:rPr>
            </w:pPr>
          </w:p>
        </w:tc>
      </w:tr>
      <w:tr w14:paraId="0144C3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4" w:type="pct"/>
            <w:tcBorders>
              <w:left w:val="nil"/>
            </w:tcBorders>
            <w:shd w:val="clear" w:color="auto" w:fill="auto"/>
            <w:noWrap w:val="0"/>
            <w:vAlign w:val="center"/>
          </w:tcPr>
          <w:p w14:paraId="1967531B">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DA004</w:t>
            </w:r>
          </w:p>
        </w:tc>
        <w:tc>
          <w:tcPr>
            <w:tcW w:w="457" w:type="pct"/>
            <w:shd w:val="clear" w:color="auto" w:fill="auto"/>
            <w:noWrap w:val="0"/>
            <w:vAlign w:val="center"/>
          </w:tcPr>
          <w:p w14:paraId="45A59BD8">
            <w:pPr>
              <w:pStyle w:val="37"/>
              <w:bidi w:val="0"/>
              <w:rPr>
                <w:rFonts w:hint="default" w:ascii="Times New Roman" w:hAnsi="Times New Roman" w:cs="Times New Roman"/>
                <w:color w:val="auto"/>
                <w:highlight w:val="none"/>
              </w:rPr>
            </w:pPr>
            <w:r>
              <w:rPr>
                <w:rFonts w:hint="eastAsia" w:ascii="Times New Roman" w:hAnsi="Times New Roman" w:eastAsia="宋体" w:cs="Times New Roman"/>
                <w:color w:val="auto"/>
                <w:highlight w:val="none"/>
                <w:lang w:val="en-US" w:eastAsia="zh-CN"/>
              </w:rPr>
              <w:t>配胶、喷胶及烘干、发泡</w:t>
            </w:r>
          </w:p>
        </w:tc>
        <w:tc>
          <w:tcPr>
            <w:tcW w:w="658" w:type="pct"/>
            <w:noWrap w:val="0"/>
            <w:vAlign w:val="center"/>
          </w:tcPr>
          <w:p w14:paraId="73F7F01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活性炭装置</w:t>
            </w:r>
            <w:r>
              <w:rPr>
                <w:rFonts w:hint="default" w:ascii="Times New Roman" w:hAnsi="Times New Roman" w:cs="Times New Roman"/>
                <w:color w:val="auto"/>
                <w:highlight w:val="none"/>
              </w:rPr>
              <w:t>故障，处理效率为</w:t>
            </w:r>
            <w:r>
              <w:rPr>
                <w:rFonts w:hint="eastAsia" w:ascii="Times New Roman" w:hAnsi="Times New Roman" w:cs="Times New Roman"/>
                <w:color w:val="auto"/>
                <w:highlight w:val="none"/>
                <w:lang w:val="en-US" w:eastAsia="zh-CN"/>
              </w:rPr>
              <w:t>80</w:t>
            </w:r>
            <w:r>
              <w:rPr>
                <w:rFonts w:hint="default" w:ascii="Times New Roman" w:hAnsi="Times New Roman" w:cs="Times New Roman"/>
                <w:color w:val="auto"/>
                <w:highlight w:val="none"/>
              </w:rPr>
              <w:t>%</w:t>
            </w:r>
          </w:p>
        </w:tc>
        <w:tc>
          <w:tcPr>
            <w:tcW w:w="846" w:type="pct"/>
            <w:shd w:val="clear" w:color="auto" w:fill="auto"/>
            <w:noWrap w:val="0"/>
            <w:vAlign w:val="center"/>
          </w:tcPr>
          <w:p w14:paraId="082D4005">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highlight w:val="none"/>
                <w:lang w:val="en-US" w:eastAsia="zh-CN"/>
              </w:rPr>
              <w:t>非甲烷总烃</w:t>
            </w:r>
          </w:p>
        </w:tc>
        <w:tc>
          <w:tcPr>
            <w:tcW w:w="668" w:type="pct"/>
            <w:shd w:val="clear" w:color="auto" w:fill="auto"/>
            <w:noWrap w:val="0"/>
            <w:vAlign w:val="center"/>
          </w:tcPr>
          <w:p w14:paraId="4DB4C580">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56.2</w:t>
            </w:r>
          </w:p>
        </w:tc>
        <w:tc>
          <w:tcPr>
            <w:tcW w:w="616" w:type="pct"/>
            <w:shd w:val="clear" w:color="auto" w:fill="auto"/>
            <w:noWrap w:val="0"/>
            <w:vAlign w:val="center"/>
          </w:tcPr>
          <w:p w14:paraId="2FF52EBF">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0.2812</w:t>
            </w:r>
          </w:p>
        </w:tc>
        <w:tc>
          <w:tcPr>
            <w:tcW w:w="422" w:type="pct"/>
            <w:vMerge w:val="continue"/>
            <w:noWrap w:val="0"/>
            <w:vAlign w:val="center"/>
          </w:tcPr>
          <w:p w14:paraId="13EE89F6">
            <w:pPr>
              <w:pStyle w:val="37"/>
              <w:bidi w:val="0"/>
              <w:rPr>
                <w:rFonts w:hint="default" w:ascii="Times New Roman" w:hAnsi="Times New Roman" w:cs="Times New Roman"/>
                <w:color w:val="FF0000"/>
                <w:highlight w:val="none"/>
                <w:lang w:eastAsia="zh-CN"/>
              </w:rPr>
            </w:pPr>
          </w:p>
        </w:tc>
        <w:tc>
          <w:tcPr>
            <w:tcW w:w="396" w:type="pct"/>
            <w:vMerge w:val="continue"/>
            <w:noWrap w:val="0"/>
            <w:vAlign w:val="center"/>
          </w:tcPr>
          <w:p w14:paraId="18D27944">
            <w:pPr>
              <w:pStyle w:val="37"/>
              <w:bidi w:val="0"/>
              <w:rPr>
                <w:rFonts w:hint="default" w:ascii="Times New Roman" w:hAnsi="Times New Roman" w:cs="Times New Roman"/>
                <w:color w:val="FF0000"/>
                <w:highlight w:val="none"/>
              </w:rPr>
            </w:pPr>
          </w:p>
        </w:tc>
        <w:tc>
          <w:tcPr>
            <w:tcW w:w="399" w:type="pct"/>
            <w:vMerge w:val="continue"/>
            <w:tcBorders>
              <w:right w:val="nil"/>
            </w:tcBorders>
            <w:noWrap w:val="0"/>
            <w:vAlign w:val="center"/>
          </w:tcPr>
          <w:p w14:paraId="18C4393D">
            <w:pPr>
              <w:pStyle w:val="37"/>
              <w:bidi w:val="0"/>
              <w:rPr>
                <w:color w:val="FF0000"/>
                <w:highlight w:val="none"/>
              </w:rPr>
            </w:pPr>
          </w:p>
        </w:tc>
      </w:tr>
    </w:tbl>
    <w:p w14:paraId="668A7B78">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5.2.1.3</w:t>
      </w:r>
      <w:r>
        <w:rPr>
          <w:rFonts w:hint="default" w:ascii="Times New Roman" w:hAnsi="Times New Roman" w:eastAsia="宋体" w:cs="Times New Roman"/>
          <w:b/>
          <w:bCs/>
          <w:color w:val="auto"/>
          <w:sz w:val="28"/>
          <w:szCs w:val="28"/>
          <w:lang w:val="en-US" w:eastAsia="zh-CN"/>
        </w:rPr>
        <w:t>大气环境防护距离</w:t>
      </w:r>
    </w:p>
    <w:p w14:paraId="3F8BFA9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color w:val="auto"/>
          <w:lang w:val="en-US" w:eastAsia="zh-CN"/>
        </w:rPr>
      </w:pPr>
      <w:r>
        <w:rPr>
          <w:rFonts w:hint="default" w:ascii="Times New Roman" w:hAnsi="Times New Roman" w:cs="Times New Roman"/>
          <w:color w:val="auto"/>
          <w:sz w:val="24"/>
          <w:szCs w:val="24"/>
          <w:highlight w:val="none"/>
        </w:rPr>
        <w:t>根据《环境影响评价技术导则大气环境》</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HJ2.2-2018</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中“评价等级判定及大气环境影响预测与评价”的要求，以项目排放的污染物为污染源，经估算模型计算，本项目评价工作等级为二级，厂界外污染物短期贡献浓度值未超过环境质量短期浓度标准值，因此本项目不设置大气环境防护距离。</w:t>
      </w:r>
      <w:bookmarkEnd w:id="52"/>
    </w:p>
    <w:p w14:paraId="1D257F3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5.2.2地表水环境影响预测与评价</w:t>
      </w:r>
    </w:p>
    <w:p w14:paraId="0A1ED5E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color w:val="auto"/>
          <w:lang w:val="en-US" w:eastAsia="zh-CN"/>
        </w:rPr>
      </w:pPr>
      <w:r>
        <w:rPr>
          <w:rFonts w:hint="default" w:ascii="Times New Roman" w:hAnsi="Times New Roman" w:cs="Times New Roman"/>
          <w:color w:val="auto"/>
          <w:sz w:val="24"/>
          <w:szCs w:val="24"/>
          <w:highlight w:val="none"/>
        </w:rPr>
        <w:t>本项目地表水环境评价等级为三级B。根据《环境影响评价技术导则 地表水环境》（HJ2.3-2018）规定，本项目只需进行水污染控制和水环境影响减缓措施有效性评价和依托污水处理设施的环境可行性评价。</w:t>
      </w:r>
    </w:p>
    <w:p w14:paraId="41269C53">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eastAsia"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5.2.2.1水污染控制和水环境影响减缓措施有效性评价</w:t>
      </w:r>
    </w:p>
    <w:p w14:paraId="37635FF1">
      <w:pPr>
        <w:pStyle w:val="31"/>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本项目排水为生活污水及冷却塔循环冷却废水。</w:t>
      </w:r>
    </w:p>
    <w:p w14:paraId="1ACE43FA">
      <w:pPr>
        <w:pStyle w:val="31"/>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1、生活污水</w:t>
      </w:r>
    </w:p>
    <w:p w14:paraId="42F90CB9">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pacing w:val="15"/>
          <w:sz w:val="24"/>
          <w:szCs w:val="23"/>
          <w:highlight w:val="none"/>
          <w:lang w:val="en-US" w:eastAsia="zh-CN"/>
        </w:rPr>
        <w:t>生活污水按照生活用水的80%计算，产生量为25.6m</w:t>
      </w:r>
      <w:r>
        <w:rPr>
          <w:rFonts w:hint="default" w:ascii="Times New Roman" w:hAnsi="Times New Roman" w:cs="Times New Roman"/>
          <w:color w:val="auto"/>
          <w:spacing w:val="15"/>
          <w:sz w:val="24"/>
          <w:szCs w:val="23"/>
          <w:highlight w:val="none"/>
          <w:vertAlign w:val="superscript"/>
          <w:lang w:val="en-US" w:eastAsia="zh-CN"/>
        </w:rPr>
        <w:t>3</w:t>
      </w:r>
      <w:r>
        <w:rPr>
          <w:rFonts w:hint="default" w:ascii="Times New Roman" w:hAnsi="Times New Roman" w:cs="Times New Roman"/>
          <w:color w:val="auto"/>
          <w:spacing w:val="15"/>
          <w:sz w:val="24"/>
          <w:szCs w:val="23"/>
          <w:highlight w:val="none"/>
          <w:lang w:val="en-US" w:eastAsia="zh-CN"/>
        </w:rPr>
        <w:t>/d、7424m</w:t>
      </w:r>
      <w:r>
        <w:rPr>
          <w:rFonts w:hint="default" w:ascii="Times New Roman" w:hAnsi="Times New Roman" w:cs="Times New Roman"/>
          <w:color w:val="auto"/>
          <w:spacing w:val="15"/>
          <w:sz w:val="24"/>
          <w:szCs w:val="23"/>
          <w:highlight w:val="none"/>
          <w:vertAlign w:val="superscript"/>
          <w:lang w:val="en-US" w:eastAsia="zh-CN"/>
        </w:rPr>
        <w:t>3</w:t>
      </w:r>
      <w:r>
        <w:rPr>
          <w:rFonts w:hint="default" w:ascii="Times New Roman" w:hAnsi="Times New Roman" w:cs="Times New Roman"/>
          <w:color w:val="auto"/>
          <w:spacing w:val="15"/>
          <w:sz w:val="24"/>
          <w:szCs w:val="23"/>
          <w:highlight w:val="none"/>
          <w:lang w:val="en-US" w:eastAsia="zh-CN"/>
        </w:rPr>
        <w:t>/a。</w:t>
      </w:r>
      <w:r>
        <w:rPr>
          <w:rFonts w:hint="default" w:ascii="Times New Roman" w:hAnsi="Times New Roman" w:cs="Times New Roman"/>
          <w:color w:val="auto"/>
          <w:sz w:val="24"/>
          <w:highlight w:val="none"/>
          <w:lang w:val="en-US" w:eastAsia="zh-CN"/>
        </w:rPr>
        <w:t>生活污水水质参照《水工业工程设计手册-建筑和小区给排水》中“12.2.2污水水量和水质”中给出的住宅、各类公共建筑污水水质平均浓度，结合项目特点，生活污水主要污染物的产生浓度取值为：COD400mg/L、BOD</w:t>
      </w:r>
      <w:r>
        <w:rPr>
          <w:rFonts w:hint="default" w:ascii="Times New Roman" w:hAnsi="Times New Roman" w:cs="Times New Roman"/>
          <w:color w:val="auto"/>
          <w:sz w:val="24"/>
          <w:highlight w:val="none"/>
          <w:vertAlign w:val="subscript"/>
          <w:lang w:val="en-US" w:eastAsia="zh-CN"/>
        </w:rPr>
        <w:t>5</w:t>
      </w:r>
      <w:r>
        <w:rPr>
          <w:rFonts w:hint="default" w:ascii="Times New Roman" w:hAnsi="Times New Roman" w:cs="Times New Roman"/>
          <w:color w:val="auto"/>
          <w:sz w:val="24"/>
          <w:highlight w:val="none"/>
          <w:lang w:val="en-US" w:eastAsia="zh-CN"/>
        </w:rPr>
        <w:t>200mg/L、SS250mg/L、氨氮35mg/L、动植物油40mg/L。</w:t>
      </w:r>
      <w:r>
        <w:rPr>
          <w:rFonts w:hint="eastAsia" w:ascii="Times New Roman" w:hAnsi="Times New Roman" w:cs="Times New Roman"/>
          <w:color w:val="auto"/>
          <w:sz w:val="24"/>
          <w:highlight w:val="none"/>
          <w:lang w:val="en-US" w:eastAsia="zh-CN"/>
        </w:rPr>
        <w:t>COD排放量为2.97t/a、BOD</w:t>
      </w:r>
      <w:r>
        <w:rPr>
          <w:rFonts w:hint="eastAsia" w:ascii="Times New Roman" w:hAnsi="Times New Roman" w:cs="Times New Roman"/>
          <w:color w:val="auto"/>
          <w:sz w:val="24"/>
          <w:highlight w:val="none"/>
          <w:vertAlign w:val="subscript"/>
          <w:lang w:val="en-US" w:eastAsia="zh-CN"/>
        </w:rPr>
        <w:t>5</w:t>
      </w:r>
      <w:r>
        <w:rPr>
          <w:rFonts w:hint="eastAsia" w:ascii="Times New Roman" w:hAnsi="Times New Roman" w:cs="Times New Roman"/>
          <w:color w:val="auto"/>
          <w:sz w:val="24"/>
          <w:highlight w:val="none"/>
          <w:lang w:val="en-US" w:eastAsia="zh-CN"/>
        </w:rPr>
        <w:t>排放量为1.48t/a、SS排放量为1.86t/a、氨氮排放量为0.26t/a、动植物油排放量为0.3t/a。</w:t>
      </w:r>
    </w:p>
    <w:p w14:paraId="45EF58DD">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jc w:val="both"/>
        <w:textAlignment w:val="baseline"/>
        <w:rPr>
          <w:rFonts w:hint="eastAsia" w:ascii="Times New Roman" w:hAnsi="Times New Roman" w:cs="Times New Roman"/>
          <w:color w:val="auto"/>
          <w:spacing w:val="15"/>
          <w:sz w:val="24"/>
          <w:szCs w:val="23"/>
          <w:highlight w:val="none"/>
          <w:lang w:val="en-US" w:eastAsia="zh-CN"/>
        </w:rPr>
      </w:pPr>
      <w:r>
        <w:rPr>
          <w:rFonts w:hint="eastAsia" w:ascii="Times New Roman" w:hAnsi="Times New Roman" w:cs="Times New Roman"/>
          <w:color w:val="auto"/>
          <w:spacing w:val="15"/>
          <w:sz w:val="24"/>
          <w:szCs w:val="23"/>
          <w:highlight w:val="none"/>
          <w:lang w:val="en-US" w:eastAsia="zh-CN"/>
        </w:rPr>
        <w:t>2、冷却塔循环冷却废水</w:t>
      </w:r>
    </w:p>
    <w:p w14:paraId="2DE07933">
      <w:pPr>
        <w:keepNext w:val="0"/>
        <w:keepLines w:val="0"/>
        <w:pageBreakBefore w:val="0"/>
        <w:widowControl/>
        <w:kinsoku w:val="0"/>
        <w:wordWrap/>
        <w:overflowPunct/>
        <w:topLinePunct w:val="0"/>
        <w:autoSpaceDE w:val="0"/>
        <w:autoSpaceDN w:val="0"/>
        <w:bidi w:val="0"/>
        <w:adjustRightInd w:val="0"/>
        <w:snapToGrid w:val="0"/>
        <w:spacing w:line="360" w:lineRule="auto"/>
        <w:ind w:firstLine="540" w:firstLineChars="200"/>
        <w:textAlignment w:val="baseline"/>
        <w:rPr>
          <w:rFonts w:hint="default" w:eastAsia="宋体"/>
          <w:color w:val="FF0000"/>
          <w:highlight w:val="none"/>
          <w:lang w:val="en-US" w:eastAsia="zh-CN"/>
        </w:rPr>
      </w:pPr>
      <w:r>
        <w:rPr>
          <w:rFonts w:hint="eastAsia" w:ascii="Times New Roman" w:hAnsi="Times New Roman" w:cs="Times New Roman"/>
          <w:color w:val="auto"/>
          <w:spacing w:val="15"/>
          <w:sz w:val="24"/>
          <w:szCs w:val="23"/>
          <w:highlight w:val="none"/>
          <w:lang w:val="en-US" w:eastAsia="zh-CN"/>
        </w:rPr>
        <w:t>冷却塔循环冷却废水产生量为3m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/d、870m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/a。</w:t>
      </w:r>
      <w:r>
        <w:rPr>
          <w:rFonts w:hint="eastAsia" w:ascii="Times New Roman" w:hAnsi="Times New Roman" w:eastAsia="宋体" w:cs="Times New Roman"/>
          <w:color w:val="auto"/>
          <w:sz w:val="24"/>
          <w:szCs w:val="24"/>
        </w:rPr>
        <w:t>参考《工业循环冷却水处理设计规范》(GB/T50050-2017)中指标，结合本项目的特点，本项目循环冷却水主要污染物的排放浓度取值为COD</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60</w:t>
      </w:r>
      <w:r>
        <w:rPr>
          <w:rFonts w:hint="eastAsia" w:ascii="Times New Roman" w:hAnsi="Times New Roman" w:eastAsia="宋体" w:cs="Times New Roman"/>
          <w:color w:val="auto"/>
          <w:sz w:val="24"/>
          <w:szCs w:val="28"/>
        </w:rPr>
        <w:t>mg/L</w:t>
      </w:r>
      <w:r>
        <w:rPr>
          <w:rFonts w:hint="eastAsia" w:ascii="Times New Roman" w:hAnsi="Times New Roman" w:eastAsia="宋体" w:cs="Times New Roman"/>
          <w:color w:val="auto"/>
          <w:sz w:val="24"/>
          <w:szCs w:val="24"/>
        </w:rPr>
        <w:t>、SS</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10</w:t>
      </w:r>
      <w:r>
        <w:rPr>
          <w:rFonts w:hint="eastAsia" w:ascii="Times New Roman" w:hAnsi="Times New Roman" w:eastAsia="宋体" w:cs="Times New Roman"/>
          <w:color w:val="auto"/>
          <w:sz w:val="24"/>
          <w:szCs w:val="28"/>
        </w:rPr>
        <w:t>mg/L</w:t>
      </w:r>
      <w:r>
        <w:rPr>
          <w:rFonts w:hint="eastAsia"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COD排放量为0.05t/a、SS排放量为0.01t/a。</w:t>
      </w:r>
    </w:p>
    <w:p w14:paraId="5A37AF9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本项目生活污水与冷却塔循环冷却废水排入市政污水管网，由污水管网排入牛家满族镇污水处理厂。</w:t>
      </w:r>
    </w:p>
    <w:p w14:paraId="741FED9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（2）依托污水处理设施可行性分析</w:t>
      </w:r>
    </w:p>
    <w:p w14:paraId="0407090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牛家满族镇镇污水处理厂主要收集牛家镇生活污水、牛家经济开发区工业污水，设计处理规模2.0万m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d，采用CWSBR污水处理工艺，配套建设紫外线消毒工艺系统，进水水质达到《污水综合排放标准》（GB8978-1996）三级标准。出水标准为《城镇污水处理厂污染物排放标准》(GB18918-2002)中的一级A标准，经张乡沟汇入拉林河牛头山断面，张乡沟为天然形成的排水沟渠。进水水质达到《污水综合排放标准》（GB8978-1996）三级标准。本项目排放的废水中各项污染物浓度均在接收水质范围内，不包含有毒有害的特征水污染物，且本项目排入牛家满族镇污水处理厂的水量28.6</w:t>
      </w:r>
      <w:r>
        <w:rPr>
          <w:rFonts w:hint="eastAsia" w:ascii="Times New Roman" w:hAnsi="Times New Roman" w:cs="Times New Roman"/>
          <w:color w:val="auto"/>
          <w:spacing w:val="15"/>
          <w:sz w:val="24"/>
          <w:szCs w:val="23"/>
          <w:highlight w:val="none"/>
          <w:lang w:val="en-US" w:eastAsia="zh-CN"/>
        </w:rPr>
        <w:t>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/d</w:t>
      </w:r>
      <w:r>
        <w:rPr>
          <w:rFonts w:hint="eastAsia" w:ascii="Times New Roman" w:hAnsi="Times New Roman" w:eastAsia="宋体" w:cs="Times New Roman"/>
          <w:color w:val="auto"/>
          <w:sz w:val="24"/>
          <w:szCs w:val="24"/>
          <w:lang w:val="en-US" w:eastAsia="zh-CN"/>
        </w:rPr>
        <w:t>，仅占牛家满族镇污水处理厂污水处理能力的0.143%，因此牛家满族镇污水处理厂在水质和水量方面均能接收本次工程废水，具有较高的环境依托可行性。</w:t>
      </w:r>
    </w:p>
    <w:p w14:paraId="64C85A40">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eastAsia"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5.2.2.2水污染物排放量核算</w:t>
      </w:r>
    </w:p>
    <w:p w14:paraId="1BDE803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lang w:val="en-US" w:eastAsia="zh-CN"/>
        </w:rPr>
        <w:sectPr>
          <w:pgSz w:w="11905" w:h="16838"/>
          <w:pgMar w:top="1440" w:right="1797" w:bottom="1440" w:left="1797" w:header="907" w:footer="913" w:gutter="0"/>
          <w:pgBorders>
            <w:top w:val="none" w:sz="0" w:space="0"/>
            <w:left w:val="none" w:sz="0" w:space="0"/>
            <w:bottom w:val="none" w:sz="0" w:space="0"/>
            <w:right w:val="none" w:sz="0" w:space="0"/>
          </w:pgBorders>
          <w:pgNumType w:fmt="decimal"/>
          <w:cols w:space="720" w:num="1"/>
          <w:docGrid w:linePitch="286" w:charSpace="0"/>
        </w:sectPr>
      </w:pPr>
      <w:r>
        <w:rPr>
          <w:rFonts w:hint="eastAsia" w:ascii="Times New Roman" w:hAnsi="Times New Roman" w:eastAsia="宋体" w:cs="Times New Roman"/>
          <w:color w:val="auto"/>
          <w:sz w:val="24"/>
          <w:szCs w:val="24"/>
          <w:lang w:val="en-US" w:eastAsia="zh-CN"/>
        </w:rPr>
        <w:t>根据《环境影响评价技术导则  地表水环境》（HJ2.3-2018）的要求“间接排放建设项目污染源排放量核算依据依托污水处理设施的控制要求核算确定”。所以本项目根据污水量和排水标准核算了本项目最终的排放量。废水类别、污染物及污染治理设施信息表见表5.2-9，废水间接排放口信息表见表5.2-10，废水污染物排放标准执行表见表5.2-11，水污染物排放量核算见表5.2-12。</w:t>
      </w:r>
    </w:p>
    <w:p w14:paraId="675BF349">
      <w:pPr>
        <w:pStyle w:val="44"/>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表5.2-</w:t>
      </w:r>
      <w:r>
        <w:rPr>
          <w:rFonts w:hint="eastAsia" w:ascii="Times New Roman" w:hAnsi="Times New Roman" w:cs="Times New Roman"/>
          <w:color w:val="auto"/>
          <w:sz w:val="24"/>
          <w:szCs w:val="24"/>
          <w:highlight w:val="none"/>
          <w:lang w:val="en-US" w:eastAsia="zh-CN"/>
        </w:rPr>
        <w:t>9</w:t>
      </w:r>
      <w:r>
        <w:rPr>
          <w:rFonts w:hint="default" w:ascii="Times New Roman" w:hAnsi="Times New Roman" w:cs="Times New Roman"/>
          <w:color w:val="auto"/>
          <w:sz w:val="24"/>
          <w:szCs w:val="24"/>
          <w:highlight w:val="none"/>
        </w:rPr>
        <w:t xml:space="preserve">  废水类别、污染物及污染治理设施信息表</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456"/>
        <w:gridCol w:w="809"/>
        <w:gridCol w:w="716"/>
        <w:gridCol w:w="1027"/>
        <w:gridCol w:w="965"/>
        <w:gridCol w:w="719"/>
        <w:gridCol w:w="875"/>
        <w:gridCol w:w="994"/>
        <w:gridCol w:w="873"/>
        <w:gridCol w:w="1394"/>
      </w:tblGrid>
      <w:tr w14:paraId="67F68B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vMerge w:val="restart"/>
            <w:noWrap w:val="0"/>
            <w:vAlign w:val="center"/>
          </w:tcPr>
          <w:p w14:paraId="3C6F5471">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249" w:type="pct"/>
            <w:vMerge w:val="restart"/>
            <w:noWrap w:val="0"/>
            <w:vAlign w:val="center"/>
          </w:tcPr>
          <w:p w14:paraId="0A4D035D">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废水类别</w:t>
            </w:r>
          </w:p>
        </w:tc>
        <w:tc>
          <w:tcPr>
            <w:tcW w:w="400" w:type="pct"/>
            <w:vMerge w:val="restart"/>
            <w:noWrap w:val="0"/>
            <w:vAlign w:val="center"/>
          </w:tcPr>
          <w:p w14:paraId="2093E8FE">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p w14:paraId="4DCD180B">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种类</w:t>
            </w:r>
          </w:p>
        </w:tc>
        <w:tc>
          <w:tcPr>
            <w:tcW w:w="389" w:type="pct"/>
            <w:vMerge w:val="restart"/>
            <w:noWrap w:val="0"/>
            <w:vAlign w:val="center"/>
          </w:tcPr>
          <w:p w14:paraId="77D5C599">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排放去向</w:t>
            </w:r>
          </w:p>
        </w:tc>
        <w:tc>
          <w:tcPr>
            <w:tcW w:w="556" w:type="pct"/>
            <w:vMerge w:val="restart"/>
            <w:noWrap w:val="0"/>
            <w:vAlign w:val="center"/>
          </w:tcPr>
          <w:p w14:paraId="6BCC1742">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排放规律</w:t>
            </w:r>
          </w:p>
        </w:tc>
        <w:tc>
          <w:tcPr>
            <w:tcW w:w="1387" w:type="pct"/>
            <w:gridSpan w:val="3"/>
            <w:noWrap w:val="0"/>
            <w:vAlign w:val="center"/>
          </w:tcPr>
          <w:p w14:paraId="3760872F">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污染治理设施</w:t>
            </w:r>
          </w:p>
        </w:tc>
        <w:tc>
          <w:tcPr>
            <w:tcW w:w="538" w:type="pct"/>
            <w:vMerge w:val="restart"/>
            <w:noWrap w:val="0"/>
            <w:vAlign w:val="center"/>
          </w:tcPr>
          <w:p w14:paraId="4ADED04D">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排放口编号</w:t>
            </w:r>
          </w:p>
        </w:tc>
        <w:tc>
          <w:tcPr>
            <w:tcW w:w="473" w:type="pct"/>
            <w:vMerge w:val="restart"/>
            <w:noWrap w:val="0"/>
            <w:vAlign w:val="center"/>
          </w:tcPr>
          <w:p w14:paraId="79E4F13F">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排放口设置是否符合要求</w:t>
            </w:r>
          </w:p>
        </w:tc>
        <w:tc>
          <w:tcPr>
            <w:tcW w:w="753" w:type="pct"/>
            <w:vMerge w:val="restart"/>
            <w:noWrap w:val="0"/>
            <w:vAlign w:val="center"/>
          </w:tcPr>
          <w:p w14:paraId="71175F5F">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w:t>
            </w:r>
          </w:p>
          <w:p w14:paraId="76BDC789">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类型</w:t>
            </w:r>
          </w:p>
        </w:tc>
      </w:tr>
      <w:tr w14:paraId="10EFFD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vMerge w:val="continue"/>
            <w:noWrap w:val="0"/>
            <w:vAlign w:val="center"/>
          </w:tcPr>
          <w:p w14:paraId="77D00FD8">
            <w:pPr>
              <w:rPr>
                <w:rFonts w:hint="default" w:ascii="Times New Roman" w:hAnsi="Times New Roman" w:cs="Times New Roman"/>
                <w:color w:val="auto"/>
                <w:sz w:val="21"/>
                <w:szCs w:val="21"/>
                <w:highlight w:val="none"/>
              </w:rPr>
            </w:pPr>
          </w:p>
        </w:tc>
        <w:tc>
          <w:tcPr>
            <w:tcW w:w="249" w:type="pct"/>
            <w:vMerge w:val="continue"/>
            <w:noWrap w:val="0"/>
            <w:vAlign w:val="center"/>
          </w:tcPr>
          <w:p w14:paraId="3E943CF1">
            <w:pPr>
              <w:rPr>
                <w:rFonts w:hint="default" w:ascii="Times New Roman" w:hAnsi="Times New Roman" w:cs="Times New Roman"/>
                <w:color w:val="auto"/>
                <w:sz w:val="21"/>
                <w:szCs w:val="21"/>
                <w:highlight w:val="none"/>
              </w:rPr>
            </w:pPr>
          </w:p>
        </w:tc>
        <w:tc>
          <w:tcPr>
            <w:tcW w:w="400" w:type="pct"/>
            <w:vMerge w:val="continue"/>
            <w:noWrap w:val="0"/>
            <w:vAlign w:val="center"/>
          </w:tcPr>
          <w:p w14:paraId="11825FDA">
            <w:pPr>
              <w:rPr>
                <w:rFonts w:hint="default" w:ascii="Times New Roman" w:hAnsi="Times New Roman" w:cs="Times New Roman"/>
                <w:color w:val="auto"/>
                <w:sz w:val="21"/>
                <w:szCs w:val="21"/>
                <w:highlight w:val="none"/>
              </w:rPr>
            </w:pPr>
          </w:p>
        </w:tc>
        <w:tc>
          <w:tcPr>
            <w:tcW w:w="389" w:type="pct"/>
            <w:vMerge w:val="continue"/>
            <w:noWrap w:val="0"/>
            <w:vAlign w:val="center"/>
          </w:tcPr>
          <w:p w14:paraId="2761B895">
            <w:pPr>
              <w:rPr>
                <w:rFonts w:hint="default" w:ascii="Times New Roman" w:hAnsi="Times New Roman" w:cs="Times New Roman"/>
                <w:color w:val="auto"/>
                <w:sz w:val="21"/>
                <w:szCs w:val="21"/>
                <w:highlight w:val="none"/>
              </w:rPr>
            </w:pPr>
          </w:p>
        </w:tc>
        <w:tc>
          <w:tcPr>
            <w:tcW w:w="556" w:type="pct"/>
            <w:vMerge w:val="continue"/>
            <w:noWrap w:val="0"/>
            <w:vAlign w:val="center"/>
          </w:tcPr>
          <w:p w14:paraId="67083678">
            <w:pPr>
              <w:rPr>
                <w:rFonts w:hint="default" w:ascii="Times New Roman" w:hAnsi="Times New Roman" w:cs="Times New Roman"/>
                <w:color w:val="auto"/>
                <w:sz w:val="21"/>
                <w:szCs w:val="21"/>
                <w:highlight w:val="none"/>
              </w:rPr>
            </w:pPr>
          </w:p>
        </w:tc>
        <w:tc>
          <w:tcPr>
            <w:tcW w:w="523" w:type="pct"/>
            <w:noWrap w:val="0"/>
            <w:vAlign w:val="center"/>
          </w:tcPr>
          <w:p w14:paraId="66F62B75">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污染治理设施</w:t>
            </w:r>
          </w:p>
          <w:p w14:paraId="1550522E">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编号</w:t>
            </w:r>
          </w:p>
        </w:tc>
        <w:tc>
          <w:tcPr>
            <w:tcW w:w="390" w:type="pct"/>
            <w:noWrap w:val="0"/>
            <w:vAlign w:val="center"/>
          </w:tcPr>
          <w:p w14:paraId="16BCEC69">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污染治理设施</w:t>
            </w:r>
          </w:p>
          <w:p w14:paraId="093AD186">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p>
        </w:tc>
        <w:tc>
          <w:tcPr>
            <w:tcW w:w="473" w:type="pct"/>
            <w:noWrap w:val="0"/>
            <w:vAlign w:val="center"/>
          </w:tcPr>
          <w:p w14:paraId="15C0F328">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污染治理设施工艺</w:t>
            </w:r>
          </w:p>
        </w:tc>
        <w:tc>
          <w:tcPr>
            <w:tcW w:w="538" w:type="pct"/>
            <w:vMerge w:val="continue"/>
            <w:noWrap w:val="0"/>
            <w:vAlign w:val="center"/>
          </w:tcPr>
          <w:p w14:paraId="64EAC5E9">
            <w:pPr>
              <w:rPr>
                <w:rFonts w:hint="default" w:ascii="Times New Roman" w:hAnsi="Times New Roman" w:cs="Times New Roman"/>
                <w:color w:val="auto"/>
                <w:sz w:val="21"/>
                <w:szCs w:val="21"/>
                <w:highlight w:val="none"/>
              </w:rPr>
            </w:pPr>
          </w:p>
        </w:tc>
        <w:tc>
          <w:tcPr>
            <w:tcW w:w="473" w:type="pct"/>
            <w:vMerge w:val="continue"/>
            <w:noWrap w:val="0"/>
            <w:vAlign w:val="center"/>
          </w:tcPr>
          <w:p w14:paraId="3B2957F3">
            <w:pPr>
              <w:rPr>
                <w:rFonts w:hint="default" w:ascii="Times New Roman" w:hAnsi="Times New Roman" w:cs="Times New Roman"/>
                <w:color w:val="auto"/>
                <w:sz w:val="21"/>
                <w:szCs w:val="21"/>
                <w:highlight w:val="none"/>
              </w:rPr>
            </w:pPr>
          </w:p>
        </w:tc>
        <w:tc>
          <w:tcPr>
            <w:tcW w:w="753" w:type="pct"/>
            <w:vMerge w:val="continue"/>
            <w:noWrap w:val="0"/>
            <w:vAlign w:val="center"/>
          </w:tcPr>
          <w:p w14:paraId="4669588D">
            <w:pPr>
              <w:rPr>
                <w:rFonts w:hint="default" w:ascii="Times New Roman" w:hAnsi="Times New Roman" w:cs="Times New Roman"/>
                <w:color w:val="auto"/>
                <w:sz w:val="21"/>
                <w:szCs w:val="21"/>
                <w:highlight w:val="none"/>
              </w:rPr>
            </w:pPr>
          </w:p>
        </w:tc>
      </w:tr>
      <w:tr w14:paraId="6FEC1B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9" w:type="pct"/>
            <w:noWrap w:val="0"/>
            <w:vAlign w:val="center"/>
          </w:tcPr>
          <w:p w14:paraId="151AE069">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249" w:type="pct"/>
            <w:noWrap w:val="0"/>
            <w:vAlign w:val="center"/>
          </w:tcPr>
          <w:p w14:paraId="45581C65">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综合废水</w:t>
            </w:r>
          </w:p>
        </w:tc>
        <w:tc>
          <w:tcPr>
            <w:tcW w:w="400" w:type="pct"/>
            <w:noWrap w:val="0"/>
            <w:vAlign w:val="center"/>
          </w:tcPr>
          <w:p w14:paraId="52202F2C">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pH</w:t>
            </w:r>
          </w:p>
          <w:p w14:paraId="242CE097">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COD</w:t>
            </w:r>
          </w:p>
          <w:p w14:paraId="3DD9D9B2">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BOD</w:t>
            </w:r>
            <w:r>
              <w:rPr>
                <w:rFonts w:hint="default" w:ascii="Times New Roman" w:hAnsi="Times New Roman" w:eastAsia="宋体" w:cs="Times New Roman"/>
                <w:color w:val="auto"/>
                <w:sz w:val="21"/>
                <w:szCs w:val="21"/>
                <w:highlight w:val="none"/>
                <w:vertAlign w:val="subscript"/>
                <w:lang w:val="en-US" w:eastAsia="zh-CN"/>
              </w:rPr>
              <w:t>5</w:t>
            </w:r>
          </w:p>
          <w:p w14:paraId="3017BFC8">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SS</w:t>
            </w:r>
          </w:p>
          <w:p w14:paraId="7948AF8E">
            <w:pPr>
              <w:pStyle w:val="37"/>
              <w:bidi w:val="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w:t>
            </w:r>
          </w:p>
          <w:p w14:paraId="6D0DB99F">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动植物油</w:t>
            </w:r>
          </w:p>
        </w:tc>
        <w:tc>
          <w:tcPr>
            <w:tcW w:w="389" w:type="pct"/>
            <w:noWrap w:val="0"/>
            <w:vAlign w:val="center"/>
          </w:tcPr>
          <w:p w14:paraId="0865A50A">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进入</w:t>
            </w:r>
            <w:r>
              <w:rPr>
                <w:rFonts w:hint="default" w:ascii="Times New Roman" w:hAnsi="Times New Roman" w:cs="Times New Roman"/>
                <w:color w:val="auto"/>
                <w:sz w:val="21"/>
                <w:szCs w:val="21"/>
                <w:highlight w:val="none"/>
                <w:lang w:val="en-US" w:eastAsia="zh-CN"/>
              </w:rPr>
              <w:t>牛家满族镇污水处理厂</w:t>
            </w:r>
          </w:p>
        </w:tc>
        <w:tc>
          <w:tcPr>
            <w:tcW w:w="556" w:type="pct"/>
            <w:noWrap w:val="0"/>
            <w:vAlign w:val="center"/>
          </w:tcPr>
          <w:p w14:paraId="699EC5B2">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间断排放，排放期间流量不稳定且无规律，但不属于冲击型排放</w:t>
            </w:r>
          </w:p>
        </w:tc>
        <w:tc>
          <w:tcPr>
            <w:tcW w:w="523" w:type="pct"/>
            <w:noWrap w:val="0"/>
            <w:vAlign w:val="center"/>
          </w:tcPr>
          <w:p w14:paraId="6E6FC42D">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90" w:type="pct"/>
            <w:noWrap w:val="0"/>
            <w:vAlign w:val="center"/>
          </w:tcPr>
          <w:p w14:paraId="0302D48E">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473" w:type="pct"/>
            <w:noWrap w:val="0"/>
            <w:vAlign w:val="center"/>
          </w:tcPr>
          <w:p w14:paraId="774E943E">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538" w:type="pct"/>
            <w:noWrap w:val="0"/>
            <w:vAlign w:val="center"/>
          </w:tcPr>
          <w:p w14:paraId="3355F329">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DW00</w:t>
            </w:r>
            <w:r>
              <w:rPr>
                <w:rFonts w:hint="default" w:ascii="Times New Roman" w:hAnsi="Times New Roman" w:eastAsia="宋体" w:cs="Times New Roman"/>
                <w:color w:val="auto"/>
                <w:sz w:val="21"/>
                <w:szCs w:val="21"/>
                <w:highlight w:val="none"/>
                <w:lang w:val="en-US" w:eastAsia="zh-CN"/>
              </w:rPr>
              <w:t>1</w:t>
            </w:r>
          </w:p>
        </w:tc>
        <w:tc>
          <w:tcPr>
            <w:tcW w:w="473" w:type="pct"/>
            <w:noWrap w:val="0"/>
            <w:vAlign w:val="center"/>
          </w:tcPr>
          <w:p w14:paraId="3F4844A3">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w:char="F0FE"/>
            </w:r>
            <w:r>
              <w:rPr>
                <w:rFonts w:hint="default" w:ascii="Times New Roman" w:hAnsi="Times New Roman" w:cs="Times New Roman"/>
                <w:color w:val="auto"/>
                <w:sz w:val="21"/>
                <w:szCs w:val="21"/>
                <w:highlight w:val="none"/>
              </w:rPr>
              <w:t>是</w:t>
            </w:r>
          </w:p>
          <w:p w14:paraId="2B3AC454">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□否</w:t>
            </w:r>
          </w:p>
        </w:tc>
        <w:tc>
          <w:tcPr>
            <w:tcW w:w="753" w:type="pct"/>
            <w:noWrap w:val="0"/>
            <w:vAlign w:val="center"/>
          </w:tcPr>
          <w:p w14:paraId="46662A58">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企业总排</w:t>
            </w:r>
          </w:p>
          <w:p w14:paraId="41DCCECF">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□雨水排放</w:t>
            </w:r>
          </w:p>
          <w:p w14:paraId="1450CBA3">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□清净下水排放</w:t>
            </w:r>
          </w:p>
          <w:p w14:paraId="71F92542">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□温排水排放</w:t>
            </w:r>
          </w:p>
          <w:p w14:paraId="4A286769">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w:char="00A8"/>
            </w:r>
            <w:r>
              <w:rPr>
                <w:rFonts w:hint="default" w:ascii="Times New Roman" w:hAnsi="Times New Roman" w:cs="Times New Roman"/>
                <w:color w:val="auto"/>
                <w:sz w:val="21"/>
                <w:szCs w:val="21"/>
                <w:highlight w:val="none"/>
              </w:rPr>
              <w:t>车间或车间处理设施排放口</w:t>
            </w:r>
          </w:p>
        </w:tc>
      </w:tr>
    </w:tbl>
    <w:p w14:paraId="4A3CCBB6">
      <w:pPr>
        <w:pStyle w:val="44"/>
        <w:bidi w:val="0"/>
        <w:rPr>
          <w:color w:val="auto"/>
          <w:highlight w:val="none"/>
        </w:rPr>
      </w:pPr>
      <w:r>
        <w:rPr>
          <w:color w:val="auto"/>
          <w:highlight w:val="none"/>
        </w:rPr>
        <w:t>表5.2-</w:t>
      </w:r>
      <w:r>
        <w:rPr>
          <w:rFonts w:hint="eastAsia"/>
          <w:color w:val="auto"/>
          <w:highlight w:val="none"/>
          <w:lang w:val="en-US" w:eastAsia="zh-CN"/>
        </w:rPr>
        <w:t>10</w:t>
      </w:r>
      <w:r>
        <w:rPr>
          <w:color w:val="auto"/>
          <w:highlight w:val="none"/>
        </w:rPr>
        <w:t xml:space="preserve">  废水间接排放口基本情况表</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536"/>
        <w:gridCol w:w="571"/>
        <w:gridCol w:w="557"/>
        <w:gridCol w:w="726"/>
        <w:gridCol w:w="728"/>
        <w:gridCol w:w="1100"/>
        <w:gridCol w:w="690"/>
        <w:gridCol w:w="796"/>
        <w:gridCol w:w="932"/>
        <w:gridCol w:w="2199"/>
      </w:tblGrid>
      <w:tr w14:paraId="77E13E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restart"/>
            <w:noWrap w:val="0"/>
            <w:vAlign w:val="center"/>
          </w:tcPr>
          <w:p w14:paraId="57F25B80">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0" w:type="auto"/>
            <w:vMerge w:val="restart"/>
            <w:noWrap w:val="0"/>
            <w:vAlign w:val="center"/>
          </w:tcPr>
          <w:p w14:paraId="431FCE2D">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排放口编号</w:t>
            </w:r>
          </w:p>
        </w:tc>
        <w:tc>
          <w:tcPr>
            <w:tcW w:w="0" w:type="auto"/>
            <w:gridSpan w:val="2"/>
            <w:noWrap w:val="0"/>
            <w:vAlign w:val="center"/>
          </w:tcPr>
          <w:p w14:paraId="18024196">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排放口地理坐标</w:t>
            </w:r>
          </w:p>
        </w:tc>
        <w:tc>
          <w:tcPr>
            <w:tcW w:w="0" w:type="auto"/>
            <w:vMerge w:val="restart"/>
            <w:noWrap w:val="0"/>
            <w:vAlign w:val="center"/>
          </w:tcPr>
          <w:p w14:paraId="222E6306">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废水排放量/</w:t>
            </w:r>
          </w:p>
          <w:p w14:paraId="39270C53">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（万t/a）</w:t>
            </w:r>
          </w:p>
        </w:tc>
        <w:tc>
          <w:tcPr>
            <w:tcW w:w="0" w:type="auto"/>
            <w:vMerge w:val="restart"/>
            <w:noWrap w:val="0"/>
            <w:vAlign w:val="center"/>
          </w:tcPr>
          <w:p w14:paraId="0383DB05">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排放去向</w:t>
            </w:r>
          </w:p>
        </w:tc>
        <w:tc>
          <w:tcPr>
            <w:tcW w:w="1100" w:type="dxa"/>
            <w:vMerge w:val="restart"/>
            <w:noWrap w:val="0"/>
            <w:vAlign w:val="center"/>
          </w:tcPr>
          <w:p w14:paraId="61509BA6">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排放</w:t>
            </w:r>
          </w:p>
          <w:p w14:paraId="14B937DC">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规律</w:t>
            </w:r>
          </w:p>
        </w:tc>
        <w:tc>
          <w:tcPr>
            <w:tcW w:w="690" w:type="dxa"/>
            <w:vMerge w:val="restart"/>
            <w:noWrap w:val="0"/>
            <w:vAlign w:val="center"/>
          </w:tcPr>
          <w:p w14:paraId="4E604D10">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间歇排放时段</w:t>
            </w:r>
          </w:p>
        </w:tc>
        <w:tc>
          <w:tcPr>
            <w:tcW w:w="3927" w:type="dxa"/>
            <w:gridSpan w:val="3"/>
            <w:noWrap w:val="0"/>
            <w:vAlign w:val="center"/>
          </w:tcPr>
          <w:p w14:paraId="6501E941">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受纳污水处理厂信息</w:t>
            </w:r>
          </w:p>
        </w:tc>
      </w:tr>
      <w:tr w14:paraId="246EEC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noWrap w:val="0"/>
            <w:vAlign w:val="center"/>
          </w:tcPr>
          <w:p w14:paraId="0B8C6633">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p>
        </w:tc>
        <w:tc>
          <w:tcPr>
            <w:tcW w:w="0" w:type="auto"/>
            <w:vMerge w:val="continue"/>
            <w:noWrap w:val="0"/>
            <w:vAlign w:val="center"/>
          </w:tcPr>
          <w:p w14:paraId="168FFF60">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p>
        </w:tc>
        <w:tc>
          <w:tcPr>
            <w:tcW w:w="0" w:type="auto"/>
            <w:noWrap w:val="0"/>
            <w:vAlign w:val="center"/>
          </w:tcPr>
          <w:p w14:paraId="09D4AD9E">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经度</w:t>
            </w:r>
          </w:p>
        </w:tc>
        <w:tc>
          <w:tcPr>
            <w:tcW w:w="0" w:type="auto"/>
            <w:noWrap w:val="0"/>
            <w:vAlign w:val="center"/>
          </w:tcPr>
          <w:p w14:paraId="4B428A32">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纬度</w:t>
            </w:r>
          </w:p>
        </w:tc>
        <w:tc>
          <w:tcPr>
            <w:tcW w:w="0" w:type="auto"/>
            <w:vMerge w:val="continue"/>
            <w:noWrap w:val="0"/>
            <w:vAlign w:val="center"/>
          </w:tcPr>
          <w:p w14:paraId="62019F82">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p>
        </w:tc>
        <w:tc>
          <w:tcPr>
            <w:tcW w:w="0" w:type="auto"/>
            <w:vMerge w:val="continue"/>
            <w:noWrap w:val="0"/>
            <w:vAlign w:val="center"/>
          </w:tcPr>
          <w:p w14:paraId="2CF8B2B8">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p>
        </w:tc>
        <w:tc>
          <w:tcPr>
            <w:tcW w:w="1100" w:type="dxa"/>
            <w:vMerge w:val="continue"/>
            <w:noWrap w:val="0"/>
            <w:vAlign w:val="center"/>
          </w:tcPr>
          <w:p w14:paraId="797C4E6A">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p>
        </w:tc>
        <w:tc>
          <w:tcPr>
            <w:tcW w:w="690" w:type="dxa"/>
            <w:vMerge w:val="continue"/>
            <w:noWrap w:val="0"/>
            <w:vAlign w:val="center"/>
          </w:tcPr>
          <w:p w14:paraId="2C0EB347">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p>
        </w:tc>
        <w:tc>
          <w:tcPr>
            <w:tcW w:w="796" w:type="dxa"/>
            <w:noWrap w:val="0"/>
            <w:vAlign w:val="center"/>
          </w:tcPr>
          <w:p w14:paraId="6909C661">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932" w:type="dxa"/>
            <w:noWrap w:val="0"/>
            <w:vAlign w:val="center"/>
          </w:tcPr>
          <w:p w14:paraId="60EDC3EA">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污染物种类</w:t>
            </w:r>
          </w:p>
        </w:tc>
        <w:tc>
          <w:tcPr>
            <w:tcW w:w="0" w:type="auto"/>
            <w:noWrap w:val="0"/>
            <w:vAlign w:val="center"/>
          </w:tcPr>
          <w:p w14:paraId="4D5A3D4D">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国家或地方污染物排放标准浓度限值/(mg/L)</w:t>
            </w:r>
          </w:p>
        </w:tc>
      </w:tr>
      <w:tr w14:paraId="370678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restart"/>
            <w:noWrap w:val="0"/>
            <w:vAlign w:val="center"/>
          </w:tcPr>
          <w:p w14:paraId="1F7B2518">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0" w:type="auto"/>
            <w:vMerge w:val="restart"/>
            <w:noWrap w:val="0"/>
            <w:vAlign w:val="center"/>
          </w:tcPr>
          <w:p w14:paraId="6C34E0E5">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DW001</w:t>
            </w:r>
          </w:p>
        </w:tc>
        <w:tc>
          <w:tcPr>
            <w:tcW w:w="0" w:type="auto"/>
            <w:vMerge w:val="restart"/>
            <w:noWrap w:val="0"/>
            <w:vAlign w:val="center"/>
          </w:tcPr>
          <w:p w14:paraId="353775AD">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126°43′35.085″</w:t>
            </w:r>
          </w:p>
        </w:tc>
        <w:tc>
          <w:tcPr>
            <w:tcW w:w="0" w:type="auto"/>
            <w:vMerge w:val="restart"/>
            <w:noWrap w:val="0"/>
            <w:vAlign w:val="center"/>
          </w:tcPr>
          <w:p w14:paraId="267C12F6">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45°25′44.628″</w:t>
            </w:r>
          </w:p>
        </w:tc>
        <w:tc>
          <w:tcPr>
            <w:tcW w:w="0" w:type="auto"/>
            <w:vMerge w:val="restart"/>
            <w:noWrap w:val="0"/>
            <w:vAlign w:val="center"/>
          </w:tcPr>
          <w:p w14:paraId="59A55086">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0.8294</w:t>
            </w:r>
          </w:p>
        </w:tc>
        <w:tc>
          <w:tcPr>
            <w:tcW w:w="0" w:type="auto"/>
            <w:vMerge w:val="restart"/>
            <w:noWrap w:val="0"/>
            <w:vAlign w:val="center"/>
          </w:tcPr>
          <w:p w14:paraId="67D06CCD">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进入</w:t>
            </w:r>
            <w:r>
              <w:rPr>
                <w:rFonts w:hint="default" w:ascii="Times New Roman" w:hAnsi="Times New Roman" w:cs="Times New Roman"/>
                <w:color w:val="auto"/>
                <w:highlight w:val="none"/>
                <w:lang w:val="en-US" w:eastAsia="zh-CN"/>
              </w:rPr>
              <w:t>牛家满族镇污水处理厂</w:t>
            </w:r>
          </w:p>
        </w:tc>
        <w:tc>
          <w:tcPr>
            <w:tcW w:w="1100" w:type="dxa"/>
            <w:vMerge w:val="restart"/>
            <w:noWrap w:val="0"/>
            <w:vAlign w:val="center"/>
          </w:tcPr>
          <w:p w14:paraId="047C0D99">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间断排放，排放期间流量不稳定且无规律，但不属于冲击型排放</w:t>
            </w:r>
          </w:p>
        </w:tc>
        <w:tc>
          <w:tcPr>
            <w:tcW w:w="690" w:type="dxa"/>
            <w:vMerge w:val="restart"/>
            <w:noWrap w:val="0"/>
            <w:vAlign w:val="center"/>
          </w:tcPr>
          <w:p w14:paraId="1B434FD1">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生产期间</w:t>
            </w:r>
          </w:p>
        </w:tc>
        <w:tc>
          <w:tcPr>
            <w:tcW w:w="796" w:type="dxa"/>
            <w:vMerge w:val="restart"/>
            <w:noWrap w:val="0"/>
            <w:vAlign w:val="center"/>
          </w:tcPr>
          <w:p w14:paraId="1C5E4867">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牛家满族镇污水处理厂</w:t>
            </w:r>
          </w:p>
        </w:tc>
        <w:tc>
          <w:tcPr>
            <w:tcW w:w="932" w:type="dxa"/>
            <w:noWrap w:val="0"/>
            <w:vAlign w:val="center"/>
          </w:tcPr>
          <w:p w14:paraId="2D06E238">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pH</w:t>
            </w:r>
          </w:p>
        </w:tc>
        <w:tc>
          <w:tcPr>
            <w:tcW w:w="0" w:type="auto"/>
            <w:noWrap w:val="0"/>
            <w:vAlign w:val="center"/>
          </w:tcPr>
          <w:p w14:paraId="141CF158">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6-9</w:t>
            </w:r>
          </w:p>
        </w:tc>
      </w:tr>
      <w:tr w14:paraId="635BAD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bottom w:val="single" w:color="auto" w:sz="4" w:space="0"/>
            </w:tcBorders>
            <w:noWrap w:val="0"/>
            <w:vAlign w:val="center"/>
          </w:tcPr>
          <w:p w14:paraId="48436128">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tcBorders>
              <w:bottom w:val="single" w:color="auto" w:sz="4" w:space="0"/>
            </w:tcBorders>
            <w:noWrap w:val="0"/>
            <w:vAlign w:val="center"/>
          </w:tcPr>
          <w:p w14:paraId="48D6F365">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tcBorders>
              <w:bottom w:val="single" w:color="auto" w:sz="4" w:space="0"/>
            </w:tcBorders>
            <w:noWrap w:val="0"/>
            <w:vAlign w:val="center"/>
          </w:tcPr>
          <w:p w14:paraId="02D61B81">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tcBorders>
              <w:bottom w:val="single" w:color="auto" w:sz="4" w:space="0"/>
            </w:tcBorders>
            <w:noWrap w:val="0"/>
            <w:vAlign w:val="center"/>
          </w:tcPr>
          <w:p w14:paraId="5A2FA102">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tcBorders>
              <w:bottom w:val="single" w:color="auto" w:sz="4" w:space="0"/>
            </w:tcBorders>
            <w:noWrap w:val="0"/>
            <w:vAlign w:val="center"/>
          </w:tcPr>
          <w:p w14:paraId="5F5D9A95">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noWrap w:val="0"/>
            <w:vAlign w:val="center"/>
          </w:tcPr>
          <w:p w14:paraId="389C999B">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1100" w:type="dxa"/>
            <w:vMerge w:val="continue"/>
            <w:noWrap w:val="0"/>
            <w:vAlign w:val="center"/>
          </w:tcPr>
          <w:p w14:paraId="5BC7FBDA">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690" w:type="dxa"/>
            <w:vMerge w:val="continue"/>
            <w:noWrap w:val="0"/>
            <w:vAlign w:val="center"/>
          </w:tcPr>
          <w:p w14:paraId="74954719">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796" w:type="dxa"/>
            <w:vMerge w:val="continue"/>
            <w:noWrap w:val="0"/>
            <w:vAlign w:val="center"/>
          </w:tcPr>
          <w:p w14:paraId="08700B45">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p>
        </w:tc>
        <w:tc>
          <w:tcPr>
            <w:tcW w:w="932" w:type="dxa"/>
            <w:tcBorders>
              <w:bottom w:val="single" w:color="auto" w:sz="4" w:space="0"/>
            </w:tcBorders>
            <w:noWrap w:val="0"/>
            <w:vAlign w:val="center"/>
          </w:tcPr>
          <w:p w14:paraId="68235759">
            <w:pPr>
              <w:pStyle w:val="37"/>
              <w:keepNext w:val="0"/>
              <w:keepLines w:val="0"/>
              <w:pageBreakBefore w:val="0"/>
              <w:widowControl w:val="0"/>
              <w:kinsoku/>
              <w:wordWrap w:val="0"/>
              <w:overflowPunct/>
              <w:topLinePunct w:val="0"/>
              <w:autoSpaceDE w:val="0"/>
              <w:autoSpaceDN w:val="0"/>
              <w:bidi w:val="0"/>
              <w:adjustRightInd/>
              <w:snapToGrid/>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化学需氧量</w:t>
            </w:r>
          </w:p>
        </w:tc>
        <w:tc>
          <w:tcPr>
            <w:tcW w:w="2199" w:type="dxa"/>
            <w:tcBorders>
              <w:bottom w:val="single" w:color="auto" w:sz="4" w:space="0"/>
            </w:tcBorders>
            <w:noWrap w:val="0"/>
            <w:vAlign w:val="center"/>
          </w:tcPr>
          <w:p w14:paraId="3AFB2AB7">
            <w:pPr>
              <w:pStyle w:val="37"/>
              <w:keepNext w:val="0"/>
              <w:keepLines w:val="0"/>
              <w:pageBreakBefore w:val="0"/>
              <w:widowControl w:val="0"/>
              <w:kinsoku/>
              <w:wordWrap w:val="0"/>
              <w:overflowPunct/>
              <w:topLinePunct w:val="0"/>
              <w:autoSpaceDE w:val="0"/>
              <w:autoSpaceDN w:val="0"/>
              <w:bidi w:val="0"/>
              <w:adjustRightInd/>
              <w:snapToGrid/>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r>
      <w:tr w14:paraId="3A4589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noWrap w:val="0"/>
            <w:vAlign w:val="center"/>
          </w:tcPr>
          <w:p w14:paraId="42A26430">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noWrap w:val="0"/>
            <w:vAlign w:val="center"/>
          </w:tcPr>
          <w:p w14:paraId="27AC4E2D">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noWrap w:val="0"/>
            <w:vAlign w:val="center"/>
          </w:tcPr>
          <w:p w14:paraId="19BC56BE">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noWrap w:val="0"/>
            <w:vAlign w:val="center"/>
          </w:tcPr>
          <w:p w14:paraId="1FF68E86">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noWrap w:val="0"/>
            <w:vAlign w:val="center"/>
          </w:tcPr>
          <w:p w14:paraId="1346D8C6">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noWrap w:val="0"/>
            <w:vAlign w:val="center"/>
          </w:tcPr>
          <w:p w14:paraId="66673EF7">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1100" w:type="dxa"/>
            <w:vMerge w:val="continue"/>
            <w:noWrap w:val="0"/>
            <w:vAlign w:val="center"/>
          </w:tcPr>
          <w:p w14:paraId="07E21375">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690" w:type="dxa"/>
            <w:vMerge w:val="continue"/>
            <w:noWrap w:val="0"/>
            <w:vAlign w:val="center"/>
          </w:tcPr>
          <w:p w14:paraId="07EF43B3">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796" w:type="dxa"/>
            <w:vMerge w:val="continue"/>
            <w:noWrap w:val="0"/>
            <w:vAlign w:val="center"/>
          </w:tcPr>
          <w:p w14:paraId="3A1BE8C4">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p>
        </w:tc>
        <w:tc>
          <w:tcPr>
            <w:tcW w:w="932" w:type="dxa"/>
            <w:noWrap w:val="0"/>
            <w:vAlign w:val="center"/>
          </w:tcPr>
          <w:p w14:paraId="6EEBFC69">
            <w:pPr>
              <w:pStyle w:val="37"/>
              <w:keepNext w:val="0"/>
              <w:keepLines w:val="0"/>
              <w:pageBreakBefore w:val="0"/>
              <w:widowControl w:val="0"/>
              <w:kinsoku/>
              <w:wordWrap w:val="0"/>
              <w:overflowPunct/>
              <w:topLinePunct w:val="0"/>
              <w:autoSpaceDE w:val="0"/>
              <w:autoSpaceDN w:val="0"/>
              <w:bidi w:val="0"/>
              <w:adjustRightInd/>
              <w:snapToGrid/>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五日生化需氧量</w:t>
            </w:r>
          </w:p>
        </w:tc>
        <w:tc>
          <w:tcPr>
            <w:tcW w:w="2199" w:type="dxa"/>
            <w:noWrap w:val="0"/>
            <w:vAlign w:val="center"/>
          </w:tcPr>
          <w:p w14:paraId="37206FE8">
            <w:pPr>
              <w:pStyle w:val="37"/>
              <w:keepNext w:val="0"/>
              <w:keepLines w:val="0"/>
              <w:pageBreakBefore w:val="0"/>
              <w:widowControl w:val="0"/>
              <w:kinsoku/>
              <w:wordWrap w:val="0"/>
              <w:overflowPunct/>
              <w:topLinePunct w:val="0"/>
              <w:autoSpaceDE w:val="0"/>
              <w:autoSpaceDN w:val="0"/>
              <w:bidi w:val="0"/>
              <w:adjustRightInd/>
              <w:snapToGrid/>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r>
      <w:tr w14:paraId="1C9770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noWrap w:val="0"/>
            <w:vAlign w:val="center"/>
          </w:tcPr>
          <w:p w14:paraId="1F97559B">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noWrap w:val="0"/>
            <w:vAlign w:val="center"/>
          </w:tcPr>
          <w:p w14:paraId="5E077C28">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noWrap w:val="0"/>
            <w:vAlign w:val="center"/>
          </w:tcPr>
          <w:p w14:paraId="5C5F044D">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noWrap w:val="0"/>
            <w:vAlign w:val="center"/>
          </w:tcPr>
          <w:p w14:paraId="4D2E958C">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noWrap w:val="0"/>
            <w:vAlign w:val="center"/>
          </w:tcPr>
          <w:p w14:paraId="143CB0F2">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noWrap w:val="0"/>
            <w:vAlign w:val="center"/>
          </w:tcPr>
          <w:p w14:paraId="08F25C8F">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1100" w:type="dxa"/>
            <w:vMerge w:val="continue"/>
            <w:noWrap w:val="0"/>
            <w:vAlign w:val="center"/>
          </w:tcPr>
          <w:p w14:paraId="242DF5DE">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690" w:type="dxa"/>
            <w:vMerge w:val="continue"/>
            <w:noWrap w:val="0"/>
            <w:vAlign w:val="center"/>
          </w:tcPr>
          <w:p w14:paraId="4319F904">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796" w:type="dxa"/>
            <w:vMerge w:val="continue"/>
            <w:noWrap w:val="0"/>
            <w:vAlign w:val="center"/>
          </w:tcPr>
          <w:p w14:paraId="3B7AD865">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p>
        </w:tc>
        <w:tc>
          <w:tcPr>
            <w:tcW w:w="932" w:type="dxa"/>
            <w:noWrap w:val="0"/>
            <w:vAlign w:val="center"/>
          </w:tcPr>
          <w:p w14:paraId="48CF9834">
            <w:pPr>
              <w:pStyle w:val="37"/>
              <w:keepNext w:val="0"/>
              <w:keepLines w:val="0"/>
              <w:pageBreakBefore w:val="0"/>
              <w:widowControl w:val="0"/>
              <w:kinsoku/>
              <w:wordWrap w:val="0"/>
              <w:overflowPunct/>
              <w:topLinePunct w:val="0"/>
              <w:autoSpaceDE w:val="0"/>
              <w:autoSpaceDN w:val="0"/>
              <w:bidi w:val="0"/>
              <w:adjustRightInd/>
              <w:snapToGrid/>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2199" w:type="dxa"/>
            <w:noWrap w:val="0"/>
            <w:vAlign w:val="center"/>
          </w:tcPr>
          <w:p w14:paraId="35F11EF4">
            <w:pPr>
              <w:pStyle w:val="37"/>
              <w:keepNext w:val="0"/>
              <w:keepLines w:val="0"/>
              <w:pageBreakBefore w:val="0"/>
              <w:widowControl w:val="0"/>
              <w:kinsoku/>
              <w:wordWrap w:val="0"/>
              <w:overflowPunct/>
              <w:topLinePunct w:val="0"/>
              <w:autoSpaceDE w:val="0"/>
              <w:autoSpaceDN w:val="0"/>
              <w:bidi w:val="0"/>
              <w:adjustRightInd/>
              <w:snapToGrid/>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5（8）</w:t>
            </w:r>
          </w:p>
        </w:tc>
      </w:tr>
      <w:tr w14:paraId="701FBA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noWrap w:val="0"/>
            <w:vAlign w:val="center"/>
          </w:tcPr>
          <w:p w14:paraId="4F490838">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lang w:val="en-US" w:eastAsia="zh-CN"/>
              </w:rPr>
            </w:pPr>
          </w:p>
        </w:tc>
        <w:tc>
          <w:tcPr>
            <w:tcW w:w="0" w:type="auto"/>
            <w:vMerge w:val="continue"/>
            <w:noWrap w:val="0"/>
            <w:vAlign w:val="center"/>
          </w:tcPr>
          <w:p w14:paraId="309C9AC6">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lang w:val="en-US" w:eastAsia="zh-CN"/>
              </w:rPr>
            </w:pPr>
          </w:p>
        </w:tc>
        <w:tc>
          <w:tcPr>
            <w:tcW w:w="0" w:type="auto"/>
            <w:vMerge w:val="continue"/>
            <w:noWrap w:val="0"/>
            <w:vAlign w:val="center"/>
          </w:tcPr>
          <w:p w14:paraId="340211A8">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noWrap w:val="0"/>
            <w:vAlign w:val="center"/>
          </w:tcPr>
          <w:p w14:paraId="19E9584B">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noWrap w:val="0"/>
            <w:vAlign w:val="center"/>
          </w:tcPr>
          <w:p w14:paraId="137A965E">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lang w:val="en-US" w:eastAsia="zh-CN"/>
              </w:rPr>
            </w:pPr>
          </w:p>
        </w:tc>
        <w:tc>
          <w:tcPr>
            <w:tcW w:w="0" w:type="auto"/>
            <w:vMerge w:val="continue"/>
            <w:noWrap w:val="0"/>
            <w:vAlign w:val="center"/>
          </w:tcPr>
          <w:p w14:paraId="24D51ACE">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1100" w:type="dxa"/>
            <w:vMerge w:val="continue"/>
            <w:noWrap w:val="0"/>
            <w:vAlign w:val="center"/>
          </w:tcPr>
          <w:p w14:paraId="3A9CC7A2">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690" w:type="dxa"/>
            <w:vMerge w:val="continue"/>
            <w:noWrap w:val="0"/>
            <w:vAlign w:val="center"/>
          </w:tcPr>
          <w:p w14:paraId="2EE9F791">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796" w:type="dxa"/>
            <w:vMerge w:val="continue"/>
            <w:noWrap w:val="0"/>
            <w:vAlign w:val="center"/>
          </w:tcPr>
          <w:p w14:paraId="634EAC48">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p>
        </w:tc>
        <w:tc>
          <w:tcPr>
            <w:tcW w:w="932" w:type="dxa"/>
            <w:noWrap w:val="0"/>
            <w:vAlign w:val="center"/>
          </w:tcPr>
          <w:p w14:paraId="0CDC9E33">
            <w:pPr>
              <w:pStyle w:val="37"/>
              <w:keepNext w:val="0"/>
              <w:keepLines w:val="0"/>
              <w:pageBreakBefore w:val="0"/>
              <w:widowControl w:val="0"/>
              <w:kinsoku/>
              <w:wordWrap w:val="0"/>
              <w:overflowPunct/>
              <w:topLinePunct w:val="0"/>
              <w:autoSpaceDE w:val="0"/>
              <w:autoSpaceDN w:val="0"/>
              <w:bidi w:val="0"/>
              <w:adjustRightInd/>
              <w:snapToGrid/>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悬浮物</w:t>
            </w:r>
          </w:p>
        </w:tc>
        <w:tc>
          <w:tcPr>
            <w:tcW w:w="2199" w:type="dxa"/>
            <w:noWrap w:val="0"/>
            <w:vAlign w:val="center"/>
          </w:tcPr>
          <w:p w14:paraId="2F120032">
            <w:pPr>
              <w:pStyle w:val="37"/>
              <w:keepNext w:val="0"/>
              <w:keepLines w:val="0"/>
              <w:pageBreakBefore w:val="0"/>
              <w:widowControl w:val="0"/>
              <w:kinsoku/>
              <w:wordWrap w:val="0"/>
              <w:overflowPunct/>
              <w:topLinePunct w:val="0"/>
              <w:autoSpaceDE w:val="0"/>
              <w:autoSpaceDN w:val="0"/>
              <w:bidi w:val="0"/>
              <w:adjustRightInd/>
              <w:snapToGrid/>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r>
      <w:tr w14:paraId="6CB942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noWrap w:val="0"/>
            <w:vAlign w:val="center"/>
          </w:tcPr>
          <w:p w14:paraId="6FF18390">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lang w:val="en-US" w:eastAsia="zh-CN"/>
              </w:rPr>
            </w:pPr>
          </w:p>
        </w:tc>
        <w:tc>
          <w:tcPr>
            <w:tcW w:w="0" w:type="auto"/>
            <w:vMerge w:val="continue"/>
            <w:noWrap w:val="0"/>
            <w:vAlign w:val="center"/>
          </w:tcPr>
          <w:p w14:paraId="3F2F8E62">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lang w:val="en-US" w:eastAsia="zh-CN"/>
              </w:rPr>
            </w:pPr>
          </w:p>
        </w:tc>
        <w:tc>
          <w:tcPr>
            <w:tcW w:w="0" w:type="auto"/>
            <w:vMerge w:val="continue"/>
            <w:noWrap w:val="0"/>
            <w:vAlign w:val="center"/>
          </w:tcPr>
          <w:p w14:paraId="1CBB854A">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noWrap w:val="0"/>
            <w:vAlign w:val="center"/>
          </w:tcPr>
          <w:p w14:paraId="217A7186">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0" w:type="auto"/>
            <w:vMerge w:val="continue"/>
            <w:noWrap w:val="0"/>
            <w:vAlign w:val="center"/>
          </w:tcPr>
          <w:p w14:paraId="21D18658">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lang w:val="en-US" w:eastAsia="zh-CN"/>
              </w:rPr>
            </w:pPr>
          </w:p>
        </w:tc>
        <w:tc>
          <w:tcPr>
            <w:tcW w:w="0" w:type="auto"/>
            <w:vMerge w:val="continue"/>
            <w:noWrap w:val="0"/>
            <w:vAlign w:val="center"/>
          </w:tcPr>
          <w:p w14:paraId="71847E68">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1100" w:type="dxa"/>
            <w:vMerge w:val="continue"/>
            <w:noWrap w:val="0"/>
            <w:vAlign w:val="center"/>
          </w:tcPr>
          <w:p w14:paraId="332608B8">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690" w:type="dxa"/>
            <w:vMerge w:val="continue"/>
            <w:noWrap w:val="0"/>
            <w:vAlign w:val="center"/>
          </w:tcPr>
          <w:p w14:paraId="36EF43AE">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FF0000"/>
                <w:highlight w:val="none"/>
              </w:rPr>
            </w:pPr>
          </w:p>
        </w:tc>
        <w:tc>
          <w:tcPr>
            <w:tcW w:w="796" w:type="dxa"/>
            <w:vMerge w:val="continue"/>
            <w:noWrap w:val="0"/>
            <w:vAlign w:val="center"/>
          </w:tcPr>
          <w:p w14:paraId="29F91107">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rPr>
            </w:pPr>
          </w:p>
        </w:tc>
        <w:tc>
          <w:tcPr>
            <w:tcW w:w="932" w:type="dxa"/>
            <w:noWrap w:val="0"/>
            <w:vAlign w:val="center"/>
          </w:tcPr>
          <w:p w14:paraId="714CF392">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动植物油</w:t>
            </w:r>
          </w:p>
        </w:tc>
        <w:tc>
          <w:tcPr>
            <w:tcW w:w="0" w:type="auto"/>
            <w:noWrap w:val="0"/>
            <w:vAlign w:val="center"/>
          </w:tcPr>
          <w:p w14:paraId="6B30EC48">
            <w:pPr>
              <w:pStyle w:val="37"/>
              <w:keepNext w:val="0"/>
              <w:keepLines w:val="0"/>
              <w:pageBreakBefore w:val="0"/>
              <w:widowControl w:val="0"/>
              <w:kinsoku/>
              <w:wordWrap w:val="0"/>
              <w:overflowPunct/>
              <w:topLinePunct w:val="0"/>
              <w:autoSpaceDE w:val="0"/>
              <w:autoSpaceDN w:val="0"/>
              <w:bidi w:val="0"/>
              <w:adjustRightInd/>
              <w:snapToGrid/>
              <w:textAlignment w:val="baseline"/>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w:t>
            </w:r>
          </w:p>
        </w:tc>
      </w:tr>
    </w:tbl>
    <w:p w14:paraId="76D01F23">
      <w:pPr>
        <w:pStyle w:val="44"/>
        <w:bidi w:val="0"/>
        <w:rPr>
          <w:color w:val="auto"/>
          <w:highlight w:val="none"/>
        </w:rPr>
      </w:pPr>
      <w:r>
        <w:rPr>
          <w:color w:val="auto"/>
          <w:highlight w:val="none"/>
        </w:rPr>
        <w:t>表5.2-</w:t>
      </w:r>
      <w:r>
        <w:rPr>
          <w:rFonts w:hint="eastAsia"/>
          <w:color w:val="auto"/>
          <w:highlight w:val="none"/>
          <w:lang w:val="en-US" w:eastAsia="zh-CN"/>
        </w:rPr>
        <w:t>11</w:t>
      </w:r>
      <w:r>
        <w:rPr>
          <w:color w:val="auto"/>
          <w:highlight w:val="none"/>
        </w:rPr>
        <w:t xml:space="preserve">  废水污染物排放执行标准表</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1324"/>
        <w:gridCol w:w="1326"/>
        <w:gridCol w:w="4111"/>
        <w:gridCol w:w="1865"/>
      </w:tblGrid>
      <w:tr w14:paraId="377673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4" w:type="pct"/>
            <w:vMerge w:val="restart"/>
            <w:noWrap w:val="0"/>
            <w:vAlign w:val="center"/>
          </w:tcPr>
          <w:p w14:paraId="3EC5FEFE">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713" w:type="pct"/>
            <w:vMerge w:val="restart"/>
            <w:noWrap w:val="0"/>
            <w:vAlign w:val="center"/>
          </w:tcPr>
          <w:p w14:paraId="5B774AFF">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排放口编号</w:t>
            </w:r>
          </w:p>
        </w:tc>
        <w:tc>
          <w:tcPr>
            <w:tcW w:w="714" w:type="pct"/>
            <w:vMerge w:val="restart"/>
            <w:noWrap w:val="0"/>
            <w:vAlign w:val="center"/>
          </w:tcPr>
          <w:p w14:paraId="3776F2D5">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污染物种类</w:t>
            </w:r>
          </w:p>
        </w:tc>
        <w:tc>
          <w:tcPr>
            <w:tcW w:w="3217" w:type="pct"/>
            <w:gridSpan w:val="2"/>
            <w:noWrap w:val="0"/>
            <w:vAlign w:val="center"/>
          </w:tcPr>
          <w:p w14:paraId="05A66C2F">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国家或地方污染物排放标准及其他按规定商定的排放协议</w:t>
            </w:r>
          </w:p>
        </w:tc>
      </w:tr>
      <w:tr w14:paraId="50C777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4" w:type="pct"/>
            <w:vMerge w:val="continue"/>
            <w:noWrap w:val="0"/>
            <w:vAlign w:val="center"/>
          </w:tcPr>
          <w:p w14:paraId="18A7A532">
            <w:pPr>
              <w:pStyle w:val="37"/>
              <w:bidi w:val="0"/>
              <w:rPr>
                <w:rFonts w:hint="default" w:ascii="Times New Roman" w:hAnsi="Times New Roman" w:cs="Times New Roman"/>
                <w:color w:val="auto"/>
                <w:sz w:val="21"/>
                <w:szCs w:val="21"/>
                <w:highlight w:val="none"/>
              </w:rPr>
            </w:pPr>
          </w:p>
        </w:tc>
        <w:tc>
          <w:tcPr>
            <w:tcW w:w="713" w:type="pct"/>
            <w:vMerge w:val="continue"/>
            <w:noWrap w:val="0"/>
            <w:vAlign w:val="center"/>
          </w:tcPr>
          <w:p w14:paraId="417258B1">
            <w:pPr>
              <w:pStyle w:val="37"/>
              <w:bidi w:val="0"/>
              <w:rPr>
                <w:rFonts w:hint="default" w:ascii="Times New Roman" w:hAnsi="Times New Roman" w:cs="Times New Roman"/>
                <w:color w:val="auto"/>
                <w:sz w:val="21"/>
                <w:szCs w:val="21"/>
                <w:highlight w:val="none"/>
              </w:rPr>
            </w:pPr>
          </w:p>
        </w:tc>
        <w:tc>
          <w:tcPr>
            <w:tcW w:w="714" w:type="pct"/>
            <w:vMerge w:val="continue"/>
            <w:noWrap w:val="0"/>
            <w:vAlign w:val="center"/>
          </w:tcPr>
          <w:p w14:paraId="4D276231">
            <w:pPr>
              <w:pStyle w:val="37"/>
              <w:bidi w:val="0"/>
              <w:rPr>
                <w:rFonts w:hint="default" w:ascii="Times New Roman" w:hAnsi="Times New Roman" w:cs="Times New Roman"/>
                <w:color w:val="auto"/>
                <w:sz w:val="21"/>
                <w:szCs w:val="21"/>
                <w:highlight w:val="none"/>
              </w:rPr>
            </w:pPr>
          </w:p>
        </w:tc>
        <w:tc>
          <w:tcPr>
            <w:tcW w:w="2213" w:type="pct"/>
            <w:noWrap w:val="0"/>
            <w:vAlign w:val="center"/>
          </w:tcPr>
          <w:p w14:paraId="3B375EAB">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p>
        </w:tc>
        <w:tc>
          <w:tcPr>
            <w:tcW w:w="1004" w:type="pct"/>
            <w:noWrap w:val="0"/>
            <w:vAlign w:val="center"/>
          </w:tcPr>
          <w:p w14:paraId="5351AF0F">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标准</w:t>
            </w:r>
            <w:r>
              <w:rPr>
                <w:rFonts w:hint="default" w:ascii="Times New Roman" w:hAnsi="Times New Roman" w:cs="Times New Roman"/>
                <w:color w:val="auto"/>
                <w:sz w:val="21"/>
                <w:szCs w:val="21"/>
                <w:highlight w:val="none"/>
              </w:rPr>
              <w:t>限值/(mg/L)</w:t>
            </w:r>
          </w:p>
        </w:tc>
      </w:tr>
      <w:tr w14:paraId="7A7221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4" w:type="pct"/>
            <w:vMerge w:val="restart"/>
            <w:noWrap w:val="0"/>
            <w:vAlign w:val="center"/>
          </w:tcPr>
          <w:p w14:paraId="05C2D18D">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713" w:type="pct"/>
            <w:vMerge w:val="restart"/>
            <w:noWrap w:val="0"/>
            <w:vAlign w:val="center"/>
          </w:tcPr>
          <w:p w14:paraId="54B717CC">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DW001</w:t>
            </w:r>
          </w:p>
        </w:tc>
        <w:tc>
          <w:tcPr>
            <w:tcW w:w="714" w:type="pct"/>
            <w:shd w:val="clear" w:color="auto" w:fill="auto"/>
            <w:noWrap w:val="0"/>
            <w:vAlign w:val="center"/>
          </w:tcPr>
          <w:p w14:paraId="36A087C1">
            <w:pPr>
              <w:pStyle w:val="37"/>
              <w:bidi w:val="0"/>
              <w:ind w:firstLine="0" w:firstLineChars="0"/>
              <w:rPr>
                <w:rFonts w:hint="default" w:ascii="Times New Roman" w:hAnsi="Times New Roman" w:eastAsia="宋体" w:cs="Times New Roman"/>
                <w:snapToGrid w:val="0"/>
                <w:color w:val="auto"/>
                <w:spacing w:val="6"/>
                <w:kern w:val="0"/>
                <w:sz w:val="21"/>
                <w:szCs w:val="21"/>
                <w:highlight w:val="none"/>
                <w:lang w:val="en-US" w:eastAsia="zh-CN" w:bidi="ar-SA"/>
              </w:rPr>
            </w:pPr>
            <w:r>
              <w:rPr>
                <w:rFonts w:hint="default" w:ascii="Times New Roman" w:hAnsi="Times New Roman" w:cs="Times New Roman"/>
                <w:color w:val="auto"/>
                <w:sz w:val="21"/>
                <w:szCs w:val="21"/>
                <w:highlight w:val="none"/>
              </w:rPr>
              <w:t>pH</w:t>
            </w:r>
          </w:p>
        </w:tc>
        <w:tc>
          <w:tcPr>
            <w:tcW w:w="2213" w:type="pct"/>
            <w:vMerge w:val="restart"/>
            <w:noWrap w:val="0"/>
            <w:vAlign w:val="center"/>
          </w:tcPr>
          <w:p w14:paraId="6EE7082D">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《污水综合排放标准》（GB8978-1996）三级标准</w:t>
            </w:r>
          </w:p>
        </w:tc>
        <w:tc>
          <w:tcPr>
            <w:tcW w:w="1004" w:type="pct"/>
            <w:noWrap w:val="0"/>
            <w:vAlign w:val="center"/>
          </w:tcPr>
          <w:p w14:paraId="53868DF8">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6-9</w:t>
            </w:r>
          </w:p>
        </w:tc>
      </w:tr>
      <w:tr w14:paraId="2B9E48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4" w:type="pct"/>
            <w:vMerge w:val="continue"/>
            <w:noWrap w:val="0"/>
            <w:vAlign w:val="center"/>
          </w:tcPr>
          <w:p w14:paraId="623B509C">
            <w:pPr>
              <w:pStyle w:val="37"/>
              <w:bidi w:val="0"/>
              <w:rPr>
                <w:rFonts w:hint="default" w:ascii="Times New Roman" w:hAnsi="Times New Roman" w:cs="Times New Roman"/>
                <w:color w:val="auto"/>
                <w:sz w:val="21"/>
                <w:szCs w:val="21"/>
                <w:highlight w:val="none"/>
              </w:rPr>
            </w:pPr>
          </w:p>
        </w:tc>
        <w:tc>
          <w:tcPr>
            <w:tcW w:w="713" w:type="pct"/>
            <w:vMerge w:val="continue"/>
            <w:noWrap w:val="0"/>
            <w:vAlign w:val="center"/>
          </w:tcPr>
          <w:p w14:paraId="7E63B4C8">
            <w:pPr>
              <w:pStyle w:val="37"/>
              <w:bidi w:val="0"/>
              <w:rPr>
                <w:rFonts w:hint="default" w:ascii="Times New Roman" w:hAnsi="Times New Roman" w:cs="Times New Roman"/>
                <w:color w:val="auto"/>
                <w:sz w:val="21"/>
                <w:szCs w:val="21"/>
                <w:highlight w:val="none"/>
              </w:rPr>
            </w:pPr>
          </w:p>
        </w:tc>
        <w:tc>
          <w:tcPr>
            <w:tcW w:w="714" w:type="pct"/>
            <w:shd w:val="clear" w:color="auto" w:fill="auto"/>
            <w:noWrap w:val="0"/>
            <w:vAlign w:val="center"/>
          </w:tcPr>
          <w:p w14:paraId="004CA8CD">
            <w:pPr>
              <w:pStyle w:val="37"/>
              <w:bidi w:val="0"/>
              <w:ind w:firstLine="0" w:firstLineChars="0"/>
              <w:rPr>
                <w:rFonts w:hint="default" w:ascii="Times New Roman" w:hAnsi="Times New Roman" w:eastAsia="宋体" w:cs="Times New Roman"/>
                <w:snapToGrid w:val="0"/>
                <w:color w:val="auto"/>
                <w:spacing w:val="6"/>
                <w:kern w:val="0"/>
                <w:sz w:val="21"/>
                <w:szCs w:val="21"/>
                <w:highlight w:val="none"/>
                <w:lang w:val="en-US" w:eastAsia="zh-CN" w:bidi="ar-SA"/>
              </w:rPr>
            </w:pPr>
            <w:r>
              <w:rPr>
                <w:rFonts w:hint="default" w:ascii="Times New Roman" w:hAnsi="Times New Roman" w:cs="Times New Roman"/>
                <w:color w:val="auto"/>
                <w:sz w:val="21"/>
                <w:szCs w:val="21"/>
                <w:highlight w:val="none"/>
              </w:rPr>
              <w:t>COD</w:t>
            </w:r>
          </w:p>
        </w:tc>
        <w:tc>
          <w:tcPr>
            <w:tcW w:w="2213" w:type="pct"/>
            <w:vMerge w:val="continue"/>
            <w:noWrap w:val="0"/>
            <w:vAlign w:val="center"/>
          </w:tcPr>
          <w:p w14:paraId="2B4F4D3F">
            <w:pPr>
              <w:pStyle w:val="37"/>
              <w:bidi w:val="0"/>
              <w:rPr>
                <w:rFonts w:hint="default" w:ascii="Times New Roman" w:hAnsi="Times New Roman" w:cs="Times New Roman"/>
                <w:color w:val="auto"/>
                <w:sz w:val="21"/>
                <w:szCs w:val="21"/>
                <w:highlight w:val="none"/>
              </w:rPr>
            </w:pPr>
          </w:p>
        </w:tc>
        <w:tc>
          <w:tcPr>
            <w:tcW w:w="1004" w:type="pct"/>
            <w:noWrap w:val="0"/>
            <w:vAlign w:val="center"/>
          </w:tcPr>
          <w:p w14:paraId="031AE82E">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500</w:t>
            </w:r>
          </w:p>
        </w:tc>
      </w:tr>
      <w:tr w14:paraId="1506CA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4" w:type="pct"/>
            <w:vMerge w:val="continue"/>
            <w:noWrap w:val="0"/>
            <w:vAlign w:val="center"/>
          </w:tcPr>
          <w:p w14:paraId="24B5BE59">
            <w:pPr>
              <w:pStyle w:val="37"/>
              <w:bidi w:val="0"/>
              <w:rPr>
                <w:rFonts w:hint="default" w:ascii="Times New Roman" w:hAnsi="Times New Roman" w:cs="Times New Roman"/>
                <w:color w:val="auto"/>
                <w:sz w:val="21"/>
                <w:szCs w:val="21"/>
                <w:highlight w:val="none"/>
                <w:lang w:val="en-US" w:eastAsia="zh-CN"/>
              </w:rPr>
            </w:pPr>
          </w:p>
        </w:tc>
        <w:tc>
          <w:tcPr>
            <w:tcW w:w="713" w:type="pct"/>
            <w:vMerge w:val="continue"/>
            <w:noWrap w:val="0"/>
            <w:vAlign w:val="center"/>
          </w:tcPr>
          <w:p w14:paraId="5124C631">
            <w:pPr>
              <w:pStyle w:val="37"/>
              <w:bidi w:val="0"/>
              <w:rPr>
                <w:rFonts w:hint="default" w:ascii="Times New Roman" w:hAnsi="Times New Roman" w:cs="Times New Roman"/>
                <w:color w:val="auto"/>
                <w:sz w:val="21"/>
                <w:szCs w:val="21"/>
                <w:highlight w:val="none"/>
                <w:lang w:val="en-US" w:eastAsia="zh-CN"/>
              </w:rPr>
            </w:pPr>
          </w:p>
        </w:tc>
        <w:tc>
          <w:tcPr>
            <w:tcW w:w="714" w:type="pct"/>
            <w:shd w:val="clear" w:color="auto" w:fill="auto"/>
            <w:noWrap w:val="0"/>
            <w:vAlign w:val="center"/>
          </w:tcPr>
          <w:p w14:paraId="6D2536C4">
            <w:pPr>
              <w:pStyle w:val="37"/>
              <w:bidi w:val="0"/>
              <w:ind w:firstLine="0" w:firstLineChars="0"/>
              <w:rPr>
                <w:rFonts w:hint="default" w:ascii="Times New Roman" w:hAnsi="Times New Roman" w:eastAsia="宋体" w:cs="Times New Roman"/>
                <w:snapToGrid w:val="0"/>
                <w:color w:val="auto"/>
                <w:spacing w:val="6"/>
                <w:kern w:val="0"/>
                <w:sz w:val="21"/>
                <w:szCs w:val="21"/>
                <w:highlight w:val="none"/>
                <w:lang w:val="en-US" w:eastAsia="zh-CN" w:bidi="ar-SA"/>
              </w:rPr>
            </w:pPr>
            <w:r>
              <w:rPr>
                <w:rFonts w:hint="default" w:ascii="Times New Roman" w:hAnsi="Times New Roman" w:cs="Times New Roman"/>
                <w:color w:val="auto"/>
                <w:sz w:val="21"/>
                <w:szCs w:val="21"/>
                <w:highlight w:val="none"/>
              </w:rPr>
              <w:t>BOD</w:t>
            </w:r>
            <w:r>
              <w:rPr>
                <w:rFonts w:hint="default" w:ascii="Times New Roman" w:hAnsi="Times New Roman" w:cs="Times New Roman"/>
                <w:color w:val="auto"/>
                <w:sz w:val="21"/>
                <w:szCs w:val="21"/>
                <w:highlight w:val="none"/>
                <w:vertAlign w:val="subscript"/>
              </w:rPr>
              <w:t>5</w:t>
            </w:r>
          </w:p>
        </w:tc>
        <w:tc>
          <w:tcPr>
            <w:tcW w:w="2213" w:type="pct"/>
            <w:vMerge w:val="continue"/>
            <w:noWrap w:val="0"/>
            <w:vAlign w:val="center"/>
          </w:tcPr>
          <w:p w14:paraId="7CF86B92">
            <w:pPr>
              <w:pStyle w:val="37"/>
              <w:bidi w:val="0"/>
              <w:rPr>
                <w:rFonts w:hint="default" w:ascii="Times New Roman" w:hAnsi="Times New Roman" w:cs="Times New Roman"/>
                <w:color w:val="auto"/>
                <w:sz w:val="21"/>
                <w:szCs w:val="21"/>
                <w:highlight w:val="none"/>
              </w:rPr>
            </w:pPr>
          </w:p>
        </w:tc>
        <w:tc>
          <w:tcPr>
            <w:tcW w:w="1004" w:type="pct"/>
            <w:shd w:val="clear" w:color="auto" w:fill="auto"/>
            <w:noWrap w:val="0"/>
            <w:vAlign w:val="center"/>
          </w:tcPr>
          <w:p w14:paraId="7569CCFD">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300</w:t>
            </w:r>
          </w:p>
        </w:tc>
      </w:tr>
      <w:tr w14:paraId="5F12E2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4" w:type="pct"/>
            <w:vMerge w:val="continue"/>
            <w:noWrap w:val="0"/>
            <w:vAlign w:val="center"/>
          </w:tcPr>
          <w:p w14:paraId="7A4119FD">
            <w:pPr>
              <w:pStyle w:val="37"/>
              <w:bidi w:val="0"/>
              <w:rPr>
                <w:rFonts w:hint="default" w:ascii="Times New Roman" w:hAnsi="Times New Roman" w:cs="Times New Roman"/>
                <w:color w:val="auto"/>
                <w:sz w:val="21"/>
                <w:szCs w:val="21"/>
                <w:highlight w:val="none"/>
                <w:lang w:val="en-US" w:eastAsia="zh-CN"/>
              </w:rPr>
            </w:pPr>
          </w:p>
        </w:tc>
        <w:tc>
          <w:tcPr>
            <w:tcW w:w="713" w:type="pct"/>
            <w:vMerge w:val="continue"/>
            <w:noWrap w:val="0"/>
            <w:vAlign w:val="center"/>
          </w:tcPr>
          <w:p w14:paraId="0E69D2B8">
            <w:pPr>
              <w:pStyle w:val="37"/>
              <w:bidi w:val="0"/>
              <w:rPr>
                <w:rFonts w:hint="default" w:ascii="Times New Roman" w:hAnsi="Times New Roman" w:cs="Times New Roman"/>
                <w:color w:val="auto"/>
                <w:sz w:val="21"/>
                <w:szCs w:val="21"/>
                <w:highlight w:val="none"/>
                <w:lang w:val="en-US" w:eastAsia="zh-CN"/>
              </w:rPr>
            </w:pPr>
          </w:p>
        </w:tc>
        <w:tc>
          <w:tcPr>
            <w:tcW w:w="714" w:type="pct"/>
            <w:shd w:val="clear" w:color="auto" w:fill="auto"/>
            <w:noWrap w:val="0"/>
            <w:vAlign w:val="center"/>
          </w:tcPr>
          <w:p w14:paraId="0EC01401">
            <w:pPr>
              <w:pStyle w:val="37"/>
              <w:bidi w:val="0"/>
              <w:ind w:firstLine="0" w:firstLineChars="0"/>
              <w:rPr>
                <w:rFonts w:hint="default" w:ascii="Times New Roman" w:hAnsi="Times New Roman" w:eastAsia="宋体" w:cs="Times New Roman"/>
                <w:snapToGrid w:val="0"/>
                <w:color w:val="auto"/>
                <w:spacing w:val="6"/>
                <w:kern w:val="0"/>
                <w:sz w:val="21"/>
                <w:szCs w:val="21"/>
                <w:highlight w:val="none"/>
                <w:lang w:val="en-US" w:eastAsia="zh-CN" w:bidi="ar-SA"/>
              </w:rPr>
            </w:pPr>
            <w:r>
              <w:rPr>
                <w:rFonts w:hint="default" w:ascii="Times New Roman" w:hAnsi="Times New Roman" w:cs="Times New Roman"/>
                <w:color w:val="auto"/>
                <w:sz w:val="21"/>
                <w:szCs w:val="21"/>
                <w:highlight w:val="none"/>
              </w:rPr>
              <w:t>SS</w:t>
            </w:r>
          </w:p>
        </w:tc>
        <w:tc>
          <w:tcPr>
            <w:tcW w:w="2213" w:type="pct"/>
            <w:vMerge w:val="continue"/>
            <w:noWrap w:val="0"/>
            <w:vAlign w:val="center"/>
          </w:tcPr>
          <w:p w14:paraId="4398DFAF">
            <w:pPr>
              <w:pStyle w:val="37"/>
              <w:bidi w:val="0"/>
              <w:rPr>
                <w:rFonts w:hint="default" w:ascii="Times New Roman" w:hAnsi="Times New Roman" w:cs="Times New Roman"/>
                <w:color w:val="auto"/>
                <w:sz w:val="21"/>
                <w:szCs w:val="21"/>
                <w:highlight w:val="none"/>
              </w:rPr>
            </w:pPr>
          </w:p>
        </w:tc>
        <w:tc>
          <w:tcPr>
            <w:tcW w:w="1004" w:type="pct"/>
            <w:shd w:val="clear" w:color="auto" w:fill="auto"/>
            <w:noWrap w:val="0"/>
            <w:vAlign w:val="center"/>
          </w:tcPr>
          <w:p w14:paraId="587970F4">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400</w:t>
            </w:r>
          </w:p>
        </w:tc>
      </w:tr>
      <w:tr w14:paraId="6614DA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4" w:type="pct"/>
            <w:vMerge w:val="continue"/>
            <w:noWrap w:val="0"/>
            <w:vAlign w:val="center"/>
          </w:tcPr>
          <w:p w14:paraId="7C5BB1AF">
            <w:pPr>
              <w:pStyle w:val="37"/>
              <w:bidi w:val="0"/>
              <w:rPr>
                <w:rFonts w:hint="default" w:ascii="Times New Roman" w:hAnsi="Times New Roman" w:cs="Times New Roman"/>
                <w:color w:val="auto"/>
                <w:sz w:val="21"/>
                <w:szCs w:val="21"/>
                <w:highlight w:val="none"/>
                <w:lang w:val="en-US" w:eastAsia="zh-CN"/>
              </w:rPr>
            </w:pPr>
          </w:p>
        </w:tc>
        <w:tc>
          <w:tcPr>
            <w:tcW w:w="713" w:type="pct"/>
            <w:vMerge w:val="continue"/>
            <w:noWrap w:val="0"/>
            <w:vAlign w:val="center"/>
          </w:tcPr>
          <w:p w14:paraId="44E1FAF4">
            <w:pPr>
              <w:pStyle w:val="37"/>
              <w:bidi w:val="0"/>
              <w:rPr>
                <w:rFonts w:hint="default" w:ascii="Times New Roman" w:hAnsi="Times New Roman" w:cs="Times New Roman"/>
                <w:color w:val="auto"/>
                <w:sz w:val="21"/>
                <w:szCs w:val="21"/>
                <w:highlight w:val="none"/>
                <w:lang w:val="en-US" w:eastAsia="zh-CN"/>
              </w:rPr>
            </w:pPr>
          </w:p>
        </w:tc>
        <w:tc>
          <w:tcPr>
            <w:tcW w:w="714" w:type="pct"/>
            <w:shd w:val="clear" w:color="auto" w:fill="auto"/>
            <w:noWrap w:val="0"/>
            <w:vAlign w:val="center"/>
          </w:tcPr>
          <w:p w14:paraId="43B05F22">
            <w:pPr>
              <w:pStyle w:val="37"/>
              <w:bidi w:val="0"/>
              <w:ind w:firstLine="0" w:firstLineChars="0"/>
              <w:rPr>
                <w:rFonts w:hint="default" w:ascii="Times New Roman" w:hAnsi="Times New Roman" w:eastAsia="宋体" w:cs="Times New Roman"/>
                <w:snapToGrid w:val="0"/>
                <w:color w:val="auto"/>
                <w:spacing w:val="6"/>
                <w:kern w:val="0"/>
                <w:sz w:val="21"/>
                <w:szCs w:val="21"/>
                <w:highlight w:val="none"/>
                <w:lang w:val="en-US" w:eastAsia="zh-CN" w:bidi="ar-SA"/>
              </w:rPr>
            </w:pPr>
            <w:r>
              <w:rPr>
                <w:rFonts w:hint="default" w:ascii="Times New Roman" w:hAnsi="Times New Roman" w:cs="Times New Roman"/>
                <w:color w:val="auto"/>
                <w:sz w:val="21"/>
                <w:szCs w:val="21"/>
                <w:highlight w:val="none"/>
              </w:rPr>
              <w:t>氨氮</w:t>
            </w:r>
          </w:p>
        </w:tc>
        <w:tc>
          <w:tcPr>
            <w:tcW w:w="2213" w:type="pct"/>
            <w:vMerge w:val="continue"/>
            <w:noWrap w:val="0"/>
            <w:vAlign w:val="center"/>
          </w:tcPr>
          <w:p w14:paraId="26FC678D">
            <w:pPr>
              <w:pStyle w:val="37"/>
              <w:bidi w:val="0"/>
              <w:rPr>
                <w:rFonts w:hint="default" w:ascii="Times New Roman" w:hAnsi="Times New Roman" w:cs="Times New Roman"/>
                <w:color w:val="auto"/>
                <w:sz w:val="21"/>
                <w:szCs w:val="21"/>
                <w:highlight w:val="none"/>
              </w:rPr>
            </w:pPr>
          </w:p>
        </w:tc>
        <w:tc>
          <w:tcPr>
            <w:tcW w:w="1004" w:type="pct"/>
            <w:shd w:val="clear" w:color="auto" w:fill="auto"/>
            <w:noWrap w:val="0"/>
            <w:vAlign w:val="center"/>
          </w:tcPr>
          <w:p w14:paraId="1123888F">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r>
      <w:tr w14:paraId="29EA3B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4" w:type="pct"/>
            <w:vMerge w:val="continue"/>
            <w:noWrap w:val="0"/>
            <w:vAlign w:val="center"/>
          </w:tcPr>
          <w:p w14:paraId="01ACFD38">
            <w:pPr>
              <w:pStyle w:val="37"/>
              <w:bidi w:val="0"/>
              <w:rPr>
                <w:rFonts w:hint="default" w:ascii="Times New Roman" w:hAnsi="Times New Roman" w:cs="Times New Roman"/>
                <w:color w:val="auto"/>
                <w:sz w:val="21"/>
                <w:szCs w:val="21"/>
                <w:highlight w:val="none"/>
                <w:lang w:val="en-US" w:eastAsia="zh-CN"/>
              </w:rPr>
            </w:pPr>
          </w:p>
        </w:tc>
        <w:tc>
          <w:tcPr>
            <w:tcW w:w="713" w:type="pct"/>
            <w:vMerge w:val="continue"/>
            <w:noWrap w:val="0"/>
            <w:vAlign w:val="center"/>
          </w:tcPr>
          <w:p w14:paraId="10FDCB1B">
            <w:pPr>
              <w:pStyle w:val="37"/>
              <w:bidi w:val="0"/>
              <w:rPr>
                <w:rFonts w:hint="default" w:ascii="Times New Roman" w:hAnsi="Times New Roman" w:cs="Times New Roman"/>
                <w:color w:val="auto"/>
                <w:sz w:val="21"/>
                <w:szCs w:val="21"/>
                <w:highlight w:val="none"/>
                <w:lang w:val="en-US" w:eastAsia="zh-CN"/>
              </w:rPr>
            </w:pPr>
          </w:p>
        </w:tc>
        <w:tc>
          <w:tcPr>
            <w:tcW w:w="714" w:type="pct"/>
            <w:shd w:val="clear" w:color="auto" w:fill="auto"/>
            <w:noWrap w:val="0"/>
            <w:vAlign w:val="center"/>
          </w:tcPr>
          <w:p w14:paraId="1861CBBE">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eastAsia="宋体" w:cs="Times New Roman"/>
                <w:snapToGrid w:val="0"/>
                <w:color w:val="auto"/>
                <w:spacing w:val="6"/>
                <w:sz w:val="21"/>
                <w:szCs w:val="21"/>
                <w:highlight w:val="none"/>
                <w:lang w:val="en-US" w:eastAsia="zh-CN" w:bidi="ar-SA"/>
              </w:rPr>
              <w:t>动植物油</w:t>
            </w:r>
          </w:p>
        </w:tc>
        <w:tc>
          <w:tcPr>
            <w:tcW w:w="2213" w:type="pct"/>
            <w:vMerge w:val="continue"/>
            <w:noWrap w:val="0"/>
            <w:vAlign w:val="center"/>
          </w:tcPr>
          <w:p w14:paraId="5C943E8F">
            <w:pPr>
              <w:pStyle w:val="37"/>
              <w:bidi w:val="0"/>
              <w:rPr>
                <w:rFonts w:hint="default" w:ascii="Times New Roman" w:hAnsi="Times New Roman" w:cs="Times New Roman"/>
                <w:color w:val="auto"/>
                <w:sz w:val="21"/>
                <w:szCs w:val="21"/>
                <w:highlight w:val="none"/>
              </w:rPr>
            </w:pPr>
          </w:p>
        </w:tc>
        <w:tc>
          <w:tcPr>
            <w:tcW w:w="1004" w:type="pct"/>
            <w:shd w:val="clear" w:color="auto" w:fill="auto"/>
            <w:noWrap w:val="0"/>
            <w:vAlign w:val="center"/>
          </w:tcPr>
          <w:p w14:paraId="0333D284">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100</w:t>
            </w:r>
          </w:p>
        </w:tc>
      </w:tr>
    </w:tbl>
    <w:p w14:paraId="783F9545">
      <w:pPr>
        <w:bidi w:val="0"/>
      </w:pPr>
    </w:p>
    <w:p w14:paraId="2A0D8C58">
      <w:pPr>
        <w:bidi w:val="0"/>
      </w:pPr>
    </w:p>
    <w:p w14:paraId="6BB7A65F">
      <w:pPr>
        <w:pStyle w:val="44"/>
        <w:bidi w:val="0"/>
        <w:rPr>
          <w:color w:val="auto"/>
          <w:highlight w:val="none"/>
        </w:rPr>
      </w:pPr>
      <w:r>
        <w:rPr>
          <w:color w:val="auto"/>
          <w:highlight w:val="none"/>
        </w:rPr>
        <w:t>表5.2-</w:t>
      </w:r>
      <w:r>
        <w:rPr>
          <w:rFonts w:hint="eastAsia"/>
          <w:color w:val="auto"/>
          <w:highlight w:val="none"/>
          <w:lang w:val="en-US" w:eastAsia="zh-CN"/>
        </w:rPr>
        <w:t>12</w:t>
      </w:r>
      <w:r>
        <w:rPr>
          <w:color w:val="auto"/>
          <w:highlight w:val="none"/>
        </w:rPr>
        <w:t xml:space="preserve">  废水污染物排放信息表</w:t>
      </w:r>
    </w:p>
    <w:tbl>
      <w:tblPr>
        <w:tblStyle w:val="2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9"/>
        <w:gridCol w:w="1728"/>
        <w:gridCol w:w="1432"/>
        <w:gridCol w:w="1752"/>
        <w:gridCol w:w="1748"/>
        <w:gridCol w:w="2015"/>
      </w:tblGrid>
      <w:tr w14:paraId="6E0B56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8" w:type="pct"/>
            <w:tcBorders>
              <w:tl2br w:val="nil"/>
              <w:tr2bl w:val="nil"/>
            </w:tcBorders>
            <w:noWrap w:val="0"/>
            <w:vAlign w:val="center"/>
          </w:tcPr>
          <w:p w14:paraId="333C6464">
            <w:pPr>
              <w:pStyle w:val="3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930" w:type="pct"/>
            <w:tcBorders>
              <w:tl2br w:val="nil"/>
              <w:tr2bl w:val="nil"/>
            </w:tcBorders>
            <w:noWrap w:val="0"/>
            <w:vAlign w:val="center"/>
          </w:tcPr>
          <w:p w14:paraId="3CFCAE11">
            <w:pPr>
              <w:pStyle w:val="3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排放口编号</w:t>
            </w:r>
          </w:p>
        </w:tc>
        <w:tc>
          <w:tcPr>
            <w:tcW w:w="771" w:type="pct"/>
            <w:tcBorders>
              <w:tl2br w:val="nil"/>
              <w:tr2bl w:val="nil"/>
            </w:tcBorders>
            <w:noWrap w:val="0"/>
            <w:vAlign w:val="center"/>
          </w:tcPr>
          <w:p w14:paraId="2C72DA28">
            <w:pPr>
              <w:pStyle w:val="3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污染物种类</w:t>
            </w:r>
          </w:p>
        </w:tc>
        <w:tc>
          <w:tcPr>
            <w:tcW w:w="943" w:type="pct"/>
            <w:tcBorders>
              <w:tl2br w:val="nil"/>
              <w:tr2bl w:val="nil"/>
            </w:tcBorders>
            <w:noWrap w:val="0"/>
            <w:vAlign w:val="center"/>
          </w:tcPr>
          <w:p w14:paraId="2A4BEC1B">
            <w:pPr>
              <w:pStyle w:val="3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核算排放浓度/（mg/L）</w:t>
            </w:r>
          </w:p>
        </w:tc>
        <w:tc>
          <w:tcPr>
            <w:tcW w:w="941" w:type="pct"/>
            <w:tcBorders>
              <w:tl2br w:val="nil"/>
              <w:tr2bl w:val="nil"/>
            </w:tcBorders>
            <w:noWrap w:val="0"/>
            <w:vAlign w:val="center"/>
          </w:tcPr>
          <w:p w14:paraId="4B1CB67C">
            <w:pPr>
              <w:pStyle w:val="3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排放量/（t/d）</w:t>
            </w:r>
          </w:p>
        </w:tc>
        <w:tc>
          <w:tcPr>
            <w:tcW w:w="1085" w:type="pct"/>
            <w:tcBorders>
              <w:tl2br w:val="nil"/>
              <w:tr2bl w:val="nil"/>
            </w:tcBorders>
            <w:noWrap w:val="0"/>
            <w:vAlign w:val="center"/>
          </w:tcPr>
          <w:p w14:paraId="6FBCCA91">
            <w:pPr>
              <w:pStyle w:val="3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排放量/（t/a）</w:t>
            </w:r>
          </w:p>
        </w:tc>
      </w:tr>
      <w:tr w14:paraId="359F35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328" w:type="pct"/>
            <w:vMerge w:val="restart"/>
            <w:tcBorders>
              <w:tl2br w:val="nil"/>
              <w:tr2bl w:val="nil"/>
            </w:tcBorders>
            <w:noWrap w:val="0"/>
            <w:vAlign w:val="center"/>
          </w:tcPr>
          <w:p w14:paraId="78524F01">
            <w:pPr>
              <w:pStyle w:val="3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930" w:type="pct"/>
            <w:vMerge w:val="restart"/>
            <w:tcBorders>
              <w:tl2br w:val="nil"/>
              <w:tr2bl w:val="nil"/>
            </w:tcBorders>
            <w:noWrap w:val="0"/>
            <w:vAlign w:val="center"/>
          </w:tcPr>
          <w:p w14:paraId="34181297">
            <w:pPr>
              <w:pStyle w:val="34"/>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DW001</w:t>
            </w:r>
          </w:p>
        </w:tc>
        <w:tc>
          <w:tcPr>
            <w:tcW w:w="1314" w:type="dxa"/>
            <w:tcBorders>
              <w:tl2br w:val="nil"/>
              <w:tr2bl w:val="nil"/>
            </w:tcBorders>
            <w:noWrap w:val="0"/>
            <w:vAlign w:val="center"/>
          </w:tcPr>
          <w:p w14:paraId="3F90DDA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highlight w:val="none"/>
              </w:rPr>
            </w:pPr>
            <w:r>
              <w:rPr>
                <w:rFonts w:hint="eastAsia" w:ascii="Times New Roman" w:hAnsi="Times New Roman" w:eastAsia="宋体" w:cs="Times New Roman"/>
                <w:color w:val="auto"/>
                <w:sz w:val="21"/>
                <w:szCs w:val="21"/>
                <w:lang w:eastAsia="zh-CN"/>
              </w:rPr>
              <w:t>COD</w:t>
            </w:r>
          </w:p>
        </w:tc>
        <w:tc>
          <w:tcPr>
            <w:tcW w:w="1607" w:type="dxa"/>
            <w:tcBorders>
              <w:tl2br w:val="nil"/>
              <w:tr2bl w:val="nil"/>
            </w:tcBorders>
            <w:noWrap w:val="0"/>
            <w:vAlign w:val="center"/>
          </w:tcPr>
          <w:p w14:paraId="26B4848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auto"/>
                <w:sz w:val="21"/>
                <w:szCs w:val="21"/>
                <w:lang w:val="en-US" w:eastAsia="zh-CN"/>
              </w:rPr>
              <w:t>364</w:t>
            </w:r>
          </w:p>
        </w:tc>
        <w:tc>
          <w:tcPr>
            <w:tcW w:w="941" w:type="pct"/>
            <w:tcBorders>
              <w:tl2br w:val="nil"/>
              <w:tr2bl w:val="nil"/>
            </w:tcBorders>
            <w:noWrap w:val="0"/>
            <w:vAlign w:val="center"/>
          </w:tcPr>
          <w:p w14:paraId="5AD46144">
            <w:pPr>
              <w:pStyle w:val="34"/>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0.01</w:t>
            </w:r>
          </w:p>
        </w:tc>
        <w:tc>
          <w:tcPr>
            <w:tcW w:w="1850" w:type="dxa"/>
            <w:tcBorders>
              <w:tl2br w:val="nil"/>
              <w:tr2bl w:val="nil"/>
            </w:tcBorders>
            <w:noWrap w:val="0"/>
            <w:vAlign w:val="center"/>
          </w:tcPr>
          <w:p w14:paraId="236A8B5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auto"/>
                <w:sz w:val="21"/>
                <w:szCs w:val="21"/>
                <w:lang w:val="en-US" w:eastAsia="zh-CN"/>
              </w:rPr>
              <w:t>3.02</w:t>
            </w:r>
          </w:p>
        </w:tc>
      </w:tr>
      <w:tr w14:paraId="6935CB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trPr>
        <w:tc>
          <w:tcPr>
            <w:tcW w:w="328" w:type="pct"/>
            <w:vMerge w:val="continue"/>
            <w:tcBorders>
              <w:tl2br w:val="nil"/>
              <w:tr2bl w:val="nil"/>
            </w:tcBorders>
            <w:noWrap w:val="0"/>
            <w:vAlign w:val="center"/>
          </w:tcPr>
          <w:p w14:paraId="786BE0CC">
            <w:pPr>
              <w:pStyle w:val="34"/>
              <w:bidi w:val="0"/>
              <w:rPr>
                <w:rFonts w:hint="default" w:ascii="Times New Roman" w:hAnsi="Times New Roman" w:eastAsia="宋体" w:cs="Times New Roman"/>
                <w:color w:val="auto"/>
                <w:highlight w:val="none"/>
              </w:rPr>
            </w:pPr>
          </w:p>
        </w:tc>
        <w:tc>
          <w:tcPr>
            <w:tcW w:w="930" w:type="pct"/>
            <w:vMerge w:val="continue"/>
            <w:tcBorders>
              <w:tl2br w:val="nil"/>
              <w:tr2bl w:val="nil"/>
            </w:tcBorders>
            <w:noWrap w:val="0"/>
            <w:vAlign w:val="center"/>
          </w:tcPr>
          <w:p w14:paraId="107282AA">
            <w:pPr>
              <w:pStyle w:val="34"/>
              <w:bidi w:val="0"/>
              <w:rPr>
                <w:rFonts w:hint="default" w:ascii="Times New Roman" w:hAnsi="Times New Roman" w:eastAsia="宋体" w:cs="Times New Roman"/>
                <w:color w:val="auto"/>
                <w:highlight w:val="none"/>
              </w:rPr>
            </w:pPr>
          </w:p>
        </w:tc>
        <w:tc>
          <w:tcPr>
            <w:tcW w:w="1314" w:type="dxa"/>
            <w:tcBorders>
              <w:tl2br w:val="nil"/>
              <w:tr2bl w:val="nil"/>
            </w:tcBorders>
            <w:noWrap w:val="0"/>
            <w:vAlign w:val="center"/>
          </w:tcPr>
          <w:p w14:paraId="5BF2AE4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highlight w:val="none"/>
              </w:rPr>
            </w:pPr>
            <w:r>
              <w:rPr>
                <w:rFonts w:hint="default" w:ascii="Times New Roman" w:hAnsi="Times New Roman" w:eastAsia="宋体" w:cs="Times New Roman"/>
                <w:color w:val="auto"/>
                <w:sz w:val="21"/>
                <w:szCs w:val="21"/>
              </w:rPr>
              <w:t>BOD</w:t>
            </w:r>
            <w:r>
              <w:rPr>
                <w:rFonts w:hint="default" w:ascii="Times New Roman" w:hAnsi="Times New Roman" w:eastAsia="宋体" w:cs="Times New Roman"/>
                <w:color w:val="auto"/>
                <w:sz w:val="21"/>
                <w:szCs w:val="21"/>
                <w:vertAlign w:val="subscript"/>
              </w:rPr>
              <w:t>5</w:t>
            </w:r>
          </w:p>
        </w:tc>
        <w:tc>
          <w:tcPr>
            <w:tcW w:w="1607" w:type="dxa"/>
            <w:tcBorders>
              <w:tl2br w:val="nil"/>
              <w:tr2bl w:val="nil"/>
            </w:tcBorders>
            <w:noWrap w:val="0"/>
            <w:vAlign w:val="center"/>
          </w:tcPr>
          <w:p w14:paraId="74B7C62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auto"/>
                <w:sz w:val="21"/>
                <w:szCs w:val="21"/>
                <w:lang w:val="en-US" w:eastAsia="zh-CN"/>
              </w:rPr>
              <w:t>178</w:t>
            </w:r>
          </w:p>
        </w:tc>
        <w:tc>
          <w:tcPr>
            <w:tcW w:w="941" w:type="pct"/>
            <w:tcBorders>
              <w:tl2br w:val="nil"/>
              <w:tr2bl w:val="nil"/>
            </w:tcBorders>
            <w:noWrap w:val="0"/>
            <w:vAlign w:val="center"/>
          </w:tcPr>
          <w:p w14:paraId="18E4033F">
            <w:pPr>
              <w:pStyle w:val="34"/>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0.005</w:t>
            </w:r>
          </w:p>
        </w:tc>
        <w:tc>
          <w:tcPr>
            <w:tcW w:w="1850" w:type="dxa"/>
            <w:tcBorders>
              <w:tl2br w:val="nil"/>
              <w:tr2bl w:val="nil"/>
            </w:tcBorders>
            <w:noWrap w:val="0"/>
            <w:vAlign w:val="center"/>
          </w:tcPr>
          <w:p w14:paraId="5D955DD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auto"/>
                <w:sz w:val="21"/>
                <w:szCs w:val="21"/>
                <w:lang w:val="en-US" w:eastAsia="zh-CN"/>
              </w:rPr>
              <w:t>1.48</w:t>
            </w:r>
          </w:p>
        </w:tc>
      </w:tr>
      <w:tr w14:paraId="7F2574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0" w:hRule="atLeast"/>
        </w:trPr>
        <w:tc>
          <w:tcPr>
            <w:tcW w:w="328" w:type="pct"/>
            <w:vMerge w:val="continue"/>
            <w:tcBorders>
              <w:tl2br w:val="nil"/>
              <w:tr2bl w:val="nil"/>
            </w:tcBorders>
            <w:noWrap w:val="0"/>
            <w:vAlign w:val="center"/>
          </w:tcPr>
          <w:p w14:paraId="293E4548">
            <w:pPr>
              <w:pStyle w:val="34"/>
              <w:bidi w:val="0"/>
              <w:rPr>
                <w:rFonts w:hint="default" w:ascii="Times New Roman" w:hAnsi="Times New Roman" w:eastAsia="宋体" w:cs="Times New Roman"/>
                <w:color w:val="auto"/>
                <w:highlight w:val="none"/>
              </w:rPr>
            </w:pPr>
          </w:p>
        </w:tc>
        <w:tc>
          <w:tcPr>
            <w:tcW w:w="930" w:type="pct"/>
            <w:vMerge w:val="continue"/>
            <w:tcBorders>
              <w:tl2br w:val="nil"/>
              <w:tr2bl w:val="nil"/>
            </w:tcBorders>
            <w:noWrap w:val="0"/>
            <w:vAlign w:val="center"/>
          </w:tcPr>
          <w:p w14:paraId="6D56D163">
            <w:pPr>
              <w:pStyle w:val="34"/>
              <w:bidi w:val="0"/>
              <w:rPr>
                <w:rFonts w:hint="default" w:ascii="Times New Roman" w:hAnsi="Times New Roman" w:eastAsia="宋体" w:cs="Times New Roman"/>
                <w:color w:val="auto"/>
                <w:highlight w:val="none"/>
              </w:rPr>
            </w:pPr>
          </w:p>
        </w:tc>
        <w:tc>
          <w:tcPr>
            <w:tcW w:w="1314" w:type="dxa"/>
            <w:tcBorders>
              <w:tl2br w:val="nil"/>
              <w:tr2bl w:val="nil"/>
            </w:tcBorders>
            <w:noWrap w:val="0"/>
            <w:vAlign w:val="center"/>
          </w:tcPr>
          <w:p w14:paraId="2A59CEA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highlight w:val="none"/>
              </w:rPr>
            </w:pPr>
            <w:r>
              <w:rPr>
                <w:rFonts w:hint="default" w:ascii="Times New Roman" w:hAnsi="Times New Roman" w:eastAsia="宋体" w:cs="Times New Roman"/>
                <w:color w:val="auto"/>
                <w:sz w:val="21"/>
                <w:szCs w:val="21"/>
              </w:rPr>
              <w:t>SS</w:t>
            </w:r>
          </w:p>
        </w:tc>
        <w:tc>
          <w:tcPr>
            <w:tcW w:w="1607" w:type="dxa"/>
            <w:tcBorders>
              <w:tl2br w:val="nil"/>
              <w:tr2bl w:val="nil"/>
            </w:tcBorders>
            <w:noWrap w:val="0"/>
            <w:vAlign w:val="center"/>
          </w:tcPr>
          <w:p w14:paraId="0FB69A9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auto"/>
                <w:sz w:val="21"/>
                <w:szCs w:val="21"/>
                <w:lang w:val="en-US" w:eastAsia="zh-CN"/>
              </w:rPr>
              <w:t>225</w:t>
            </w:r>
          </w:p>
        </w:tc>
        <w:tc>
          <w:tcPr>
            <w:tcW w:w="941" w:type="pct"/>
            <w:tcBorders>
              <w:tl2br w:val="nil"/>
              <w:tr2bl w:val="nil"/>
            </w:tcBorders>
            <w:noWrap w:val="0"/>
            <w:vAlign w:val="center"/>
          </w:tcPr>
          <w:p w14:paraId="573E938F">
            <w:pPr>
              <w:pStyle w:val="34"/>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0.006</w:t>
            </w:r>
          </w:p>
        </w:tc>
        <w:tc>
          <w:tcPr>
            <w:tcW w:w="1850" w:type="dxa"/>
            <w:tcBorders>
              <w:tl2br w:val="nil"/>
              <w:tr2bl w:val="nil"/>
            </w:tcBorders>
            <w:noWrap w:val="0"/>
            <w:vAlign w:val="center"/>
          </w:tcPr>
          <w:p w14:paraId="1FF6BDD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auto"/>
                <w:sz w:val="21"/>
                <w:szCs w:val="21"/>
                <w:lang w:val="en-US" w:eastAsia="zh-CN"/>
              </w:rPr>
              <w:t>1.87</w:t>
            </w:r>
          </w:p>
        </w:tc>
      </w:tr>
      <w:tr w14:paraId="6665BE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328" w:type="pct"/>
            <w:vMerge w:val="continue"/>
            <w:tcBorders>
              <w:tl2br w:val="nil"/>
              <w:tr2bl w:val="nil"/>
            </w:tcBorders>
            <w:noWrap w:val="0"/>
            <w:vAlign w:val="center"/>
          </w:tcPr>
          <w:p w14:paraId="6ADC7AB1">
            <w:pPr>
              <w:pStyle w:val="34"/>
              <w:bidi w:val="0"/>
              <w:rPr>
                <w:rFonts w:hint="default" w:ascii="Times New Roman" w:hAnsi="Times New Roman" w:eastAsia="宋体" w:cs="Times New Roman"/>
                <w:color w:val="auto"/>
                <w:highlight w:val="none"/>
              </w:rPr>
            </w:pPr>
          </w:p>
        </w:tc>
        <w:tc>
          <w:tcPr>
            <w:tcW w:w="930" w:type="pct"/>
            <w:vMerge w:val="continue"/>
            <w:tcBorders>
              <w:tl2br w:val="nil"/>
              <w:tr2bl w:val="nil"/>
            </w:tcBorders>
            <w:noWrap w:val="0"/>
            <w:vAlign w:val="center"/>
          </w:tcPr>
          <w:p w14:paraId="2BD94171">
            <w:pPr>
              <w:pStyle w:val="34"/>
              <w:bidi w:val="0"/>
              <w:rPr>
                <w:rFonts w:hint="default" w:ascii="Times New Roman" w:hAnsi="Times New Roman" w:eastAsia="宋体" w:cs="Times New Roman"/>
                <w:color w:val="auto"/>
                <w:highlight w:val="none"/>
              </w:rPr>
            </w:pPr>
          </w:p>
        </w:tc>
        <w:tc>
          <w:tcPr>
            <w:tcW w:w="1314" w:type="dxa"/>
            <w:tcBorders>
              <w:tl2br w:val="nil"/>
              <w:tr2bl w:val="nil"/>
            </w:tcBorders>
            <w:shd w:val="clear" w:color="auto" w:fill="auto"/>
            <w:noWrap w:val="0"/>
            <w:vAlign w:val="center"/>
          </w:tcPr>
          <w:p w14:paraId="3E72A03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napToGrid w:val="0"/>
                <w:color w:val="FF0000"/>
                <w:kern w:val="2"/>
                <w:sz w:val="21"/>
                <w:szCs w:val="21"/>
                <w:highlight w:val="none"/>
                <w:lang w:val="en-US" w:eastAsia="zh-CN" w:bidi="ar-SA"/>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w:t>
            </w:r>
          </w:p>
        </w:tc>
        <w:tc>
          <w:tcPr>
            <w:tcW w:w="1607" w:type="dxa"/>
            <w:tcBorders>
              <w:tl2br w:val="nil"/>
              <w:tr2bl w:val="nil"/>
            </w:tcBorders>
            <w:noWrap w:val="0"/>
            <w:vAlign w:val="center"/>
          </w:tcPr>
          <w:p w14:paraId="53E168B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auto"/>
                <w:sz w:val="21"/>
                <w:szCs w:val="21"/>
                <w:lang w:val="en-US" w:eastAsia="zh-CN"/>
              </w:rPr>
              <w:t>31</w:t>
            </w:r>
          </w:p>
        </w:tc>
        <w:tc>
          <w:tcPr>
            <w:tcW w:w="941" w:type="pct"/>
            <w:tcBorders>
              <w:tl2br w:val="nil"/>
              <w:tr2bl w:val="nil"/>
            </w:tcBorders>
            <w:noWrap w:val="0"/>
            <w:vAlign w:val="center"/>
          </w:tcPr>
          <w:p w14:paraId="1C0BA795">
            <w:pPr>
              <w:pStyle w:val="34"/>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0.0009</w:t>
            </w:r>
          </w:p>
        </w:tc>
        <w:tc>
          <w:tcPr>
            <w:tcW w:w="1850" w:type="dxa"/>
            <w:tcBorders>
              <w:tl2br w:val="nil"/>
              <w:tr2bl w:val="nil"/>
            </w:tcBorders>
            <w:noWrap w:val="0"/>
            <w:vAlign w:val="center"/>
          </w:tcPr>
          <w:p w14:paraId="63F29E1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auto"/>
                <w:sz w:val="21"/>
                <w:szCs w:val="21"/>
                <w:lang w:val="en-US" w:eastAsia="zh-CN"/>
              </w:rPr>
              <w:t>0.26</w:t>
            </w:r>
          </w:p>
        </w:tc>
      </w:tr>
      <w:tr w14:paraId="609096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328" w:type="pct"/>
            <w:vMerge w:val="continue"/>
            <w:tcBorders>
              <w:tl2br w:val="nil"/>
              <w:tr2bl w:val="nil"/>
            </w:tcBorders>
            <w:noWrap w:val="0"/>
            <w:vAlign w:val="center"/>
          </w:tcPr>
          <w:p w14:paraId="43C53953">
            <w:pPr>
              <w:pStyle w:val="34"/>
              <w:bidi w:val="0"/>
              <w:rPr>
                <w:rFonts w:hint="default" w:ascii="Times New Roman" w:hAnsi="Times New Roman" w:eastAsia="宋体" w:cs="Times New Roman"/>
                <w:color w:val="auto"/>
                <w:highlight w:val="none"/>
              </w:rPr>
            </w:pPr>
          </w:p>
        </w:tc>
        <w:tc>
          <w:tcPr>
            <w:tcW w:w="930" w:type="pct"/>
            <w:vMerge w:val="continue"/>
            <w:tcBorders>
              <w:tl2br w:val="nil"/>
              <w:tr2bl w:val="nil"/>
            </w:tcBorders>
            <w:noWrap w:val="0"/>
            <w:vAlign w:val="center"/>
          </w:tcPr>
          <w:p w14:paraId="47F8C2D8">
            <w:pPr>
              <w:pStyle w:val="34"/>
              <w:bidi w:val="0"/>
              <w:rPr>
                <w:rFonts w:hint="default" w:ascii="Times New Roman" w:hAnsi="Times New Roman" w:eastAsia="宋体" w:cs="Times New Roman"/>
                <w:color w:val="auto"/>
                <w:highlight w:val="none"/>
              </w:rPr>
            </w:pPr>
          </w:p>
        </w:tc>
        <w:tc>
          <w:tcPr>
            <w:tcW w:w="1314" w:type="dxa"/>
            <w:tcBorders>
              <w:tl2br w:val="nil"/>
              <w:tr2bl w:val="nil"/>
            </w:tcBorders>
            <w:shd w:val="clear" w:color="auto" w:fill="auto"/>
            <w:noWrap w:val="0"/>
            <w:vAlign w:val="center"/>
          </w:tcPr>
          <w:p w14:paraId="2987875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napToGrid w:val="0"/>
                <w:color w:val="FF0000"/>
                <w:kern w:val="2"/>
                <w:sz w:val="21"/>
                <w:szCs w:val="21"/>
                <w:highlight w:val="none"/>
                <w:lang w:val="en-US" w:eastAsia="zh-CN" w:bidi="ar-SA"/>
              </w:rPr>
            </w:pPr>
            <w:r>
              <w:rPr>
                <w:rFonts w:hint="eastAsia" w:ascii="Times New Roman" w:hAnsi="Times New Roman" w:eastAsia="宋体" w:cs="Times New Roman"/>
                <w:color w:val="auto"/>
                <w:sz w:val="21"/>
                <w:szCs w:val="21"/>
                <w:lang w:val="en-US" w:eastAsia="zh-CN"/>
              </w:rPr>
              <w:t>动植物油</w:t>
            </w:r>
          </w:p>
        </w:tc>
        <w:tc>
          <w:tcPr>
            <w:tcW w:w="1607" w:type="dxa"/>
            <w:tcBorders>
              <w:tl2br w:val="nil"/>
              <w:tr2bl w:val="nil"/>
            </w:tcBorders>
            <w:noWrap w:val="0"/>
            <w:vAlign w:val="center"/>
          </w:tcPr>
          <w:p w14:paraId="5CFA122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FF0000"/>
                <w:highlight w:val="none"/>
                <w:lang w:val="en-US" w:eastAsia="zh-CN"/>
              </w:rPr>
            </w:pPr>
            <w:r>
              <w:rPr>
                <w:rFonts w:hint="eastAsia" w:ascii="Times New Roman" w:hAnsi="Times New Roman" w:eastAsia="宋体" w:cs="Times New Roman"/>
                <w:color w:val="auto"/>
                <w:sz w:val="21"/>
                <w:szCs w:val="21"/>
                <w:lang w:val="en-US" w:eastAsia="zh-CN"/>
              </w:rPr>
              <w:t>36</w:t>
            </w:r>
          </w:p>
        </w:tc>
        <w:tc>
          <w:tcPr>
            <w:tcW w:w="941" w:type="pct"/>
            <w:tcBorders>
              <w:tl2br w:val="nil"/>
              <w:tr2bl w:val="nil"/>
            </w:tcBorders>
            <w:noWrap w:val="0"/>
            <w:vAlign w:val="center"/>
          </w:tcPr>
          <w:p w14:paraId="540EB37F">
            <w:pPr>
              <w:pStyle w:val="34"/>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0.001</w:t>
            </w:r>
          </w:p>
        </w:tc>
        <w:tc>
          <w:tcPr>
            <w:tcW w:w="1850" w:type="dxa"/>
            <w:tcBorders>
              <w:tl2br w:val="nil"/>
              <w:tr2bl w:val="nil"/>
            </w:tcBorders>
            <w:noWrap w:val="0"/>
            <w:vAlign w:val="center"/>
          </w:tcPr>
          <w:p w14:paraId="56EAE4F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FF0000"/>
                <w:highlight w:val="none"/>
                <w:lang w:val="en-US" w:eastAsia="zh-CN"/>
              </w:rPr>
            </w:pPr>
            <w:r>
              <w:rPr>
                <w:rFonts w:hint="eastAsia" w:ascii="Times New Roman" w:hAnsi="Times New Roman" w:eastAsia="宋体" w:cs="Times New Roman"/>
                <w:color w:val="auto"/>
                <w:sz w:val="21"/>
                <w:szCs w:val="21"/>
                <w:lang w:val="en-US" w:eastAsia="zh-CN"/>
              </w:rPr>
              <w:t>0.3</w:t>
            </w:r>
          </w:p>
        </w:tc>
      </w:tr>
      <w:tr w14:paraId="6ED629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58" w:type="pct"/>
            <w:gridSpan w:val="2"/>
            <w:vMerge w:val="restart"/>
            <w:tcBorders>
              <w:tl2br w:val="nil"/>
              <w:tr2bl w:val="nil"/>
            </w:tcBorders>
            <w:noWrap w:val="0"/>
            <w:vAlign w:val="center"/>
          </w:tcPr>
          <w:p w14:paraId="13EF6769">
            <w:pPr>
              <w:pStyle w:val="34"/>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全厂排放口合计</w:t>
            </w:r>
          </w:p>
        </w:tc>
        <w:tc>
          <w:tcPr>
            <w:tcW w:w="4525" w:type="dxa"/>
            <w:gridSpan w:val="3"/>
            <w:tcBorders>
              <w:tl2br w:val="nil"/>
              <w:tr2bl w:val="nil"/>
            </w:tcBorders>
            <w:noWrap w:val="0"/>
            <w:vAlign w:val="center"/>
          </w:tcPr>
          <w:p w14:paraId="7EBA8EF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highlight w:val="none"/>
              </w:rPr>
            </w:pPr>
            <w:r>
              <w:rPr>
                <w:rFonts w:hint="eastAsia" w:ascii="Times New Roman" w:hAnsi="Times New Roman" w:eastAsia="宋体" w:cs="Times New Roman"/>
                <w:color w:val="auto"/>
                <w:sz w:val="21"/>
                <w:szCs w:val="21"/>
                <w:lang w:eastAsia="zh-CN"/>
              </w:rPr>
              <w:t>COD</w:t>
            </w:r>
          </w:p>
        </w:tc>
        <w:tc>
          <w:tcPr>
            <w:tcW w:w="1850" w:type="dxa"/>
            <w:tcBorders>
              <w:tl2br w:val="nil"/>
              <w:tr2bl w:val="nil"/>
            </w:tcBorders>
            <w:noWrap w:val="0"/>
            <w:vAlign w:val="center"/>
          </w:tcPr>
          <w:p w14:paraId="5A4A220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FF0000"/>
                <w:highlight w:val="none"/>
                <w:lang w:eastAsia="zh-CN"/>
              </w:rPr>
            </w:pPr>
            <w:r>
              <w:rPr>
                <w:rFonts w:hint="eastAsia" w:ascii="Times New Roman" w:hAnsi="Times New Roman" w:eastAsia="宋体" w:cs="Times New Roman"/>
                <w:color w:val="auto"/>
                <w:sz w:val="21"/>
                <w:szCs w:val="21"/>
                <w:lang w:val="en-US" w:eastAsia="zh-CN"/>
              </w:rPr>
              <w:t>3.02</w:t>
            </w:r>
          </w:p>
        </w:tc>
      </w:tr>
      <w:tr w14:paraId="63ADA4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trPr>
        <w:tc>
          <w:tcPr>
            <w:tcW w:w="1258" w:type="pct"/>
            <w:gridSpan w:val="2"/>
            <w:vMerge w:val="continue"/>
            <w:tcBorders>
              <w:tl2br w:val="nil"/>
              <w:tr2bl w:val="nil"/>
            </w:tcBorders>
            <w:noWrap w:val="0"/>
            <w:vAlign w:val="center"/>
          </w:tcPr>
          <w:p w14:paraId="64A6F8C3">
            <w:pPr>
              <w:pStyle w:val="34"/>
              <w:bidi w:val="0"/>
              <w:rPr>
                <w:rFonts w:hint="default" w:ascii="Times New Roman" w:hAnsi="Times New Roman" w:eastAsia="宋体" w:cs="Times New Roman"/>
                <w:color w:val="FF0000"/>
                <w:highlight w:val="none"/>
              </w:rPr>
            </w:pPr>
          </w:p>
        </w:tc>
        <w:tc>
          <w:tcPr>
            <w:tcW w:w="4525" w:type="dxa"/>
            <w:gridSpan w:val="3"/>
            <w:tcBorders>
              <w:tl2br w:val="nil"/>
              <w:tr2bl w:val="nil"/>
            </w:tcBorders>
            <w:noWrap w:val="0"/>
            <w:vAlign w:val="center"/>
          </w:tcPr>
          <w:p w14:paraId="5FC5AA4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highlight w:val="none"/>
              </w:rPr>
            </w:pPr>
            <w:r>
              <w:rPr>
                <w:rFonts w:hint="default" w:ascii="Times New Roman" w:hAnsi="Times New Roman" w:eastAsia="宋体" w:cs="Times New Roman"/>
                <w:color w:val="auto"/>
                <w:sz w:val="21"/>
                <w:szCs w:val="21"/>
              </w:rPr>
              <w:t>BOD</w:t>
            </w:r>
            <w:r>
              <w:rPr>
                <w:rFonts w:hint="default" w:ascii="Times New Roman" w:hAnsi="Times New Roman" w:eastAsia="宋体" w:cs="Times New Roman"/>
                <w:color w:val="auto"/>
                <w:sz w:val="21"/>
                <w:szCs w:val="21"/>
                <w:vertAlign w:val="subscript"/>
              </w:rPr>
              <w:t>5</w:t>
            </w:r>
          </w:p>
        </w:tc>
        <w:tc>
          <w:tcPr>
            <w:tcW w:w="1850" w:type="dxa"/>
            <w:tcBorders>
              <w:tl2br w:val="nil"/>
              <w:tr2bl w:val="nil"/>
            </w:tcBorders>
            <w:noWrap w:val="0"/>
            <w:vAlign w:val="center"/>
          </w:tcPr>
          <w:p w14:paraId="792EE4A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auto"/>
                <w:sz w:val="21"/>
                <w:szCs w:val="21"/>
                <w:lang w:val="en-US" w:eastAsia="zh-CN"/>
              </w:rPr>
              <w:t>1.48</w:t>
            </w:r>
          </w:p>
        </w:tc>
      </w:tr>
      <w:tr w14:paraId="4AB060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trPr>
        <w:tc>
          <w:tcPr>
            <w:tcW w:w="1258" w:type="pct"/>
            <w:gridSpan w:val="2"/>
            <w:vMerge w:val="continue"/>
            <w:tcBorders>
              <w:tl2br w:val="nil"/>
              <w:tr2bl w:val="nil"/>
            </w:tcBorders>
            <w:noWrap w:val="0"/>
            <w:vAlign w:val="center"/>
          </w:tcPr>
          <w:p w14:paraId="19EF5F1A">
            <w:pPr>
              <w:pStyle w:val="34"/>
              <w:bidi w:val="0"/>
              <w:rPr>
                <w:rFonts w:hint="default" w:ascii="Times New Roman" w:hAnsi="Times New Roman" w:eastAsia="宋体" w:cs="Times New Roman"/>
                <w:color w:val="FF0000"/>
                <w:highlight w:val="none"/>
              </w:rPr>
            </w:pPr>
          </w:p>
        </w:tc>
        <w:tc>
          <w:tcPr>
            <w:tcW w:w="4525" w:type="dxa"/>
            <w:gridSpan w:val="3"/>
            <w:tcBorders>
              <w:tl2br w:val="nil"/>
              <w:tr2bl w:val="nil"/>
            </w:tcBorders>
            <w:noWrap w:val="0"/>
            <w:vAlign w:val="center"/>
          </w:tcPr>
          <w:p w14:paraId="7B3288E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highlight w:val="none"/>
              </w:rPr>
            </w:pPr>
            <w:r>
              <w:rPr>
                <w:rFonts w:hint="default" w:ascii="Times New Roman" w:hAnsi="Times New Roman" w:eastAsia="宋体" w:cs="Times New Roman"/>
                <w:color w:val="auto"/>
                <w:sz w:val="21"/>
                <w:szCs w:val="21"/>
              </w:rPr>
              <w:t>SS</w:t>
            </w:r>
          </w:p>
        </w:tc>
        <w:tc>
          <w:tcPr>
            <w:tcW w:w="1850" w:type="dxa"/>
            <w:tcBorders>
              <w:tl2br w:val="nil"/>
              <w:tr2bl w:val="nil"/>
            </w:tcBorders>
            <w:noWrap w:val="0"/>
            <w:vAlign w:val="center"/>
          </w:tcPr>
          <w:p w14:paraId="06857B7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auto"/>
                <w:sz w:val="21"/>
                <w:szCs w:val="21"/>
                <w:lang w:val="en-US" w:eastAsia="zh-CN"/>
              </w:rPr>
              <w:t>1.87</w:t>
            </w:r>
          </w:p>
        </w:tc>
      </w:tr>
      <w:tr w14:paraId="00F25A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 w:hRule="atLeast"/>
        </w:trPr>
        <w:tc>
          <w:tcPr>
            <w:tcW w:w="1258" w:type="pct"/>
            <w:gridSpan w:val="2"/>
            <w:vMerge w:val="continue"/>
            <w:tcBorders>
              <w:tl2br w:val="nil"/>
              <w:tr2bl w:val="nil"/>
            </w:tcBorders>
            <w:noWrap w:val="0"/>
            <w:vAlign w:val="center"/>
          </w:tcPr>
          <w:p w14:paraId="27324CEE">
            <w:pPr>
              <w:pStyle w:val="34"/>
              <w:bidi w:val="0"/>
              <w:rPr>
                <w:rFonts w:hint="default" w:ascii="Times New Roman" w:hAnsi="Times New Roman" w:eastAsia="宋体" w:cs="Times New Roman"/>
                <w:color w:val="FF0000"/>
                <w:highlight w:val="none"/>
              </w:rPr>
            </w:pPr>
          </w:p>
        </w:tc>
        <w:tc>
          <w:tcPr>
            <w:tcW w:w="4525" w:type="dxa"/>
            <w:gridSpan w:val="3"/>
            <w:tcBorders>
              <w:tl2br w:val="nil"/>
              <w:tr2bl w:val="nil"/>
            </w:tcBorders>
            <w:noWrap w:val="0"/>
            <w:vAlign w:val="center"/>
          </w:tcPr>
          <w:p w14:paraId="4382142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highlight w:val="none"/>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w:t>
            </w:r>
          </w:p>
        </w:tc>
        <w:tc>
          <w:tcPr>
            <w:tcW w:w="1850" w:type="dxa"/>
            <w:tcBorders>
              <w:tl2br w:val="nil"/>
              <w:tr2bl w:val="nil"/>
            </w:tcBorders>
            <w:noWrap w:val="0"/>
            <w:vAlign w:val="center"/>
          </w:tcPr>
          <w:p w14:paraId="5429069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auto"/>
                <w:sz w:val="21"/>
                <w:szCs w:val="21"/>
                <w:lang w:val="en-US" w:eastAsia="zh-CN"/>
              </w:rPr>
              <w:t>0.26</w:t>
            </w:r>
          </w:p>
        </w:tc>
      </w:tr>
      <w:tr w14:paraId="51C67E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258" w:type="pct"/>
            <w:gridSpan w:val="2"/>
            <w:vMerge w:val="continue"/>
            <w:tcBorders>
              <w:tl2br w:val="nil"/>
              <w:tr2bl w:val="nil"/>
            </w:tcBorders>
            <w:noWrap w:val="0"/>
            <w:vAlign w:val="center"/>
          </w:tcPr>
          <w:p w14:paraId="71AC9CE7">
            <w:pPr>
              <w:pStyle w:val="34"/>
              <w:bidi w:val="0"/>
              <w:rPr>
                <w:rFonts w:hint="default" w:ascii="Times New Roman" w:hAnsi="Times New Roman" w:eastAsia="宋体" w:cs="Times New Roman"/>
                <w:color w:val="FF0000"/>
                <w:highlight w:val="none"/>
              </w:rPr>
            </w:pPr>
          </w:p>
        </w:tc>
        <w:tc>
          <w:tcPr>
            <w:tcW w:w="4525" w:type="dxa"/>
            <w:gridSpan w:val="3"/>
            <w:tcBorders>
              <w:tl2br w:val="nil"/>
              <w:tr2bl w:val="nil"/>
            </w:tcBorders>
            <w:noWrap w:val="0"/>
            <w:vAlign w:val="center"/>
          </w:tcPr>
          <w:p w14:paraId="4751A2B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auto"/>
                <w:sz w:val="21"/>
                <w:szCs w:val="21"/>
                <w:lang w:val="en-US" w:eastAsia="zh-CN"/>
              </w:rPr>
              <w:t>动植物油</w:t>
            </w:r>
          </w:p>
        </w:tc>
        <w:tc>
          <w:tcPr>
            <w:tcW w:w="1850" w:type="dxa"/>
            <w:tcBorders>
              <w:tl2br w:val="nil"/>
              <w:tr2bl w:val="nil"/>
            </w:tcBorders>
            <w:noWrap w:val="0"/>
            <w:vAlign w:val="center"/>
          </w:tcPr>
          <w:p w14:paraId="19030CB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FF0000"/>
                <w:highlight w:val="none"/>
                <w:lang w:val="en-US" w:eastAsia="zh-CN"/>
              </w:rPr>
            </w:pPr>
            <w:r>
              <w:rPr>
                <w:rFonts w:hint="eastAsia" w:ascii="Times New Roman" w:hAnsi="Times New Roman" w:eastAsia="宋体" w:cs="Times New Roman"/>
                <w:color w:val="auto"/>
                <w:sz w:val="21"/>
                <w:szCs w:val="21"/>
                <w:lang w:val="en-US" w:eastAsia="zh-CN"/>
              </w:rPr>
              <w:t>0.3</w:t>
            </w:r>
          </w:p>
        </w:tc>
      </w:tr>
    </w:tbl>
    <w:p w14:paraId="56AE5C37">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2</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3声环境影响预测与评价</w:t>
      </w:r>
    </w:p>
    <w:p w14:paraId="77943A68">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5.2.</w:t>
      </w:r>
      <w:r>
        <w:rPr>
          <w:rFonts w:hint="eastAsia" w:ascii="Times New Roman" w:hAnsi="Times New Roman" w:eastAsia="宋体" w:cs="Times New Roman"/>
          <w:b/>
          <w:bCs/>
          <w:color w:val="auto"/>
          <w:sz w:val="28"/>
          <w:szCs w:val="28"/>
          <w:lang w:val="en-US" w:eastAsia="zh-CN"/>
        </w:rPr>
        <w:t>3</w:t>
      </w:r>
      <w:r>
        <w:rPr>
          <w:rFonts w:hint="default" w:ascii="Times New Roman" w:hAnsi="Times New Roman" w:eastAsia="宋体" w:cs="Times New Roman"/>
          <w:b/>
          <w:bCs/>
          <w:color w:val="auto"/>
          <w:sz w:val="28"/>
          <w:szCs w:val="28"/>
          <w:lang w:val="en-US" w:eastAsia="zh-CN"/>
        </w:rPr>
        <w:t>.1预测模式</w:t>
      </w:r>
    </w:p>
    <w:p w14:paraId="454158AD">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根据《环境影响评价技术导则 声环境》（HJ2.4-2021）中附录A推荐的计算模式：</w:t>
      </w:r>
    </w:p>
    <w:p w14:paraId="70053C7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lang w:eastAsia="zh-CN"/>
        </w:rPr>
      </w:pPr>
      <w:r>
        <w:rPr>
          <w:rFonts w:hint="default" w:ascii="Times New Roman" w:hAnsi="Times New Roman" w:cs="Times New Roman"/>
          <w:bCs/>
          <w:color w:val="auto"/>
          <w:sz w:val="24"/>
          <w:szCs w:val="24"/>
        </w:rPr>
        <w:t>声环境影响预测，一般采用声源的倍频带声功率级、A声功率级或靠近声源某一位置的倍频带声压级、A声级来预测计算距声源不同距离的声级。工业声源有室外和室内两种声源，应分别计算。</w:t>
      </w:r>
    </w:p>
    <w:p w14:paraId="7D0478D8">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
          <w:bCs/>
          <w:color w:val="auto"/>
          <w:sz w:val="24"/>
          <w:szCs w:val="24"/>
        </w:rPr>
        <w:t>室外声源</w:t>
      </w:r>
    </w:p>
    <w:p w14:paraId="2F9CE73D">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其中室外声源在预测点产生的声级计算模型采用无指向性点声源几何发散衰减，其基本公式如下：</w:t>
      </w:r>
    </w:p>
    <w:p w14:paraId="315FD0E0">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center"/>
        <w:textAlignment w:val="baseline"/>
        <w:rPr>
          <w:rFonts w:hint="default" w:ascii="Times New Roman" w:hAnsi="Times New Roman" w:cs="Times New Roman"/>
          <w:bCs/>
          <w:color w:val="auto"/>
          <w:sz w:val="24"/>
          <w:szCs w:val="24"/>
        </w:rPr>
      </w:pPr>
      <w:r>
        <w:rPr>
          <w:rFonts w:hint="default" w:ascii="Times New Roman" w:hAnsi="Times New Roman" w:cs="Times New Roman"/>
          <w:color w:val="auto"/>
          <w:sz w:val="24"/>
          <w:szCs w:val="24"/>
        </w:rPr>
        <w:drawing>
          <wp:inline distT="0" distB="0" distL="0" distR="0">
            <wp:extent cx="1704340" cy="285115"/>
            <wp:effectExtent l="0" t="0" r="10160" b="635"/>
            <wp:docPr id="1399" name="图片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图片 1399"/>
                    <pic:cNvPicPr>
                      <a:picLocks noChangeAspect="1"/>
                    </pic:cNvPicPr>
                  </pic:nvPicPr>
                  <pic:blipFill>
                    <a:blip r:embed="rId99"/>
                    <a:stretch>
                      <a:fillRect/>
                    </a:stretch>
                  </pic:blipFill>
                  <pic:spPr>
                    <a:xfrm>
                      <a:off x="0" y="0"/>
                      <a:ext cx="1704762" cy="285714"/>
                    </a:xfrm>
                    <a:prstGeom prst="rect">
                      <a:avLst/>
                    </a:prstGeom>
                  </pic:spPr>
                </pic:pic>
              </a:graphicData>
            </a:graphic>
          </wp:inline>
        </w:drawing>
      </w:r>
    </w:p>
    <w:p w14:paraId="43DCE051">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式中：L</w:t>
      </w:r>
      <w:r>
        <w:rPr>
          <w:rFonts w:hint="default" w:ascii="Times New Roman" w:hAnsi="Times New Roman" w:cs="Times New Roman"/>
          <w:bCs/>
          <w:color w:val="auto"/>
          <w:sz w:val="24"/>
          <w:szCs w:val="24"/>
          <w:vertAlign w:val="subscript"/>
        </w:rPr>
        <w:t>p</w:t>
      </w:r>
      <w:r>
        <w:rPr>
          <w:rFonts w:hint="default" w:ascii="Times New Roman" w:hAnsi="Times New Roman" w:cs="Times New Roman"/>
          <w:bCs/>
          <w:color w:val="auto"/>
          <w:sz w:val="24"/>
          <w:szCs w:val="24"/>
        </w:rPr>
        <w:t>(r)——预测点处声压级，dB；</w:t>
      </w:r>
    </w:p>
    <w:p w14:paraId="0B964D15">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Lp(r</w:t>
      </w:r>
      <w:r>
        <w:rPr>
          <w:rFonts w:hint="default" w:ascii="Times New Roman" w:hAnsi="Times New Roman" w:cs="Times New Roman"/>
          <w:bCs/>
          <w:color w:val="auto"/>
          <w:sz w:val="24"/>
          <w:szCs w:val="24"/>
          <w:vertAlign w:val="subscript"/>
        </w:rPr>
        <w:t>0</w:t>
      </w:r>
      <w:r>
        <w:rPr>
          <w:rFonts w:hint="default" w:ascii="Times New Roman" w:hAnsi="Times New Roman" w:cs="Times New Roman"/>
          <w:bCs/>
          <w:color w:val="auto"/>
          <w:sz w:val="24"/>
          <w:szCs w:val="24"/>
        </w:rPr>
        <w:t>)——参考位置r</w:t>
      </w:r>
      <w:r>
        <w:rPr>
          <w:rFonts w:hint="default" w:ascii="Times New Roman" w:hAnsi="Times New Roman" w:cs="Times New Roman"/>
          <w:bCs/>
          <w:color w:val="auto"/>
          <w:sz w:val="24"/>
          <w:szCs w:val="24"/>
          <w:vertAlign w:val="subscript"/>
        </w:rPr>
        <w:t>0</w:t>
      </w:r>
      <w:r>
        <w:rPr>
          <w:rFonts w:hint="default" w:ascii="Times New Roman" w:hAnsi="Times New Roman" w:cs="Times New Roman"/>
          <w:bCs/>
          <w:color w:val="auto"/>
          <w:sz w:val="24"/>
          <w:szCs w:val="24"/>
        </w:rPr>
        <w:t>处的声压级，dB；</w:t>
      </w:r>
    </w:p>
    <w:p w14:paraId="2017E750">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r——预测点距声源的距离；</w:t>
      </w:r>
    </w:p>
    <w:p w14:paraId="5011A2E1">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r</w:t>
      </w:r>
      <w:r>
        <w:rPr>
          <w:rFonts w:hint="default" w:ascii="Times New Roman" w:hAnsi="Times New Roman" w:cs="Times New Roman"/>
          <w:bCs/>
          <w:color w:val="auto"/>
          <w:sz w:val="24"/>
          <w:szCs w:val="24"/>
          <w:vertAlign w:val="subscript"/>
        </w:rPr>
        <w:t>0</w:t>
      </w:r>
      <w:r>
        <w:rPr>
          <w:rFonts w:hint="default" w:ascii="Times New Roman" w:hAnsi="Times New Roman" w:cs="Times New Roman"/>
          <w:bCs/>
          <w:color w:val="auto"/>
          <w:sz w:val="24"/>
          <w:szCs w:val="24"/>
        </w:rPr>
        <w:t>——参考位置距声源的距离。</w:t>
      </w:r>
    </w:p>
    <w:p w14:paraId="4FA28221">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
          <w:bCs/>
          <w:color w:val="auto"/>
          <w:sz w:val="24"/>
          <w:szCs w:val="24"/>
        </w:rPr>
        <w:t>室内声源</w:t>
      </w:r>
    </w:p>
    <w:p w14:paraId="28671783">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如图所示，声源位于室内，室内声源可采用等效室外声源声功率级法进行计算。设靠近开口处（或窗户）室内、室外某倍频带的声压级或A声级分别为Lp</w:t>
      </w:r>
      <w:r>
        <w:rPr>
          <w:rFonts w:hint="default" w:ascii="Times New Roman" w:hAnsi="Times New Roman" w:cs="Times New Roman"/>
          <w:bCs/>
          <w:color w:val="auto"/>
          <w:sz w:val="24"/>
          <w:szCs w:val="24"/>
          <w:vertAlign w:val="subscript"/>
        </w:rPr>
        <w:t>1</w:t>
      </w:r>
      <w:r>
        <w:rPr>
          <w:rFonts w:hint="default" w:ascii="Times New Roman" w:hAnsi="Times New Roman" w:cs="Times New Roman"/>
          <w:bCs/>
          <w:color w:val="auto"/>
          <w:sz w:val="24"/>
          <w:szCs w:val="24"/>
        </w:rPr>
        <w:t>和Lp</w:t>
      </w:r>
      <w:r>
        <w:rPr>
          <w:rFonts w:hint="default" w:ascii="Times New Roman" w:hAnsi="Times New Roman" w:cs="Times New Roman"/>
          <w:bCs/>
          <w:color w:val="auto"/>
          <w:sz w:val="24"/>
          <w:szCs w:val="24"/>
          <w:vertAlign w:val="subscript"/>
        </w:rPr>
        <w:t>2</w:t>
      </w:r>
      <w:r>
        <w:rPr>
          <w:rFonts w:hint="default" w:ascii="Times New Roman" w:hAnsi="Times New Roman" w:cs="Times New Roman"/>
          <w:bCs/>
          <w:color w:val="auto"/>
          <w:sz w:val="24"/>
          <w:szCs w:val="24"/>
        </w:rPr>
        <w:t>。若声源所在室内声场为近似扩散声场，则室外的倍频带声压级可按式（B.1）近似求出：</w:t>
      </w:r>
    </w:p>
    <w:p w14:paraId="778DEDFA">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center"/>
        <w:textAlignment w:val="baseline"/>
        <w:rPr>
          <w:rFonts w:hint="default" w:ascii="Times New Roman" w:hAnsi="Times New Roman" w:cs="Times New Roman"/>
          <w:bCs/>
          <w:color w:val="auto"/>
          <w:sz w:val="24"/>
          <w:szCs w:val="24"/>
        </w:rPr>
      </w:pPr>
      <w:r>
        <w:rPr>
          <w:rFonts w:hint="default" w:ascii="Times New Roman" w:hAnsi="Times New Roman" w:cs="Times New Roman"/>
          <w:color w:val="auto"/>
          <w:sz w:val="24"/>
          <w:szCs w:val="24"/>
        </w:rPr>
        <w:drawing>
          <wp:inline distT="0" distB="0" distL="114300" distR="114300">
            <wp:extent cx="3124200" cy="262890"/>
            <wp:effectExtent l="0" t="0" r="0" b="381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3124200" cy="262890"/>
                    </a:xfrm>
                    <a:prstGeom prst="rect">
                      <a:avLst/>
                    </a:prstGeom>
                  </pic:spPr>
                </pic:pic>
              </a:graphicData>
            </a:graphic>
          </wp:inline>
        </w:drawing>
      </w:r>
    </w:p>
    <w:p w14:paraId="5EC3B24B">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bCs/>
          <w:color w:val="auto"/>
          <w:sz w:val="24"/>
          <w:szCs w:val="24"/>
        </w:rPr>
        <w:t>式中：</w:t>
      </w:r>
      <w:r>
        <w:rPr>
          <w:rFonts w:hint="default" w:ascii="Times New Roman" w:hAnsi="Times New Roman" w:cs="Times New Roman"/>
          <w:color w:val="auto"/>
          <w:sz w:val="24"/>
          <w:szCs w:val="24"/>
        </w:rPr>
        <w:t>L</w:t>
      </w:r>
      <w:r>
        <w:rPr>
          <w:rFonts w:hint="default" w:ascii="Times New Roman" w:hAnsi="Times New Roman" w:cs="Times New Roman"/>
          <w:color w:val="auto"/>
          <w:sz w:val="24"/>
          <w:szCs w:val="24"/>
          <w:vertAlign w:val="subscript"/>
        </w:rPr>
        <w:t>p1</w:t>
      </w:r>
      <w:r>
        <w:rPr>
          <w:rFonts w:hint="default" w:ascii="Times New Roman" w:hAnsi="Times New Roman" w:cs="Times New Roman"/>
          <w:color w:val="auto"/>
          <w:sz w:val="24"/>
          <w:szCs w:val="24"/>
        </w:rPr>
        <w:t>——靠近开口处（或窗户）室内某倍频带的声压级或A声级，dB；</w:t>
      </w:r>
    </w:p>
    <w:p w14:paraId="7BC5D8EC">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L</w:t>
      </w:r>
      <w:r>
        <w:rPr>
          <w:rFonts w:hint="default" w:ascii="Times New Roman" w:hAnsi="Times New Roman" w:cs="Times New Roman"/>
          <w:color w:val="auto"/>
          <w:sz w:val="24"/>
          <w:szCs w:val="24"/>
          <w:vertAlign w:val="subscript"/>
        </w:rPr>
        <w:t>p2</w:t>
      </w:r>
      <w:r>
        <w:rPr>
          <w:rFonts w:hint="default" w:ascii="Times New Roman" w:hAnsi="Times New Roman" w:cs="Times New Roman"/>
          <w:color w:val="auto"/>
          <w:sz w:val="24"/>
          <w:szCs w:val="24"/>
        </w:rPr>
        <w:t>——靠近开口处（或窗户）室外某倍频带的声压级或A声级，dB；</w:t>
      </w:r>
    </w:p>
    <w:p w14:paraId="441B4286">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color w:val="auto"/>
          <w:sz w:val="24"/>
          <w:szCs w:val="24"/>
        </w:rPr>
        <w:t>TL——隔墙（或窗户）倍频带或A声级的隔声量，dB。</w:t>
      </w:r>
    </w:p>
    <w:p w14:paraId="05A37DBA">
      <w:pPr>
        <w:pStyle w:val="40"/>
        <w:jc w:val="center"/>
        <w:rPr>
          <w:rFonts w:hint="default" w:ascii="Times New Roman" w:hAnsi="Times New Roman" w:cs="Times New Roman"/>
          <w:bCs/>
          <w:color w:val="auto"/>
        </w:rPr>
      </w:pPr>
      <w:r>
        <w:rPr>
          <w:rFonts w:hint="default" w:ascii="Times New Roman" w:hAnsi="Times New Roman" w:cs="Times New Roman"/>
          <w:color w:val="auto"/>
        </w:rPr>
        <w:drawing>
          <wp:inline distT="0" distB="0" distL="114300" distR="114300">
            <wp:extent cx="3028315" cy="1381125"/>
            <wp:effectExtent l="0" t="0" r="635" b="9525"/>
            <wp:docPr id="1400" name="图片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图片 1400"/>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3028571" cy="1380952"/>
                    </a:xfrm>
                    <a:prstGeom prst="rect">
                      <a:avLst/>
                    </a:prstGeom>
                  </pic:spPr>
                </pic:pic>
              </a:graphicData>
            </a:graphic>
          </wp:inline>
        </w:drawing>
      </w:r>
    </w:p>
    <w:p w14:paraId="6C1B06E9">
      <w:pPr>
        <w:pStyle w:val="40"/>
        <w:rPr>
          <w:rFonts w:hint="default" w:ascii="Times New Roman" w:hAnsi="Times New Roman" w:cs="Times New Roman"/>
          <w:color w:val="auto"/>
        </w:rPr>
      </w:pPr>
      <w:r>
        <w:rPr>
          <w:rFonts w:hint="default" w:ascii="Times New Roman" w:hAnsi="Times New Roman" w:cs="Times New Roman"/>
          <w:color w:val="auto"/>
        </w:rPr>
        <w:t>也可按（B.2）式计算某一室内声源靠近围护结构处产生的倍频带声压级或A声级：</w:t>
      </w:r>
    </w:p>
    <w:p w14:paraId="63E4F747">
      <w:pPr>
        <w:pStyle w:val="40"/>
        <w:jc w:val="center"/>
        <w:rPr>
          <w:rFonts w:hint="default" w:ascii="Times New Roman" w:hAnsi="Times New Roman" w:cs="Times New Roman"/>
          <w:bCs/>
          <w:color w:val="auto"/>
        </w:rPr>
      </w:pPr>
      <w:r>
        <w:rPr>
          <w:rFonts w:hint="default" w:ascii="Times New Roman" w:hAnsi="Times New Roman" w:cs="Times New Roman"/>
          <w:color w:val="auto"/>
        </w:rPr>
        <w:drawing>
          <wp:inline distT="0" distB="0" distL="114300" distR="114300">
            <wp:extent cx="3366135" cy="367030"/>
            <wp:effectExtent l="0" t="0" r="5715" b="1397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3366026" cy="367077"/>
                    </a:xfrm>
                    <a:prstGeom prst="rect">
                      <a:avLst/>
                    </a:prstGeom>
                  </pic:spPr>
                </pic:pic>
              </a:graphicData>
            </a:graphic>
          </wp:inline>
        </w:drawing>
      </w:r>
    </w:p>
    <w:p w14:paraId="497DDDDF">
      <w:pPr>
        <w:pStyle w:val="40"/>
        <w:rPr>
          <w:rFonts w:hint="default" w:ascii="Times New Roman" w:hAnsi="Times New Roman" w:cs="Times New Roman"/>
          <w:color w:val="auto"/>
        </w:rPr>
      </w:pPr>
      <w:r>
        <w:rPr>
          <w:rFonts w:hint="default" w:ascii="Times New Roman" w:hAnsi="Times New Roman" w:cs="Times New Roman"/>
          <w:color w:val="auto"/>
        </w:rPr>
        <w:t>式中：L</w:t>
      </w:r>
      <w:r>
        <w:rPr>
          <w:rFonts w:hint="default" w:ascii="Times New Roman" w:hAnsi="Times New Roman" w:cs="Times New Roman"/>
          <w:color w:val="auto"/>
          <w:vertAlign w:val="subscript"/>
        </w:rPr>
        <w:t>p1</w:t>
      </w:r>
      <w:r>
        <w:rPr>
          <w:rFonts w:hint="default" w:ascii="Times New Roman" w:hAnsi="Times New Roman" w:cs="Times New Roman"/>
          <w:color w:val="auto"/>
        </w:rPr>
        <w:t>——靠近开口处（或窗户）室内某倍频带的声压级或A声级，dB；</w:t>
      </w:r>
    </w:p>
    <w:p w14:paraId="7D794E00">
      <w:pPr>
        <w:pStyle w:val="40"/>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 xml:space="preserve">w </w:t>
      </w:r>
      <w:r>
        <w:rPr>
          <w:rFonts w:hint="default" w:ascii="Times New Roman" w:hAnsi="Times New Roman" w:cs="Times New Roman"/>
          <w:color w:val="auto"/>
        </w:rPr>
        <w:t>——点声源声功率级（A计权或倍频带），dB；</w:t>
      </w:r>
    </w:p>
    <w:p w14:paraId="090CDEAC">
      <w:pPr>
        <w:pStyle w:val="40"/>
        <w:rPr>
          <w:rFonts w:hint="default" w:ascii="Times New Roman" w:hAnsi="Times New Roman" w:cs="Times New Roman"/>
          <w:color w:val="auto"/>
        </w:rPr>
      </w:pPr>
      <w:r>
        <w:rPr>
          <w:rFonts w:hint="default" w:ascii="Times New Roman" w:hAnsi="Times New Roman" w:cs="Times New Roman"/>
          <w:color w:val="auto"/>
        </w:rPr>
        <w:t>Q——指向性因数；通常对无指向性声源，当声源放在房间中心时，Q=1；当放在一面墙的中心时，Q=2；当放在两面墙夹角处时，Q=4；当放在三面墙夹角处时，Q=8；</w:t>
      </w:r>
    </w:p>
    <w:p w14:paraId="7D3145F4">
      <w:pPr>
        <w:pStyle w:val="40"/>
        <w:rPr>
          <w:rFonts w:hint="default" w:ascii="Times New Roman" w:hAnsi="Times New Roman" w:cs="Times New Roman"/>
          <w:color w:val="auto"/>
        </w:rPr>
      </w:pPr>
      <w:r>
        <w:rPr>
          <w:rFonts w:hint="default" w:ascii="Times New Roman" w:hAnsi="Times New Roman" w:cs="Times New Roman"/>
          <w:color w:val="auto"/>
        </w:rPr>
        <w:t>R——房间常数；R</w:t>
      </w:r>
      <w:r>
        <w:rPr>
          <w:rFonts w:hint="default" w:ascii="Times New Roman" w:hAnsi="Times New Roman" w:cs="Times New Roman"/>
          <w:color w:val="auto"/>
        </w:rPr>
        <w:sym w:font="Symbol" w:char="F03D"/>
      </w:r>
      <w:r>
        <w:rPr>
          <w:rFonts w:hint="default" w:ascii="Times New Roman" w:hAnsi="Times New Roman" w:cs="Times New Roman"/>
          <w:color w:val="auto"/>
        </w:rPr>
        <w:t>S</w:t>
      </w:r>
      <w:r>
        <w:rPr>
          <w:rFonts w:hint="default" w:ascii="Times New Roman" w:hAnsi="Times New Roman" w:cs="Times New Roman"/>
          <w:color w:val="auto"/>
        </w:rPr>
        <w:sym w:font="Symbol" w:char="F061"/>
      </w:r>
      <w:r>
        <w:rPr>
          <w:rFonts w:hint="default" w:ascii="Times New Roman" w:hAnsi="Times New Roman" w:cs="Times New Roman"/>
          <w:color w:val="auto"/>
        </w:rPr>
        <w:t>/</w:t>
      </w:r>
      <w:r>
        <w:rPr>
          <w:rFonts w:hint="default" w:ascii="Times New Roman" w:hAnsi="Times New Roman" w:cs="Times New Roman"/>
          <w:color w:val="auto"/>
        </w:rPr>
        <w:sym w:font="Symbol" w:char="F028"/>
      </w:r>
      <w:r>
        <w:rPr>
          <w:rFonts w:hint="default" w:ascii="Times New Roman" w:hAnsi="Times New Roman" w:cs="Times New Roman"/>
          <w:color w:val="auto"/>
        </w:rPr>
        <w:t>1-</w:t>
      </w:r>
      <w:r>
        <w:rPr>
          <w:rFonts w:hint="default" w:ascii="Times New Roman" w:hAnsi="Times New Roman" w:cs="Times New Roman"/>
          <w:color w:val="auto"/>
        </w:rPr>
        <w:sym w:font="Symbol" w:char="F061"/>
      </w:r>
      <w:r>
        <w:rPr>
          <w:rFonts w:hint="default" w:ascii="Times New Roman" w:hAnsi="Times New Roman" w:cs="Times New Roman"/>
          <w:color w:val="auto"/>
        </w:rPr>
        <w:sym w:font="Symbol" w:char="F029"/>
      </w:r>
      <w:r>
        <w:rPr>
          <w:rFonts w:hint="default" w:ascii="Times New Roman" w:hAnsi="Times New Roman" w:cs="Times New Roman"/>
          <w:color w:val="auto"/>
        </w:rPr>
        <w:t>，S为房间内表面面积，</w:t>
      </w:r>
      <w:r>
        <w:rPr>
          <w:rFonts w:hint="eastAsia" w:ascii="Times New Roman" w:hAnsi="Times New Roman" w:cs="Times New Roman"/>
          <w:color w:val="auto"/>
          <w:lang w:eastAsia="zh-CN"/>
        </w:rPr>
        <w:t>m</w:t>
      </w:r>
      <w:r>
        <w:rPr>
          <w:rFonts w:hint="eastAsia" w:ascii="Times New Roman" w:hAnsi="Times New Roman" w:cs="Times New Roman"/>
          <w:color w:val="auto"/>
          <w:vertAlign w:val="superscript"/>
          <w:lang w:eastAsia="zh-CN"/>
        </w:rPr>
        <w:t>2</w:t>
      </w:r>
      <w:r>
        <w:rPr>
          <w:rFonts w:hint="default" w:ascii="Times New Roman" w:hAnsi="Times New Roman" w:cs="Times New Roman"/>
          <w:color w:val="auto"/>
        </w:rPr>
        <w:t>；</w:t>
      </w:r>
    </w:p>
    <w:p w14:paraId="4518E7C9">
      <w:pPr>
        <w:pStyle w:val="40"/>
        <w:rPr>
          <w:rFonts w:hint="default" w:ascii="Times New Roman" w:hAnsi="Times New Roman" w:cs="Times New Roman"/>
          <w:color w:val="auto"/>
        </w:rPr>
      </w:pPr>
      <w:r>
        <w:rPr>
          <w:rFonts w:hint="default" w:ascii="Times New Roman" w:hAnsi="Times New Roman" w:cs="Times New Roman"/>
          <w:color w:val="auto"/>
        </w:rPr>
        <w:t>α为平均吸声系数；</w:t>
      </w:r>
    </w:p>
    <w:p w14:paraId="61EF4884">
      <w:pPr>
        <w:pStyle w:val="40"/>
        <w:rPr>
          <w:rFonts w:hint="default" w:ascii="Times New Roman" w:hAnsi="Times New Roman" w:cs="Times New Roman"/>
          <w:color w:val="auto"/>
        </w:rPr>
      </w:pPr>
      <w:r>
        <w:rPr>
          <w:rFonts w:hint="default" w:ascii="Times New Roman" w:hAnsi="Times New Roman" w:cs="Times New Roman"/>
          <w:color w:val="auto"/>
        </w:rPr>
        <w:t>r——声源到靠近围护结构某点处的距离，m。</w:t>
      </w:r>
    </w:p>
    <w:p w14:paraId="33BDD51B">
      <w:pPr>
        <w:pStyle w:val="40"/>
        <w:rPr>
          <w:rFonts w:hint="default" w:ascii="Times New Roman" w:hAnsi="Times New Roman" w:cs="Times New Roman"/>
          <w:color w:val="auto"/>
        </w:rPr>
      </w:pPr>
      <w:r>
        <w:rPr>
          <w:rFonts w:hint="default" w:ascii="Times New Roman" w:hAnsi="Times New Roman" w:cs="Times New Roman"/>
          <w:color w:val="auto"/>
        </w:rPr>
        <w:t>然后按式（B.3）计算出所有室内声源在围护结构处产生的i倍频带叠加声压级：</w:t>
      </w:r>
    </w:p>
    <w:p w14:paraId="14A54EE5">
      <w:pPr>
        <w:pStyle w:val="4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3296920" cy="389890"/>
            <wp:effectExtent l="0" t="0" r="17780" b="10160"/>
            <wp:docPr id="1401" name="图片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图片 1401"/>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3297023" cy="389897"/>
                    </a:xfrm>
                    <a:prstGeom prst="rect">
                      <a:avLst/>
                    </a:prstGeom>
                  </pic:spPr>
                </pic:pic>
              </a:graphicData>
            </a:graphic>
          </wp:inline>
        </w:drawing>
      </w:r>
    </w:p>
    <w:p w14:paraId="7232BD55">
      <w:pPr>
        <w:pStyle w:val="40"/>
        <w:rPr>
          <w:rFonts w:hint="default" w:ascii="Times New Roman" w:hAnsi="Times New Roman" w:cs="Times New Roman"/>
          <w:color w:val="auto"/>
        </w:rPr>
      </w:pPr>
      <w:r>
        <w:rPr>
          <w:rFonts w:hint="default" w:ascii="Times New Roman" w:hAnsi="Times New Roman" w:cs="Times New Roman"/>
          <w:color w:val="auto"/>
        </w:rPr>
        <w:t>式中：L</w:t>
      </w:r>
      <w:r>
        <w:rPr>
          <w:rFonts w:hint="default" w:ascii="Times New Roman" w:hAnsi="Times New Roman" w:cs="Times New Roman"/>
          <w:color w:val="auto"/>
          <w:vertAlign w:val="subscript"/>
        </w:rPr>
        <w:t>pli</w:t>
      </w:r>
      <w:r>
        <w:rPr>
          <w:rFonts w:hint="default" w:ascii="Times New Roman" w:hAnsi="Times New Roman" w:cs="Times New Roman"/>
          <w:color w:val="auto"/>
        </w:rPr>
        <w:sym w:font="Symbol" w:char="F028"/>
      </w:r>
      <w:r>
        <w:rPr>
          <w:rFonts w:hint="default" w:ascii="Times New Roman" w:hAnsi="Times New Roman" w:cs="Times New Roman"/>
          <w:color w:val="auto"/>
        </w:rPr>
        <w:t>T</w:t>
      </w:r>
      <w:r>
        <w:rPr>
          <w:rFonts w:hint="default" w:ascii="Times New Roman" w:hAnsi="Times New Roman" w:cs="Times New Roman"/>
          <w:color w:val="auto"/>
        </w:rPr>
        <w:sym w:font="Symbol" w:char="F029"/>
      </w:r>
      <w:r>
        <w:rPr>
          <w:rFonts w:hint="default" w:ascii="Times New Roman" w:hAnsi="Times New Roman" w:cs="Times New Roman"/>
          <w:color w:val="auto"/>
        </w:rPr>
        <w:t>——靠近围护结构处室内N个声源i倍频带的叠加声压级，dB；</w:t>
      </w:r>
    </w:p>
    <w:p w14:paraId="24D051C1">
      <w:pPr>
        <w:pStyle w:val="40"/>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pli</w:t>
      </w:r>
      <w:r>
        <w:rPr>
          <w:rFonts w:hint="default" w:ascii="Times New Roman" w:hAnsi="Times New Roman" w:cs="Times New Roman"/>
          <w:color w:val="auto"/>
        </w:rPr>
        <w:t>j——室内j声源i倍频带的声压级，dB；N——室内声源总数。</w:t>
      </w:r>
    </w:p>
    <w:p w14:paraId="66DD132E">
      <w:pPr>
        <w:pStyle w:val="40"/>
        <w:rPr>
          <w:rFonts w:hint="default" w:ascii="Times New Roman" w:hAnsi="Times New Roman" w:cs="Times New Roman"/>
          <w:color w:val="auto"/>
        </w:rPr>
      </w:pPr>
      <w:r>
        <w:rPr>
          <w:rFonts w:hint="default" w:ascii="Times New Roman" w:hAnsi="Times New Roman" w:cs="Times New Roman"/>
          <w:color w:val="auto"/>
        </w:rPr>
        <w:t>在室内近似为扩散声场时，按式（B.4）计算出靠近室外围护结构处的声压级：</w:t>
      </w:r>
    </w:p>
    <w:p w14:paraId="4A35C325">
      <w:pPr>
        <w:pStyle w:val="4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0" distR="0">
            <wp:extent cx="3439795" cy="234315"/>
            <wp:effectExtent l="0" t="0" r="8255" b="13335"/>
            <wp:docPr id="1402" name="图片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图片 1402"/>
                    <pic:cNvPicPr>
                      <a:picLocks noChangeAspect="1"/>
                    </pic:cNvPicPr>
                  </pic:nvPicPr>
                  <pic:blipFill>
                    <a:blip r:embed="rId104"/>
                    <a:stretch>
                      <a:fillRect/>
                    </a:stretch>
                  </pic:blipFill>
                  <pic:spPr>
                    <a:xfrm>
                      <a:off x="0" y="0"/>
                      <a:ext cx="3540134" cy="241373"/>
                    </a:xfrm>
                    <a:prstGeom prst="rect">
                      <a:avLst/>
                    </a:prstGeom>
                  </pic:spPr>
                </pic:pic>
              </a:graphicData>
            </a:graphic>
          </wp:inline>
        </w:drawing>
      </w:r>
    </w:p>
    <w:p w14:paraId="0B8C50D0">
      <w:pPr>
        <w:pStyle w:val="40"/>
        <w:rPr>
          <w:rFonts w:hint="default" w:ascii="Times New Roman" w:hAnsi="Times New Roman" w:cs="Times New Roman"/>
          <w:color w:val="auto"/>
        </w:rPr>
      </w:pPr>
      <w:r>
        <w:rPr>
          <w:rFonts w:hint="default" w:ascii="Times New Roman" w:hAnsi="Times New Roman" w:cs="Times New Roman"/>
          <w:color w:val="auto"/>
        </w:rPr>
        <w:t>式中：L</w:t>
      </w:r>
      <w:r>
        <w:rPr>
          <w:rFonts w:hint="default" w:ascii="Times New Roman" w:hAnsi="Times New Roman" w:cs="Times New Roman"/>
          <w:color w:val="auto"/>
          <w:vertAlign w:val="subscript"/>
        </w:rPr>
        <w:t>p2i</w:t>
      </w:r>
      <w:r>
        <w:rPr>
          <w:rFonts w:hint="default" w:ascii="Times New Roman" w:hAnsi="Times New Roman" w:cs="Times New Roman"/>
          <w:color w:val="auto"/>
        </w:rPr>
        <w:t>(T)——靠近围护结构处室外N个声源i倍频带的叠加声压级，dB；L</w:t>
      </w:r>
      <w:r>
        <w:rPr>
          <w:rFonts w:hint="default" w:ascii="Times New Roman" w:hAnsi="Times New Roman" w:cs="Times New Roman"/>
          <w:color w:val="auto"/>
          <w:vertAlign w:val="subscript"/>
        </w:rPr>
        <w:t>p1i</w:t>
      </w:r>
      <w:r>
        <w:rPr>
          <w:rFonts w:hint="default" w:ascii="Times New Roman" w:hAnsi="Times New Roman" w:cs="Times New Roman"/>
          <w:color w:val="auto"/>
        </w:rPr>
        <w:t>(T)——靠近围护结构处室内N个声源i倍频带的叠加声压级，dB；TL</w:t>
      </w:r>
      <w:r>
        <w:rPr>
          <w:rFonts w:hint="default" w:ascii="Times New Roman" w:hAnsi="Times New Roman" w:cs="Times New Roman"/>
          <w:color w:val="auto"/>
          <w:vertAlign w:val="subscript"/>
        </w:rPr>
        <w:t xml:space="preserve">i </w:t>
      </w:r>
      <w:r>
        <w:rPr>
          <w:rFonts w:hint="default" w:ascii="Times New Roman" w:hAnsi="Times New Roman" w:cs="Times New Roman"/>
          <w:color w:val="auto"/>
        </w:rPr>
        <w:t>——围护结构i倍频带的隔声量，dB。</w:t>
      </w:r>
    </w:p>
    <w:p w14:paraId="21050465">
      <w:pPr>
        <w:pStyle w:val="40"/>
        <w:rPr>
          <w:rFonts w:hint="default" w:ascii="Times New Roman" w:hAnsi="Times New Roman" w:cs="Times New Roman"/>
          <w:color w:val="auto"/>
        </w:rPr>
      </w:pPr>
      <w:r>
        <w:rPr>
          <w:rFonts w:hint="default" w:ascii="Times New Roman" w:hAnsi="Times New Roman" w:cs="Times New Roman"/>
          <w:color w:val="auto"/>
        </w:rPr>
        <w:t>然后按式（B.5）将室外声源的声压级和透过面积换算成等效的室外声源，计算出中心位置位于透声面积（S）处的等效声源的倍频带声功率级。</w:t>
      </w:r>
    </w:p>
    <w:p w14:paraId="58865F72">
      <w:pPr>
        <w:pStyle w:val="4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0" distR="0">
            <wp:extent cx="3260725" cy="219075"/>
            <wp:effectExtent l="0" t="0" r="15875" b="9525"/>
            <wp:docPr id="1403" name="图片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图片 1403"/>
                    <pic:cNvPicPr>
                      <a:picLocks noChangeAspect="1"/>
                    </pic:cNvPicPr>
                  </pic:nvPicPr>
                  <pic:blipFill>
                    <a:blip r:embed="rId105"/>
                    <a:stretch>
                      <a:fillRect/>
                    </a:stretch>
                  </pic:blipFill>
                  <pic:spPr>
                    <a:xfrm>
                      <a:off x="0" y="0"/>
                      <a:ext cx="3497441" cy="234979"/>
                    </a:xfrm>
                    <a:prstGeom prst="rect">
                      <a:avLst/>
                    </a:prstGeom>
                  </pic:spPr>
                </pic:pic>
              </a:graphicData>
            </a:graphic>
          </wp:inline>
        </w:drawing>
      </w:r>
    </w:p>
    <w:p w14:paraId="36088091">
      <w:pPr>
        <w:pStyle w:val="40"/>
        <w:rPr>
          <w:rFonts w:hint="default" w:ascii="Times New Roman" w:hAnsi="Times New Roman" w:cs="Times New Roman"/>
          <w:color w:val="auto"/>
        </w:rPr>
      </w:pPr>
      <w:r>
        <w:rPr>
          <w:rFonts w:hint="default" w:ascii="Times New Roman" w:hAnsi="Times New Roman" w:cs="Times New Roman"/>
          <w:color w:val="auto"/>
        </w:rPr>
        <w:t>式中：L</w:t>
      </w:r>
      <w:r>
        <w:rPr>
          <w:rFonts w:hint="default" w:ascii="Times New Roman" w:hAnsi="Times New Roman" w:cs="Times New Roman"/>
          <w:color w:val="auto"/>
          <w:vertAlign w:val="subscript"/>
        </w:rPr>
        <w:t>w</w:t>
      </w:r>
      <w:r>
        <w:rPr>
          <w:rFonts w:hint="default" w:ascii="Times New Roman" w:hAnsi="Times New Roman" w:cs="Times New Roman"/>
          <w:color w:val="auto"/>
        </w:rPr>
        <w:t>——中心位置位于透声面积（S）处的等效声源的倍频带声功率级，dB；Lp</w:t>
      </w:r>
      <w:r>
        <w:rPr>
          <w:rFonts w:hint="default" w:ascii="Times New Roman" w:hAnsi="Times New Roman" w:cs="Times New Roman"/>
          <w:color w:val="auto"/>
          <w:vertAlign w:val="subscript"/>
        </w:rPr>
        <w:t>2</w:t>
      </w:r>
      <w:r>
        <w:rPr>
          <w:rFonts w:hint="default" w:ascii="Times New Roman" w:hAnsi="Times New Roman" w:cs="Times New Roman"/>
          <w:color w:val="auto"/>
        </w:rPr>
        <w:t>(T)——靠近围护结构处室外声源的声压级，dB；S——透声面积，</w:t>
      </w:r>
      <w:r>
        <w:rPr>
          <w:rFonts w:hint="eastAsia" w:ascii="Times New Roman" w:hAnsi="Times New Roman" w:cs="Times New Roman"/>
          <w:color w:val="auto"/>
          <w:lang w:eastAsia="zh-CN"/>
        </w:rPr>
        <w:t>m</w:t>
      </w:r>
      <w:r>
        <w:rPr>
          <w:rFonts w:hint="eastAsia" w:ascii="Times New Roman" w:hAnsi="Times New Roman" w:cs="Times New Roman"/>
          <w:color w:val="auto"/>
          <w:vertAlign w:val="superscript"/>
          <w:lang w:eastAsia="zh-CN"/>
        </w:rPr>
        <w:t>2</w:t>
      </w:r>
      <w:r>
        <w:rPr>
          <w:rFonts w:hint="default" w:ascii="Times New Roman" w:hAnsi="Times New Roman" w:cs="Times New Roman"/>
          <w:color w:val="auto"/>
        </w:rPr>
        <w:t>。然后按室外声源预测方法计算预测点处的A声级。</w:t>
      </w:r>
    </w:p>
    <w:p w14:paraId="7F390095">
      <w:pPr>
        <w:pStyle w:val="40"/>
        <w:keepNext w:val="0"/>
        <w:keepLines w:val="0"/>
        <w:pageBreakBefore w:val="0"/>
        <w:widowControl/>
        <w:kinsoku w:val="0"/>
        <w:wordWrap/>
        <w:overflowPunct/>
        <w:topLinePunct w:val="0"/>
        <w:autoSpaceDE w:val="0"/>
        <w:autoSpaceDN w:val="0"/>
        <w:bidi w:val="0"/>
        <w:adjustRightInd w:val="0"/>
        <w:snapToGrid w:val="0"/>
        <w:spacing w:line="360" w:lineRule="auto"/>
        <w:ind w:firstLine="482"/>
        <w:textAlignment w:val="baseline"/>
        <w:rPr>
          <w:rFonts w:hint="default" w:ascii="Times New Roman" w:hAnsi="Times New Roman" w:cs="Times New Roman"/>
          <w:bCs/>
          <w:color w:val="auto"/>
          <w:sz w:val="24"/>
          <w:szCs w:val="24"/>
        </w:rPr>
      </w:pPr>
      <w:r>
        <w:rPr>
          <w:rFonts w:hint="default" w:ascii="Times New Roman" w:hAnsi="Times New Roman" w:cs="Times New Roman"/>
          <w:b/>
          <w:bCs/>
          <w:color w:val="auto"/>
          <w:sz w:val="24"/>
          <w:szCs w:val="24"/>
        </w:rPr>
        <w:t>计算总声压级</w:t>
      </w:r>
    </w:p>
    <w:p w14:paraId="48D84007">
      <w:pPr>
        <w:pStyle w:val="40"/>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default" w:ascii="Times New Roman" w:hAnsi="Times New Roman" w:cs="Times New Roman"/>
          <w:bCs/>
          <w:color w:val="auto"/>
          <w:sz w:val="24"/>
          <w:szCs w:val="24"/>
        </w:rPr>
      </w:pPr>
      <w:r>
        <w:rPr>
          <w:rFonts w:hint="default" w:ascii="Times New Roman" w:hAnsi="Times New Roman" w:cs="Times New Roman"/>
          <w:color w:val="auto"/>
          <w:sz w:val="24"/>
          <w:szCs w:val="24"/>
        </w:rPr>
        <w:t>设第i个室外声源在预测点产生的A声级为L</w:t>
      </w:r>
      <w:r>
        <w:rPr>
          <w:rFonts w:hint="default" w:ascii="Times New Roman" w:hAnsi="Times New Roman" w:cs="Times New Roman"/>
          <w:color w:val="auto"/>
          <w:sz w:val="24"/>
          <w:szCs w:val="24"/>
          <w:vertAlign w:val="subscript"/>
        </w:rPr>
        <w:t>Ai</w:t>
      </w:r>
      <w:r>
        <w:rPr>
          <w:rFonts w:hint="default" w:ascii="Times New Roman" w:hAnsi="Times New Roman" w:cs="Times New Roman"/>
          <w:color w:val="auto"/>
          <w:sz w:val="24"/>
          <w:szCs w:val="24"/>
        </w:rPr>
        <w:t>，在T时间内该声源工作时间为t</w:t>
      </w:r>
      <w:r>
        <w:rPr>
          <w:rFonts w:hint="default" w:ascii="Times New Roman" w:hAnsi="Times New Roman" w:cs="Times New Roman"/>
          <w:color w:val="auto"/>
          <w:sz w:val="24"/>
          <w:szCs w:val="24"/>
          <w:vertAlign w:val="subscript"/>
        </w:rPr>
        <w:t>i</w:t>
      </w:r>
      <w:r>
        <w:rPr>
          <w:rFonts w:hint="default" w:ascii="Times New Roman" w:hAnsi="Times New Roman" w:cs="Times New Roman"/>
          <w:color w:val="auto"/>
          <w:sz w:val="24"/>
          <w:szCs w:val="24"/>
        </w:rPr>
        <w:t>；第j个等效室外声源在预测点产生的A声级为L</w:t>
      </w:r>
      <w:r>
        <w:rPr>
          <w:rFonts w:hint="default" w:ascii="Times New Roman" w:hAnsi="Times New Roman" w:cs="Times New Roman"/>
          <w:color w:val="auto"/>
          <w:sz w:val="24"/>
          <w:szCs w:val="24"/>
          <w:vertAlign w:val="subscript"/>
        </w:rPr>
        <w:t>Aj</w:t>
      </w:r>
      <w:r>
        <w:rPr>
          <w:rFonts w:hint="default" w:ascii="Times New Roman" w:hAnsi="Times New Roman" w:cs="Times New Roman"/>
          <w:color w:val="auto"/>
          <w:sz w:val="24"/>
          <w:szCs w:val="24"/>
        </w:rPr>
        <w:t>，在T时间内该声源工作时间为t</w:t>
      </w:r>
      <w:r>
        <w:rPr>
          <w:rFonts w:hint="default" w:ascii="Times New Roman" w:hAnsi="Times New Roman" w:cs="Times New Roman"/>
          <w:color w:val="auto"/>
          <w:sz w:val="24"/>
          <w:szCs w:val="24"/>
          <w:vertAlign w:val="subscript"/>
        </w:rPr>
        <w:t>j</w:t>
      </w:r>
      <w:r>
        <w:rPr>
          <w:rFonts w:hint="default" w:ascii="Times New Roman" w:hAnsi="Times New Roman" w:cs="Times New Roman"/>
          <w:color w:val="auto"/>
          <w:sz w:val="24"/>
          <w:szCs w:val="24"/>
        </w:rPr>
        <w:t>，则拟建工程声源对预测点产生的贡献值（L</w:t>
      </w:r>
      <w:r>
        <w:rPr>
          <w:rFonts w:hint="default" w:ascii="Times New Roman" w:hAnsi="Times New Roman" w:cs="Times New Roman"/>
          <w:color w:val="auto"/>
          <w:sz w:val="24"/>
          <w:szCs w:val="24"/>
          <w:vertAlign w:val="subscript"/>
        </w:rPr>
        <w:t>eqg</w:t>
      </w:r>
      <w:r>
        <w:rPr>
          <w:rFonts w:hint="default" w:ascii="Times New Roman" w:hAnsi="Times New Roman" w:cs="Times New Roman"/>
          <w:color w:val="auto"/>
          <w:sz w:val="24"/>
          <w:szCs w:val="24"/>
        </w:rPr>
        <w:t>）为：</w:t>
      </w:r>
    </w:p>
    <w:p w14:paraId="2B1D159A">
      <w:pPr>
        <w:pStyle w:val="47"/>
        <w:keepNext w:val="0"/>
        <w:keepLines w:val="0"/>
        <w:pageBreakBefore w:val="0"/>
        <w:widowControl/>
        <w:kinsoku w:val="0"/>
        <w:wordWrap/>
        <w:overflowPunct/>
        <w:topLinePunct w:val="0"/>
        <w:autoSpaceDE w:val="0"/>
        <w:autoSpaceDN w:val="0"/>
        <w:bidi w:val="0"/>
        <w:adjustRightInd w:val="0"/>
        <w:snapToGrid w:val="0"/>
        <w:spacing w:line="360" w:lineRule="auto"/>
        <w:ind w:firstLine="0"/>
        <w:jc w:val="center"/>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drawing>
          <wp:inline distT="0" distB="0" distL="0" distR="0">
            <wp:extent cx="3722370" cy="443865"/>
            <wp:effectExtent l="0" t="0" r="11430" b="13335"/>
            <wp:docPr id="1404" name="图片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图片 1404"/>
                    <pic:cNvPicPr>
                      <a:picLocks noChangeAspect="1"/>
                    </pic:cNvPicPr>
                  </pic:nvPicPr>
                  <pic:blipFill>
                    <a:blip r:embed="rId106"/>
                    <a:stretch>
                      <a:fillRect/>
                    </a:stretch>
                  </pic:blipFill>
                  <pic:spPr>
                    <a:xfrm>
                      <a:off x="0" y="0"/>
                      <a:ext cx="3731696" cy="445180"/>
                    </a:xfrm>
                    <a:prstGeom prst="rect">
                      <a:avLst/>
                    </a:prstGeom>
                  </pic:spPr>
                </pic:pic>
              </a:graphicData>
            </a:graphic>
          </wp:inline>
        </w:drawing>
      </w:r>
    </w:p>
    <w:p w14:paraId="3ECEDBA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bCs/>
          <w:color w:val="auto"/>
          <w:sz w:val="24"/>
          <w:szCs w:val="24"/>
        </w:rPr>
        <w:t>式中：</w:t>
      </w:r>
      <w:r>
        <w:rPr>
          <w:rFonts w:hint="default" w:ascii="Times New Roman" w:hAnsi="Times New Roman" w:cs="Times New Roman"/>
          <w:color w:val="auto"/>
          <w:sz w:val="24"/>
          <w:szCs w:val="24"/>
        </w:rPr>
        <w:t>L</w:t>
      </w:r>
      <w:r>
        <w:rPr>
          <w:rFonts w:hint="default" w:ascii="Times New Roman" w:hAnsi="Times New Roman" w:cs="Times New Roman"/>
          <w:color w:val="auto"/>
          <w:sz w:val="24"/>
          <w:szCs w:val="24"/>
          <w:vertAlign w:val="subscript"/>
        </w:rPr>
        <w:t>eqg</w:t>
      </w:r>
      <w:r>
        <w:rPr>
          <w:rFonts w:hint="default" w:ascii="Times New Roman" w:hAnsi="Times New Roman" w:cs="Times New Roman"/>
          <w:color w:val="auto"/>
          <w:sz w:val="24"/>
          <w:szCs w:val="24"/>
        </w:rPr>
        <w:t>——建设项目声源在预测点产生的噪声贡献值，dB；</w:t>
      </w:r>
    </w:p>
    <w:p w14:paraId="585D58D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T——用于计算等效声级的时间，s；</w:t>
      </w:r>
    </w:p>
    <w:p w14:paraId="3D21888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N——室外声源个数；</w:t>
      </w:r>
    </w:p>
    <w:p w14:paraId="291BED8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t</w:t>
      </w:r>
      <w:r>
        <w:rPr>
          <w:rFonts w:hint="default" w:ascii="Times New Roman" w:hAnsi="Times New Roman" w:cs="Times New Roman"/>
          <w:color w:val="auto"/>
          <w:sz w:val="24"/>
          <w:szCs w:val="24"/>
          <w:vertAlign w:val="subscript"/>
        </w:rPr>
        <w:t>i</w:t>
      </w:r>
      <w:r>
        <w:rPr>
          <w:rFonts w:hint="default" w:ascii="Times New Roman" w:hAnsi="Times New Roman" w:cs="Times New Roman"/>
          <w:color w:val="auto"/>
          <w:sz w:val="24"/>
          <w:szCs w:val="24"/>
        </w:rPr>
        <w:t>——在T时间内i声源工作时间，s；</w:t>
      </w:r>
    </w:p>
    <w:p w14:paraId="56E1140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M——等效室外声源个数；</w:t>
      </w:r>
    </w:p>
    <w:p w14:paraId="3FF5070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rPr>
        <w:t>t</w:t>
      </w:r>
      <w:r>
        <w:rPr>
          <w:rFonts w:hint="default" w:ascii="Times New Roman" w:hAnsi="Times New Roman" w:cs="Times New Roman"/>
          <w:color w:val="auto"/>
          <w:sz w:val="24"/>
          <w:szCs w:val="24"/>
          <w:vertAlign w:val="subscript"/>
        </w:rPr>
        <w:t>j</w:t>
      </w:r>
      <w:r>
        <w:rPr>
          <w:rFonts w:hint="default" w:ascii="Times New Roman" w:hAnsi="Times New Roman" w:cs="Times New Roman"/>
          <w:color w:val="auto"/>
          <w:sz w:val="24"/>
          <w:szCs w:val="24"/>
        </w:rPr>
        <w:t>——在T时间内j声源工作时间，s。</w:t>
      </w:r>
    </w:p>
    <w:p w14:paraId="77EDA18F">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5.2.</w:t>
      </w:r>
      <w:r>
        <w:rPr>
          <w:rFonts w:hint="eastAsia" w:ascii="Times New Roman" w:hAnsi="Times New Roman" w:eastAsia="宋体" w:cs="Times New Roman"/>
          <w:b/>
          <w:bCs/>
          <w:color w:val="auto"/>
          <w:sz w:val="28"/>
          <w:szCs w:val="28"/>
          <w:lang w:val="en-US" w:eastAsia="zh-CN"/>
        </w:rPr>
        <w:t>3</w:t>
      </w:r>
      <w:r>
        <w:rPr>
          <w:rFonts w:hint="default" w:ascii="Times New Roman" w:hAnsi="Times New Roman" w:eastAsia="宋体" w:cs="Times New Roman"/>
          <w:b/>
          <w:bCs/>
          <w:color w:val="auto"/>
          <w:sz w:val="28"/>
          <w:szCs w:val="28"/>
          <w:lang w:val="en-US" w:eastAsia="zh-CN"/>
        </w:rPr>
        <w:t>.2预测结果</w:t>
      </w:r>
    </w:p>
    <w:p w14:paraId="0782397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根据《环境影响评价技术导则 声环境》（HJ2.4-2021），噪声预测应明确厂界噪声贡献值，保护目标处的贡献值和预测值达标性分析</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lang w:eastAsia="zh-CN"/>
        </w:rPr>
        <w:t>厂界噪声贡献值见表5.2-</w:t>
      </w:r>
      <w:r>
        <w:rPr>
          <w:rFonts w:hint="eastAsia" w:ascii="Times New Roman" w:hAnsi="Times New Roman" w:cs="Times New Roman"/>
          <w:color w:val="auto"/>
          <w:sz w:val="24"/>
          <w:szCs w:val="24"/>
          <w:lang w:val="en-US" w:eastAsia="zh-CN"/>
        </w:rPr>
        <w:t>13</w:t>
      </w:r>
      <w:r>
        <w:rPr>
          <w:rFonts w:hint="default" w:ascii="Times New Roman" w:hAnsi="Times New Roman" w:cs="Times New Roman"/>
          <w:color w:val="auto"/>
          <w:sz w:val="24"/>
          <w:szCs w:val="24"/>
          <w:lang w:eastAsia="zh-CN"/>
        </w:rPr>
        <w:t>，声环境保护目标</w:t>
      </w:r>
      <w:r>
        <w:rPr>
          <w:rFonts w:hint="eastAsia" w:ascii="Times New Roman" w:hAnsi="Times New Roman" w:cs="Times New Roman"/>
          <w:color w:val="auto"/>
          <w:sz w:val="24"/>
          <w:szCs w:val="24"/>
          <w:lang w:val="en-US" w:eastAsia="zh-CN"/>
        </w:rPr>
        <w:t>预测结果</w:t>
      </w:r>
      <w:r>
        <w:rPr>
          <w:rFonts w:hint="default" w:ascii="Times New Roman" w:hAnsi="Times New Roman" w:cs="Times New Roman"/>
          <w:color w:val="auto"/>
          <w:sz w:val="24"/>
          <w:szCs w:val="24"/>
          <w:lang w:eastAsia="zh-CN"/>
        </w:rPr>
        <w:t>见表5.2-1</w:t>
      </w:r>
      <w:r>
        <w:rPr>
          <w:rFonts w:hint="eastAsia"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lang w:eastAsia="zh-CN"/>
        </w:rPr>
        <w:t>，噪声等值线分布图见图5.2-1。</w:t>
      </w:r>
    </w:p>
    <w:p w14:paraId="24848D70">
      <w:pPr>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表</w:t>
      </w:r>
      <w:r>
        <w:rPr>
          <w:rFonts w:hint="default" w:ascii="Times New Roman" w:hAnsi="Times New Roman" w:cs="Times New Roman"/>
          <w:b/>
          <w:bCs/>
          <w:color w:val="auto"/>
          <w:sz w:val="24"/>
          <w:szCs w:val="24"/>
          <w:lang w:val="en-US" w:eastAsia="zh-CN"/>
        </w:rPr>
        <w:t>5.2</w:t>
      </w:r>
      <w:r>
        <w:rPr>
          <w:rFonts w:hint="default" w:ascii="Times New Roman" w:hAnsi="Times New Roman" w:cs="Times New Roman"/>
          <w:b/>
          <w:bCs/>
          <w:color w:val="auto"/>
          <w:sz w:val="24"/>
          <w:szCs w:val="24"/>
          <w:lang w:eastAsia="zh-CN"/>
        </w:rPr>
        <w:t>-</w:t>
      </w:r>
      <w:r>
        <w:rPr>
          <w:rFonts w:hint="default" w:ascii="Times New Roman" w:hAnsi="Times New Roman" w:cs="Times New Roman"/>
          <w:b/>
          <w:bCs/>
          <w:color w:val="auto"/>
          <w:sz w:val="24"/>
          <w:szCs w:val="24"/>
          <w:lang w:val="en-US" w:eastAsia="zh-CN"/>
        </w:rPr>
        <w:t>1</w:t>
      </w:r>
      <w:r>
        <w:rPr>
          <w:rFonts w:hint="eastAsia" w:ascii="Times New Roman" w:hAnsi="Times New Roman" w:cs="Times New Roman"/>
          <w:b/>
          <w:bCs/>
          <w:color w:val="auto"/>
          <w:sz w:val="24"/>
          <w:szCs w:val="24"/>
          <w:lang w:val="en-US" w:eastAsia="zh-CN"/>
        </w:rPr>
        <w:t>3</w:t>
      </w:r>
      <w:r>
        <w:rPr>
          <w:rFonts w:hint="default" w:ascii="Times New Roman" w:hAnsi="Times New Roman" w:cs="Times New Roman"/>
          <w:b/>
          <w:bCs/>
          <w:color w:val="auto"/>
          <w:sz w:val="24"/>
          <w:szCs w:val="24"/>
          <w:highlight w:val="none"/>
        </w:rPr>
        <w:t xml:space="preserve">  </w:t>
      </w:r>
      <w:r>
        <w:rPr>
          <w:rFonts w:hint="default" w:ascii="Times New Roman" w:hAnsi="Times New Roman" w:cs="Times New Roman"/>
          <w:b/>
          <w:bCs/>
          <w:color w:val="auto"/>
          <w:sz w:val="24"/>
          <w:szCs w:val="24"/>
          <w:highlight w:val="none"/>
          <w:lang w:val="en-US" w:eastAsia="zh-CN"/>
        </w:rPr>
        <w:t xml:space="preserve">厂界噪声贡献值与达标分析表 </w:t>
      </w:r>
      <w:r>
        <w:rPr>
          <w:rFonts w:hint="default" w:ascii="Times New Roman" w:hAnsi="Times New Roman" w:cs="Times New Roman"/>
          <w:b/>
          <w:bCs/>
          <w:color w:val="auto"/>
          <w:sz w:val="24"/>
          <w:szCs w:val="24"/>
          <w:highlight w:val="none"/>
        </w:rPr>
        <w:t xml:space="preserve">  单位：dB(A)</w:t>
      </w:r>
    </w:p>
    <w:tbl>
      <w:tblPr>
        <w:tblStyle w:val="22"/>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853"/>
        <w:gridCol w:w="1250"/>
        <w:gridCol w:w="1174"/>
        <w:gridCol w:w="1295"/>
        <w:gridCol w:w="1217"/>
        <w:gridCol w:w="1230"/>
        <w:gridCol w:w="1265"/>
      </w:tblGrid>
      <w:tr w14:paraId="3CE62A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44" w:hRule="atLeast"/>
          <w:jc w:val="center"/>
        </w:trPr>
        <w:tc>
          <w:tcPr>
            <w:tcW w:w="998" w:type="pct"/>
            <w:vMerge w:val="restart"/>
            <w:tcBorders>
              <w:tl2br w:val="nil"/>
              <w:tr2bl w:val="nil"/>
            </w:tcBorders>
            <w:noWrap w:val="0"/>
            <w:vAlign w:val="center"/>
          </w:tcPr>
          <w:p w14:paraId="43FF4947">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w:t>
            </w:r>
          </w:p>
        </w:tc>
        <w:tc>
          <w:tcPr>
            <w:tcW w:w="1305" w:type="pct"/>
            <w:gridSpan w:val="2"/>
            <w:tcBorders>
              <w:tl2br w:val="nil"/>
              <w:tr2bl w:val="nil"/>
            </w:tcBorders>
            <w:noWrap w:val="0"/>
            <w:vAlign w:val="center"/>
          </w:tcPr>
          <w:p w14:paraId="52264CCF">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贡献值</w:t>
            </w:r>
          </w:p>
        </w:tc>
        <w:tc>
          <w:tcPr>
            <w:tcW w:w="1352" w:type="pct"/>
            <w:gridSpan w:val="2"/>
            <w:tcBorders>
              <w:tl2br w:val="nil"/>
              <w:tr2bl w:val="nil"/>
            </w:tcBorders>
            <w:noWrap w:val="0"/>
            <w:vAlign w:val="center"/>
          </w:tcPr>
          <w:p w14:paraId="605E7FF1">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标准值</w:t>
            </w:r>
          </w:p>
        </w:tc>
        <w:tc>
          <w:tcPr>
            <w:tcW w:w="1343" w:type="pct"/>
            <w:gridSpan w:val="2"/>
            <w:tcBorders>
              <w:tl2br w:val="nil"/>
              <w:tr2bl w:val="nil"/>
            </w:tcBorders>
            <w:noWrap w:val="0"/>
            <w:vAlign w:val="center"/>
          </w:tcPr>
          <w:p w14:paraId="399EE7A8">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超标和达标情况</w:t>
            </w:r>
          </w:p>
        </w:tc>
      </w:tr>
      <w:tr w14:paraId="2C46E5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6" w:hRule="atLeast"/>
          <w:jc w:val="center"/>
        </w:trPr>
        <w:tc>
          <w:tcPr>
            <w:tcW w:w="998" w:type="pct"/>
            <w:vMerge w:val="continue"/>
            <w:tcBorders>
              <w:tl2br w:val="nil"/>
              <w:tr2bl w:val="nil"/>
            </w:tcBorders>
            <w:noWrap w:val="0"/>
            <w:vAlign w:val="center"/>
          </w:tcPr>
          <w:p w14:paraId="370EF5B4">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673" w:type="pct"/>
            <w:tcBorders>
              <w:top w:val="single" w:color="auto" w:sz="4" w:space="0"/>
              <w:right w:val="single" w:color="auto" w:sz="4" w:space="0"/>
              <w:tl2br w:val="nil"/>
              <w:tr2bl w:val="nil"/>
            </w:tcBorders>
            <w:noWrap w:val="0"/>
            <w:vAlign w:val="center"/>
          </w:tcPr>
          <w:p w14:paraId="7B82D505">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昼间</w:t>
            </w:r>
          </w:p>
        </w:tc>
        <w:tc>
          <w:tcPr>
            <w:tcW w:w="632" w:type="pct"/>
            <w:tcBorders>
              <w:top w:val="single" w:color="auto" w:sz="4" w:space="0"/>
              <w:left w:val="single" w:color="auto" w:sz="4" w:space="0"/>
              <w:tl2br w:val="nil"/>
              <w:tr2bl w:val="nil"/>
            </w:tcBorders>
            <w:noWrap w:val="0"/>
            <w:vAlign w:val="center"/>
          </w:tcPr>
          <w:p w14:paraId="52F989DC">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夜间</w:t>
            </w:r>
          </w:p>
        </w:tc>
        <w:tc>
          <w:tcPr>
            <w:tcW w:w="697" w:type="pct"/>
            <w:tcBorders>
              <w:right w:val="single" w:color="auto" w:sz="4" w:space="0"/>
              <w:tl2br w:val="nil"/>
              <w:tr2bl w:val="nil"/>
            </w:tcBorders>
            <w:noWrap w:val="0"/>
            <w:vAlign w:val="center"/>
          </w:tcPr>
          <w:p w14:paraId="04A02F3B">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654" w:type="pct"/>
            <w:tcBorders>
              <w:left w:val="single" w:color="auto" w:sz="4" w:space="0"/>
              <w:tl2br w:val="nil"/>
              <w:tr2bl w:val="nil"/>
            </w:tcBorders>
            <w:noWrap w:val="0"/>
            <w:vAlign w:val="center"/>
          </w:tcPr>
          <w:p w14:paraId="57773EBD">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夜间</w:t>
            </w:r>
          </w:p>
        </w:tc>
        <w:tc>
          <w:tcPr>
            <w:tcW w:w="662" w:type="pct"/>
            <w:tcBorders>
              <w:right w:val="single" w:color="auto" w:sz="4" w:space="0"/>
              <w:tl2br w:val="nil"/>
              <w:tr2bl w:val="nil"/>
            </w:tcBorders>
            <w:noWrap w:val="0"/>
            <w:vAlign w:val="center"/>
          </w:tcPr>
          <w:p w14:paraId="749725EA">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681" w:type="pct"/>
            <w:tcBorders>
              <w:left w:val="single" w:color="auto" w:sz="4" w:space="0"/>
              <w:tl2br w:val="nil"/>
              <w:tr2bl w:val="nil"/>
            </w:tcBorders>
            <w:noWrap w:val="0"/>
            <w:vAlign w:val="center"/>
          </w:tcPr>
          <w:p w14:paraId="3D11344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夜间</w:t>
            </w:r>
          </w:p>
        </w:tc>
      </w:tr>
      <w:tr w14:paraId="484A3C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6" w:hRule="atLeast"/>
          <w:jc w:val="center"/>
        </w:trPr>
        <w:tc>
          <w:tcPr>
            <w:tcW w:w="998" w:type="pct"/>
            <w:tcBorders>
              <w:tl2br w:val="nil"/>
              <w:tr2bl w:val="nil"/>
            </w:tcBorders>
            <w:noWrap w:val="0"/>
            <w:vAlign w:val="center"/>
          </w:tcPr>
          <w:p w14:paraId="5C6129AE">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厂界东侧</w:t>
            </w:r>
          </w:p>
        </w:tc>
        <w:tc>
          <w:tcPr>
            <w:tcW w:w="673" w:type="pct"/>
            <w:tcBorders>
              <w:right w:val="single" w:color="auto" w:sz="4" w:space="0"/>
              <w:tl2br w:val="nil"/>
              <w:tr2bl w:val="nil"/>
            </w:tcBorders>
            <w:noWrap w:val="0"/>
            <w:vAlign w:val="center"/>
          </w:tcPr>
          <w:p w14:paraId="460245A7">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29.8</w:t>
            </w:r>
          </w:p>
        </w:tc>
        <w:tc>
          <w:tcPr>
            <w:tcW w:w="1174" w:type="dxa"/>
            <w:tcBorders>
              <w:left w:val="single" w:color="auto" w:sz="4" w:space="0"/>
              <w:tl2br w:val="nil"/>
              <w:tr2bl w:val="nil"/>
            </w:tcBorders>
            <w:noWrap w:val="0"/>
            <w:vAlign w:val="center"/>
          </w:tcPr>
          <w:p w14:paraId="18AA21F9">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29.8</w:t>
            </w:r>
          </w:p>
        </w:tc>
        <w:tc>
          <w:tcPr>
            <w:tcW w:w="697" w:type="pct"/>
            <w:tcBorders>
              <w:right w:val="single" w:color="auto" w:sz="4" w:space="0"/>
              <w:tl2br w:val="nil"/>
              <w:tr2bl w:val="nil"/>
            </w:tcBorders>
            <w:noWrap w:val="0"/>
            <w:vAlign w:val="center"/>
          </w:tcPr>
          <w:p w14:paraId="05F170C7">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60</w:t>
            </w:r>
          </w:p>
        </w:tc>
        <w:tc>
          <w:tcPr>
            <w:tcW w:w="654" w:type="pct"/>
            <w:tcBorders>
              <w:left w:val="single" w:color="auto" w:sz="4" w:space="0"/>
              <w:tl2br w:val="nil"/>
              <w:tr2bl w:val="nil"/>
            </w:tcBorders>
            <w:noWrap w:val="0"/>
            <w:vAlign w:val="center"/>
          </w:tcPr>
          <w:p w14:paraId="44706D6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w:t>
            </w:r>
          </w:p>
        </w:tc>
        <w:tc>
          <w:tcPr>
            <w:tcW w:w="662" w:type="pct"/>
            <w:tcBorders>
              <w:right w:val="single" w:color="auto" w:sz="4" w:space="0"/>
              <w:tl2br w:val="nil"/>
              <w:tr2bl w:val="nil"/>
            </w:tcBorders>
            <w:noWrap w:val="0"/>
            <w:vAlign w:val="center"/>
          </w:tcPr>
          <w:p w14:paraId="512DE130">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c>
          <w:tcPr>
            <w:tcW w:w="681" w:type="pct"/>
            <w:tcBorders>
              <w:left w:val="single" w:color="auto" w:sz="4" w:space="0"/>
              <w:tl2br w:val="nil"/>
              <w:tr2bl w:val="nil"/>
            </w:tcBorders>
            <w:noWrap w:val="0"/>
            <w:vAlign w:val="center"/>
          </w:tcPr>
          <w:p w14:paraId="23EB1DA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7D5B20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6" w:hRule="atLeast"/>
          <w:jc w:val="center"/>
        </w:trPr>
        <w:tc>
          <w:tcPr>
            <w:tcW w:w="998" w:type="pct"/>
            <w:tcBorders>
              <w:tl2br w:val="nil"/>
              <w:tr2bl w:val="nil"/>
            </w:tcBorders>
            <w:noWrap w:val="0"/>
            <w:vAlign w:val="center"/>
          </w:tcPr>
          <w:p w14:paraId="088E8D8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厂界南侧</w:t>
            </w:r>
          </w:p>
        </w:tc>
        <w:tc>
          <w:tcPr>
            <w:tcW w:w="673" w:type="pct"/>
            <w:tcBorders>
              <w:right w:val="single" w:color="auto" w:sz="4" w:space="0"/>
              <w:tl2br w:val="nil"/>
              <w:tr2bl w:val="nil"/>
            </w:tcBorders>
            <w:noWrap w:val="0"/>
            <w:vAlign w:val="center"/>
          </w:tcPr>
          <w:p w14:paraId="6688681D">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25.85</w:t>
            </w:r>
          </w:p>
        </w:tc>
        <w:tc>
          <w:tcPr>
            <w:tcW w:w="1174" w:type="dxa"/>
            <w:tcBorders>
              <w:left w:val="single" w:color="auto" w:sz="4" w:space="0"/>
              <w:tl2br w:val="nil"/>
              <w:tr2bl w:val="nil"/>
            </w:tcBorders>
            <w:noWrap w:val="0"/>
            <w:vAlign w:val="center"/>
          </w:tcPr>
          <w:p w14:paraId="56F02014">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25.85</w:t>
            </w:r>
          </w:p>
        </w:tc>
        <w:tc>
          <w:tcPr>
            <w:tcW w:w="1295" w:type="dxa"/>
            <w:tcBorders>
              <w:right w:val="single" w:color="auto" w:sz="4" w:space="0"/>
              <w:tl2br w:val="nil"/>
              <w:tr2bl w:val="nil"/>
            </w:tcBorders>
            <w:noWrap w:val="0"/>
            <w:vAlign w:val="center"/>
          </w:tcPr>
          <w:p w14:paraId="62A88FDD">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60</w:t>
            </w:r>
          </w:p>
        </w:tc>
        <w:tc>
          <w:tcPr>
            <w:tcW w:w="1217" w:type="dxa"/>
            <w:tcBorders>
              <w:left w:val="single" w:color="auto" w:sz="4" w:space="0"/>
              <w:tl2br w:val="nil"/>
              <w:tr2bl w:val="nil"/>
            </w:tcBorders>
            <w:noWrap w:val="0"/>
            <w:vAlign w:val="center"/>
          </w:tcPr>
          <w:p w14:paraId="60D0E730">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w:t>
            </w:r>
          </w:p>
        </w:tc>
        <w:tc>
          <w:tcPr>
            <w:tcW w:w="662" w:type="pct"/>
            <w:tcBorders>
              <w:right w:val="single" w:color="auto" w:sz="4" w:space="0"/>
              <w:tl2br w:val="nil"/>
              <w:tr2bl w:val="nil"/>
            </w:tcBorders>
            <w:noWrap w:val="0"/>
            <w:vAlign w:val="center"/>
          </w:tcPr>
          <w:p w14:paraId="1B6D36D8">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c>
          <w:tcPr>
            <w:tcW w:w="681" w:type="pct"/>
            <w:tcBorders>
              <w:left w:val="single" w:color="auto" w:sz="4" w:space="0"/>
              <w:tl2br w:val="nil"/>
              <w:tr2bl w:val="nil"/>
            </w:tcBorders>
            <w:noWrap w:val="0"/>
            <w:vAlign w:val="center"/>
          </w:tcPr>
          <w:p w14:paraId="7CD5269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5928BA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6" w:hRule="atLeast"/>
          <w:jc w:val="center"/>
        </w:trPr>
        <w:tc>
          <w:tcPr>
            <w:tcW w:w="998" w:type="pct"/>
            <w:tcBorders>
              <w:tl2br w:val="nil"/>
              <w:tr2bl w:val="nil"/>
            </w:tcBorders>
            <w:noWrap w:val="0"/>
            <w:vAlign w:val="center"/>
          </w:tcPr>
          <w:p w14:paraId="67BF0D40">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厂界西侧</w:t>
            </w:r>
          </w:p>
        </w:tc>
        <w:tc>
          <w:tcPr>
            <w:tcW w:w="673" w:type="pct"/>
            <w:tcBorders>
              <w:right w:val="single" w:color="auto" w:sz="4" w:space="0"/>
              <w:tl2br w:val="nil"/>
              <w:tr2bl w:val="nil"/>
            </w:tcBorders>
            <w:noWrap w:val="0"/>
            <w:vAlign w:val="center"/>
          </w:tcPr>
          <w:p w14:paraId="34CA97A0">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41.76</w:t>
            </w:r>
          </w:p>
        </w:tc>
        <w:tc>
          <w:tcPr>
            <w:tcW w:w="1174" w:type="dxa"/>
            <w:tcBorders>
              <w:left w:val="single" w:color="auto" w:sz="4" w:space="0"/>
              <w:tl2br w:val="nil"/>
              <w:tr2bl w:val="nil"/>
            </w:tcBorders>
            <w:noWrap w:val="0"/>
            <w:vAlign w:val="center"/>
          </w:tcPr>
          <w:p w14:paraId="3DD149F7">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41.76</w:t>
            </w:r>
          </w:p>
        </w:tc>
        <w:tc>
          <w:tcPr>
            <w:tcW w:w="1295" w:type="dxa"/>
            <w:tcBorders>
              <w:right w:val="single" w:color="auto" w:sz="4" w:space="0"/>
              <w:tl2br w:val="nil"/>
              <w:tr2bl w:val="nil"/>
            </w:tcBorders>
            <w:noWrap w:val="0"/>
            <w:vAlign w:val="center"/>
          </w:tcPr>
          <w:p w14:paraId="07BF90C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60</w:t>
            </w:r>
          </w:p>
        </w:tc>
        <w:tc>
          <w:tcPr>
            <w:tcW w:w="1217" w:type="dxa"/>
            <w:tcBorders>
              <w:left w:val="single" w:color="auto" w:sz="4" w:space="0"/>
              <w:tl2br w:val="nil"/>
              <w:tr2bl w:val="nil"/>
            </w:tcBorders>
            <w:noWrap w:val="0"/>
            <w:vAlign w:val="center"/>
          </w:tcPr>
          <w:p w14:paraId="02696976">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w:t>
            </w:r>
          </w:p>
        </w:tc>
        <w:tc>
          <w:tcPr>
            <w:tcW w:w="662" w:type="pct"/>
            <w:tcBorders>
              <w:right w:val="single" w:color="auto" w:sz="4" w:space="0"/>
              <w:tl2br w:val="nil"/>
              <w:tr2bl w:val="nil"/>
            </w:tcBorders>
            <w:noWrap w:val="0"/>
            <w:vAlign w:val="center"/>
          </w:tcPr>
          <w:p w14:paraId="55564A5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c>
          <w:tcPr>
            <w:tcW w:w="681" w:type="pct"/>
            <w:tcBorders>
              <w:left w:val="single" w:color="auto" w:sz="4" w:space="0"/>
              <w:tl2br w:val="nil"/>
              <w:tr2bl w:val="nil"/>
            </w:tcBorders>
            <w:noWrap w:val="0"/>
            <w:vAlign w:val="center"/>
          </w:tcPr>
          <w:p w14:paraId="319F4E06">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48C8C4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3" w:hRule="atLeast"/>
          <w:jc w:val="center"/>
        </w:trPr>
        <w:tc>
          <w:tcPr>
            <w:tcW w:w="998" w:type="pct"/>
            <w:tcBorders>
              <w:tl2br w:val="nil"/>
              <w:tr2bl w:val="nil"/>
            </w:tcBorders>
            <w:noWrap w:val="0"/>
            <w:vAlign w:val="center"/>
          </w:tcPr>
          <w:p w14:paraId="4D5D035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厂界北侧</w:t>
            </w:r>
          </w:p>
        </w:tc>
        <w:tc>
          <w:tcPr>
            <w:tcW w:w="673" w:type="pct"/>
            <w:tcBorders>
              <w:right w:val="single" w:color="auto" w:sz="4" w:space="0"/>
              <w:tl2br w:val="nil"/>
              <w:tr2bl w:val="nil"/>
            </w:tcBorders>
            <w:noWrap w:val="0"/>
            <w:vAlign w:val="center"/>
          </w:tcPr>
          <w:p w14:paraId="7BB20DDD">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40.02</w:t>
            </w:r>
          </w:p>
        </w:tc>
        <w:tc>
          <w:tcPr>
            <w:tcW w:w="1174" w:type="dxa"/>
            <w:tcBorders>
              <w:left w:val="single" w:color="auto" w:sz="4" w:space="0"/>
              <w:tl2br w:val="nil"/>
              <w:tr2bl w:val="nil"/>
            </w:tcBorders>
            <w:noWrap w:val="0"/>
            <w:vAlign w:val="center"/>
          </w:tcPr>
          <w:p w14:paraId="5F538EEB">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40.02</w:t>
            </w:r>
          </w:p>
        </w:tc>
        <w:tc>
          <w:tcPr>
            <w:tcW w:w="1295" w:type="dxa"/>
            <w:tcBorders>
              <w:right w:val="single" w:color="auto" w:sz="4" w:space="0"/>
              <w:tl2br w:val="nil"/>
              <w:tr2bl w:val="nil"/>
            </w:tcBorders>
            <w:noWrap w:val="0"/>
            <w:vAlign w:val="center"/>
          </w:tcPr>
          <w:p w14:paraId="1EB73E95">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60</w:t>
            </w:r>
          </w:p>
        </w:tc>
        <w:tc>
          <w:tcPr>
            <w:tcW w:w="1217" w:type="dxa"/>
            <w:tcBorders>
              <w:left w:val="single" w:color="auto" w:sz="4" w:space="0"/>
              <w:tl2br w:val="nil"/>
              <w:tr2bl w:val="nil"/>
            </w:tcBorders>
            <w:noWrap w:val="0"/>
            <w:vAlign w:val="center"/>
          </w:tcPr>
          <w:p w14:paraId="3CD84941">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w:t>
            </w:r>
          </w:p>
        </w:tc>
        <w:tc>
          <w:tcPr>
            <w:tcW w:w="662" w:type="pct"/>
            <w:tcBorders>
              <w:right w:val="single" w:color="auto" w:sz="4" w:space="0"/>
              <w:tl2br w:val="nil"/>
              <w:tr2bl w:val="nil"/>
            </w:tcBorders>
            <w:noWrap w:val="0"/>
            <w:vAlign w:val="center"/>
          </w:tcPr>
          <w:p w14:paraId="1CF4BD9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c>
          <w:tcPr>
            <w:tcW w:w="681" w:type="pct"/>
            <w:tcBorders>
              <w:left w:val="single" w:color="auto" w:sz="4" w:space="0"/>
              <w:tl2br w:val="nil"/>
              <w:tr2bl w:val="nil"/>
            </w:tcBorders>
            <w:noWrap w:val="0"/>
            <w:vAlign w:val="center"/>
          </w:tcPr>
          <w:p w14:paraId="213736A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bl>
    <w:p w14:paraId="615FCFBF">
      <w:pPr>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表</w:t>
      </w:r>
      <w:r>
        <w:rPr>
          <w:rFonts w:hint="default" w:ascii="Times New Roman" w:hAnsi="Times New Roman" w:cs="Times New Roman"/>
          <w:b/>
          <w:bCs/>
          <w:color w:val="auto"/>
          <w:sz w:val="24"/>
          <w:szCs w:val="24"/>
          <w:highlight w:val="none"/>
          <w:lang w:val="en-US" w:eastAsia="zh-CN"/>
        </w:rPr>
        <w:t>5.2</w:t>
      </w:r>
      <w:r>
        <w:rPr>
          <w:rFonts w:hint="default"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lang w:val="en-US" w:eastAsia="zh-CN"/>
        </w:rPr>
        <w:t>1</w:t>
      </w:r>
      <w:r>
        <w:rPr>
          <w:rFonts w:hint="eastAsia" w:ascii="Times New Roman" w:hAnsi="Times New Roman" w:cs="Times New Roman"/>
          <w:b/>
          <w:bCs/>
          <w:color w:val="auto"/>
          <w:sz w:val="24"/>
          <w:szCs w:val="24"/>
          <w:highlight w:val="none"/>
          <w:lang w:val="en-US" w:eastAsia="zh-CN"/>
        </w:rPr>
        <w:t>4</w:t>
      </w:r>
      <w:r>
        <w:rPr>
          <w:rFonts w:hint="default" w:ascii="Times New Roman" w:hAnsi="Times New Roman" w:cs="Times New Roman"/>
          <w:b/>
          <w:bCs/>
          <w:color w:val="auto"/>
          <w:sz w:val="24"/>
          <w:szCs w:val="24"/>
          <w:highlight w:val="none"/>
        </w:rPr>
        <w:t xml:space="preserve">  </w:t>
      </w:r>
      <w:r>
        <w:rPr>
          <w:rFonts w:hint="default" w:ascii="Times New Roman" w:hAnsi="Times New Roman" w:cs="Times New Roman"/>
          <w:b/>
          <w:bCs/>
          <w:color w:val="auto"/>
          <w:sz w:val="24"/>
          <w:szCs w:val="24"/>
          <w:highlight w:val="none"/>
          <w:lang w:val="en-US" w:eastAsia="zh-CN"/>
        </w:rPr>
        <w:t xml:space="preserve">工业企业声环境保护目标噪声预测结果与达标分析表 </w:t>
      </w:r>
      <w:r>
        <w:rPr>
          <w:rFonts w:hint="default" w:ascii="Times New Roman" w:hAnsi="Times New Roman" w:cs="Times New Roman"/>
          <w:b/>
          <w:bCs/>
          <w:color w:val="auto"/>
          <w:sz w:val="24"/>
          <w:szCs w:val="24"/>
          <w:highlight w:val="none"/>
        </w:rPr>
        <w:t xml:space="preserve">    单位：dB(A)</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8"/>
        <w:gridCol w:w="524"/>
        <w:gridCol w:w="504"/>
        <w:gridCol w:w="524"/>
        <w:gridCol w:w="504"/>
        <w:gridCol w:w="504"/>
        <w:gridCol w:w="505"/>
        <w:gridCol w:w="689"/>
        <w:gridCol w:w="689"/>
        <w:gridCol w:w="479"/>
        <w:gridCol w:w="689"/>
        <w:gridCol w:w="505"/>
        <w:gridCol w:w="702"/>
        <w:gridCol w:w="609"/>
        <w:gridCol w:w="613"/>
      </w:tblGrid>
      <w:tr w14:paraId="032596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686" w:type="pct"/>
            <w:vMerge w:val="restart"/>
            <w:tcBorders>
              <w:tl2br w:val="nil"/>
              <w:tr2bl w:val="nil"/>
            </w:tcBorders>
            <w:noWrap w:val="0"/>
            <w:vAlign w:val="center"/>
          </w:tcPr>
          <w:p w14:paraId="026024F4">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声环境保护目标名称</w:t>
            </w:r>
          </w:p>
        </w:tc>
        <w:tc>
          <w:tcPr>
            <w:tcW w:w="583" w:type="pct"/>
            <w:gridSpan w:val="2"/>
            <w:tcBorders>
              <w:tl2br w:val="nil"/>
              <w:tr2bl w:val="nil"/>
            </w:tcBorders>
            <w:noWrap w:val="0"/>
            <w:vAlign w:val="center"/>
          </w:tcPr>
          <w:p w14:paraId="09CCC364">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背景值</w:t>
            </w:r>
          </w:p>
        </w:tc>
        <w:tc>
          <w:tcPr>
            <w:tcW w:w="583" w:type="pct"/>
            <w:gridSpan w:val="2"/>
            <w:tcBorders>
              <w:tl2br w:val="nil"/>
              <w:tr2bl w:val="nil"/>
            </w:tcBorders>
            <w:noWrap w:val="0"/>
            <w:vAlign w:val="center"/>
          </w:tcPr>
          <w:p w14:paraId="2049B424">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rPr>
              <w:t>现状值</w:t>
            </w:r>
          </w:p>
        </w:tc>
        <w:tc>
          <w:tcPr>
            <w:tcW w:w="572" w:type="pct"/>
            <w:gridSpan w:val="2"/>
            <w:tcBorders>
              <w:tl2br w:val="nil"/>
              <w:tr2bl w:val="nil"/>
            </w:tcBorders>
            <w:noWrap w:val="0"/>
            <w:vAlign w:val="center"/>
          </w:tcPr>
          <w:p w14:paraId="21BCCA9C">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rPr>
              <w:t>标准值</w:t>
            </w:r>
          </w:p>
        </w:tc>
        <w:tc>
          <w:tcPr>
            <w:tcW w:w="741" w:type="pct"/>
            <w:gridSpan w:val="2"/>
            <w:tcBorders>
              <w:tl2br w:val="nil"/>
              <w:tr2bl w:val="nil"/>
            </w:tcBorders>
            <w:noWrap w:val="0"/>
            <w:vAlign w:val="center"/>
          </w:tcPr>
          <w:p w14:paraId="6ECB767D">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eastAsia="zh-CN"/>
              </w:rPr>
              <w:t>贡献值</w:t>
            </w:r>
          </w:p>
        </w:tc>
        <w:tc>
          <w:tcPr>
            <w:tcW w:w="572" w:type="pct"/>
            <w:gridSpan w:val="2"/>
            <w:tcBorders>
              <w:tl2br w:val="nil"/>
              <w:tr2bl w:val="nil"/>
            </w:tcBorders>
            <w:noWrap w:val="0"/>
            <w:vAlign w:val="center"/>
          </w:tcPr>
          <w:p w14:paraId="1943880A">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eastAsia="zh-CN"/>
              </w:rPr>
              <w:t>预测值</w:t>
            </w:r>
          </w:p>
        </w:tc>
        <w:tc>
          <w:tcPr>
            <w:tcW w:w="572" w:type="pct"/>
            <w:gridSpan w:val="2"/>
            <w:tcBorders>
              <w:tl2br w:val="nil"/>
              <w:tr2bl w:val="nil"/>
            </w:tcBorders>
            <w:noWrap w:val="0"/>
            <w:vAlign w:val="center"/>
          </w:tcPr>
          <w:p w14:paraId="4D5BF674">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eastAsia="zh-CN"/>
              </w:rPr>
              <w:t>较现状</w:t>
            </w:r>
          </w:p>
          <w:p w14:paraId="30161478">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eastAsia="zh-CN"/>
              </w:rPr>
              <w:t>增量</w:t>
            </w:r>
          </w:p>
        </w:tc>
        <w:tc>
          <w:tcPr>
            <w:tcW w:w="686" w:type="pct"/>
            <w:gridSpan w:val="2"/>
            <w:tcBorders>
              <w:tl2br w:val="nil"/>
              <w:tr2bl w:val="nil"/>
            </w:tcBorders>
            <w:noWrap w:val="0"/>
            <w:vAlign w:val="center"/>
          </w:tcPr>
          <w:p w14:paraId="2EDA5D0C">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eastAsia="zh-CN"/>
              </w:rPr>
              <w:t>超标和达标情况</w:t>
            </w:r>
          </w:p>
        </w:tc>
      </w:tr>
      <w:tr w14:paraId="4023BE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686" w:type="pct"/>
            <w:vMerge w:val="continue"/>
            <w:tcBorders>
              <w:tl2br w:val="nil"/>
              <w:tr2bl w:val="nil"/>
            </w:tcBorders>
            <w:noWrap w:val="0"/>
            <w:vAlign w:val="center"/>
          </w:tcPr>
          <w:p w14:paraId="27412172">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rPr>
            </w:pPr>
          </w:p>
        </w:tc>
        <w:tc>
          <w:tcPr>
            <w:tcW w:w="297" w:type="pct"/>
            <w:tcBorders>
              <w:tl2br w:val="nil"/>
              <w:tr2bl w:val="nil"/>
            </w:tcBorders>
            <w:noWrap w:val="0"/>
            <w:vAlign w:val="center"/>
          </w:tcPr>
          <w:p w14:paraId="0040752E">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昼间</w:t>
            </w:r>
          </w:p>
        </w:tc>
        <w:tc>
          <w:tcPr>
            <w:tcW w:w="286" w:type="pct"/>
            <w:tcBorders>
              <w:tl2br w:val="nil"/>
              <w:tr2bl w:val="nil"/>
            </w:tcBorders>
            <w:noWrap w:val="0"/>
            <w:vAlign w:val="center"/>
          </w:tcPr>
          <w:p w14:paraId="37BBD9AC">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color w:val="auto"/>
                <w:sz w:val="21"/>
                <w:szCs w:val="21"/>
                <w:highlight w:val="none"/>
                <w:lang w:val="en-US" w:eastAsia="zh-CN"/>
              </w:rPr>
              <w:t>夜间</w:t>
            </w:r>
          </w:p>
        </w:tc>
        <w:tc>
          <w:tcPr>
            <w:tcW w:w="297" w:type="pct"/>
            <w:tcBorders>
              <w:tl2br w:val="nil"/>
              <w:tr2bl w:val="nil"/>
            </w:tcBorders>
            <w:noWrap w:val="0"/>
            <w:vAlign w:val="center"/>
          </w:tcPr>
          <w:p w14:paraId="4F3D2810">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昼间</w:t>
            </w:r>
          </w:p>
        </w:tc>
        <w:tc>
          <w:tcPr>
            <w:tcW w:w="286" w:type="pct"/>
            <w:tcBorders>
              <w:tl2br w:val="nil"/>
              <w:tr2bl w:val="nil"/>
            </w:tcBorders>
            <w:noWrap w:val="0"/>
            <w:vAlign w:val="center"/>
          </w:tcPr>
          <w:p w14:paraId="3B07BE09">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color w:val="auto"/>
                <w:sz w:val="21"/>
                <w:szCs w:val="21"/>
                <w:highlight w:val="none"/>
                <w:lang w:val="en-US" w:eastAsia="zh-CN"/>
              </w:rPr>
              <w:t>夜间</w:t>
            </w:r>
          </w:p>
        </w:tc>
        <w:tc>
          <w:tcPr>
            <w:tcW w:w="286" w:type="pct"/>
            <w:tcBorders>
              <w:tl2br w:val="nil"/>
              <w:tr2bl w:val="nil"/>
            </w:tcBorders>
            <w:noWrap w:val="0"/>
            <w:vAlign w:val="center"/>
          </w:tcPr>
          <w:p w14:paraId="0A3AAE26">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rPr>
              <w:t>昼间</w:t>
            </w:r>
          </w:p>
        </w:tc>
        <w:tc>
          <w:tcPr>
            <w:tcW w:w="286" w:type="pct"/>
            <w:tcBorders>
              <w:tl2br w:val="nil"/>
              <w:tr2bl w:val="nil"/>
            </w:tcBorders>
            <w:noWrap w:val="0"/>
            <w:vAlign w:val="center"/>
          </w:tcPr>
          <w:p w14:paraId="33DC03A6">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color w:val="auto"/>
                <w:sz w:val="21"/>
                <w:szCs w:val="21"/>
                <w:highlight w:val="none"/>
                <w:lang w:val="en-US" w:eastAsia="zh-CN"/>
              </w:rPr>
              <w:t>夜间</w:t>
            </w:r>
          </w:p>
        </w:tc>
        <w:tc>
          <w:tcPr>
            <w:tcW w:w="370" w:type="pct"/>
            <w:tcBorders>
              <w:tl2br w:val="nil"/>
              <w:tr2bl w:val="nil"/>
            </w:tcBorders>
            <w:noWrap w:val="0"/>
            <w:vAlign w:val="center"/>
          </w:tcPr>
          <w:p w14:paraId="5739A30D">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昼间</w:t>
            </w:r>
          </w:p>
        </w:tc>
        <w:tc>
          <w:tcPr>
            <w:tcW w:w="370" w:type="pct"/>
            <w:tcBorders>
              <w:tl2br w:val="nil"/>
              <w:tr2bl w:val="nil"/>
            </w:tcBorders>
            <w:noWrap w:val="0"/>
            <w:vAlign w:val="center"/>
          </w:tcPr>
          <w:p w14:paraId="4DDFF6F3">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color w:val="auto"/>
                <w:sz w:val="21"/>
                <w:szCs w:val="21"/>
                <w:highlight w:val="none"/>
                <w:lang w:val="en-US" w:eastAsia="zh-CN"/>
              </w:rPr>
              <w:t>夜间</w:t>
            </w:r>
          </w:p>
        </w:tc>
        <w:tc>
          <w:tcPr>
            <w:tcW w:w="286" w:type="pct"/>
            <w:tcBorders>
              <w:tl2br w:val="nil"/>
              <w:tr2bl w:val="nil"/>
            </w:tcBorders>
            <w:noWrap w:val="0"/>
            <w:vAlign w:val="center"/>
          </w:tcPr>
          <w:p w14:paraId="485B69AB">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昼间</w:t>
            </w:r>
          </w:p>
        </w:tc>
        <w:tc>
          <w:tcPr>
            <w:tcW w:w="286" w:type="pct"/>
            <w:tcBorders>
              <w:tl2br w:val="nil"/>
              <w:tr2bl w:val="nil"/>
            </w:tcBorders>
            <w:noWrap w:val="0"/>
            <w:vAlign w:val="center"/>
          </w:tcPr>
          <w:p w14:paraId="342E99EB">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color w:val="auto"/>
                <w:sz w:val="21"/>
                <w:szCs w:val="21"/>
                <w:highlight w:val="none"/>
                <w:lang w:val="en-US" w:eastAsia="zh-CN"/>
              </w:rPr>
              <w:t>夜间</w:t>
            </w:r>
          </w:p>
        </w:tc>
        <w:tc>
          <w:tcPr>
            <w:tcW w:w="286" w:type="pct"/>
            <w:tcBorders>
              <w:tl2br w:val="nil"/>
              <w:tr2bl w:val="nil"/>
            </w:tcBorders>
            <w:noWrap w:val="0"/>
            <w:vAlign w:val="center"/>
          </w:tcPr>
          <w:p w14:paraId="3DD77984">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昼间</w:t>
            </w:r>
          </w:p>
        </w:tc>
        <w:tc>
          <w:tcPr>
            <w:tcW w:w="286" w:type="pct"/>
            <w:tcBorders>
              <w:tl2br w:val="nil"/>
              <w:tr2bl w:val="nil"/>
            </w:tcBorders>
            <w:noWrap w:val="0"/>
            <w:vAlign w:val="center"/>
          </w:tcPr>
          <w:p w14:paraId="4FDFA2FA">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color w:val="auto"/>
                <w:sz w:val="21"/>
                <w:szCs w:val="21"/>
                <w:highlight w:val="none"/>
                <w:lang w:val="en-US" w:eastAsia="zh-CN"/>
              </w:rPr>
              <w:t>夜间</w:t>
            </w:r>
          </w:p>
        </w:tc>
        <w:tc>
          <w:tcPr>
            <w:tcW w:w="342" w:type="pct"/>
            <w:tcBorders>
              <w:tl2br w:val="nil"/>
              <w:tr2bl w:val="nil"/>
            </w:tcBorders>
            <w:noWrap w:val="0"/>
            <w:vAlign w:val="center"/>
          </w:tcPr>
          <w:p w14:paraId="2843387F">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昼间</w:t>
            </w:r>
          </w:p>
        </w:tc>
        <w:tc>
          <w:tcPr>
            <w:tcW w:w="343" w:type="pct"/>
            <w:tcBorders>
              <w:tl2br w:val="nil"/>
              <w:tr2bl w:val="nil"/>
            </w:tcBorders>
            <w:noWrap w:val="0"/>
            <w:vAlign w:val="center"/>
          </w:tcPr>
          <w:p w14:paraId="694658A0">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color w:val="auto"/>
                <w:sz w:val="21"/>
                <w:szCs w:val="21"/>
                <w:highlight w:val="none"/>
                <w:lang w:val="en-US" w:eastAsia="zh-CN"/>
              </w:rPr>
              <w:t>夜间</w:t>
            </w:r>
          </w:p>
        </w:tc>
      </w:tr>
      <w:tr w14:paraId="06C216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686" w:type="pct"/>
            <w:tcBorders>
              <w:tl2br w:val="nil"/>
              <w:tr2bl w:val="nil"/>
            </w:tcBorders>
            <w:shd w:val="clear" w:color="auto" w:fill="auto"/>
            <w:noWrap w:val="0"/>
            <w:vAlign w:val="center"/>
          </w:tcPr>
          <w:p w14:paraId="79339A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张达屯</w:t>
            </w:r>
          </w:p>
        </w:tc>
        <w:tc>
          <w:tcPr>
            <w:tcW w:w="297" w:type="pct"/>
            <w:tcBorders>
              <w:tl2br w:val="nil"/>
              <w:tr2bl w:val="nil"/>
            </w:tcBorders>
            <w:shd w:val="clear" w:color="auto" w:fill="auto"/>
            <w:noWrap w:val="0"/>
            <w:vAlign w:val="center"/>
          </w:tcPr>
          <w:p w14:paraId="0825CFDF">
            <w:pPr>
              <w:pStyle w:val="35"/>
              <w:keepNext w:val="0"/>
              <w:keepLines w:val="0"/>
              <w:suppressLineNumbers w:val="0"/>
              <w:autoSpaceDE w:val="0"/>
              <w:autoSpaceDN w:val="0"/>
              <w:spacing w:before="0" w:beforeAutospacing="0" w:after="0" w:afterAutospacing="0" w:line="240" w:lineRule="auto"/>
              <w:ind w:left="0" w:right="0"/>
              <w:jc w:val="center"/>
              <w:textAlignment w:val="bottom"/>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cs="Times New Roman"/>
                <w:color w:val="auto"/>
                <w:spacing w:val="20"/>
                <w:kern w:val="2"/>
                <w:sz w:val="21"/>
                <w:szCs w:val="21"/>
                <w:highlight w:val="none"/>
                <w:lang w:val="en-US" w:eastAsia="zh-CN" w:bidi="ar-SA"/>
              </w:rPr>
              <w:t>51</w:t>
            </w:r>
          </w:p>
        </w:tc>
        <w:tc>
          <w:tcPr>
            <w:tcW w:w="286" w:type="pct"/>
            <w:tcBorders>
              <w:tl2br w:val="nil"/>
              <w:tr2bl w:val="nil"/>
            </w:tcBorders>
            <w:shd w:val="clear" w:color="auto" w:fill="auto"/>
            <w:noWrap w:val="0"/>
            <w:vAlign w:val="center"/>
          </w:tcPr>
          <w:p w14:paraId="5D81A6C4">
            <w:pPr>
              <w:pStyle w:val="32"/>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kern w:val="2"/>
                <w:sz w:val="21"/>
                <w:szCs w:val="21"/>
                <w:highlight w:val="none"/>
                <w:lang w:val="en-US" w:eastAsia="zh-CN" w:bidi="ar-SA"/>
              </w:rPr>
              <w:t>39</w:t>
            </w:r>
          </w:p>
        </w:tc>
        <w:tc>
          <w:tcPr>
            <w:tcW w:w="552" w:type="dxa"/>
            <w:tcBorders>
              <w:tl2br w:val="nil"/>
              <w:tr2bl w:val="nil"/>
            </w:tcBorders>
            <w:shd w:val="clear" w:color="auto" w:fill="auto"/>
            <w:noWrap w:val="0"/>
            <w:vAlign w:val="center"/>
          </w:tcPr>
          <w:p w14:paraId="35B209EA">
            <w:pPr>
              <w:pStyle w:val="35"/>
              <w:keepNext w:val="0"/>
              <w:keepLines w:val="0"/>
              <w:suppressLineNumbers w:val="0"/>
              <w:autoSpaceDE w:val="0"/>
              <w:autoSpaceDN w:val="0"/>
              <w:spacing w:before="0" w:beforeAutospacing="0" w:after="0" w:afterAutospacing="0" w:line="240" w:lineRule="auto"/>
              <w:ind w:left="0" w:leftChars="0" w:right="0" w:rightChars="0"/>
              <w:jc w:val="center"/>
              <w:textAlignment w:val="bottom"/>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cs="Times New Roman"/>
                <w:color w:val="auto"/>
                <w:spacing w:val="20"/>
                <w:kern w:val="2"/>
                <w:sz w:val="21"/>
                <w:szCs w:val="21"/>
                <w:highlight w:val="none"/>
                <w:lang w:val="en-US" w:eastAsia="zh-CN" w:bidi="ar-SA"/>
              </w:rPr>
              <w:t>51</w:t>
            </w:r>
          </w:p>
        </w:tc>
        <w:tc>
          <w:tcPr>
            <w:tcW w:w="532" w:type="dxa"/>
            <w:tcBorders>
              <w:tl2br w:val="nil"/>
              <w:tr2bl w:val="nil"/>
            </w:tcBorders>
            <w:shd w:val="clear" w:color="auto" w:fill="auto"/>
            <w:noWrap w:val="0"/>
            <w:vAlign w:val="center"/>
          </w:tcPr>
          <w:p w14:paraId="37BE70A7">
            <w:pPr>
              <w:pStyle w:val="32"/>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kern w:val="2"/>
                <w:sz w:val="21"/>
                <w:szCs w:val="21"/>
                <w:highlight w:val="none"/>
                <w:lang w:val="en-US" w:eastAsia="zh-CN" w:bidi="ar-SA"/>
              </w:rPr>
              <w:t>39</w:t>
            </w:r>
          </w:p>
        </w:tc>
        <w:tc>
          <w:tcPr>
            <w:tcW w:w="286" w:type="pct"/>
            <w:tcBorders>
              <w:tl2br w:val="nil"/>
              <w:tr2bl w:val="nil"/>
            </w:tcBorders>
            <w:shd w:val="clear" w:color="auto" w:fill="auto"/>
            <w:noWrap w:val="0"/>
            <w:vAlign w:val="center"/>
          </w:tcPr>
          <w:p w14:paraId="6F5FF8D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60</w:t>
            </w:r>
          </w:p>
        </w:tc>
        <w:tc>
          <w:tcPr>
            <w:tcW w:w="286" w:type="pct"/>
            <w:tcBorders>
              <w:tl2br w:val="nil"/>
              <w:tr2bl w:val="nil"/>
            </w:tcBorders>
            <w:shd w:val="clear" w:color="auto" w:fill="auto"/>
            <w:noWrap w:val="0"/>
            <w:vAlign w:val="center"/>
          </w:tcPr>
          <w:p w14:paraId="47E0EB69">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w:t>
            </w:r>
          </w:p>
        </w:tc>
        <w:tc>
          <w:tcPr>
            <w:tcW w:w="370" w:type="pct"/>
            <w:tcBorders>
              <w:tl2br w:val="nil"/>
              <w:tr2bl w:val="nil"/>
            </w:tcBorders>
            <w:shd w:val="clear" w:color="auto" w:fill="auto"/>
            <w:noWrap w:val="0"/>
            <w:vAlign w:val="center"/>
          </w:tcPr>
          <w:p w14:paraId="3FECEC8D">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kern w:val="0"/>
                <w:sz w:val="21"/>
                <w:szCs w:val="21"/>
                <w:highlight w:val="none"/>
                <w:lang w:val="en-US" w:eastAsia="zh-CN" w:bidi="ar-SA"/>
              </w:rPr>
              <w:t>13.09</w:t>
            </w:r>
          </w:p>
        </w:tc>
        <w:tc>
          <w:tcPr>
            <w:tcW w:w="370" w:type="pct"/>
            <w:tcBorders>
              <w:tl2br w:val="nil"/>
              <w:tr2bl w:val="nil"/>
            </w:tcBorders>
            <w:shd w:val="clear" w:color="auto" w:fill="auto"/>
            <w:noWrap w:val="0"/>
            <w:vAlign w:val="center"/>
          </w:tcPr>
          <w:p w14:paraId="0925EC47">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kern w:val="0"/>
                <w:sz w:val="21"/>
                <w:szCs w:val="21"/>
                <w:highlight w:val="none"/>
                <w:lang w:val="en-US" w:eastAsia="zh-CN" w:bidi="ar-SA"/>
              </w:rPr>
              <w:t>13.09</w:t>
            </w:r>
          </w:p>
        </w:tc>
        <w:tc>
          <w:tcPr>
            <w:tcW w:w="286" w:type="pct"/>
            <w:tcBorders>
              <w:tl2br w:val="nil"/>
              <w:tr2bl w:val="nil"/>
            </w:tcBorders>
            <w:shd w:val="clear" w:color="auto" w:fill="auto"/>
            <w:noWrap w:val="0"/>
            <w:vAlign w:val="center"/>
          </w:tcPr>
          <w:p w14:paraId="035BED39">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kern w:val="0"/>
                <w:sz w:val="21"/>
                <w:szCs w:val="21"/>
                <w:highlight w:val="none"/>
                <w:lang w:val="en-US" w:eastAsia="zh-CN" w:bidi="ar-SA"/>
              </w:rPr>
              <w:t>51</w:t>
            </w:r>
          </w:p>
        </w:tc>
        <w:tc>
          <w:tcPr>
            <w:tcW w:w="286" w:type="pct"/>
            <w:tcBorders>
              <w:tl2br w:val="nil"/>
              <w:tr2bl w:val="nil"/>
            </w:tcBorders>
            <w:shd w:val="clear" w:color="auto" w:fill="auto"/>
            <w:noWrap w:val="0"/>
            <w:vAlign w:val="center"/>
          </w:tcPr>
          <w:p w14:paraId="45F38865">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39.01</w:t>
            </w:r>
          </w:p>
        </w:tc>
        <w:tc>
          <w:tcPr>
            <w:tcW w:w="286" w:type="pct"/>
            <w:tcBorders>
              <w:tl2br w:val="nil"/>
              <w:tr2bl w:val="nil"/>
            </w:tcBorders>
            <w:shd w:val="clear" w:color="auto" w:fill="auto"/>
            <w:noWrap w:val="0"/>
            <w:vAlign w:val="center"/>
          </w:tcPr>
          <w:p w14:paraId="7B09B258">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0</w:t>
            </w:r>
          </w:p>
        </w:tc>
        <w:tc>
          <w:tcPr>
            <w:tcW w:w="286" w:type="pct"/>
            <w:tcBorders>
              <w:tl2br w:val="nil"/>
              <w:tr2bl w:val="nil"/>
            </w:tcBorders>
            <w:shd w:val="clear" w:color="auto" w:fill="auto"/>
            <w:noWrap w:val="0"/>
            <w:vAlign w:val="center"/>
          </w:tcPr>
          <w:p w14:paraId="7331E58D">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+0.01</w:t>
            </w:r>
          </w:p>
        </w:tc>
        <w:tc>
          <w:tcPr>
            <w:tcW w:w="342" w:type="pct"/>
            <w:tcBorders>
              <w:tl2br w:val="nil"/>
              <w:tr2bl w:val="nil"/>
            </w:tcBorders>
            <w:shd w:val="clear" w:color="auto" w:fill="auto"/>
            <w:noWrap w:val="0"/>
            <w:vAlign w:val="center"/>
          </w:tcPr>
          <w:p w14:paraId="7729B7E6">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cs="Times New Roman"/>
                <w:b w:val="0"/>
                <w:bCs w:val="0"/>
                <w:color w:val="auto"/>
                <w:sz w:val="21"/>
                <w:szCs w:val="21"/>
                <w:highlight w:val="none"/>
                <w:lang w:eastAsia="zh-CN"/>
              </w:rPr>
              <w:t>达标</w:t>
            </w:r>
          </w:p>
        </w:tc>
        <w:tc>
          <w:tcPr>
            <w:tcW w:w="343" w:type="pct"/>
            <w:tcBorders>
              <w:tl2br w:val="nil"/>
              <w:tr2bl w:val="nil"/>
            </w:tcBorders>
            <w:shd w:val="clear" w:color="auto" w:fill="auto"/>
            <w:noWrap w:val="0"/>
            <w:vAlign w:val="center"/>
          </w:tcPr>
          <w:p w14:paraId="421439ED">
            <w:pPr>
              <w:pStyle w:val="87"/>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textAlignment w:val="auto"/>
              <w:rPr>
                <w:rFonts w:hint="default" w:ascii="Times New Roman" w:hAnsi="Times New Roman"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eastAsia="zh-CN"/>
              </w:rPr>
              <w:t>达标</w:t>
            </w:r>
          </w:p>
        </w:tc>
      </w:tr>
    </w:tbl>
    <w:p w14:paraId="375722AD">
      <w:pPr>
        <w:jc w:val="center"/>
        <w:rPr>
          <w:rFonts w:hint="default" w:ascii="Times New Roman" w:hAnsi="Times New Roman" w:cs="Times New Roman"/>
          <w:b/>
          <w:bCs/>
          <w:color w:val="FF0000"/>
          <w:sz w:val="24"/>
          <w:szCs w:val="24"/>
          <w:highlight w:val="none"/>
        </w:rPr>
      </w:pPr>
    </w:p>
    <w:p w14:paraId="74B9A62D">
      <w:pPr>
        <w:jc w:val="center"/>
        <w:rPr>
          <w:rFonts w:hint="default" w:ascii="Times New Roman" w:hAnsi="Times New Roman" w:cs="Times New Roman"/>
          <w:b/>
          <w:bCs/>
          <w:color w:val="FF0000"/>
          <w:sz w:val="24"/>
          <w:szCs w:val="24"/>
          <w:highlight w:val="none"/>
        </w:rPr>
      </w:pPr>
    </w:p>
    <w:p w14:paraId="4C20918E">
      <w:pPr>
        <w:bidi w:val="0"/>
        <w:jc w:val="center"/>
        <w:rPr>
          <w:rFonts w:hint="default"/>
          <w:lang w:eastAsia="zh-CN"/>
        </w:rPr>
      </w:pPr>
      <w:r>
        <w:drawing>
          <wp:inline distT="0" distB="0" distL="114300" distR="114300">
            <wp:extent cx="4928235" cy="3471545"/>
            <wp:effectExtent l="0" t="0" r="5715" b="14605"/>
            <wp:docPr id="5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5"/>
                    <pic:cNvPicPr>
                      <a:picLocks noChangeAspect="1"/>
                    </pic:cNvPicPr>
                  </pic:nvPicPr>
                  <pic:blipFill>
                    <a:blip r:embed="rId107"/>
                    <a:stretch>
                      <a:fillRect/>
                    </a:stretch>
                  </pic:blipFill>
                  <pic:spPr>
                    <a:xfrm>
                      <a:off x="0" y="0"/>
                      <a:ext cx="4928235" cy="3471545"/>
                    </a:xfrm>
                    <a:prstGeom prst="rect">
                      <a:avLst/>
                    </a:prstGeom>
                    <a:noFill/>
                    <a:ln>
                      <a:noFill/>
                    </a:ln>
                  </pic:spPr>
                </pic:pic>
              </a:graphicData>
            </a:graphic>
          </wp:inline>
        </w:drawing>
      </w:r>
    </w:p>
    <w:p w14:paraId="702A85CD">
      <w:pPr>
        <w:pStyle w:val="44"/>
        <w:keepNext/>
        <w:keepLines w:val="0"/>
        <w:pageBreakBefore w:val="0"/>
        <w:widowControl w:val="0"/>
        <w:tabs>
          <w:tab w:val="left" w:pos="567"/>
          <w:tab w:val="clear" w:pos="1120"/>
        </w:tabs>
        <w:kinsoku/>
        <w:wordWrap/>
        <w:overflowPunct/>
        <w:topLinePunct w:val="0"/>
        <w:autoSpaceDE/>
        <w:autoSpaceDN/>
        <w:bidi w:val="0"/>
        <w:adjustRightInd/>
        <w:snapToGrid/>
        <w:spacing w:line="240" w:lineRule="auto"/>
        <w:ind w:right="0"/>
        <w:textAlignment w:val="auto"/>
        <w:rPr>
          <w:rFonts w:hint="default" w:ascii="Times New Roman" w:hAnsi="Times New Roman" w:cs="Times New Roman"/>
          <w:color w:val="auto"/>
          <w:lang w:eastAsia="zh-CN"/>
        </w:rPr>
      </w:pPr>
      <w:r>
        <w:rPr>
          <w:rFonts w:hint="default" w:ascii="Times New Roman" w:hAnsi="Times New Roman" w:cs="Times New Roman"/>
          <w:color w:val="auto"/>
          <w:lang w:eastAsia="zh-CN"/>
        </w:rPr>
        <w:t>图</w:t>
      </w:r>
      <w:r>
        <w:rPr>
          <w:rFonts w:hint="eastAsia" w:ascii="Times New Roman" w:hAnsi="Times New Roman" w:cs="Times New Roman"/>
          <w:color w:val="auto"/>
          <w:lang w:val="en-US" w:eastAsia="zh-CN"/>
        </w:rPr>
        <w:t>5.2</w:t>
      </w:r>
      <w:r>
        <w:rPr>
          <w:rFonts w:hint="default" w:ascii="Times New Roman" w:hAnsi="Times New Roman" w:cs="Times New Roman"/>
          <w:color w:val="auto"/>
          <w:lang w:eastAsia="zh-CN"/>
        </w:rPr>
        <w:t>-</w:t>
      </w:r>
      <w:r>
        <w:rPr>
          <w:rFonts w:hint="eastAsia" w:ascii="Times New Roman" w:hAnsi="Times New Roman" w:cs="Times New Roman"/>
          <w:color w:val="auto"/>
          <w:lang w:val="en-US" w:eastAsia="zh-CN"/>
        </w:rPr>
        <w:t>1</w:t>
      </w:r>
      <w:r>
        <w:rPr>
          <w:rFonts w:hint="eastAsia" w:cs="Times New Roman"/>
          <w:color w:val="auto"/>
          <w:lang w:val="en-US" w:eastAsia="zh-CN"/>
        </w:rPr>
        <w:t xml:space="preserve"> </w:t>
      </w:r>
      <w:r>
        <w:rPr>
          <w:rFonts w:hint="default" w:ascii="Times New Roman" w:hAnsi="Times New Roman" w:cs="Times New Roman"/>
          <w:color w:val="auto"/>
          <w:lang w:eastAsia="zh-CN"/>
        </w:rPr>
        <w:t>噪声预测等值声线图</w:t>
      </w:r>
    </w:p>
    <w:p w14:paraId="17F0EA9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由预测结果可知，本项目运营期</w:t>
      </w:r>
      <w:r>
        <w:rPr>
          <w:rFonts w:hint="eastAsia" w:ascii="Times New Roman" w:hAnsi="Times New Roman" w:cs="Times New Roman"/>
          <w:color w:val="auto"/>
          <w:sz w:val="24"/>
          <w:szCs w:val="24"/>
          <w:lang w:val="en-US" w:eastAsia="zh-CN"/>
        </w:rPr>
        <w:t>厂界噪声</w:t>
      </w:r>
      <w:r>
        <w:rPr>
          <w:rFonts w:hint="default" w:ascii="Times New Roman" w:hAnsi="Times New Roman" w:cs="Times New Roman"/>
          <w:color w:val="auto"/>
          <w:sz w:val="24"/>
          <w:szCs w:val="24"/>
          <w:lang w:eastAsia="zh-CN"/>
        </w:rPr>
        <w:t>均可满足《工业企业厂界环境噪声排放标准》（GB12348-2008）2类标准要求，</w:t>
      </w:r>
      <w:r>
        <w:rPr>
          <w:rFonts w:hint="eastAsia" w:ascii="Times New Roman" w:hAnsi="Times New Roman" w:cs="Times New Roman"/>
          <w:color w:val="auto"/>
          <w:sz w:val="24"/>
          <w:szCs w:val="24"/>
          <w:lang w:val="en-US" w:eastAsia="zh-CN"/>
        </w:rPr>
        <w:t>保护目标</w:t>
      </w:r>
      <w:r>
        <w:rPr>
          <w:rFonts w:hint="default" w:ascii="Times New Roman" w:hAnsi="Times New Roman" w:cs="Times New Roman"/>
          <w:color w:val="auto"/>
          <w:sz w:val="24"/>
          <w:szCs w:val="24"/>
          <w:lang w:eastAsia="zh-CN"/>
        </w:rPr>
        <w:t>声环境满足《声环境质量标准》（GB3096-2008）2类标准，因此，项目产生的噪声对环境影响较小。</w:t>
      </w:r>
    </w:p>
    <w:p w14:paraId="277310F3">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2</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4地下水环境</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影响分析</w:t>
      </w:r>
    </w:p>
    <w:p w14:paraId="2BDD4594">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5.2.4.1</w:t>
      </w:r>
      <w:r>
        <w:rPr>
          <w:rFonts w:hint="default" w:ascii="Times New Roman" w:hAnsi="Times New Roman" w:eastAsia="宋体" w:cs="Times New Roman"/>
          <w:b/>
          <w:bCs/>
          <w:color w:val="auto"/>
          <w:sz w:val="28"/>
          <w:szCs w:val="28"/>
          <w:lang w:val="en-US" w:eastAsia="zh-CN"/>
        </w:rPr>
        <w:t>非正常工况下地下水环境影响预测分析</w:t>
      </w:r>
    </w:p>
    <w:p w14:paraId="0739F08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val="en-US" w:eastAsia="zh-CN"/>
        </w:rPr>
        <w:t>预测范围</w:t>
      </w:r>
    </w:p>
    <w:p w14:paraId="0A7D319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本项目地下水预测范围与调查评价范围一致</w:t>
      </w:r>
      <w:r>
        <w:rPr>
          <w:rFonts w:hint="default" w:ascii="Times New Roman" w:hAnsi="Times New Roman" w:cs="Times New Roman"/>
          <w:color w:val="auto"/>
          <w:sz w:val="24"/>
          <w:szCs w:val="24"/>
          <w:highlight w:val="none"/>
        </w:rPr>
        <w:t>。</w:t>
      </w:r>
    </w:p>
    <w:p w14:paraId="7176C48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预测时段</w:t>
      </w:r>
    </w:p>
    <w:p w14:paraId="268404C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根据《环境影响评价技术导则 地下水环境》（HJ610-2016）“地下水环境影响预测时段应选取可能产生地下水污染的关键时段，至少包括污染发生后100d、1000d，服务年限或能反映特征因子迁移规律的其他重要的时间节点”，本项目地下水流向下游无环境保护目标，故本项目预测时段确定为100天、1000天</w:t>
      </w:r>
      <w:r>
        <w:rPr>
          <w:rFonts w:hint="eastAsia"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lang w:val="en-US" w:eastAsia="zh-CN"/>
        </w:rPr>
        <w:t>000天。</w:t>
      </w:r>
    </w:p>
    <w:p w14:paraId="14CC6BC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lang w:val="en-US" w:eastAsia="zh-CN"/>
        </w:rPr>
        <w:t>污染途径</w:t>
      </w:r>
    </w:p>
    <w:p w14:paraId="4CFA6AE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污染物对地下水的影响主要是由于降雨或废水排放等通过垂直渗透进入包气带，进入包气带的污染物在物理、化学和生物作用下经吸附、转化、迁移和分解后输入地下水。因此，包气带是连接地面污染物与地下含水层的主要通道和过渡带，既是污染物媒介体，又是污染物的净化场所和防护层。一般说来，土壤粒细而紧密，渗透性差，则污染慢；反之，颗粒大松散，渗透性能良好则污染重。本项目污染物对地下水污染途径主要为</w:t>
      </w:r>
      <w:r>
        <w:rPr>
          <w:rFonts w:hint="eastAsia" w:ascii="Times New Roman" w:hAnsi="Times New Roman" w:cs="Times New Roman"/>
          <w:color w:val="auto"/>
          <w:sz w:val="24"/>
          <w:szCs w:val="24"/>
          <w:highlight w:val="none"/>
          <w:lang w:val="en-US" w:eastAsia="zh-CN"/>
        </w:rPr>
        <w:t>水帘喷漆循环水池池底</w:t>
      </w:r>
      <w:r>
        <w:rPr>
          <w:rFonts w:hint="default" w:ascii="Times New Roman" w:hAnsi="Times New Roman" w:cs="Times New Roman"/>
          <w:color w:val="auto"/>
          <w:sz w:val="24"/>
          <w:szCs w:val="24"/>
          <w:highlight w:val="none"/>
          <w:lang w:val="en-US" w:eastAsia="zh-CN"/>
        </w:rPr>
        <w:t>破裂同时下部地面防渗层破损导致地下水污染。</w:t>
      </w:r>
    </w:p>
    <w:p w14:paraId="1F5CA54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lang w:val="en-US" w:eastAsia="zh-CN"/>
        </w:rPr>
        <w:t>预测因子</w:t>
      </w:r>
      <w:r>
        <w:rPr>
          <w:rFonts w:hint="eastAsia" w:ascii="Times New Roman" w:hAnsi="Times New Roman" w:cs="Times New Roman"/>
          <w:color w:val="auto"/>
          <w:sz w:val="24"/>
          <w:szCs w:val="24"/>
          <w:highlight w:val="none"/>
          <w:lang w:val="en-US" w:eastAsia="zh-CN"/>
        </w:rPr>
        <w:t>及源强计算</w:t>
      </w:r>
    </w:p>
    <w:p w14:paraId="117437E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（1）预测因子</w:t>
      </w:r>
    </w:p>
    <w:p w14:paraId="6E398E1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由于有机物最终都换算成COD，因此本项目的主要污染因子为COD。虽然COD在地表含量较高，但实验数据显示进入地下水后含量极低，基本被沿途生物消耗掉，因此我们用高锰酸盐指数替代</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其含量可以反映地下水中有机污染物的大小。在地下水中，一般都用高锰酸盐指数法，因此，模拟和预测污染物在地下水中的迁移扩散时，用高锰酸盐指数代替COD。本项目水帘喷漆循环水池中COD的浓度为20000mg</w:t>
      </w:r>
      <w:r>
        <w:rPr>
          <w:rFonts w:hint="eastAsia" w:ascii="Times New Roman" w:hAnsi="Times New Roman" w:cs="Times New Roman"/>
          <w:color w:val="auto"/>
          <w:sz w:val="24"/>
          <w:szCs w:val="24"/>
          <w:highlight w:val="none"/>
          <w:lang w:val="en-US" w:eastAsia="zh-CN"/>
        </w:rPr>
        <w:t>/L</w:t>
      </w:r>
      <w:r>
        <w:rPr>
          <w:rFonts w:hint="default" w:ascii="Times New Roman" w:hAnsi="Times New Roman" w:cs="Times New Roman"/>
          <w:color w:val="auto"/>
          <w:sz w:val="24"/>
          <w:szCs w:val="24"/>
          <w:highlight w:val="none"/>
          <w:lang w:val="en-US" w:eastAsia="zh-CN"/>
        </w:rPr>
        <w:t>，多年的数据积累表明高锰酸盐指数一般来说是COD的40%~50%</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因此模拟预测时高锰酸盐指数浓度为10000mg</w:t>
      </w:r>
      <w:r>
        <w:rPr>
          <w:rFonts w:hint="eastAsia" w:ascii="Times New Roman" w:hAnsi="Times New Roman" w:cs="Times New Roman"/>
          <w:color w:val="auto"/>
          <w:sz w:val="24"/>
          <w:szCs w:val="24"/>
          <w:highlight w:val="none"/>
          <w:lang w:val="en-US" w:eastAsia="zh-CN"/>
        </w:rPr>
        <w:t>/L</w:t>
      </w:r>
      <w:r>
        <w:rPr>
          <w:rFonts w:hint="default" w:ascii="Times New Roman" w:hAnsi="Times New Roman" w:cs="Times New Roman"/>
          <w:color w:val="auto"/>
          <w:sz w:val="24"/>
          <w:szCs w:val="24"/>
          <w:highlight w:val="none"/>
          <w:lang w:val="en-US" w:eastAsia="zh-CN"/>
        </w:rPr>
        <w:t>。高锰酸盐指数的环境质量标准参考《地下水质量标准》（GB/T14848-2017）中Ⅲ类水质标准，即</w:t>
      </w:r>
      <w:r>
        <w:rPr>
          <w:rFonts w:hint="eastAsia" w:ascii="Times New Roman" w:hAnsi="Times New Roman" w:cs="Times New Roman"/>
          <w:color w:val="auto"/>
          <w:sz w:val="24"/>
          <w:szCs w:val="24"/>
          <w:highlight w:val="none"/>
          <w:lang w:val="en-US" w:eastAsia="zh-CN"/>
        </w:rPr>
        <w:t>3.0</w:t>
      </w:r>
      <w:r>
        <w:rPr>
          <w:rFonts w:hint="default" w:ascii="Times New Roman" w:hAnsi="Times New Roman" w:cs="Times New Roman"/>
          <w:color w:val="auto"/>
          <w:sz w:val="24"/>
          <w:szCs w:val="24"/>
          <w:highlight w:val="none"/>
          <w:lang w:val="en-US" w:eastAsia="zh-CN"/>
        </w:rPr>
        <w:t>mg/L</w:t>
      </w:r>
      <w:r>
        <w:rPr>
          <w:rFonts w:hint="eastAsia" w:ascii="Times New Roman" w:hAnsi="Times New Roman" w:cs="Times New Roman"/>
          <w:color w:val="auto"/>
          <w:sz w:val="24"/>
          <w:szCs w:val="24"/>
          <w:highlight w:val="none"/>
          <w:lang w:val="en-US" w:eastAsia="zh-CN"/>
        </w:rPr>
        <w:t>，检出限为0.05</w:t>
      </w:r>
      <w:r>
        <w:rPr>
          <w:rFonts w:hint="default" w:ascii="Times New Roman" w:hAnsi="Times New Roman" w:cs="Times New Roman"/>
          <w:color w:val="auto"/>
          <w:sz w:val="24"/>
          <w:szCs w:val="24"/>
          <w:highlight w:val="none"/>
          <w:lang w:val="en-US" w:eastAsia="zh-CN"/>
        </w:rPr>
        <w:t>mg/L</w:t>
      </w:r>
      <w:r>
        <w:rPr>
          <w:rFonts w:hint="eastAsia" w:ascii="Times New Roman" w:hAnsi="Times New Roman" w:cs="Times New Roman"/>
          <w:color w:val="auto"/>
          <w:sz w:val="24"/>
          <w:szCs w:val="24"/>
          <w:highlight w:val="none"/>
          <w:lang w:val="en-US" w:eastAsia="zh-CN"/>
        </w:rPr>
        <w:t>。</w:t>
      </w:r>
    </w:p>
    <w:p w14:paraId="5A5197E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（2）预测源强</w:t>
      </w:r>
    </w:p>
    <w:p w14:paraId="1677BFF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本项目预测源强见表5.2-15</w:t>
      </w:r>
      <w:r>
        <w:rPr>
          <w:rFonts w:hint="default" w:ascii="Times New Roman" w:hAnsi="Times New Roman" w:cs="Times New Roman"/>
          <w:color w:val="auto"/>
          <w:sz w:val="24"/>
          <w:szCs w:val="24"/>
          <w:highlight w:val="none"/>
          <w:lang w:val="en-US" w:eastAsia="zh-CN"/>
        </w:rPr>
        <w:t>。</w:t>
      </w:r>
    </w:p>
    <w:p w14:paraId="65AD2409">
      <w:pPr>
        <w:pStyle w:val="44"/>
        <w:bidi w:val="0"/>
        <w:rPr>
          <w:rFonts w:hint="default" w:eastAsia="宋体"/>
          <w:color w:val="auto"/>
          <w:highlight w:val="none"/>
          <w:lang w:val="en-US" w:eastAsia="zh-CN"/>
        </w:rPr>
      </w:pPr>
      <w:r>
        <w:rPr>
          <w:color w:val="auto"/>
          <w:highlight w:val="none"/>
        </w:rPr>
        <w:t>表</w:t>
      </w:r>
      <w:r>
        <w:rPr>
          <w:rFonts w:hint="eastAsia"/>
          <w:color w:val="auto"/>
          <w:highlight w:val="none"/>
          <w:lang w:val="en-US" w:eastAsia="zh-CN"/>
        </w:rPr>
        <w:t>5.2</w:t>
      </w:r>
      <w:r>
        <w:rPr>
          <w:color w:val="auto"/>
          <w:highlight w:val="none"/>
        </w:rPr>
        <w:t>-</w:t>
      </w:r>
      <w:r>
        <w:rPr>
          <w:rFonts w:hint="eastAsia"/>
          <w:color w:val="auto"/>
          <w:highlight w:val="none"/>
          <w:lang w:val="en-US" w:eastAsia="zh-CN"/>
        </w:rPr>
        <w:t>15  地下水污染源强核算表</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18"/>
        <w:gridCol w:w="1326"/>
        <w:gridCol w:w="1326"/>
        <w:gridCol w:w="1989"/>
        <w:gridCol w:w="2323"/>
      </w:tblGrid>
      <w:tr w14:paraId="527B0A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8" w:type="pct"/>
            <w:noWrap w:val="0"/>
            <w:vAlign w:val="center"/>
          </w:tcPr>
          <w:p w14:paraId="432B783A">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污染源</w:t>
            </w:r>
          </w:p>
        </w:tc>
        <w:tc>
          <w:tcPr>
            <w:tcW w:w="714" w:type="pct"/>
            <w:noWrap w:val="0"/>
            <w:vAlign w:val="center"/>
          </w:tcPr>
          <w:p w14:paraId="2BBE3494">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714" w:type="pct"/>
            <w:noWrap w:val="0"/>
            <w:vAlign w:val="center"/>
          </w:tcPr>
          <w:p w14:paraId="7FC9568D">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泄漏量</w:t>
            </w:r>
          </w:p>
        </w:tc>
        <w:tc>
          <w:tcPr>
            <w:tcW w:w="1071" w:type="pct"/>
            <w:noWrap w:val="0"/>
            <w:vAlign w:val="center"/>
          </w:tcPr>
          <w:p w14:paraId="4142262D">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污染物浓度</w:t>
            </w:r>
          </w:p>
        </w:tc>
        <w:tc>
          <w:tcPr>
            <w:tcW w:w="1251" w:type="pct"/>
            <w:noWrap w:val="0"/>
            <w:vAlign w:val="center"/>
          </w:tcPr>
          <w:p w14:paraId="0687F211">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污染物渗漏量</w:t>
            </w:r>
          </w:p>
        </w:tc>
      </w:tr>
      <w:tr w14:paraId="2BFE6E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8" w:type="pct"/>
            <w:noWrap w:val="0"/>
            <w:vAlign w:val="center"/>
          </w:tcPr>
          <w:p w14:paraId="53BC5329">
            <w:pPr>
              <w:pStyle w:val="37"/>
              <w:bidi w:val="0"/>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水帘喷漆循环水池</w:t>
            </w:r>
          </w:p>
        </w:tc>
        <w:tc>
          <w:tcPr>
            <w:tcW w:w="714" w:type="pct"/>
            <w:noWrap w:val="0"/>
            <w:vAlign w:val="center"/>
          </w:tcPr>
          <w:p w14:paraId="0AF14707">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COD</w:t>
            </w:r>
            <w:r>
              <w:rPr>
                <w:rFonts w:hint="default" w:ascii="Times New Roman" w:hAnsi="Times New Roman" w:cs="Times New Roman"/>
                <w:color w:val="auto"/>
                <w:sz w:val="21"/>
                <w:szCs w:val="21"/>
                <w:highlight w:val="none"/>
                <w:vertAlign w:val="subscript"/>
                <w:lang w:val="en-US" w:eastAsia="zh-CN"/>
              </w:rPr>
              <w:t>Mn</w:t>
            </w:r>
          </w:p>
        </w:tc>
        <w:tc>
          <w:tcPr>
            <w:tcW w:w="714" w:type="pct"/>
            <w:noWrap w:val="0"/>
            <w:vAlign w:val="center"/>
          </w:tcPr>
          <w:p w14:paraId="50EE9ACC">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400L/d</w:t>
            </w:r>
          </w:p>
        </w:tc>
        <w:tc>
          <w:tcPr>
            <w:tcW w:w="1071" w:type="pct"/>
            <w:noWrap w:val="0"/>
            <w:vAlign w:val="center"/>
          </w:tcPr>
          <w:p w14:paraId="678F15A9">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10000</w:t>
            </w:r>
            <w:r>
              <w:rPr>
                <w:rFonts w:hint="default" w:ascii="Times New Roman" w:hAnsi="Times New Roman" w:cs="Times New Roman"/>
                <w:color w:val="auto"/>
                <w:sz w:val="21"/>
                <w:szCs w:val="21"/>
                <w:highlight w:val="none"/>
              </w:rPr>
              <w:t>mg/L</w:t>
            </w:r>
          </w:p>
        </w:tc>
        <w:tc>
          <w:tcPr>
            <w:tcW w:w="1251" w:type="pct"/>
            <w:noWrap w:val="0"/>
            <w:vAlign w:val="center"/>
          </w:tcPr>
          <w:p w14:paraId="69446039">
            <w:pPr>
              <w:pStyle w:val="37"/>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4kg/d</w:t>
            </w:r>
          </w:p>
        </w:tc>
      </w:tr>
    </w:tbl>
    <w:p w14:paraId="3C66E62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5、预测方法</w:t>
      </w:r>
    </w:p>
    <w:p w14:paraId="769C606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项目地下水环境影响评价等级为三级，可采用解析法进行预测，水文地质条件复杂程度为简单，由于项目非正常工况发生渗漏事故时间较短，项目预测采用《环境影响评价技术导则 地下水环境》（HJ610-2016）推荐的一维稳定流动一维水动力弥散解析模式进行预测。</w:t>
      </w:r>
    </w:p>
    <w:p w14:paraId="3775125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短时（连续1天）注入污染物的一维解析计算公式如下：</w:t>
      </w:r>
    </w:p>
    <w:p w14:paraId="5DF3877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object>
          <v:shape id="_x0000_i1052" o:spt="75" type="#_x0000_t75" style="height:51.75pt;width:258.75pt;" o:ole="t" filled="f" o:preferrelative="t" stroked="f" coordsize="21600,21600">
            <v:path/>
            <v:fill on="f" focussize="0,0"/>
            <v:stroke on="f"/>
            <v:imagedata r:id="rId109" o:title=""/>
            <o:lock v:ext="edit" aspectratio="t"/>
            <w10:wrap type="none"/>
            <w10:anchorlock/>
          </v:shape>
          <o:OLEObject Type="Embed" ProgID="Equation.KSEE3" ShapeID="_x0000_i1052" DrawAspect="Content" ObjectID="_1468075752" r:id="rId108">
            <o:LockedField>false</o:LockedField>
          </o:OLEObject>
        </w:object>
      </w:r>
    </w:p>
    <w:p w14:paraId="1302BCC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式中：</w:t>
      </w:r>
    </w:p>
    <w:p w14:paraId="20F85FD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 xml:space="preserve">x—距注入点的距离，m； </w:t>
      </w:r>
    </w:p>
    <w:p w14:paraId="34B818A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t—时间，d；</w:t>
      </w:r>
    </w:p>
    <w:p w14:paraId="2154EA1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C（x，t）—t时刻点x处的示踪剂浓度，mg/L；</w:t>
      </w:r>
    </w:p>
    <w:p w14:paraId="6725071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C0—注入的示踪剂浓度，mg/L；</w:t>
      </w:r>
    </w:p>
    <w:p w14:paraId="6260A56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u—水流速度，m/d；</w:t>
      </w:r>
    </w:p>
    <w:p w14:paraId="070D1BA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DL—纵向弥散系数，m</w:t>
      </w:r>
      <w:r>
        <w:rPr>
          <w:rFonts w:hint="eastAsia" w:ascii="Times New Roman" w:hAnsi="Times New Roman" w:cs="Times New Roman"/>
          <w:color w:val="auto"/>
          <w:sz w:val="24"/>
          <w:szCs w:val="24"/>
          <w:highlight w:val="none"/>
          <w:vertAlign w:val="superscript"/>
          <w:lang w:val="en-US" w:eastAsia="zh-CN"/>
        </w:rPr>
        <w:t>2</w:t>
      </w:r>
      <w:r>
        <w:rPr>
          <w:rFonts w:hint="eastAsia" w:ascii="Times New Roman" w:hAnsi="Times New Roman" w:cs="Times New Roman"/>
          <w:color w:val="auto"/>
          <w:sz w:val="24"/>
          <w:szCs w:val="24"/>
          <w:highlight w:val="none"/>
          <w:lang w:val="en-US" w:eastAsia="zh-CN"/>
        </w:rPr>
        <w:t>/d；</w:t>
      </w:r>
    </w:p>
    <w:p w14:paraId="6D4B17E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FF0000"/>
          <w:sz w:val="24"/>
          <w:szCs w:val="24"/>
          <w:highlight w:val="none"/>
          <w:lang w:val="en-US" w:eastAsia="zh-CN"/>
        </w:rPr>
      </w:pPr>
      <w:r>
        <w:rPr>
          <w:rFonts w:hint="eastAsia" w:ascii="Times New Roman" w:hAnsi="Times New Roman" w:cs="Times New Roman"/>
          <w:color w:val="auto"/>
          <w:sz w:val="24"/>
          <w:szCs w:val="24"/>
          <w:highlight w:val="none"/>
          <w:lang w:val="en-US" w:eastAsia="zh-CN"/>
        </w:rPr>
        <w:t>erfc（）—余误差函数。</w:t>
      </w:r>
    </w:p>
    <w:p w14:paraId="0C3806F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模拟参数确定</w:t>
      </w:r>
    </w:p>
    <w:p w14:paraId="5FCC5D7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项目区水文地质参数主要来自本项目区域水文地质资料。根据达西定律u=kJ=25x0.002=0.05m/d，渗透系数k取25m/d，水力坡度0.002；有效孔隙度n取经验值0.3；由于水动力弥散尺度效应的存在，难以通过野外或室内弥散试验获得真实的弥散度。因此，参考前人的研究成果，潜水含水层弥散度较大，纵向弥散度设定为0.2m</w:t>
      </w:r>
      <w:r>
        <w:rPr>
          <w:rFonts w:hint="eastAsia" w:ascii="Times New Roman" w:hAnsi="Times New Roman" w:cs="Times New Roman"/>
          <w:color w:val="auto"/>
          <w:sz w:val="24"/>
          <w:szCs w:val="24"/>
          <w:highlight w:val="none"/>
          <w:vertAlign w:val="superscript"/>
          <w:lang w:val="en-US" w:eastAsia="zh-CN"/>
        </w:rPr>
        <w:t>2</w:t>
      </w:r>
      <w:r>
        <w:rPr>
          <w:rFonts w:hint="eastAsia" w:ascii="Times New Roman" w:hAnsi="Times New Roman" w:cs="Times New Roman"/>
          <w:color w:val="auto"/>
          <w:sz w:val="24"/>
          <w:szCs w:val="24"/>
          <w:highlight w:val="none"/>
          <w:lang w:val="en-US" w:eastAsia="zh-CN"/>
        </w:rPr>
        <w:t>/d。</w:t>
      </w:r>
    </w:p>
    <w:p w14:paraId="08E4840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6、预测结果</w:t>
      </w:r>
    </w:p>
    <w:p w14:paraId="06AD3F4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eastAsia="宋体"/>
          <w:color w:val="auto"/>
          <w:highlight w:val="none"/>
          <w:lang w:val="en-US" w:eastAsia="zh-CN"/>
        </w:rPr>
      </w:pPr>
      <w:r>
        <w:rPr>
          <w:rFonts w:hint="eastAsia" w:ascii="Times New Roman" w:hAnsi="Times New Roman" w:cs="Times New Roman"/>
          <w:color w:val="auto"/>
          <w:sz w:val="24"/>
          <w:szCs w:val="24"/>
          <w:highlight w:val="none"/>
          <w:lang w:val="en-US" w:eastAsia="zh-CN"/>
        </w:rPr>
        <w:t>预测污染情况见表5.2-16</w:t>
      </w:r>
      <w:r>
        <w:rPr>
          <w:color w:val="auto"/>
          <w:highlight w:val="none"/>
        </w:rPr>
        <w:t>。</w:t>
      </w:r>
    </w:p>
    <w:p w14:paraId="436AC98C">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color w:val="auto"/>
          <w:kern w:val="2"/>
          <w:sz w:val="24"/>
          <w:szCs w:val="24"/>
          <w:highlight w:val="none"/>
        </w:rPr>
      </w:pPr>
      <w:r>
        <w:rPr>
          <w:rFonts w:hint="default" w:ascii="Times New Roman" w:hAnsi="Times New Roman" w:eastAsia="宋体" w:cs="Times New Roman"/>
          <w:b/>
          <w:color w:val="auto"/>
          <w:kern w:val="2"/>
          <w:sz w:val="24"/>
          <w:szCs w:val="24"/>
          <w:highlight w:val="none"/>
        </w:rPr>
        <w:t>表5.2-</w:t>
      </w:r>
      <w:r>
        <w:rPr>
          <w:rFonts w:hint="eastAsia" w:ascii="Times New Roman" w:hAnsi="Times New Roman" w:eastAsia="宋体" w:cs="Times New Roman"/>
          <w:b/>
          <w:color w:val="auto"/>
          <w:kern w:val="2"/>
          <w:sz w:val="24"/>
          <w:szCs w:val="24"/>
          <w:highlight w:val="none"/>
          <w:lang w:val="en-US" w:eastAsia="zh-CN"/>
        </w:rPr>
        <w:t>16</w:t>
      </w:r>
      <w:r>
        <w:rPr>
          <w:rFonts w:hint="default" w:ascii="Times New Roman" w:hAnsi="Times New Roman" w:eastAsia="宋体" w:cs="Times New Roman"/>
          <w:b/>
          <w:color w:val="auto"/>
          <w:kern w:val="2"/>
          <w:sz w:val="24"/>
          <w:szCs w:val="24"/>
          <w:highlight w:val="none"/>
        </w:rPr>
        <w:t xml:space="preserve"> COD泄漏对地下水的影响预测结果表</w:t>
      </w:r>
    </w:p>
    <w:tbl>
      <w:tblPr>
        <w:tblStyle w:val="2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780"/>
        <w:gridCol w:w="2510"/>
        <w:gridCol w:w="2382"/>
        <w:gridCol w:w="2400"/>
      </w:tblGrid>
      <w:tr w14:paraId="656DE0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981" w:type="pct"/>
            <w:vMerge w:val="restart"/>
            <w:noWrap w:val="0"/>
            <w:vAlign w:val="center"/>
          </w:tcPr>
          <w:p w14:paraId="71094185">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距离</w:t>
            </w:r>
          </w:p>
        </w:tc>
        <w:tc>
          <w:tcPr>
            <w:tcW w:w="1383" w:type="pct"/>
            <w:noWrap w:val="0"/>
            <w:vAlign w:val="center"/>
          </w:tcPr>
          <w:p w14:paraId="3EAC4C8A">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100d</w:t>
            </w:r>
          </w:p>
        </w:tc>
        <w:tc>
          <w:tcPr>
            <w:tcW w:w="1312" w:type="pct"/>
            <w:noWrap w:val="0"/>
            <w:vAlign w:val="center"/>
          </w:tcPr>
          <w:p w14:paraId="3CEA9981">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1000d</w:t>
            </w:r>
          </w:p>
        </w:tc>
        <w:tc>
          <w:tcPr>
            <w:tcW w:w="1322" w:type="pct"/>
            <w:noWrap w:val="0"/>
            <w:vAlign w:val="center"/>
          </w:tcPr>
          <w:p w14:paraId="30E7586C">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3000d</w:t>
            </w:r>
          </w:p>
        </w:tc>
      </w:tr>
      <w:tr w14:paraId="60814B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981" w:type="pct"/>
            <w:vMerge w:val="continue"/>
            <w:noWrap w:val="0"/>
            <w:vAlign w:val="center"/>
          </w:tcPr>
          <w:p w14:paraId="63189674">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p>
        </w:tc>
        <w:tc>
          <w:tcPr>
            <w:tcW w:w="1383" w:type="pct"/>
            <w:noWrap w:val="0"/>
            <w:vAlign w:val="center"/>
          </w:tcPr>
          <w:p w14:paraId="4E469BA3">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浓度（mg/L）</w:t>
            </w:r>
          </w:p>
        </w:tc>
        <w:tc>
          <w:tcPr>
            <w:tcW w:w="1312" w:type="pct"/>
            <w:noWrap w:val="0"/>
            <w:vAlign w:val="center"/>
          </w:tcPr>
          <w:p w14:paraId="4F04D2C1">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浓度（mg/L）</w:t>
            </w:r>
          </w:p>
        </w:tc>
        <w:tc>
          <w:tcPr>
            <w:tcW w:w="1322" w:type="pct"/>
            <w:noWrap w:val="0"/>
            <w:vAlign w:val="center"/>
          </w:tcPr>
          <w:p w14:paraId="3EECA43D">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浓度（mg/L）</w:t>
            </w:r>
          </w:p>
        </w:tc>
      </w:tr>
      <w:tr w14:paraId="5DE16B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81" w:type="pct"/>
            <w:noWrap w:val="0"/>
            <w:vAlign w:val="center"/>
          </w:tcPr>
          <w:p w14:paraId="4C399163">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w:t>
            </w:r>
          </w:p>
        </w:tc>
        <w:tc>
          <w:tcPr>
            <w:tcW w:w="1383" w:type="pct"/>
            <w:noWrap w:val="0"/>
            <w:vAlign w:val="center"/>
          </w:tcPr>
          <w:p w14:paraId="56F96809">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1.16E+01</w:t>
            </w:r>
          </w:p>
        </w:tc>
        <w:tc>
          <w:tcPr>
            <w:tcW w:w="1312" w:type="pct"/>
            <w:noWrap w:val="0"/>
            <w:vAlign w:val="center"/>
          </w:tcPr>
          <w:p w14:paraId="49DB747F">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2.19E-01</w:t>
            </w:r>
          </w:p>
        </w:tc>
        <w:tc>
          <w:tcPr>
            <w:tcW w:w="1322" w:type="pct"/>
            <w:noWrap w:val="0"/>
            <w:vAlign w:val="center"/>
          </w:tcPr>
          <w:p w14:paraId="68B3525A">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2.45E-04</w:t>
            </w:r>
          </w:p>
        </w:tc>
      </w:tr>
      <w:tr w14:paraId="73D87D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81" w:type="pct"/>
            <w:noWrap w:val="0"/>
            <w:vAlign w:val="center"/>
          </w:tcPr>
          <w:p w14:paraId="75C2EE84">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50</w:t>
            </w:r>
          </w:p>
        </w:tc>
        <w:tc>
          <w:tcPr>
            <w:tcW w:w="1383" w:type="pct"/>
            <w:noWrap w:val="0"/>
            <w:vAlign w:val="center"/>
          </w:tcPr>
          <w:p w14:paraId="169BE4BA">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1.66E-09</w:t>
            </w:r>
          </w:p>
        </w:tc>
        <w:tc>
          <w:tcPr>
            <w:tcW w:w="1312" w:type="pct"/>
            <w:noWrap w:val="0"/>
            <w:vAlign w:val="center"/>
          </w:tcPr>
          <w:p w14:paraId="01406896">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9.98E+00</w:t>
            </w:r>
          </w:p>
        </w:tc>
        <w:tc>
          <w:tcPr>
            <w:tcW w:w="1322" w:type="pct"/>
            <w:noWrap w:val="0"/>
            <w:vAlign w:val="center"/>
          </w:tcPr>
          <w:p w14:paraId="066238B8">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5.96E-02</w:t>
            </w:r>
          </w:p>
        </w:tc>
      </w:tr>
      <w:tr w14:paraId="6D58E3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81" w:type="pct"/>
            <w:noWrap w:val="0"/>
            <w:vAlign w:val="center"/>
          </w:tcPr>
          <w:p w14:paraId="65A288EC">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100</w:t>
            </w:r>
          </w:p>
        </w:tc>
        <w:tc>
          <w:tcPr>
            <w:tcW w:w="1383" w:type="pct"/>
            <w:noWrap w:val="0"/>
            <w:vAlign w:val="center"/>
          </w:tcPr>
          <w:p w14:paraId="43057A39">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0.00E+00</w:t>
            </w:r>
          </w:p>
        </w:tc>
        <w:tc>
          <w:tcPr>
            <w:tcW w:w="1312" w:type="pct"/>
            <w:noWrap w:val="0"/>
            <w:vAlign w:val="center"/>
          </w:tcPr>
          <w:p w14:paraId="1D0A34A7">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6.55E-01</w:t>
            </w:r>
          </w:p>
        </w:tc>
        <w:tc>
          <w:tcPr>
            <w:tcW w:w="1322" w:type="pct"/>
            <w:noWrap w:val="0"/>
            <w:vAlign w:val="center"/>
          </w:tcPr>
          <w:p w14:paraId="0348A6FC">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1.70E+00</w:t>
            </w:r>
          </w:p>
        </w:tc>
      </w:tr>
      <w:tr w14:paraId="0C36E3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81" w:type="pct"/>
            <w:noWrap w:val="0"/>
            <w:vAlign w:val="center"/>
          </w:tcPr>
          <w:p w14:paraId="073B6A5D">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150</w:t>
            </w:r>
          </w:p>
        </w:tc>
        <w:tc>
          <w:tcPr>
            <w:tcW w:w="1383" w:type="pct"/>
            <w:noWrap w:val="0"/>
            <w:vAlign w:val="center"/>
          </w:tcPr>
          <w:p w14:paraId="392A501F">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rPr>
              <w:t>0.00E+00</w:t>
            </w:r>
          </w:p>
        </w:tc>
        <w:tc>
          <w:tcPr>
            <w:tcW w:w="1312" w:type="pct"/>
            <w:noWrap w:val="0"/>
            <w:vAlign w:val="center"/>
          </w:tcPr>
          <w:p w14:paraId="4D60310F">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7.36E-05</w:t>
            </w:r>
          </w:p>
        </w:tc>
        <w:tc>
          <w:tcPr>
            <w:tcW w:w="1322" w:type="pct"/>
            <w:noWrap w:val="0"/>
            <w:vAlign w:val="center"/>
          </w:tcPr>
          <w:p w14:paraId="0604D901">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5.76E+00</w:t>
            </w:r>
          </w:p>
        </w:tc>
      </w:tr>
      <w:tr w14:paraId="48745F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81" w:type="pct"/>
            <w:noWrap w:val="0"/>
            <w:vAlign w:val="center"/>
          </w:tcPr>
          <w:p w14:paraId="23A9C96E">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200</w:t>
            </w:r>
          </w:p>
        </w:tc>
        <w:tc>
          <w:tcPr>
            <w:tcW w:w="1383" w:type="pct"/>
            <w:noWrap w:val="0"/>
            <w:vAlign w:val="center"/>
          </w:tcPr>
          <w:p w14:paraId="7D9DE292">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rPr>
              <w:t>0.00E+00</w:t>
            </w:r>
          </w:p>
        </w:tc>
        <w:tc>
          <w:tcPr>
            <w:tcW w:w="1312" w:type="pct"/>
            <w:noWrap w:val="0"/>
            <w:vAlign w:val="center"/>
          </w:tcPr>
          <w:p w14:paraId="7ED73541">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1.61E-11</w:t>
            </w:r>
          </w:p>
        </w:tc>
        <w:tc>
          <w:tcPr>
            <w:tcW w:w="1322" w:type="pct"/>
            <w:noWrap w:val="0"/>
            <w:vAlign w:val="center"/>
          </w:tcPr>
          <w:p w14:paraId="7F28CE9A">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2.37E+00</w:t>
            </w:r>
          </w:p>
        </w:tc>
      </w:tr>
      <w:tr w14:paraId="1FA9F8C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81" w:type="pct"/>
            <w:noWrap w:val="0"/>
            <w:vAlign w:val="center"/>
          </w:tcPr>
          <w:p w14:paraId="41525F6B">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250</w:t>
            </w:r>
          </w:p>
        </w:tc>
        <w:tc>
          <w:tcPr>
            <w:tcW w:w="1383" w:type="pct"/>
            <w:noWrap w:val="0"/>
            <w:vAlign w:val="center"/>
          </w:tcPr>
          <w:p w14:paraId="2ED82512">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rPr>
              <w:t>0.00E+00</w:t>
            </w:r>
          </w:p>
        </w:tc>
        <w:tc>
          <w:tcPr>
            <w:tcW w:w="1312" w:type="pct"/>
            <w:noWrap w:val="0"/>
            <w:vAlign w:val="center"/>
          </w:tcPr>
          <w:p w14:paraId="67FBBE88">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0.00E+00</w:t>
            </w:r>
          </w:p>
        </w:tc>
        <w:tc>
          <w:tcPr>
            <w:tcW w:w="1322" w:type="pct"/>
            <w:noWrap w:val="0"/>
            <w:vAlign w:val="center"/>
          </w:tcPr>
          <w:p w14:paraId="3424B66D">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1.19E-01</w:t>
            </w:r>
          </w:p>
        </w:tc>
      </w:tr>
      <w:tr w14:paraId="7086F7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81" w:type="pct"/>
            <w:noWrap w:val="0"/>
            <w:vAlign w:val="center"/>
          </w:tcPr>
          <w:p w14:paraId="554835D0">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300</w:t>
            </w:r>
          </w:p>
        </w:tc>
        <w:tc>
          <w:tcPr>
            <w:tcW w:w="1383" w:type="pct"/>
            <w:noWrap w:val="0"/>
            <w:vAlign w:val="center"/>
          </w:tcPr>
          <w:p w14:paraId="7E07D920">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rPr>
              <w:t>0.00E+00</w:t>
            </w:r>
          </w:p>
        </w:tc>
        <w:tc>
          <w:tcPr>
            <w:tcW w:w="1312" w:type="pct"/>
            <w:noWrap w:val="0"/>
            <w:vAlign w:val="center"/>
          </w:tcPr>
          <w:p w14:paraId="6C18CC31">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rPr>
              <w:t>0.00E+00</w:t>
            </w:r>
          </w:p>
        </w:tc>
        <w:tc>
          <w:tcPr>
            <w:tcW w:w="1322" w:type="pct"/>
            <w:noWrap w:val="0"/>
            <w:vAlign w:val="center"/>
          </w:tcPr>
          <w:p w14:paraId="7C0E8478">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7.30E-04</w:t>
            </w:r>
          </w:p>
        </w:tc>
      </w:tr>
      <w:tr w14:paraId="5FA5C8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81" w:type="pct"/>
            <w:noWrap w:val="0"/>
            <w:vAlign w:val="center"/>
          </w:tcPr>
          <w:p w14:paraId="49B5FC50">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350</w:t>
            </w:r>
          </w:p>
        </w:tc>
        <w:tc>
          <w:tcPr>
            <w:tcW w:w="1383" w:type="pct"/>
            <w:noWrap w:val="0"/>
            <w:vAlign w:val="center"/>
          </w:tcPr>
          <w:p w14:paraId="1339B9F7">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rPr>
              <w:t>0.00E+00</w:t>
            </w:r>
          </w:p>
        </w:tc>
        <w:tc>
          <w:tcPr>
            <w:tcW w:w="1312" w:type="pct"/>
            <w:noWrap w:val="0"/>
            <w:vAlign w:val="center"/>
          </w:tcPr>
          <w:p w14:paraId="24971A4D">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rPr>
              <w:t>0.00E+00</w:t>
            </w:r>
          </w:p>
        </w:tc>
        <w:tc>
          <w:tcPr>
            <w:tcW w:w="1322" w:type="pct"/>
            <w:noWrap w:val="0"/>
            <w:vAlign w:val="center"/>
          </w:tcPr>
          <w:p w14:paraId="59B0DF9B">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5.52E-07</w:t>
            </w:r>
          </w:p>
        </w:tc>
      </w:tr>
      <w:tr w14:paraId="327193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81" w:type="pct"/>
            <w:noWrap w:val="0"/>
            <w:vAlign w:val="center"/>
          </w:tcPr>
          <w:p w14:paraId="41CBE77D">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400</w:t>
            </w:r>
          </w:p>
        </w:tc>
        <w:tc>
          <w:tcPr>
            <w:tcW w:w="1383" w:type="pct"/>
            <w:noWrap w:val="0"/>
            <w:vAlign w:val="center"/>
          </w:tcPr>
          <w:p w14:paraId="4DE851D5">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rPr>
              <w:t>0.00E+00</w:t>
            </w:r>
          </w:p>
        </w:tc>
        <w:tc>
          <w:tcPr>
            <w:tcW w:w="1312" w:type="pct"/>
            <w:noWrap w:val="0"/>
            <w:vAlign w:val="center"/>
          </w:tcPr>
          <w:p w14:paraId="2AE564ED">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rPr>
              <w:t>0.00E+00</w:t>
            </w:r>
          </w:p>
        </w:tc>
        <w:tc>
          <w:tcPr>
            <w:tcW w:w="1322" w:type="pct"/>
            <w:noWrap w:val="0"/>
            <w:vAlign w:val="center"/>
          </w:tcPr>
          <w:p w14:paraId="364E8330">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5.61E-11</w:t>
            </w:r>
          </w:p>
        </w:tc>
      </w:tr>
      <w:tr w14:paraId="60B35D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81" w:type="pct"/>
            <w:noWrap w:val="0"/>
            <w:vAlign w:val="center"/>
          </w:tcPr>
          <w:p w14:paraId="11EF648C">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450</w:t>
            </w:r>
          </w:p>
        </w:tc>
        <w:tc>
          <w:tcPr>
            <w:tcW w:w="1383" w:type="pct"/>
            <w:noWrap w:val="0"/>
            <w:vAlign w:val="center"/>
          </w:tcPr>
          <w:p w14:paraId="21D953F6">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rPr>
              <w:t>0.00E+00</w:t>
            </w:r>
          </w:p>
        </w:tc>
        <w:tc>
          <w:tcPr>
            <w:tcW w:w="1312" w:type="pct"/>
            <w:noWrap w:val="0"/>
            <w:vAlign w:val="center"/>
          </w:tcPr>
          <w:p w14:paraId="212401BA">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rPr>
              <w:t>0.00E+00</w:t>
            </w:r>
          </w:p>
        </w:tc>
        <w:tc>
          <w:tcPr>
            <w:tcW w:w="1322" w:type="pct"/>
            <w:noWrap w:val="0"/>
            <w:vAlign w:val="center"/>
          </w:tcPr>
          <w:p w14:paraId="04BABECC">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rPr>
              <w:t>0.00E+00</w:t>
            </w:r>
          </w:p>
        </w:tc>
      </w:tr>
      <w:tr w14:paraId="6A92CC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81" w:type="pct"/>
            <w:noWrap w:val="0"/>
            <w:vAlign w:val="center"/>
          </w:tcPr>
          <w:p w14:paraId="5725E027">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500</w:t>
            </w:r>
          </w:p>
        </w:tc>
        <w:tc>
          <w:tcPr>
            <w:tcW w:w="1383" w:type="pct"/>
            <w:noWrap w:val="0"/>
            <w:vAlign w:val="center"/>
          </w:tcPr>
          <w:p w14:paraId="0F60204D">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rPr>
              <w:t>0.00E+00</w:t>
            </w:r>
          </w:p>
        </w:tc>
        <w:tc>
          <w:tcPr>
            <w:tcW w:w="1312" w:type="pct"/>
            <w:noWrap w:val="0"/>
            <w:vAlign w:val="center"/>
          </w:tcPr>
          <w:p w14:paraId="6A7C5AF7">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rPr>
              <w:t>0.00E+00</w:t>
            </w:r>
          </w:p>
        </w:tc>
        <w:tc>
          <w:tcPr>
            <w:tcW w:w="1322" w:type="pct"/>
            <w:noWrap w:val="0"/>
            <w:vAlign w:val="center"/>
          </w:tcPr>
          <w:p w14:paraId="1A420CC3">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rPr>
              <w:t>0.00E+00</w:t>
            </w:r>
          </w:p>
        </w:tc>
      </w:tr>
    </w:tbl>
    <w:p w14:paraId="46791616">
      <w:pPr>
        <w:pStyle w:val="13"/>
        <w:keepNext w:val="0"/>
        <w:keepLines w:val="0"/>
        <w:pageBreakBefore w:val="0"/>
        <w:widowControl/>
        <w:kinsoku w:val="0"/>
        <w:wordWrap/>
        <w:overflowPunct/>
        <w:topLinePunct w:val="0"/>
        <w:autoSpaceDE w:val="0"/>
        <w:autoSpaceDN w:val="0"/>
        <w:bidi w:val="0"/>
        <w:adjustRightInd w:val="0"/>
        <w:snapToGrid w:val="0"/>
        <w:spacing w:line="360" w:lineRule="auto"/>
        <w:ind w:firstLine="0" w:firstLineChars="0"/>
        <w:jc w:val="center"/>
        <w:textAlignment w:val="baseline"/>
      </w:pPr>
      <w:r>
        <w:drawing>
          <wp:inline distT="0" distB="0" distL="114300" distR="114300">
            <wp:extent cx="4455160" cy="2552700"/>
            <wp:effectExtent l="0" t="0" r="2540" b="0"/>
            <wp:docPr id="78" name="图表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3778E0B1">
      <w:pPr>
        <w:pStyle w:val="44"/>
        <w:keepNext/>
        <w:keepLines w:val="0"/>
        <w:pageBreakBefore w:val="0"/>
        <w:widowControl w:val="0"/>
        <w:tabs>
          <w:tab w:val="left" w:pos="567"/>
          <w:tab w:val="clear" w:pos="1120"/>
        </w:tabs>
        <w:kinsoku/>
        <w:wordWrap/>
        <w:overflowPunct/>
        <w:topLinePunct w:val="0"/>
        <w:autoSpaceDE/>
        <w:autoSpaceDN/>
        <w:bidi w:val="0"/>
        <w:adjustRightInd/>
        <w:snapToGrid/>
        <w:spacing w:line="240" w:lineRule="auto"/>
        <w:ind w:right="0"/>
        <w:textAlignment w:val="auto"/>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图</w:t>
      </w:r>
      <w:r>
        <w:rPr>
          <w:rFonts w:hint="eastAsia" w:ascii="Times New Roman" w:hAnsi="Times New Roman" w:cs="Times New Roman"/>
          <w:color w:val="auto"/>
          <w:lang w:val="en-US" w:eastAsia="zh-CN"/>
        </w:rPr>
        <w:t>5.2</w:t>
      </w:r>
      <w:r>
        <w:rPr>
          <w:rFonts w:hint="default" w:ascii="Times New Roman" w:hAnsi="Times New Roman" w:cs="Times New Roman"/>
          <w:color w:val="auto"/>
          <w:lang w:eastAsia="zh-CN"/>
        </w:rPr>
        <w:t>-</w:t>
      </w:r>
      <w:r>
        <w:rPr>
          <w:rFonts w:hint="eastAsia" w:ascii="Times New Roman" w:hAnsi="Times New Roman" w:cs="Times New Roman"/>
          <w:color w:val="auto"/>
          <w:lang w:val="en-US" w:eastAsia="zh-CN"/>
        </w:rPr>
        <w:t xml:space="preserve">2 </w:t>
      </w:r>
      <w:r>
        <w:rPr>
          <w:rFonts w:hint="default" w:ascii="Times New Roman" w:hAnsi="Times New Roman" w:eastAsia="宋体" w:cs="Times New Roman"/>
          <w:color w:val="auto"/>
          <w:lang w:eastAsia="zh-CN"/>
        </w:rPr>
        <w:t>污染物运移100d随距离变化图</w:t>
      </w:r>
    </w:p>
    <w:p w14:paraId="575183D0">
      <w:pPr>
        <w:rPr>
          <w:rFonts w:hint="eastAsia"/>
          <w:lang w:val="en-US" w:eastAsia="zh-CN"/>
        </w:rPr>
      </w:pPr>
    </w:p>
    <w:p w14:paraId="6E7D8981">
      <w:pPr>
        <w:pStyle w:val="13"/>
        <w:keepNext w:val="0"/>
        <w:keepLines w:val="0"/>
        <w:pageBreakBefore w:val="0"/>
        <w:widowControl/>
        <w:kinsoku w:val="0"/>
        <w:wordWrap/>
        <w:overflowPunct/>
        <w:topLinePunct w:val="0"/>
        <w:autoSpaceDE w:val="0"/>
        <w:autoSpaceDN w:val="0"/>
        <w:bidi w:val="0"/>
        <w:adjustRightInd w:val="0"/>
        <w:snapToGrid w:val="0"/>
        <w:spacing w:line="360" w:lineRule="auto"/>
        <w:ind w:firstLine="0" w:firstLineChars="0"/>
        <w:jc w:val="center"/>
        <w:textAlignment w:val="baseline"/>
        <w:rPr>
          <w:rFonts w:hint="eastAsia" w:ascii="Times New Roman" w:hAnsi="Times New Roman" w:cs="Times New Roman" w:eastAsiaTheme="minorEastAsia"/>
          <w:color w:val="auto"/>
          <w:sz w:val="24"/>
          <w:szCs w:val="24"/>
          <w:highlight w:val="none"/>
          <w:lang w:val="en-US" w:eastAsia="zh-CN"/>
        </w:rPr>
      </w:pPr>
      <w:r>
        <w:drawing>
          <wp:inline distT="0" distB="0" distL="114300" distR="114300">
            <wp:extent cx="4826000" cy="2743200"/>
            <wp:effectExtent l="4445" t="4445" r="8255" b="14605"/>
            <wp:docPr id="101" name="图表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540FCDB8">
      <w:pPr>
        <w:pStyle w:val="44"/>
        <w:keepNext/>
        <w:keepLines w:val="0"/>
        <w:pageBreakBefore w:val="0"/>
        <w:widowControl w:val="0"/>
        <w:tabs>
          <w:tab w:val="left" w:pos="567"/>
          <w:tab w:val="clear" w:pos="1120"/>
        </w:tabs>
        <w:kinsoku/>
        <w:wordWrap/>
        <w:overflowPunct/>
        <w:topLinePunct w:val="0"/>
        <w:autoSpaceDE/>
        <w:autoSpaceDN/>
        <w:bidi w:val="0"/>
        <w:adjustRightInd/>
        <w:snapToGrid/>
        <w:spacing w:line="240" w:lineRule="auto"/>
        <w:ind w:right="0"/>
        <w:textAlignment w:val="auto"/>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图</w:t>
      </w:r>
      <w:r>
        <w:rPr>
          <w:rFonts w:hint="eastAsia" w:ascii="Times New Roman" w:hAnsi="Times New Roman" w:cs="Times New Roman"/>
          <w:color w:val="auto"/>
          <w:lang w:val="en-US" w:eastAsia="zh-CN"/>
        </w:rPr>
        <w:t>5.2</w:t>
      </w:r>
      <w:r>
        <w:rPr>
          <w:rFonts w:hint="default" w:ascii="Times New Roman" w:hAnsi="Times New Roman" w:cs="Times New Roman"/>
          <w:color w:val="auto"/>
          <w:lang w:eastAsia="zh-CN"/>
        </w:rPr>
        <w:t>-</w:t>
      </w:r>
      <w:r>
        <w:rPr>
          <w:rFonts w:hint="eastAsia" w:ascii="Times New Roman" w:hAnsi="Times New Roman" w:cs="Times New Roman"/>
          <w:color w:val="auto"/>
          <w:lang w:val="en-US" w:eastAsia="zh-CN"/>
        </w:rPr>
        <w:t xml:space="preserve">3 </w:t>
      </w:r>
      <w:r>
        <w:rPr>
          <w:rFonts w:hint="default" w:ascii="Times New Roman" w:hAnsi="Times New Roman" w:eastAsia="宋体" w:cs="Times New Roman"/>
          <w:color w:val="auto"/>
          <w:lang w:eastAsia="zh-CN"/>
        </w:rPr>
        <w:t>污染物运移10</w:t>
      </w:r>
      <w:r>
        <w:rPr>
          <w:rFonts w:hint="eastAsia" w:ascii="Times New Roman" w:hAnsi="Times New Roman" w:eastAsia="宋体" w:cs="Times New Roman"/>
          <w:color w:val="auto"/>
          <w:lang w:val="en-US" w:eastAsia="zh-CN"/>
        </w:rPr>
        <w:t>0</w:t>
      </w:r>
      <w:r>
        <w:rPr>
          <w:rFonts w:hint="default" w:ascii="Times New Roman" w:hAnsi="Times New Roman" w:eastAsia="宋体" w:cs="Times New Roman"/>
          <w:color w:val="auto"/>
          <w:lang w:eastAsia="zh-CN"/>
        </w:rPr>
        <w:t>0d随距离变化图</w:t>
      </w:r>
    </w:p>
    <w:p w14:paraId="1F596F6A">
      <w:pPr>
        <w:pStyle w:val="13"/>
        <w:keepNext w:val="0"/>
        <w:keepLines w:val="0"/>
        <w:pageBreakBefore w:val="0"/>
        <w:widowControl/>
        <w:kinsoku w:val="0"/>
        <w:wordWrap/>
        <w:overflowPunct/>
        <w:topLinePunct w:val="0"/>
        <w:autoSpaceDE w:val="0"/>
        <w:autoSpaceDN w:val="0"/>
        <w:bidi w:val="0"/>
        <w:adjustRightInd w:val="0"/>
        <w:snapToGrid w:val="0"/>
        <w:spacing w:line="360" w:lineRule="auto"/>
        <w:ind w:firstLine="0" w:firstLineChars="0"/>
        <w:jc w:val="center"/>
        <w:textAlignment w:val="baseline"/>
        <w:rPr>
          <w:rFonts w:hint="eastAsia" w:ascii="Times New Roman" w:hAnsi="Times New Roman" w:cs="Times New Roman" w:eastAsiaTheme="minorEastAsia"/>
          <w:color w:val="auto"/>
          <w:sz w:val="24"/>
          <w:szCs w:val="24"/>
          <w:highlight w:val="none"/>
          <w:lang w:val="en-US" w:eastAsia="zh-CN"/>
        </w:rPr>
      </w:pPr>
      <w:r>
        <w:drawing>
          <wp:inline distT="0" distB="0" distL="114300" distR="114300">
            <wp:extent cx="4826000" cy="2743200"/>
            <wp:effectExtent l="4445" t="4445" r="8255" b="14605"/>
            <wp:docPr id="11" name="图表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1B67C669">
      <w:pPr>
        <w:pStyle w:val="44"/>
        <w:keepNext/>
        <w:keepLines w:val="0"/>
        <w:pageBreakBefore w:val="0"/>
        <w:widowControl w:val="0"/>
        <w:tabs>
          <w:tab w:val="left" w:pos="567"/>
          <w:tab w:val="clear" w:pos="1120"/>
        </w:tabs>
        <w:kinsoku/>
        <w:wordWrap/>
        <w:overflowPunct/>
        <w:topLinePunct w:val="0"/>
        <w:autoSpaceDE/>
        <w:autoSpaceDN/>
        <w:bidi w:val="0"/>
        <w:adjustRightInd/>
        <w:snapToGrid/>
        <w:spacing w:line="240" w:lineRule="auto"/>
        <w:ind w:right="0"/>
        <w:textAlignment w:val="auto"/>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图</w:t>
      </w:r>
      <w:r>
        <w:rPr>
          <w:rFonts w:hint="eastAsia" w:ascii="Times New Roman" w:hAnsi="Times New Roman" w:cs="Times New Roman"/>
          <w:color w:val="auto"/>
          <w:lang w:val="en-US" w:eastAsia="zh-CN"/>
        </w:rPr>
        <w:t>5.2</w:t>
      </w:r>
      <w:r>
        <w:rPr>
          <w:rFonts w:hint="default" w:ascii="Times New Roman" w:hAnsi="Times New Roman" w:cs="Times New Roman"/>
          <w:color w:val="auto"/>
          <w:lang w:eastAsia="zh-CN"/>
        </w:rPr>
        <w:t>-</w:t>
      </w:r>
      <w:r>
        <w:rPr>
          <w:rFonts w:hint="eastAsia" w:ascii="Times New Roman" w:hAnsi="Times New Roman" w:cs="Times New Roman"/>
          <w:color w:val="auto"/>
          <w:lang w:val="en-US" w:eastAsia="zh-CN"/>
        </w:rPr>
        <w:t xml:space="preserve">4 </w:t>
      </w:r>
      <w:r>
        <w:rPr>
          <w:rFonts w:hint="default" w:ascii="Times New Roman" w:hAnsi="Times New Roman" w:eastAsia="宋体" w:cs="Times New Roman"/>
          <w:color w:val="auto"/>
          <w:lang w:eastAsia="zh-CN"/>
        </w:rPr>
        <w:t>污染物运移10</w:t>
      </w:r>
      <w:r>
        <w:rPr>
          <w:rFonts w:hint="eastAsia" w:ascii="Times New Roman" w:hAnsi="Times New Roman" w:eastAsia="宋体" w:cs="Times New Roman"/>
          <w:color w:val="auto"/>
          <w:lang w:val="en-US" w:eastAsia="zh-CN"/>
        </w:rPr>
        <w:t>0</w:t>
      </w:r>
      <w:r>
        <w:rPr>
          <w:rFonts w:hint="default" w:ascii="Times New Roman" w:hAnsi="Times New Roman" w:eastAsia="宋体" w:cs="Times New Roman"/>
          <w:color w:val="auto"/>
          <w:lang w:eastAsia="zh-CN"/>
        </w:rPr>
        <w:t>0d随距离变化图</w:t>
      </w:r>
    </w:p>
    <w:p w14:paraId="3406A014">
      <w:pPr>
        <w:pStyle w:val="1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eastAsiaTheme="minorEastAsia"/>
          <w:color w:val="auto"/>
          <w:sz w:val="24"/>
          <w:szCs w:val="24"/>
          <w:highlight w:val="none"/>
          <w:lang w:val="en-US" w:eastAsia="zh-CN"/>
        </w:rPr>
      </w:pPr>
      <w:r>
        <w:rPr>
          <w:rFonts w:hint="eastAsia" w:ascii="Times New Roman" w:hAnsi="Times New Roman" w:cs="Times New Roman" w:eastAsiaTheme="minorEastAsia"/>
          <w:color w:val="auto"/>
          <w:sz w:val="24"/>
          <w:szCs w:val="24"/>
          <w:highlight w:val="none"/>
          <w:lang w:val="en-US" w:eastAsia="zh-CN"/>
        </w:rPr>
        <w:t>综上，</w:t>
      </w:r>
      <w:r>
        <w:rPr>
          <w:rFonts w:hint="default" w:ascii="Times New Roman" w:hAnsi="Times New Roman" w:cs="Times New Roman" w:eastAsiaTheme="minorEastAsia"/>
          <w:color w:val="auto"/>
          <w:sz w:val="24"/>
          <w:szCs w:val="24"/>
          <w:highlight w:val="none"/>
        </w:rPr>
        <w:t>由预测结果可知，</w:t>
      </w:r>
      <w:r>
        <w:rPr>
          <w:rFonts w:hint="default" w:ascii="Times New Roman" w:hAnsi="Times New Roman" w:cs="Times New Roman" w:eastAsiaTheme="minorEastAsia"/>
          <w:color w:val="auto"/>
          <w:sz w:val="24"/>
          <w:szCs w:val="24"/>
          <w:highlight w:val="none"/>
          <w:lang w:val="en-US" w:eastAsia="zh-CN"/>
        </w:rPr>
        <w:t>本项目地下水发生泄漏后</w:t>
      </w:r>
      <w:r>
        <w:rPr>
          <w:rFonts w:hint="eastAsia" w:ascii="Times New Roman" w:hAnsi="Times New Roman" w:cs="Times New Roman" w:eastAsiaTheme="minorEastAsia"/>
          <w:color w:val="auto"/>
          <w:sz w:val="24"/>
          <w:szCs w:val="24"/>
          <w:highlight w:val="none"/>
          <w:lang w:val="en-US" w:eastAsia="zh-CN"/>
        </w:rPr>
        <w:t>，100天时，预测的最大值为36.75325mg/L，位于下游8m，预测超标距离最远为21m；影响距离最远为29m。1000天时，预测的最大值为10.16946mg/L，位于下游54m，预测超标距离最远为84m；影响距离最远为118m。3000天时，预测的最大值为5.797065mg/L，位于下游154m，预测超标距离最远为193m；影响距离最远为260m。</w:t>
      </w:r>
    </w:p>
    <w:p w14:paraId="4C146DD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sz w:val="24"/>
          <w:szCs w:val="24"/>
        </w:rPr>
      </w:pPr>
      <w:r>
        <w:rPr>
          <w:rFonts w:hint="default" w:ascii="Times New Roman" w:hAnsi="Times New Roman" w:cs="Times New Roman"/>
          <w:sz w:val="24"/>
          <w:szCs w:val="24"/>
          <w:lang w:val="en-US" w:eastAsia="en-US"/>
        </w:rPr>
        <w:t>本项目在厂区地下水下游方向布设地下水跟踪监测井，可监测反映</w:t>
      </w:r>
      <w:r>
        <w:rPr>
          <w:rFonts w:hint="default" w:ascii="Times New Roman" w:hAnsi="Times New Roman" w:cs="Times New Roman"/>
          <w:sz w:val="24"/>
          <w:szCs w:val="24"/>
          <w:lang w:val="en-US" w:eastAsia="zh-CN"/>
        </w:rPr>
        <w:t>废水及油漆库</w:t>
      </w:r>
      <w:r>
        <w:rPr>
          <w:rFonts w:hint="default" w:ascii="Times New Roman" w:hAnsi="Times New Roman" w:cs="Times New Roman"/>
          <w:sz w:val="24"/>
          <w:szCs w:val="24"/>
          <w:lang w:val="en-US" w:eastAsia="en-US"/>
        </w:rPr>
        <w:t>渗漏现象，及时采取相应处理措施，避免对下游其他区域地下水环境造成影响。</w:t>
      </w:r>
    </w:p>
    <w:p w14:paraId="4E9F8864">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2</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5运行期</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土壤环境影响分析</w:t>
      </w:r>
    </w:p>
    <w:p w14:paraId="0C442E51">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eastAsia"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5.2.5.1土壤环境影响识别</w:t>
      </w:r>
    </w:p>
    <w:p w14:paraId="579B57CA">
      <w:pPr>
        <w:keepNext w:val="0"/>
        <w:keepLines w:val="0"/>
        <w:pageBreakBefore w:val="0"/>
        <w:widowControl/>
        <w:tabs>
          <w:tab w:val="left" w:pos="0"/>
        </w:tabs>
        <w:kinsoku w:val="0"/>
        <w:wordWrap/>
        <w:overflowPunct/>
        <w:topLinePunct w:val="0"/>
        <w:autoSpaceDE w:val="0"/>
        <w:autoSpaceDN w:val="0"/>
        <w:bidi w:val="0"/>
        <w:adjustRightInd w:val="0"/>
        <w:snapToGrid w:val="0"/>
        <w:spacing w:line="360" w:lineRule="auto"/>
        <w:ind w:firstLine="480" w:firstLineChars="200"/>
        <w:textAlignment w:val="baseline"/>
        <w:rPr>
          <w:color w:val="auto"/>
          <w:sz w:val="24"/>
          <w:szCs w:val="24"/>
        </w:rPr>
      </w:pPr>
      <w:r>
        <w:rPr>
          <w:rFonts w:hint="default" w:ascii="Times New Roman" w:hAnsi="Times New Roman" w:cs="Times New Roman"/>
          <w:color w:val="auto"/>
          <w:sz w:val="24"/>
          <w:szCs w:val="24"/>
        </w:rPr>
        <w:t>本项目对土壤可能产生的影响途径主要是运营期排放的非甲烷总烃、甲苯及</w:t>
      </w:r>
      <w:r>
        <w:rPr>
          <w:rFonts w:hint="eastAsia" w:ascii="Times New Roman" w:hAnsi="Times New Roman" w:eastAsia="宋体" w:cs="Times New Roman"/>
          <w:color w:val="auto"/>
          <w:sz w:val="24"/>
          <w:szCs w:val="24"/>
          <w:lang w:val="en-US" w:eastAsia="zh-CN"/>
        </w:rPr>
        <w:t>乙苯等有机废气</w:t>
      </w:r>
      <w:r>
        <w:rPr>
          <w:rFonts w:hint="default" w:ascii="Times New Roman" w:hAnsi="Times New Roman" w:cs="Times New Roman"/>
          <w:color w:val="auto"/>
          <w:sz w:val="24"/>
          <w:szCs w:val="24"/>
        </w:rPr>
        <w:t>对土壤的沉降影响；</w:t>
      </w:r>
      <w:r>
        <w:rPr>
          <w:rFonts w:hint="default" w:ascii="Times New Roman" w:hAnsi="Times New Roman" w:cs="Times New Roman"/>
          <w:color w:val="auto"/>
          <w:sz w:val="24"/>
          <w:szCs w:val="24"/>
          <w:lang w:eastAsia="zh-CN"/>
        </w:rPr>
        <w:t>危险废物贮存库</w:t>
      </w:r>
      <w:r>
        <w:rPr>
          <w:rFonts w:hint="default" w:ascii="Times New Roman" w:hAnsi="Times New Roman" w:cs="Times New Roman"/>
          <w:color w:val="auto"/>
          <w:sz w:val="24"/>
          <w:szCs w:val="24"/>
        </w:rPr>
        <w:t>未妥善采取土壤环境防护措施导致化学品泄漏形成地面漫流和垂直入渗，以及</w:t>
      </w:r>
      <w:r>
        <w:rPr>
          <w:rFonts w:hint="default" w:ascii="Times New Roman" w:hAnsi="Times New Roman" w:cs="Times New Roman"/>
          <w:color w:val="auto"/>
          <w:sz w:val="24"/>
          <w:szCs w:val="24"/>
          <w:lang w:val="en-US" w:eastAsia="zh-CN"/>
        </w:rPr>
        <w:t>水帘喷漆循环水池</w:t>
      </w:r>
      <w:r>
        <w:rPr>
          <w:rFonts w:hint="default" w:ascii="Times New Roman" w:hAnsi="Times New Roman" w:cs="Times New Roman"/>
          <w:color w:val="auto"/>
          <w:sz w:val="24"/>
          <w:szCs w:val="24"/>
        </w:rPr>
        <w:t>未妥善采取土壤环境防护措施导致废水形成地面漫流和垂直入渗。</w:t>
      </w:r>
    </w:p>
    <w:p w14:paraId="23F77B7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本项目油品储存区、油漆库、调漆室、喷涂区、水帘喷漆循环水池按照《环境影响评价技术导则  地下水环境》（HJ610-2016）要求采取</w:t>
      </w:r>
      <w:r>
        <w:rPr>
          <w:rFonts w:hint="eastAsia" w:ascii="Times New Roman" w:hAnsi="Times New Roman" w:cs="Times New Roman"/>
          <w:color w:val="auto"/>
          <w:sz w:val="24"/>
          <w:szCs w:val="24"/>
          <w:lang w:val="en-US" w:eastAsia="zh-CN"/>
        </w:rPr>
        <w:t>重点</w:t>
      </w:r>
      <w:r>
        <w:rPr>
          <w:rFonts w:hint="default" w:ascii="Times New Roman" w:hAnsi="Times New Roman" w:cs="Times New Roman"/>
          <w:color w:val="auto"/>
          <w:sz w:val="24"/>
          <w:szCs w:val="24"/>
          <w:lang w:val="en-US" w:eastAsia="zh-CN"/>
        </w:rPr>
        <w:t>防渗措施，</w:t>
      </w:r>
      <w:r>
        <w:rPr>
          <w:rFonts w:hint="default" w:ascii="Times New Roman" w:hAnsi="Times New Roman" w:cs="Times New Roman"/>
          <w:color w:val="auto"/>
          <w:sz w:val="24"/>
          <w:szCs w:val="24"/>
        </w:rPr>
        <w:t>危险废物严格按照《危险废物贮存污染控制》(GB18597-2023)要求进行设置和管理，满足重点防渗区要求。正常运营工况下，不会对土壤环境造成显著影响。</w:t>
      </w:r>
    </w:p>
    <w:p w14:paraId="24963AC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b/>
          <w:bCs/>
          <w:snapToGrid w:val="0"/>
          <w:color w:val="auto"/>
          <w:kern w:val="0"/>
          <w:sz w:val="28"/>
          <w:szCs w:val="28"/>
          <w:lang w:val="en-US" w:eastAsia="zh-CN" w:bidi="ar-SA"/>
        </w:rPr>
      </w:pPr>
      <w:r>
        <w:rPr>
          <w:rFonts w:hint="default" w:ascii="Times New Roman" w:hAnsi="Times New Roman" w:cs="Times New Roman"/>
          <w:color w:val="auto"/>
          <w:sz w:val="24"/>
          <w:szCs w:val="24"/>
        </w:rPr>
        <w:t>根据工程分析，本次项目环评主要考虑大气沉降对土壤环境的影响。</w:t>
      </w:r>
    </w:p>
    <w:p w14:paraId="42607BEE">
      <w:pPr>
        <w:pStyle w:val="5"/>
        <w:numPr>
          <w:ilvl w:val="0"/>
          <w:numId w:val="0"/>
        </w:numPr>
        <w:tabs>
          <w:tab w:val="left" w:pos="0"/>
        </w:tabs>
        <w:spacing w:before="163" w:after="163"/>
        <w:rPr>
          <w:rFonts w:hint="default" w:ascii="Times New Roman" w:hAnsi="Times New Roman" w:eastAsia="宋体" w:cs="Times New Roman"/>
          <w:b/>
          <w:bCs/>
          <w:snapToGrid w:val="0"/>
          <w:color w:val="auto"/>
          <w:kern w:val="0"/>
          <w:sz w:val="28"/>
          <w:szCs w:val="28"/>
          <w:lang w:val="en-US" w:eastAsia="zh-CN" w:bidi="ar-SA"/>
        </w:rPr>
      </w:pPr>
      <w:r>
        <w:rPr>
          <w:rFonts w:hint="eastAsia" w:ascii="Times New Roman" w:hAnsi="Times New Roman" w:eastAsia="宋体" w:cs="Times New Roman"/>
          <w:b/>
          <w:bCs/>
          <w:snapToGrid w:val="0"/>
          <w:color w:val="auto"/>
          <w:kern w:val="0"/>
          <w:sz w:val="28"/>
          <w:szCs w:val="28"/>
          <w:lang w:val="en-US" w:eastAsia="zh-CN" w:bidi="ar-SA"/>
        </w:rPr>
        <w:t>5.2.5.2土壤环境影响预测与评价</w:t>
      </w:r>
    </w:p>
    <w:p w14:paraId="35A93D19">
      <w:pPr>
        <w:keepNext w:val="0"/>
        <w:keepLines w:val="0"/>
        <w:pageBreakBefore w:val="0"/>
        <w:widowControl/>
        <w:tabs>
          <w:tab w:val="left" w:pos="0"/>
        </w:tabs>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lang w:val="en-US" w:eastAsia="zh-CN"/>
        </w:rPr>
        <w:t>预测评价范围、时段和预测情景设置</w:t>
      </w:r>
    </w:p>
    <w:p w14:paraId="5E6CDB20">
      <w:pPr>
        <w:keepNext w:val="0"/>
        <w:keepLines w:val="0"/>
        <w:pageBreakBefore w:val="0"/>
        <w:widowControl/>
        <w:tabs>
          <w:tab w:val="left" w:pos="0"/>
        </w:tabs>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预测评价范围与调查评价范围一致，评价时段为项目运营期。根据影响识别结果，本次评价确定预测情景为正常工况下，废气沉降造成的土壤环境影响。</w:t>
      </w:r>
    </w:p>
    <w:p w14:paraId="1E7CBF84">
      <w:pPr>
        <w:keepNext w:val="0"/>
        <w:keepLines w:val="0"/>
        <w:pageBreakBefore w:val="0"/>
        <w:widowControl/>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sz w:val="24"/>
          <w:szCs w:val="21"/>
          <w:highlight w:val="none"/>
          <w:lang w:val="en-US" w:eastAsia="zh-CN"/>
        </w:rPr>
      </w:pPr>
      <w:r>
        <w:rPr>
          <w:rFonts w:hint="default" w:ascii="Times New Roman" w:hAnsi="Times New Roman" w:eastAsia="宋体" w:cs="Times New Roman"/>
          <w:color w:val="auto"/>
          <w:sz w:val="24"/>
          <w:szCs w:val="21"/>
          <w:highlight w:val="none"/>
          <w:lang w:val="en-US" w:eastAsia="zh-CN"/>
        </w:rPr>
        <w:t>①预测因子</w:t>
      </w:r>
    </w:p>
    <w:p w14:paraId="3D10C321">
      <w:pPr>
        <w:keepNext w:val="0"/>
        <w:keepLines w:val="0"/>
        <w:pageBreakBefore w:val="0"/>
        <w:widowControl/>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sz w:val="24"/>
          <w:szCs w:val="21"/>
          <w:highlight w:val="none"/>
          <w:lang w:val="en-US" w:eastAsia="zh-CN"/>
        </w:rPr>
      </w:pPr>
      <w:r>
        <w:rPr>
          <w:rFonts w:hint="default" w:ascii="Times New Roman" w:hAnsi="Times New Roman" w:eastAsia="宋体" w:cs="Times New Roman"/>
          <w:color w:val="auto"/>
          <w:sz w:val="24"/>
          <w:szCs w:val="21"/>
          <w:highlight w:val="none"/>
          <w:lang w:val="en-US" w:eastAsia="zh-CN"/>
        </w:rPr>
        <w:t>根据工程分析，本项目大气污染因子主要为非甲烷总烃、苯乙烯、丙烯腈、乙苯、甲苯、1，3-丁二烯、酚类、氯苯类、二氯甲烷、氨、颗粒物，本次评价选取特征因子中有土壤环境质量标准的污染物在土壤中的累积情况进行分析，结合大气环境影响预测结果，大气沉降预测评价因子确定为甲烷总烃、</w:t>
      </w:r>
      <w:r>
        <w:rPr>
          <w:rFonts w:hint="eastAsia" w:ascii="Times New Roman" w:hAnsi="Times New Roman" w:eastAsia="宋体" w:cs="Times New Roman"/>
          <w:color w:val="auto"/>
          <w:sz w:val="24"/>
          <w:szCs w:val="21"/>
          <w:highlight w:val="none"/>
          <w:lang w:val="en-US" w:eastAsia="zh-CN"/>
        </w:rPr>
        <w:t>甲苯、</w:t>
      </w:r>
      <w:r>
        <w:rPr>
          <w:rFonts w:hint="default" w:ascii="Times New Roman" w:hAnsi="Times New Roman" w:eastAsia="宋体" w:cs="Times New Roman"/>
          <w:color w:val="auto"/>
          <w:sz w:val="24"/>
          <w:szCs w:val="21"/>
          <w:highlight w:val="none"/>
          <w:lang w:val="en-US" w:eastAsia="zh-CN"/>
        </w:rPr>
        <w:t>苯乙烯。</w:t>
      </w:r>
    </w:p>
    <w:p w14:paraId="5EF96D7A">
      <w:pPr>
        <w:pStyle w:val="13"/>
        <w:spacing w:line="360" w:lineRule="auto"/>
        <w:rPr>
          <w:rFonts w:hint="default"/>
          <w:color w:val="auto"/>
          <w:lang w:val="en-US" w:eastAsia="zh-CN"/>
        </w:rPr>
      </w:pPr>
      <w:r>
        <w:rPr>
          <w:rFonts w:hint="default" w:ascii="Times New Roman" w:hAnsi="Times New Roman" w:eastAsia="宋体" w:cs="Times New Roman"/>
          <w:color w:val="auto"/>
          <w:sz w:val="24"/>
          <w:szCs w:val="21"/>
          <w:highlight w:val="none"/>
          <w:lang w:val="en-US" w:eastAsia="zh-CN"/>
        </w:rPr>
        <w:t>本项目非甲烷总烃通过大气沉降进入土壤，研究表明非甲烷总烃进入土壤后，由于土壤对它们的固定作用，不易向下迁移，多集中分布在表层，在土壤监测中为石油烃。因此可取单位面积（1m</w:t>
      </w:r>
      <w:r>
        <w:rPr>
          <w:rFonts w:hint="default" w:ascii="Times New Roman" w:hAnsi="Times New Roman" w:eastAsia="宋体" w:cs="Times New Roman"/>
          <w:color w:val="auto"/>
          <w:sz w:val="24"/>
          <w:szCs w:val="21"/>
          <w:highlight w:val="none"/>
          <w:vertAlign w:val="superscript"/>
          <w:lang w:val="en-US" w:eastAsia="zh-CN"/>
        </w:rPr>
        <w:t>2</w:t>
      </w:r>
      <w:r>
        <w:rPr>
          <w:rFonts w:hint="default" w:ascii="Times New Roman" w:hAnsi="Times New Roman" w:eastAsia="宋体" w:cs="Times New Roman"/>
          <w:color w:val="auto"/>
          <w:sz w:val="24"/>
          <w:szCs w:val="21"/>
          <w:highlight w:val="none"/>
          <w:lang w:val="en-US" w:eastAsia="zh-CN"/>
        </w:rPr>
        <w:t>）、厚20cm表层土壤（土壤密度取1.</w:t>
      </w:r>
      <w:r>
        <w:rPr>
          <w:rFonts w:hint="eastAsia" w:ascii="Times New Roman" w:hAnsi="Times New Roman" w:eastAsia="宋体" w:cs="Times New Roman"/>
          <w:color w:val="auto"/>
          <w:sz w:val="24"/>
          <w:szCs w:val="21"/>
          <w:highlight w:val="none"/>
          <w:lang w:val="en-US" w:eastAsia="zh-CN"/>
        </w:rPr>
        <w:t>29</w:t>
      </w:r>
      <w:r>
        <w:rPr>
          <w:rFonts w:hint="default" w:ascii="Times New Roman" w:hAnsi="Times New Roman" w:eastAsia="宋体" w:cs="Times New Roman"/>
          <w:color w:val="auto"/>
          <w:sz w:val="24"/>
          <w:szCs w:val="21"/>
          <w:highlight w:val="none"/>
          <w:lang w:val="en-US" w:eastAsia="zh-CN"/>
        </w:rPr>
        <w:t>g/cm</w:t>
      </w:r>
      <w:r>
        <w:rPr>
          <w:rFonts w:hint="default" w:ascii="Times New Roman" w:hAnsi="Times New Roman" w:eastAsia="宋体" w:cs="Times New Roman"/>
          <w:color w:val="auto"/>
          <w:sz w:val="24"/>
          <w:szCs w:val="21"/>
          <w:highlight w:val="none"/>
          <w:vertAlign w:val="superscript"/>
          <w:lang w:val="en-US" w:eastAsia="zh-CN"/>
        </w:rPr>
        <w:t>3</w:t>
      </w:r>
      <w:r>
        <w:rPr>
          <w:rFonts w:hint="default" w:ascii="Times New Roman" w:hAnsi="Times New Roman" w:eastAsia="宋体" w:cs="Times New Roman"/>
          <w:color w:val="auto"/>
          <w:sz w:val="24"/>
          <w:szCs w:val="21"/>
          <w:highlight w:val="none"/>
          <w:lang w:val="en-US" w:eastAsia="zh-CN"/>
        </w:rPr>
        <w:t>）计算其质量，干沉降通量除以该质量即为单位质量土壤的石油烃干沉降累积量。</w:t>
      </w:r>
    </w:p>
    <w:p w14:paraId="5AC57BBE">
      <w:pPr>
        <w:keepNext w:val="0"/>
        <w:keepLines w:val="0"/>
        <w:pageBreakBefore w:val="0"/>
        <w:widowControl/>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sz w:val="24"/>
          <w:szCs w:val="21"/>
          <w:highlight w:val="none"/>
          <w:lang w:val="en-US" w:eastAsia="zh-CN"/>
        </w:rPr>
      </w:pPr>
      <w:r>
        <w:rPr>
          <w:rFonts w:hint="default" w:ascii="Times New Roman" w:hAnsi="Times New Roman" w:eastAsia="宋体" w:cs="Times New Roman"/>
          <w:color w:val="auto"/>
          <w:sz w:val="24"/>
          <w:szCs w:val="21"/>
          <w:highlight w:val="none"/>
          <w:lang w:val="en-US" w:eastAsia="zh-CN"/>
        </w:rPr>
        <w:t>②预测方法</w:t>
      </w:r>
    </w:p>
    <w:p w14:paraId="0EA8BF31">
      <w:pPr>
        <w:keepNext w:val="0"/>
        <w:keepLines w:val="0"/>
        <w:pageBreakBefore w:val="0"/>
        <w:widowControl/>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sz w:val="24"/>
          <w:szCs w:val="21"/>
          <w:highlight w:val="none"/>
          <w:lang w:val="en-US" w:eastAsia="zh-CN"/>
        </w:rPr>
      </w:pPr>
      <w:r>
        <w:rPr>
          <w:rFonts w:hint="default" w:ascii="Times New Roman" w:hAnsi="Times New Roman" w:eastAsia="宋体" w:cs="Times New Roman"/>
          <w:color w:val="auto"/>
          <w:sz w:val="24"/>
          <w:szCs w:val="21"/>
          <w:highlight w:val="none"/>
          <w:lang w:val="en-US" w:eastAsia="zh-CN"/>
        </w:rPr>
        <w:t>根据《环境影响评价技术导则 土壤环境（试行）》（HJ9645-2018）要求，本项目土壤环境影响预测方法选取导则附录E中方法一进行预测。</w:t>
      </w:r>
    </w:p>
    <w:p w14:paraId="6DED179D">
      <w:pPr>
        <w:keepNext w:val="0"/>
        <w:keepLines w:val="0"/>
        <w:pageBreakBefore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sz w:val="24"/>
          <w:szCs w:val="21"/>
          <w:highlight w:val="none"/>
        </w:rPr>
      </w:pPr>
      <w:r>
        <w:rPr>
          <w:rFonts w:hint="default" w:ascii="Times New Roman" w:hAnsi="Times New Roman" w:eastAsia="宋体" w:cs="Times New Roman"/>
          <w:color w:val="auto"/>
          <w:sz w:val="24"/>
          <w:szCs w:val="21"/>
          <w:highlight w:val="none"/>
        </w:rPr>
        <w:t>单位质量土壤中某种物质的增量可用下式计算：</w:t>
      </w:r>
    </w:p>
    <w:p w14:paraId="3CFF45BD">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①单位质量土壤中某种物质的增量可用下式计算：</w:t>
      </w:r>
    </w:p>
    <w:p w14:paraId="25B89B0D">
      <w:pPr>
        <w:keepNext w:val="0"/>
        <w:keepLines w:val="0"/>
        <w:pageBreakBefore w:val="0"/>
        <w:widowControl w:val="0"/>
        <w:kinsoku/>
        <w:wordWrap/>
        <w:overflowPunct/>
        <w:topLinePunct w:val="0"/>
        <w:autoSpaceDE/>
        <w:autoSpaceDN/>
        <w:bidi w:val="0"/>
        <w:adjustRightInd/>
        <w:snapToGrid/>
        <w:spacing w:after="0" w:line="360" w:lineRule="auto"/>
        <w:ind w:firstLine="1680" w:firstLineChars="700"/>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△S=n(Is-Ls-Rs)/(ρb×A×D)</w:t>
      </w:r>
    </w:p>
    <w:p w14:paraId="0BD89025">
      <w:pPr>
        <w:widowControl w:val="0"/>
        <w:adjustRightInd/>
        <w:snapToGrid/>
        <w:spacing w:after="0" w:line="500" w:lineRule="exact"/>
        <w:ind w:firstLine="480" w:firstLineChars="200"/>
        <w:jc w:val="both"/>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式中：</w:t>
      </w:r>
    </w:p>
    <w:p w14:paraId="56F8C92A">
      <w:pPr>
        <w:keepNext w:val="0"/>
        <w:keepLines w:val="0"/>
        <w:pageBreakBefore w:val="0"/>
        <w:widowControl w:val="0"/>
        <w:kinsoku/>
        <w:wordWrap/>
        <w:overflowPunct/>
        <w:topLinePunct w:val="0"/>
        <w:autoSpaceDE/>
        <w:autoSpaceDN/>
        <w:bidi w:val="0"/>
        <w:adjustRightInd/>
        <w:snapToGrid/>
        <w:spacing w:after="0" w:line="360" w:lineRule="auto"/>
        <w:ind w:firstLine="1680" w:firstLineChars="700"/>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△S—单位质量表层土壤中某种物质的增量，g/kg；</w:t>
      </w:r>
    </w:p>
    <w:p w14:paraId="756E7A82">
      <w:pPr>
        <w:keepNext w:val="0"/>
        <w:keepLines w:val="0"/>
        <w:pageBreakBefore w:val="0"/>
        <w:widowControl w:val="0"/>
        <w:kinsoku/>
        <w:wordWrap/>
        <w:overflowPunct/>
        <w:topLinePunct w:val="0"/>
        <w:autoSpaceDE/>
        <w:autoSpaceDN/>
        <w:bidi w:val="0"/>
        <w:adjustRightInd/>
        <w:snapToGrid/>
        <w:spacing w:after="0" w:line="360" w:lineRule="auto"/>
        <w:ind w:firstLine="1680" w:firstLineChars="700"/>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Is—预测评价范围内单位年份表层土壤中某种物质的输入量，g；本项目按非甲烷总烃</w:t>
      </w:r>
      <w:r>
        <w:rPr>
          <w:rFonts w:hint="eastAsia" w:ascii="Times New Roman" w:hAnsi="Times New Roman" w:eastAsia="宋体" w:cs="Times New Roman"/>
          <w:color w:val="auto"/>
          <w:kern w:val="2"/>
          <w:sz w:val="24"/>
          <w:szCs w:val="24"/>
          <w:highlight w:val="none"/>
          <w:lang w:eastAsia="zh-CN"/>
        </w:rPr>
        <w:t>、</w:t>
      </w:r>
      <w:r>
        <w:rPr>
          <w:rFonts w:hint="eastAsia" w:ascii="Times New Roman" w:hAnsi="Times New Roman" w:eastAsia="宋体" w:cs="Times New Roman"/>
          <w:color w:val="auto"/>
          <w:kern w:val="2"/>
          <w:sz w:val="24"/>
          <w:szCs w:val="24"/>
          <w:highlight w:val="none"/>
          <w:lang w:val="en-US" w:eastAsia="zh-CN"/>
        </w:rPr>
        <w:t>甲苯、苯乙烯</w:t>
      </w:r>
      <w:r>
        <w:rPr>
          <w:rFonts w:hint="default" w:ascii="Times New Roman" w:hAnsi="Times New Roman" w:eastAsia="宋体" w:cs="Times New Roman"/>
          <w:color w:val="auto"/>
          <w:kern w:val="2"/>
          <w:sz w:val="24"/>
          <w:szCs w:val="24"/>
          <w:highlight w:val="none"/>
        </w:rPr>
        <w:t>无组织排放量总量值取值，</w:t>
      </w:r>
      <w:r>
        <w:rPr>
          <w:rFonts w:hint="default" w:ascii="Times New Roman" w:hAnsi="Times New Roman" w:eastAsia="宋体" w:cs="Times New Roman"/>
          <w:color w:val="auto"/>
          <w:kern w:val="2"/>
          <w:sz w:val="24"/>
          <w:szCs w:val="24"/>
          <w:highlight w:val="none"/>
          <w:lang w:val="en-US" w:eastAsia="zh-CN"/>
        </w:rPr>
        <w:t>5.347</w:t>
      </w:r>
      <w:r>
        <w:rPr>
          <w:rFonts w:hint="default" w:ascii="Times New Roman" w:hAnsi="Times New Roman" w:eastAsia="宋体" w:cs="Times New Roman"/>
          <w:color w:val="auto"/>
          <w:kern w:val="2"/>
          <w:sz w:val="24"/>
          <w:szCs w:val="24"/>
          <w:highlight w:val="none"/>
        </w:rPr>
        <w:t>t/a</w:t>
      </w:r>
      <w:r>
        <w:rPr>
          <w:rFonts w:hint="eastAsia" w:ascii="Times New Roman" w:hAnsi="Times New Roman" w:eastAsia="宋体" w:cs="Times New Roman"/>
          <w:color w:val="auto"/>
          <w:kern w:val="2"/>
          <w:sz w:val="24"/>
          <w:szCs w:val="24"/>
          <w:highlight w:val="none"/>
          <w:lang w:eastAsia="zh-CN"/>
        </w:rPr>
        <w:t>、</w:t>
      </w:r>
      <w:r>
        <w:rPr>
          <w:rFonts w:hint="eastAsia" w:ascii="Times New Roman" w:hAnsi="Times New Roman" w:eastAsia="宋体" w:cs="Times New Roman"/>
          <w:color w:val="auto"/>
          <w:kern w:val="2"/>
          <w:sz w:val="24"/>
          <w:szCs w:val="24"/>
          <w:highlight w:val="none"/>
          <w:lang w:val="en-US" w:eastAsia="zh-CN"/>
        </w:rPr>
        <w:t>0.0066t/a、0.005t/a</w:t>
      </w:r>
      <w:r>
        <w:rPr>
          <w:rFonts w:hint="default" w:ascii="Times New Roman" w:hAnsi="Times New Roman" w:eastAsia="宋体" w:cs="Times New Roman"/>
          <w:color w:val="auto"/>
          <w:kern w:val="2"/>
          <w:sz w:val="24"/>
          <w:szCs w:val="24"/>
          <w:highlight w:val="none"/>
        </w:rPr>
        <w:t>。</w:t>
      </w:r>
    </w:p>
    <w:p w14:paraId="5BA8BA5A">
      <w:pPr>
        <w:keepNext w:val="0"/>
        <w:keepLines w:val="0"/>
        <w:pageBreakBefore w:val="0"/>
        <w:widowControl w:val="0"/>
        <w:kinsoku/>
        <w:wordWrap/>
        <w:overflowPunct/>
        <w:topLinePunct w:val="0"/>
        <w:autoSpaceDE/>
        <w:autoSpaceDN/>
        <w:bidi w:val="0"/>
        <w:adjustRightInd/>
        <w:snapToGrid/>
        <w:spacing w:after="0" w:line="360" w:lineRule="auto"/>
        <w:ind w:firstLine="1680" w:firstLineChars="700"/>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Ls—预测评价范围内单位年份表层土壤中某种物质经淋溶排出的量，g；涉及大气沉降的不考虑输出量，LS取0；</w:t>
      </w:r>
    </w:p>
    <w:p w14:paraId="2727695B">
      <w:pPr>
        <w:keepNext w:val="0"/>
        <w:keepLines w:val="0"/>
        <w:pageBreakBefore w:val="0"/>
        <w:widowControl w:val="0"/>
        <w:kinsoku/>
        <w:wordWrap/>
        <w:overflowPunct/>
        <w:topLinePunct w:val="0"/>
        <w:autoSpaceDE/>
        <w:autoSpaceDN/>
        <w:bidi w:val="0"/>
        <w:adjustRightInd/>
        <w:snapToGrid/>
        <w:spacing w:after="0" w:line="360" w:lineRule="auto"/>
        <w:ind w:firstLine="1680" w:firstLineChars="700"/>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Rs—预测评价范围内单位年份表层土壤中某种物质经径流排出的量，g；涉及大气沉降的不考虑输出量，RS取0；</w:t>
      </w:r>
    </w:p>
    <w:p w14:paraId="6F0B68B9">
      <w:pPr>
        <w:keepNext w:val="0"/>
        <w:keepLines w:val="0"/>
        <w:pageBreakBefore w:val="0"/>
        <w:widowControl w:val="0"/>
        <w:kinsoku/>
        <w:wordWrap/>
        <w:overflowPunct/>
        <w:topLinePunct w:val="0"/>
        <w:autoSpaceDE/>
        <w:autoSpaceDN/>
        <w:bidi w:val="0"/>
        <w:adjustRightInd/>
        <w:snapToGrid/>
        <w:spacing w:after="0" w:line="360" w:lineRule="auto"/>
        <w:ind w:firstLine="1680" w:firstLineChars="700"/>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ρb—表层土壤容重，kg/m</w:t>
      </w:r>
      <w:r>
        <w:rPr>
          <w:rFonts w:hint="default" w:ascii="Times New Roman" w:hAnsi="Times New Roman" w:eastAsia="宋体" w:cs="Times New Roman"/>
          <w:color w:val="auto"/>
          <w:kern w:val="2"/>
          <w:sz w:val="24"/>
          <w:szCs w:val="24"/>
          <w:highlight w:val="none"/>
          <w:vertAlign w:val="superscript"/>
        </w:rPr>
        <w:t>3</w:t>
      </w:r>
      <w:r>
        <w:rPr>
          <w:rFonts w:hint="default" w:ascii="Times New Roman" w:hAnsi="Times New Roman" w:eastAsia="宋体" w:cs="Times New Roman"/>
          <w:color w:val="auto"/>
          <w:kern w:val="2"/>
          <w:sz w:val="24"/>
          <w:szCs w:val="24"/>
          <w:highlight w:val="none"/>
        </w:rPr>
        <w:t>；本项目为</w:t>
      </w:r>
      <w:r>
        <w:rPr>
          <w:rFonts w:hint="eastAsia" w:ascii="Times New Roman" w:hAnsi="Times New Roman" w:eastAsia="宋体" w:cs="Times New Roman"/>
          <w:color w:val="auto"/>
          <w:kern w:val="2"/>
          <w:sz w:val="24"/>
          <w:szCs w:val="24"/>
          <w:highlight w:val="none"/>
          <w:lang w:val="en-US" w:eastAsia="zh-CN"/>
        </w:rPr>
        <w:t>1290</w:t>
      </w:r>
      <w:r>
        <w:rPr>
          <w:rFonts w:hint="default" w:ascii="Times New Roman" w:hAnsi="Times New Roman" w:eastAsia="宋体" w:cs="Times New Roman"/>
          <w:color w:val="auto"/>
          <w:kern w:val="2"/>
          <w:sz w:val="24"/>
          <w:szCs w:val="24"/>
          <w:highlight w:val="none"/>
        </w:rPr>
        <w:t>kg/m</w:t>
      </w:r>
      <w:r>
        <w:rPr>
          <w:rFonts w:hint="default" w:ascii="Times New Roman" w:hAnsi="Times New Roman" w:eastAsia="宋体" w:cs="Times New Roman"/>
          <w:color w:val="auto"/>
          <w:kern w:val="2"/>
          <w:sz w:val="24"/>
          <w:szCs w:val="24"/>
          <w:highlight w:val="none"/>
          <w:vertAlign w:val="superscript"/>
        </w:rPr>
        <w:t>3</w:t>
      </w:r>
      <w:r>
        <w:rPr>
          <w:rFonts w:hint="default" w:ascii="Times New Roman" w:hAnsi="Times New Roman" w:eastAsia="宋体" w:cs="Times New Roman"/>
          <w:color w:val="auto"/>
          <w:kern w:val="2"/>
          <w:sz w:val="24"/>
          <w:szCs w:val="24"/>
          <w:highlight w:val="none"/>
        </w:rPr>
        <w:t>；</w:t>
      </w:r>
    </w:p>
    <w:p w14:paraId="351BE2BB">
      <w:pPr>
        <w:keepNext w:val="0"/>
        <w:keepLines w:val="0"/>
        <w:pageBreakBefore w:val="0"/>
        <w:widowControl w:val="0"/>
        <w:kinsoku/>
        <w:wordWrap/>
        <w:overflowPunct/>
        <w:topLinePunct w:val="0"/>
        <w:autoSpaceDE/>
        <w:autoSpaceDN/>
        <w:bidi w:val="0"/>
        <w:adjustRightInd/>
        <w:snapToGrid/>
        <w:spacing w:after="0" w:line="360" w:lineRule="auto"/>
        <w:ind w:firstLine="1680" w:firstLineChars="700"/>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A—预测评价范围，m</w:t>
      </w:r>
      <w:r>
        <w:rPr>
          <w:rFonts w:hint="default" w:ascii="Times New Roman" w:hAnsi="Times New Roman" w:eastAsia="宋体" w:cs="Times New Roman"/>
          <w:color w:val="auto"/>
          <w:kern w:val="2"/>
          <w:sz w:val="24"/>
          <w:szCs w:val="24"/>
          <w:highlight w:val="none"/>
          <w:vertAlign w:val="superscript"/>
        </w:rPr>
        <w:t>2</w:t>
      </w:r>
      <w:r>
        <w:rPr>
          <w:rFonts w:hint="default" w:ascii="Times New Roman" w:hAnsi="Times New Roman" w:eastAsia="宋体" w:cs="Times New Roman"/>
          <w:color w:val="auto"/>
          <w:kern w:val="2"/>
          <w:sz w:val="24"/>
          <w:szCs w:val="24"/>
          <w:highlight w:val="none"/>
        </w:rPr>
        <w:t>；本项目取</w:t>
      </w:r>
      <w:r>
        <w:rPr>
          <w:rFonts w:hint="default" w:ascii="Times New Roman" w:hAnsi="Times New Roman" w:eastAsia="宋体" w:cs="Times New Roman"/>
          <w:color w:val="auto"/>
          <w:kern w:val="2"/>
          <w:sz w:val="24"/>
          <w:szCs w:val="24"/>
          <w:highlight w:val="none"/>
          <w:lang w:val="en-US" w:eastAsia="zh-CN"/>
        </w:rPr>
        <w:t>1k</w:t>
      </w:r>
      <w:r>
        <w:rPr>
          <w:rFonts w:hint="default" w:ascii="Times New Roman" w:hAnsi="Times New Roman" w:eastAsia="宋体" w:cs="Times New Roman"/>
          <w:color w:val="auto"/>
          <w:kern w:val="2"/>
          <w:sz w:val="24"/>
          <w:szCs w:val="24"/>
          <w:highlight w:val="none"/>
        </w:rPr>
        <w:t>m</w:t>
      </w:r>
      <w:r>
        <w:rPr>
          <w:rFonts w:hint="default" w:ascii="Times New Roman" w:hAnsi="Times New Roman" w:eastAsia="宋体" w:cs="Times New Roman"/>
          <w:color w:val="auto"/>
          <w:kern w:val="2"/>
          <w:sz w:val="24"/>
          <w:szCs w:val="24"/>
          <w:highlight w:val="none"/>
          <w:vertAlign w:val="superscript"/>
        </w:rPr>
        <w:t>2</w:t>
      </w:r>
      <w:r>
        <w:rPr>
          <w:rFonts w:hint="default" w:ascii="Times New Roman" w:hAnsi="Times New Roman" w:eastAsia="宋体" w:cs="Times New Roman"/>
          <w:color w:val="auto"/>
          <w:kern w:val="2"/>
          <w:sz w:val="24"/>
          <w:szCs w:val="24"/>
          <w:highlight w:val="none"/>
        </w:rPr>
        <w:t>；</w:t>
      </w:r>
    </w:p>
    <w:p w14:paraId="7CAEFAAE">
      <w:pPr>
        <w:keepNext w:val="0"/>
        <w:keepLines w:val="0"/>
        <w:pageBreakBefore w:val="0"/>
        <w:widowControl w:val="0"/>
        <w:kinsoku/>
        <w:wordWrap/>
        <w:overflowPunct/>
        <w:topLinePunct w:val="0"/>
        <w:autoSpaceDE/>
        <w:autoSpaceDN/>
        <w:bidi w:val="0"/>
        <w:adjustRightInd/>
        <w:snapToGrid/>
        <w:spacing w:after="0" w:line="360" w:lineRule="auto"/>
        <w:ind w:firstLine="1680" w:firstLineChars="700"/>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D—表层土壤深度，一般取0.2m，可根据实际情况适当调整，本项目取0.2m；</w:t>
      </w:r>
    </w:p>
    <w:p w14:paraId="18AE476B">
      <w:pPr>
        <w:keepNext w:val="0"/>
        <w:keepLines w:val="0"/>
        <w:pageBreakBefore w:val="0"/>
        <w:widowControl w:val="0"/>
        <w:kinsoku/>
        <w:wordWrap/>
        <w:overflowPunct/>
        <w:topLinePunct w:val="0"/>
        <w:autoSpaceDE/>
        <w:autoSpaceDN/>
        <w:bidi w:val="0"/>
        <w:adjustRightInd/>
        <w:snapToGrid/>
        <w:spacing w:after="0" w:line="360" w:lineRule="auto"/>
        <w:ind w:firstLine="1680" w:firstLineChars="700"/>
        <w:jc w:val="both"/>
        <w:textAlignment w:val="auto"/>
        <w:rPr>
          <w:rFonts w:hint="default" w:ascii="Times New Roman" w:hAnsi="Times New Roman" w:eastAsia="宋体" w:cs="Times New Roman"/>
          <w:color w:val="auto"/>
          <w:kern w:val="2"/>
          <w:sz w:val="24"/>
          <w:szCs w:val="24"/>
          <w:highlight w:val="none"/>
          <w:lang w:eastAsia="zh-CN"/>
        </w:rPr>
      </w:pPr>
      <w:r>
        <w:rPr>
          <w:rFonts w:hint="default" w:ascii="Times New Roman" w:hAnsi="Times New Roman" w:eastAsia="宋体" w:cs="Times New Roman"/>
          <w:color w:val="auto"/>
          <w:kern w:val="2"/>
          <w:sz w:val="24"/>
          <w:szCs w:val="24"/>
          <w:highlight w:val="none"/>
        </w:rPr>
        <w:t>n—持续年份，a</w:t>
      </w:r>
      <w:r>
        <w:rPr>
          <w:rFonts w:hint="default" w:ascii="Times New Roman" w:hAnsi="Times New Roman" w:eastAsia="宋体" w:cs="Times New Roman"/>
          <w:color w:val="auto"/>
          <w:kern w:val="2"/>
          <w:sz w:val="24"/>
          <w:szCs w:val="24"/>
          <w:highlight w:val="none"/>
          <w:lang w:eastAsia="zh-CN"/>
        </w:rPr>
        <w:t>，分别计算5a，10a和20a；</w:t>
      </w:r>
    </w:p>
    <w:p w14:paraId="3CB1930D">
      <w:pPr>
        <w:widowControl w:val="0"/>
        <w:adjustRightInd/>
        <w:snapToGrid/>
        <w:spacing w:after="0" w:line="500" w:lineRule="exact"/>
        <w:ind w:firstLine="480" w:firstLineChars="200"/>
        <w:jc w:val="both"/>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②单位质量土壤中某种物质的预测值可根据其增量叠加现状值进行计算：</w:t>
      </w:r>
    </w:p>
    <w:p w14:paraId="3842396E">
      <w:pPr>
        <w:widowControl w:val="0"/>
        <w:adjustRightInd/>
        <w:snapToGrid/>
        <w:spacing w:after="0" w:line="500" w:lineRule="exact"/>
        <w:ind w:firstLine="1680" w:firstLineChars="700"/>
        <w:jc w:val="both"/>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S=Sb+△s</w:t>
      </w:r>
    </w:p>
    <w:p w14:paraId="11EF5EB1">
      <w:pPr>
        <w:widowControl w:val="0"/>
        <w:adjustRightInd/>
        <w:snapToGrid/>
        <w:spacing w:after="0" w:line="500" w:lineRule="exact"/>
        <w:ind w:firstLine="480" w:firstLineChars="200"/>
        <w:jc w:val="both"/>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式中：</w:t>
      </w:r>
    </w:p>
    <w:p w14:paraId="16C4DAC0">
      <w:pPr>
        <w:keepNext w:val="0"/>
        <w:keepLines w:val="0"/>
        <w:pageBreakBefore w:val="0"/>
        <w:widowControl w:val="0"/>
        <w:kinsoku/>
        <w:wordWrap/>
        <w:overflowPunct/>
        <w:topLinePunct w:val="0"/>
        <w:autoSpaceDE/>
        <w:autoSpaceDN/>
        <w:bidi w:val="0"/>
        <w:adjustRightInd/>
        <w:snapToGrid/>
        <w:spacing w:after="0" w:line="360" w:lineRule="auto"/>
        <w:ind w:firstLine="1680" w:firstLineChars="700"/>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Sb—单位质量土壤中某种物质的现状值，g/kg；</w:t>
      </w:r>
    </w:p>
    <w:p w14:paraId="42BF87AE">
      <w:pPr>
        <w:keepNext w:val="0"/>
        <w:keepLines w:val="0"/>
        <w:pageBreakBefore w:val="0"/>
        <w:widowControl w:val="0"/>
        <w:kinsoku/>
        <w:wordWrap/>
        <w:overflowPunct/>
        <w:topLinePunct w:val="0"/>
        <w:autoSpaceDE/>
        <w:autoSpaceDN/>
        <w:bidi w:val="0"/>
        <w:adjustRightInd/>
        <w:snapToGrid/>
        <w:spacing w:after="0" w:line="360" w:lineRule="auto"/>
        <w:ind w:firstLine="1680" w:firstLineChars="700"/>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S—单位质量土壤中某种物质的预测值，g/kg。</w:t>
      </w:r>
    </w:p>
    <w:p w14:paraId="09930723">
      <w:pPr>
        <w:spacing w:line="480" w:lineRule="exact"/>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干沉降对土壤累积影响值见表5.2-1</w:t>
      </w:r>
      <w:r>
        <w:rPr>
          <w:rFonts w:hint="eastAsia" w:ascii="Times New Roman" w:hAnsi="Times New Roman" w:eastAsia="宋体" w:cs="Times New Roman"/>
          <w:color w:val="auto"/>
          <w:sz w:val="24"/>
          <w:szCs w:val="24"/>
          <w:lang w:val="en-US" w:eastAsia="zh-CN"/>
        </w:rPr>
        <w:t>7</w:t>
      </w:r>
      <w:r>
        <w:rPr>
          <w:rFonts w:hint="default" w:ascii="Times New Roman" w:hAnsi="Times New Roman" w:cs="Times New Roman"/>
          <w:color w:val="auto"/>
          <w:sz w:val="24"/>
          <w:szCs w:val="24"/>
        </w:rPr>
        <w:t>，干沉降对土壤累积影响叠加值见表5.2-1</w:t>
      </w:r>
      <w:r>
        <w:rPr>
          <w:rFonts w:hint="eastAsia" w:ascii="Times New Roman" w:hAnsi="Times New Roman" w:eastAsia="宋体" w:cs="Times New Roman"/>
          <w:color w:val="auto"/>
          <w:sz w:val="24"/>
          <w:szCs w:val="24"/>
          <w:lang w:val="en-US" w:eastAsia="zh-CN"/>
        </w:rPr>
        <w:t>8</w:t>
      </w:r>
      <w:r>
        <w:rPr>
          <w:rFonts w:hint="default" w:ascii="Times New Roman" w:hAnsi="Times New Roman" w:cs="Times New Roman"/>
          <w:color w:val="auto"/>
          <w:sz w:val="24"/>
          <w:szCs w:val="24"/>
        </w:rPr>
        <w:t>。</w:t>
      </w:r>
    </w:p>
    <w:p w14:paraId="653B8FC0">
      <w:pPr>
        <w:pStyle w:val="88"/>
        <w:numPr>
          <w:ilvl w:val="0"/>
          <w:numId w:val="0"/>
        </w:numPr>
        <w:spacing w:before="0" w:after="0" w:line="240" w:lineRule="auto"/>
        <w:ind w:leftChars="0"/>
        <w:jc w:val="center"/>
        <w:rPr>
          <w:rFonts w:hint="default" w:ascii="Times New Roman" w:hAnsi="Times New Roman" w:cs="Times New Roman"/>
          <w:snapToGrid w:val="0"/>
          <w:color w:val="auto"/>
        </w:rPr>
      </w:pPr>
      <w:r>
        <w:rPr>
          <w:rFonts w:hint="eastAsia" w:ascii="Times New Roman" w:hAnsi="Times New Roman" w:eastAsia="宋体" w:cs="Times New Roman"/>
          <w:snapToGrid w:val="0"/>
          <w:color w:val="auto"/>
          <w:sz w:val="24"/>
          <w:szCs w:val="24"/>
          <w:lang w:val="en-US" w:eastAsia="zh-CN"/>
        </w:rPr>
        <w:t xml:space="preserve">表5.2-17  </w:t>
      </w:r>
      <w:r>
        <w:rPr>
          <w:rFonts w:hint="default" w:ascii="Times New Roman" w:hAnsi="Times New Roman" w:cs="Times New Roman"/>
          <w:snapToGrid w:val="0"/>
          <w:color w:val="auto"/>
        </w:rPr>
        <w:t>干沉降对土壤累积影响值</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2"/>
        <w:gridCol w:w="1608"/>
        <w:gridCol w:w="1608"/>
        <w:gridCol w:w="1839"/>
        <w:gridCol w:w="1839"/>
        <w:gridCol w:w="1926"/>
      </w:tblGrid>
      <w:tr w14:paraId="717717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49" w:type="pct"/>
            <w:vMerge w:val="restart"/>
            <w:tcBorders>
              <w:tl2br w:val="nil"/>
              <w:tr2bl w:val="nil"/>
            </w:tcBorders>
            <w:vAlign w:val="center"/>
          </w:tcPr>
          <w:p w14:paraId="050BC78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866" w:type="pct"/>
            <w:vMerge w:val="restart"/>
            <w:tcBorders>
              <w:tl2br w:val="nil"/>
              <w:tr2bl w:val="nil"/>
            </w:tcBorders>
            <w:vAlign w:val="center"/>
          </w:tcPr>
          <w:p w14:paraId="3678502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因子</w:t>
            </w:r>
          </w:p>
        </w:tc>
        <w:tc>
          <w:tcPr>
            <w:tcW w:w="866" w:type="pct"/>
            <w:vMerge w:val="restart"/>
            <w:tcBorders>
              <w:tl2br w:val="nil"/>
              <w:tr2bl w:val="nil"/>
            </w:tcBorders>
            <w:vAlign w:val="center"/>
          </w:tcPr>
          <w:p w14:paraId="083739F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年输入量（</w:t>
            </w:r>
            <w:r>
              <w:rPr>
                <w:rFonts w:hint="default" w:ascii="Times New Roman" w:hAnsi="Times New Roman" w:eastAsia="宋体" w:cs="Times New Roman"/>
                <w:color w:val="auto"/>
                <w:sz w:val="21"/>
                <w:szCs w:val="21"/>
                <w:lang w:val="en-US" w:eastAsia="zh-CN"/>
              </w:rPr>
              <w:t>g</w:t>
            </w:r>
            <w:r>
              <w:rPr>
                <w:rFonts w:hint="default" w:ascii="Times New Roman" w:hAnsi="Times New Roman" w:cs="Times New Roman"/>
                <w:color w:val="auto"/>
                <w:sz w:val="21"/>
                <w:szCs w:val="21"/>
              </w:rPr>
              <w:t>）</w:t>
            </w:r>
          </w:p>
        </w:tc>
        <w:tc>
          <w:tcPr>
            <w:tcW w:w="3017" w:type="pct"/>
            <w:gridSpan w:val="3"/>
            <w:tcBorders>
              <w:tl2br w:val="nil"/>
              <w:tr2bl w:val="nil"/>
            </w:tcBorders>
            <w:vAlign w:val="center"/>
          </w:tcPr>
          <w:p w14:paraId="51928E9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累积影响值（</w:t>
            </w:r>
            <w:r>
              <w:rPr>
                <w:rFonts w:hint="default" w:ascii="Times New Roman" w:hAnsi="Times New Roman" w:eastAsia="宋体" w:cs="Times New Roman"/>
                <w:color w:val="auto"/>
                <w:sz w:val="21"/>
                <w:szCs w:val="21"/>
                <w:lang w:val="en-US" w:eastAsia="zh-CN"/>
              </w:rPr>
              <w:t>g</w:t>
            </w:r>
            <w:r>
              <w:rPr>
                <w:rFonts w:hint="default" w:ascii="Times New Roman" w:hAnsi="Times New Roman" w:cs="Times New Roman"/>
                <w:color w:val="auto"/>
                <w:sz w:val="21"/>
                <w:szCs w:val="21"/>
              </w:rPr>
              <w:t>/kg）</w:t>
            </w:r>
          </w:p>
        </w:tc>
      </w:tr>
      <w:tr w14:paraId="6C42AE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49" w:type="pct"/>
            <w:vMerge w:val="continue"/>
            <w:tcBorders>
              <w:tl2br w:val="nil"/>
              <w:tr2bl w:val="nil"/>
            </w:tcBorders>
            <w:vAlign w:val="center"/>
          </w:tcPr>
          <w:p w14:paraId="57420F95">
            <w:pPr>
              <w:spacing w:line="240" w:lineRule="auto"/>
              <w:ind w:firstLine="0" w:firstLineChars="0"/>
              <w:jc w:val="center"/>
              <w:rPr>
                <w:rFonts w:hint="default" w:ascii="Times New Roman" w:hAnsi="Times New Roman" w:cs="Times New Roman"/>
                <w:color w:val="auto"/>
                <w:sz w:val="21"/>
                <w:szCs w:val="21"/>
              </w:rPr>
            </w:pPr>
          </w:p>
        </w:tc>
        <w:tc>
          <w:tcPr>
            <w:tcW w:w="866" w:type="pct"/>
            <w:vMerge w:val="continue"/>
            <w:tcBorders>
              <w:tl2br w:val="nil"/>
              <w:tr2bl w:val="nil"/>
            </w:tcBorders>
            <w:vAlign w:val="center"/>
          </w:tcPr>
          <w:p w14:paraId="421547AB">
            <w:pPr>
              <w:spacing w:line="240" w:lineRule="auto"/>
              <w:ind w:firstLine="0" w:firstLineChars="0"/>
              <w:jc w:val="center"/>
              <w:rPr>
                <w:rFonts w:hint="default" w:ascii="Times New Roman" w:hAnsi="Times New Roman" w:cs="Times New Roman"/>
                <w:color w:val="auto"/>
                <w:sz w:val="21"/>
                <w:szCs w:val="21"/>
              </w:rPr>
            </w:pPr>
          </w:p>
        </w:tc>
        <w:tc>
          <w:tcPr>
            <w:tcW w:w="866" w:type="pct"/>
            <w:vMerge w:val="continue"/>
            <w:tcBorders>
              <w:tl2br w:val="nil"/>
              <w:tr2bl w:val="nil"/>
            </w:tcBorders>
            <w:vAlign w:val="center"/>
          </w:tcPr>
          <w:p w14:paraId="3EA8B1E7">
            <w:pPr>
              <w:spacing w:line="240" w:lineRule="auto"/>
              <w:ind w:firstLine="0" w:firstLineChars="0"/>
              <w:jc w:val="center"/>
              <w:rPr>
                <w:rFonts w:hint="default" w:ascii="Times New Roman" w:hAnsi="Times New Roman" w:cs="Times New Roman"/>
                <w:color w:val="auto"/>
                <w:sz w:val="21"/>
                <w:szCs w:val="21"/>
              </w:rPr>
            </w:pPr>
          </w:p>
        </w:tc>
        <w:tc>
          <w:tcPr>
            <w:tcW w:w="990" w:type="pct"/>
            <w:tcBorders>
              <w:tl2br w:val="nil"/>
              <w:tr2bl w:val="nil"/>
            </w:tcBorders>
            <w:vAlign w:val="center"/>
          </w:tcPr>
          <w:p w14:paraId="0721F7B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5年</w:t>
            </w:r>
          </w:p>
        </w:tc>
        <w:tc>
          <w:tcPr>
            <w:tcW w:w="990" w:type="pct"/>
            <w:tcBorders>
              <w:tl2br w:val="nil"/>
              <w:tr2bl w:val="nil"/>
            </w:tcBorders>
            <w:vAlign w:val="center"/>
          </w:tcPr>
          <w:p w14:paraId="24764AF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10年</w:t>
            </w:r>
          </w:p>
        </w:tc>
        <w:tc>
          <w:tcPr>
            <w:tcW w:w="1036" w:type="pct"/>
            <w:tcBorders>
              <w:tl2br w:val="nil"/>
              <w:tr2bl w:val="nil"/>
            </w:tcBorders>
            <w:vAlign w:val="center"/>
          </w:tcPr>
          <w:p w14:paraId="453B1A0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20年</w:t>
            </w:r>
          </w:p>
        </w:tc>
      </w:tr>
      <w:tr w14:paraId="6C29E7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 w:type="pct"/>
            <w:tcBorders>
              <w:tl2br w:val="nil"/>
              <w:tr2bl w:val="nil"/>
            </w:tcBorders>
            <w:vAlign w:val="center"/>
          </w:tcPr>
          <w:p w14:paraId="4070CB0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866" w:type="pct"/>
            <w:tcBorders>
              <w:tl2br w:val="nil"/>
              <w:tr2bl w:val="nil"/>
            </w:tcBorders>
            <w:vAlign w:val="center"/>
          </w:tcPr>
          <w:p w14:paraId="73A567D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石油烃</w:t>
            </w:r>
          </w:p>
        </w:tc>
        <w:tc>
          <w:tcPr>
            <w:tcW w:w="866" w:type="pct"/>
            <w:tcBorders>
              <w:tl2br w:val="nil"/>
              <w:tr2bl w:val="nil"/>
            </w:tcBorders>
            <w:vAlign w:val="center"/>
          </w:tcPr>
          <w:p w14:paraId="14B417B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5,347,000</w:t>
            </w:r>
          </w:p>
        </w:tc>
        <w:tc>
          <w:tcPr>
            <w:tcW w:w="990" w:type="pct"/>
            <w:tcBorders>
              <w:tl2br w:val="nil"/>
              <w:tr2bl w:val="nil"/>
            </w:tcBorders>
            <w:vAlign w:val="center"/>
          </w:tcPr>
          <w:p w14:paraId="1525E25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Segoe UI" w:cs="Times New Roman"/>
                <w:i w:val="0"/>
                <w:iCs w:val="0"/>
                <w:caps w:val="0"/>
                <w:color w:val="auto"/>
                <w:spacing w:val="0"/>
                <w:sz w:val="24"/>
                <w:szCs w:val="24"/>
                <w:shd w:val="clear" w:fill="FFFFFF"/>
              </w:rPr>
              <w:t>0.1036</w:t>
            </w:r>
          </w:p>
        </w:tc>
        <w:tc>
          <w:tcPr>
            <w:tcW w:w="990" w:type="pct"/>
            <w:tcBorders>
              <w:tl2br w:val="nil"/>
              <w:tr2bl w:val="nil"/>
            </w:tcBorders>
            <w:vAlign w:val="center"/>
          </w:tcPr>
          <w:p w14:paraId="1411734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Segoe UI" w:cs="Times New Roman"/>
                <w:i w:val="0"/>
                <w:iCs w:val="0"/>
                <w:caps w:val="0"/>
                <w:color w:val="auto"/>
                <w:spacing w:val="0"/>
                <w:sz w:val="24"/>
                <w:szCs w:val="24"/>
                <w:shd w:val="clear" w:fill="FFFFFF"/>
              </w:rPr>
              <w:t>0.2072</w:t>
            </w:r>
          </w:p>
        </w:tc>
        <w:tc>
          <w:tcPr>
            <w:tcW w:w="1036" w:type="pct"/>
            <w:tcBorders>
              <w:tl2br w:val="nil"/>
              <w:tr2bl w:val="nil"/>
            </w:tcBorders>
            <w:vAlign w:val="center"/>
          </w:tcPr>
          <w:p w14:paraId="73A64B3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Segoe UI" w:cs="Times New Roman"/>
                <w:i w:val="0"/>
                <w:iCs w:val="0"/>
                <w:caps w:val="0"/>
                <w:color w:val="auto"/>
                <w:spacing w:val="0"/>
                <w:sz w:val="24"/>
                <w:szCs w:val="24"/>
                <w:shd w:val="clear" w:fill="FFFFFF"/>
              </w:rPr>
              <w:t>0.4144</w:t>
            </w:r>
          </w:p>
        </w:tc>
      </w:tr>
      <w:tr w14:paraId="6802D8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 w:type="pct"/>
            <w:tcBorders>
              <w:tl2br w:val="nil"/>
              <w:tr2bl w:val="nil"/>
            </w:tcBorders>
            <w:vAlign w:val="center"/>
          </w:tcPr>
          <w:p w14:paraId="02A29C6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866" w:type="pct"/>
            <w:tcBorders>
              <w:tl2br w:val="nil"/>
              <w:tr2bl w:val="nil"/>
            </w:tcBorders>
            <w:vAlign w:val="center"/>
          </w:tcPr>
          <w:p w14:paraId="045A5A6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甲苯</w:t>
            </w:r>
          </w:p>
        </w:tc>
        <w:tc>
          <w:tcPr>
            <w:tcW w:w="866" w:type="pct"/>
            <w:tcBorders>
              <w:tl2br w:val="nil"/>
              <w:tr2bl w:val="nil"/>
            </w:tcBorders>
            <w:vAlign w:val="center"/>
          </w:tcPr>
          <w:p w14:paraId="19A351F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6,600</w:t>
            </w:r>
          </w:p>
        </w:tc>
        <w:tc>
          <w:tcPr>
            <w:tcW w:w="990" w:type="pct"/>
            <w:tcBorders>
              <w:tl2br w:val="nil"/>
              <w:tr2bl w:val="nil"/>
            </w:tcBorders>
            <w:vAlign w:val="center"/>
          </w:tcPr>
          <w:p w14:paraId="4B1C92A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Segoe UI" w:cs="Times New Roman"/>
                <w:i w:val="0"/>
                <w:iCs w:val="0"/>
                <w:caps w:val="0"/>
                <w:color w:val="auto"/>
                <w:spacing w:val="0"/>
                <w:sz w:val="24"/>
                <w:szCs w:val="24"/>
                <w:shd w:val="clear" w:fill="FFFFFF"/>
              </w:rPr>
              <w:t>0.000128</w:t>
            </w:r>
          </w:p>
        </w:tc>
        <w:tc>
          <w:tcPr>
            <w:tcW w:w="990" w:type="pct"/>
            <w:tcBorders>
              <w:tl2br w:val="nil"/>
              <w:tr2bl w:val="nil"/>
            </w:tcBorders>
            <w:vAlign w:val="center"/>
          </w:tcPr>
          <w:p w14:paraId="12E834C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Segoe UI" w:cs="Times New Roman"/>
                <w:i w:val="0"/>
                <w:iCs w:val="0"/>
                <w:caps w:val="0"/>
                <w:color w:val="auto"/>
                <w:spacing w:val="0"/>
                <w:sz w:val="24"/>
                <w:szCs w:val="24"/>
                <w:shd w:val="clear" w:fill="FFFFFF"/>
              </w:rPr>
              <w:t>0.000256</w:t>
            </w:r>
          </w:p>
        </w:tc>
        <w:tc>
          <w:tcPr>
            <w:tcW w:w="1036" w:type="pct"/>
            <w:tcBorders>
              <w:tl2br w:val="nil"/>
              <w:tr2bl w:val="nil"/>
            </w:tcBorders>
            <w:vAlign w:val="center"/>
          </w:tcPr>
          <w:p w14:paraId="76DE3C3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Segoe UI" w:cs="Times New Roman"/>
                <w:i w:val="0"/>
                <w:iCs w:val="0"/>
                <w:caps w:val="0"/>
                <w:color w:val="auto"/>
                <w:spacing w:val="0"/>
                <w:sz w:val="24"/>
                <w:szCs w:val="24"/>
                <w:shd w:val="clear" w:fill="FFFFFF"/>
              </w:rPr>
              <w:t>0.000512</w:t>
            </w:r>
          </w:p>
        </w:tc>
      </w:tr>
      <w:tr w14:paraId="758968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 w:type="pct"/>
            <w:tcBorders>
              <w:tl2br w:val="nil"/>
              <w:tr2bl w:val="nil"/>
            </w:tcBorders>
            <w:vAlign w:val="center"/>
          </w:tcPr>
          <w:p w14:paraId="15AD2198">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866" w:type="pct"/>
            <w:tcBorders>
              <w:tl2br w:val="nil"/>
              <w:tr2bl w:val="nil"/>
            </w:tcBorders>
            <w:vAlign w:val="center"/>
          </w:tcPr>
          <w:p w14:paraId="3E49939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苯乙烯</w:t>
            </w:r>
          </w:p>
        </w:tc>
        <w:tc>
          <w:tcPr>
            <w:tcW w:w="866" w:type="pct"/>
            <w:tcBorders>
              <w:tl2br w:val="nil"/>
              <w:tr2bl w:val="nil"/>
            </w:tcBorders>
            <w:vAlign w:val="center"/>
          </w:tcPr>
          <w:p w14:paraId="7167C7A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5,000</w:t>
            </w:r>
          </w:p>
        </w:tc>
        <w:tc>
          <w:tcPr>
            <w:tcW w:w="990" w:type="pct"/>
            <w:tcBorders>
              <w:tl2br w:val="nil"/>
              <w:tr2bl w:val="nil"/>
            </w:tcBorders>
            <w:vAlign w:val="center"/>
          </w:tcPr>
          <w:p w14:paraId="0FC7395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Segoe UI" w:cs="Times New Roman"/>
                <w:i w:val="0"/>
                <w:iCs w:val="0"/>
                <w:caps w:val="0"/>
                <w:color w:val="auto"/>
                <w:spacing w:val="0"/>
                <w:sz w:val="24"/>
                <w:szCs w:val="24"/>
                <w:shd w:val="clear" w:fill="FFFFFF"/>
              </w:rPr>
              <w:t>0.000097</w:t>
            </w:r>
          </w:p>
        </w:tc>
        <w:tc>
          <w:tcPr>
            <w:tcW w:w="990" w:type="pct"/>
            <w:tcBorders>
              <w:tl2br w:val="nil"/>
              <w:tr2bl w:val="nil"/>
            </w:tcBorders>
            <w:vAlign w:val="center"/>
          </w:tcPr>
          <w:p w14:paraId="5DA04EF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Segoe UI" w:cs="Times New Roman"/>
                <w:i w:val="0"/>
                <w:iCs w:val="0"/>
                <w:caps w:val="0"/>
                <w:color w:val="auto"/>
                <w:spacing w:val="0"/>
                <w:sz w:val="24"/>
                <w:szCs w:val="24"/>
                <w:shd w:val="clear" w:fill="FFFFFF"/>
              </w:rPr>
              <w:t>0.000194</w:t>
            </w:r>
          </w:p>
        </w:tc>
        <w:tc>
          <w:tcPr>
            <w:tcW w:w="1036" w:type="pct"/>
            <w:tcBorders>
              <w:tl2br w:val="nil"/>
              <w:tr2bl w:val="nil"/>
            </w:tcBorders>
            <w:vAlign w:val="center"/>
          </w:tcPr>
          <w:p w14:paraId="046DBA8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Segoe UI" w:cs="Times New Roman"/>
                <w:i w:val="0"/>
                <w:iCs w:val="0"/>
                <w:caps w:val="0"/>
                <w:color w:val="auto"/>
                <w:spacing w:val="0"/>
                <w:sz w:val="24"/>
                <w:szCs w:val="24"/>
                <w:shd w:val="clear" w:fill="FFFFFF"/>
              </w:rPr>
              <w:t>0.000388</w:t>
            </w:r>
          </w:p>
        </w:tc>
      </w:tr>
    </w:tbl>
    <w:p w14:paraId="01396A1D">
      <w:pPr>
        <w:pStyle w:val="88"/>
        <w:numPr>
          <w:ilvl w:val="0"/>
          <w:numId w:val="0"/>
        </w:numPr>
        <w:spacing w:before="0" w:after="0" w:line="240" w:lineRule="auto"/>
        <w:ind w:leftChars="0"/>
        <w:jc w:val="center"/>
        <w:rPr>
          <w:rFonts w:hint="default" w:ascii="Times New Roman" w:hAnsi="Times New Roman" w:eastAsia="宋体" w:cs="Times New Roman"/>
          <w:snapToGrid w:val="0"/>
          <w:color w:val="auto"/>
          <w:sz w:val="24"/>
          <w:szCs w:val="24"/>
          <w:lang w:val="en-US" w:eastAsia="zh-CN"/>
        </w:rPr>
      </w:pPr>
      <w:r>
        <w:rPr>
          <w:rFonts w:hint="eastAsia" w:ascii="Times New Roman" w:hAnsi="Times New Roman" w:eastAsia="宋体" w:cs="Times New Roman"/>
          <w:snapToGrid w:val="0"/>
          <w:color w:val="auto"/>
          <w:sz w:val="24"/>
          <w:szCs w:val="24"/>
          <w:lang w:val="en-US" w:eastAsia="zh-CN"/>
        </w:rPr>
        <w:t>表5.2-18</w:t>
      </w:r>
      <w:r>
        <w:rPr>
          <w:rFonts w:hint="default" w:ascii="Times New Roman" w:hAnsi="Times New Roman" w:eastAsia="宋体" w:cs="Times New Roman"/>
          <w:snapToGrid w:val="0"/>
          <w:color w:val="auto"/>
          <w:sz w:val="24"/>
          <w:szCs w:val="24"/>
          <w:lang w:val="en-US" w:eastAsia="zh-CN"/>
        </w:rPr>
        <w:t>干沉降对土壤累积影响叠加值</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2"/>
        <w:gridCol w:w="1304"/>
        <w:gridCol w:w="1304"/>
        <w:gridCol w:w="1313"/>
        <w:gridCol w:w="1606"/>
        <w:gridCol w:w="1606"/>
        <w:gridCol w:w="1687"/>
      </w:tblGrid>
      <w:tr w14:paraId="70DCE5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 w:type="pct"/>
            <w:vMerge w:val="restart"/>
            <w:tcBorders>
              <w:tl2br w:val="nil"/>
              <w:tr2bl w:val="nil"/>
            </w:tcBorders>
            <w:vAlign w:val="center"/>
          </w:tcPr>
          <w:p w14:paraId="4306822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702" w:type="pct"/>
            <w:vMerge w:val="restart"/>
            <w:tcBorders>
              <w:tl2br w:val="nil"/>
              <w:tr2bl w:val="nil"/>
            </w:tcBorders>
            <w:vAlign w:val="center"/>
          </w:tcPr>
          <w:p w14:paraId="39F8DDC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因子</w:t>
            </w:r>
          </w:p>
        </w:tc>
        <w:tc>
          <w:tcPr>
            <w:tcW w:w="702" w:type="pct"/>
            <w:vMerge w:val="restart"/>
            <w:tcBorders>
              <w:tl2br w:val="nil"/>
              <w:tr2bl w:val="nil"/>
            </w:tcBorders>
            <w:vAlign w:val="center"/>
          </w:tcPr>
          <w:p w14:paraId="739325F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标准值（mg/kg）</w:t>
            </w:r>
          </w:p>
        </w:tc>
        <w:tc>
          <w:tcPr>
            <w:tcW w:w="707" w:type="pct"/>
            <w:vMerge w:val="restart"/>
            <w:tcBorders>
              <w:tl2br w:val="nil"/>
              <w:tr2bl w:val="nil"/>
            </w:tcBorders>
            <w:vAlign w:val="center"/>
          </w:tcPr>
          <w:p w14:paraId="2A514D7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背景值</w:t>
            </w:r>
          </w:p>
          <w:p w14:paraId="3135A66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（mg/kg）</w:t>
            </w:r>
          </w:p>
        </w:tc>
        <w:tc>
          <w:tcPr>
            <w:tcW w:w="2638" w:type="pct"/>
            <w:gridSpan w:val="3"/>
            <w:tcBorders>
              <w:tl2br w:val="nil"/>
              <w:tr2bl w:val="nil"/>
            </w:tcBorders>
            <w:vAlign w:val="center"/>
          </w:tcPr>
          <w:p w14:paraId="219DC9D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累积叠加值（</w:t>
            </w:r>
            <w:r>
              <w:rPr>
                <w:rFonts w:hint="default" w:ascii="Times New Roman" w:hAnsi="Times New Roman" w:eastAsia="宋体" w:cs="Times New Roman"/>
                <w:color w:val="auto"/>
                <w:sz w:val="21"/>
                <w:szCs w:val="21"/>
                <w:lang w:val="en-US" w:eastAsia="zh-CN"/>
              </w:rPr>
              <w:t>g</w:t>
            </w:r>
            <w:r>
              <w:rPr>
                <w:rFonts w:hint="default" w:ascii="Times New Roman" w:hAnsi="Times New Roman" w:cs="Times New Roman"/>
                <w:color w:val="auto"/>
                <w:sz w:val="21"/>
                <w:szCs w:val="21"/>
              </w:rPr>
              <w:t>/kg）</w:t>
            </w:r>
          </w:p>
        </w:tc>
      </w:tr>
      <w:tr w14:paraId="2E0FCC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 w:type="pct"/>
            <w:vMerge w:val="continue"/>
            <w:tcBorders>
              <w:tl2br w:val="nil"/>
              <w:tr2bl w:val="nil"/>
            </w:tcBorders>
            <w:vAlign w:val="center"/>
          </w:tcPr>
          <w:p w14:paraId="693BB8E3">
            <w:pPr>
              <w:spacing w:line="240" w:lineRule="auto"/>
              <w:ind w:firstLine="0" w:firstLineChars="0"/>
              <w:jc w:val="center"/>
              <w:rPr>
                <w:rFonts w:hint="default" w:ascii="Times New Roman" w:hAnsi="Times New Roman" w:cs="Times New Roman"/>
                <w:color w:val="auto"/>
                <w:sz w:val="21"/>
                <w:szCs w:val="21"/>
              </w:rPr>
            </w:pPr>
          </w:p>
        </w:tc>
        <w:tc>
          <w:tcPr>
            <w:tcW w:w="702" w:type="pct"/>
            <w:vMerge w:val="continue"/>
            <w:tcBorders>
              <w:tl2br w:val="nil"/>
              <w:tr2bl w:val="nil"/>
            </w:tcBorders>
            <w:vAlign w:val="center"/>
          </w:tcPr>
          <w:p w14:paraId="5719CBD5">
            <w:pPr>
              <w:spacing w:line="240" w:lineRule="auto"/>
              <w:ind w:firstLine="0" w:firstLineChars="0"/>
              <w:jc w:val="center"/>
              <w:rPr>
                <w:rFonts w:hint="default" w:ascii="Times New Roman" w:hAnsi="Times New Roman" w:cs="Times New Roman"/>
                <w:color w:val="auto"/>
                <w:sz w:val="21"/>
                <w:szCs w:val="21"/>
              </w:rPr>
            </w:pPr>
          </w:p>
        </w:tc>
        <w:tc>
          <w:tcPr>
            <w:tcW w:w="702" w:type="pct"/>
            <w:vMerge w:val="continue"/>
            <w:tcBorders>
              <w:tl2br w:val="nil"/>
              <w:tr2bl w:val="nil"/>
            </w:tcBorders>
            <w:vAlign w:val="center"/>
          </w:tcPr>
          <w:p w14:paraId="7CEEFC5E">
            <w:pPr>
              <w:spacing w:line="240" w:lineRule="auto"/>
              <w:ind w:firstLine="0" w:firstLineChars="0"/>
              <w:jc w:val="center"/>
              <w:rPr>
                <w:rFonts w:hint="default" w:ascii="Times New Roman" w:hAnsi="Times New Roman" w:cs="Times New Roman"/>
                <w:color w:val="auto"/>
                <w:sz w:val="21"/>
                <w:szCs w:val="21"/>
              </w:rPr>
            </w:pPr>
          </w:p>
        </w:tc>
        <w:tc>
          <w:tcPr>
            <w:tcW w:w="707" w:type="pct"/>
            <w:vMerge w:val="continue"/>
            <w:tcBorders>
              <w:tl2br w:val="nil"/>
              <w:tr2bl w:val="nil"/>
            </w:tcBorders>
            <w:vAlign w:val="center"/>
          </w:tcPr>
          <w:p w14:paraId="56473F7D">
            <w:pPr>
              <w:spacing w:line="240" w:lineRule="auto"/>
              <w:ind w:firstLine="0" w:firstLineChars="0"/>
              <w:jc w:val="center"/>
              <w:rPr>
                <w:rFonts w:hint="default" w:ascii="Times New Roman" w:hAnsi="Times New Roman" w:cs="Times New Roman"/>
                <w:color w:val="auto"/>
                <w:sz w:val="21"/>
                <w:szCs w:val="21"/>
              </w:rPr>
            </w:pPr>
          </w:p>
        </w:tc>
        <w:tc>
          <w:tcPr>
            <w:tcW w:w="865" w:type="pct"/>
            <w:tcBorders>
              <w:tl2br w:val="nil"/>
              <w:tr2bl w:val="nil"/>
            </w:tcBorders>
            <w:vAlign w:val="center"/>
          </w:tcPr>
          <w:p w14:paraId="2166F17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5年</w:t>
            </w:r>
          </w:p>
        </w:tc>
        <w:tc>
          <w:tcPr>
            <w:tcW w:w="865" w:type="pct"/>
            <w:tcBorders>
              <w:tl2br w:val="nil"/>
              <w:tr2bl w:val="nil"/>
            </w:tcBorders>
            <w:vAlign w:val="center"/>
          </w:tcPr>
          <w:p w14:paraId="0001D33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10年</w:t>
            </w:r>
          </w:p>
        </w:tc>
        <w:tc>
          <w:tcPr>
            <w:tcW w:w="907" w:type="pct"/>
            <w:tcBorders>
              <w:tl2br w:val="nil"/>
              <w:tr2bl w:val="nil"/>
            </w:tcBorders>
            <w:vAlign w:val="center"/>
          </w:tcPr>
          <w:p w14:paraId="7E4F1F3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20年</w:t>
            </w:r>
          </w:p>
        </w:tc>
      </w:tr>
      <w:tr w14:paraId="589D26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 w:type="pct"/>
            <w:tcBorders>
              <w:tl2br w:val="nil"/>
              <w:tr2bl w:val="nil"/>
            </w:tcBorders>
            <w:vAlign w:val="center"/>
          </w:tcPr>
          <w:p w14:paraId="18820E2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304" w:type="dxa"/>
            <w:tcBorders>
              <w:tl2br w:val="nil"/>
              <w:tr2bl w:val="nil"/>
            </w:tcBorders>
            <w:vAlign w:val="center"/>
          </w:tcPr>
          <w:p w14:paraId="03772DB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石油烃</w:t>
            </w:r>
          </w:p>
        </w:tc>
        <w:tc>
          <w:tcPr>
            <w:tcW w:w="702" w:type="pct"/>
            <w:tcBorders>
              <w:tl2br w:val="nil"/>
              <w:tr2bl w:val="nil"/>
            </w:tcBorders>
            <w:vAlign w:val="center"/>
          </w:tcPr>
          <w:p w14:paraId="4C89112A">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4500</w:t>
            </w:r>
          </w:p>
        </w:tc>
        <w:tc>
          <w:tcPr>
            <w:tcW w:w="707" w:type="pct"/>
            <w:tcBorders>
              <w:tl2br w:val="nil"/>
              <w:tr2bl w:val="nil"/>
            </w:tcBorders>
            <w:vAlign w:val="center"/>
          </w:tcPr>
          <w:p w14:paraId="7D4593EA">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w:t>
            </w:r>
          </w:p>
        </w:tc>
        <w:tc>
          <w:tcPr>
            <w:tcW w:w="865" w:type="pct"/>
            <w:tcBorders>
              <w:tl2br w:val="nil"/>
              <w:tr2bl w:val="nil"/>
            </w:tcBorders>
            <w:vAlign w:val="center"/>
          </w:tcPr>
          <w:p w14:paraId="1388CA2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Segoe UI" w:cs="Times New Roman"/>
                <w:i w:val="0"/>
                <w:iCs w:val="0"/>
                <w:caps w:val="0"/>
                <w:color w:val="auto"/>
                <w:spacing w:val="0"/>
                <w:sz w:val="21"/>
                <w:szCs w:val="21"/>
                <w:shd w:val="clear" w:fill="FFFFFF"/>
              </w:rPr>
              <w:t>0.1286</w:t>
            </w:r>
          </w:p>
        </w:tc>
        <w:tc>
          <w:tcPr>
            <w:tcW w:w="865" w:type="pct"/>
            <w:tcBorders>
              <w:tl2br w:val="nil"/>
              <w:tr2bl w:val="nil"/>
            </w:tcBorders>
            <w:vAlign w:val="center"/>
          </w:tcPr>
          <w:p w14:paraId="141FB58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Segoe UI" w:cs="Times New Roman"/>
                <w:i w:val="0"/>
                <w:iCs w:val="0"/>
                <w:caps w:val="0"/>
                <w:color w:val="auto"/>
                <w:spacing w:val="0"/>
                <w:sz w:val="21"/>
                <w:szCs w:val="21"/>
                <w:shd w:val="clear" w:fill="FFFFFF"/>
              </w:rPr>
              <w:t>0.2322</w:t>
            </w:r>
          </w:p>
        </w:tc>
        <w:tc>
          <w:tcPr>
            <w:tcW w:w="907" w:type="pct"/>
            <w:tcBorders>
              <w:tl2br w:val="nil"/>
              <w:tr2bl w:val="nil"/>
            </w:tcBorders>
            <w:vAlign w:val="center"/>
          </w:tcPr>
          <w:p w14:paraId="4207CA1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Segoe UI" w:cs="Times New Roman"/>
                <w:i w:val="0"/>
                <w:iCs w:val="0"/>
                <w:caps w:val="0"/>
                <w:color w:val="auto"/>
                <w:spacing w:val="0"/>
                <w:sz w:val="21"/>
                <w:szCs w:val="21"/>
                <w:shd w:val="clear" w:fill="FFFFFF"/>
              </w:rPr>
              <w:t>0.4394</w:t>
            </w:r>
          </w:p>
        </w:tc>
      </w:tr>
      <w:tr w14:paraId="00C054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 w:type="pct"/>
            <w:tcBorders>
              <w:tl2br w:val="nil"/>
              <w:tr2bl w:val="nil"/>
            </w:tcBorders>
            <w:vAlign w:val="center"/>
          </w:tcPr>
          <w:p w14:paraId="203F308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304" w:type="dxa"/>
            <w:tcBorders>
              <w:tl2br w:val="nil"/>
              <w:tr2bl w:val="nil"/>
            </w:tcBorders>
            <w:vAlign w:val="center"/>
          </w:tcPr>
          <w:p w14:paraId="60B082F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甲苯</w:t>
            </w:r>
          </w:p>
        </w:tc>
        <w:tc>
          <w:tcPr>
            <w:tcW w:w="702" w:type="pct"/>
            <w:tcBorders>
              <w:tl2br w:val="nil"/>
              <w:tr2bl w:val="nil"/>
            </w:tcBorders>
            <w:vAlign w:val="center"/>
          </w:tcPr>
          <w:p w14:paraId="38F892A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1200</w:t>
            </w:r>
          </w:p>
        </w:tc>
        <w:tc>
          <w:tcPr>
            <w:tcW w:w="707" w:type="pct"/>
            <w:tcBorders>
              <w:tl2br w:val="nil"/>
              <w:tr2bl w:val="nil"/>
            </w:tcBorders>
            <w:vAlign w:val="center"/>
          </w:tcPr>
          <w:p w14:paraId="41AF350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0.0012</w:t>
            </w:r>
          </w:p>
        </w:tc>
        <w:tc>
          <w:tcPr>
            <w:tcW w:w="865" w:type="pct"/>
            <w:tcBorders>
              <w:tl2br w:val="nil"/>
              <w:tr2bl w:val="nil"/>
            </w:tcBorders>
            <w:vAlign w:val="center"/>
          </w:tcPr>
          <w:p w14:paraId="1910618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Segoe UI" w:cs="Times New Roman"/>
                <w:i w:val="0"/>
                <w:iCs w:val="0"/>
                <w:caps w:val="0"/>
                <w:color w:val="auto"/>
                <w:spacing w:val="0"/>
                <w:sz w:val="21"/>
                <w:szCs w:val="21"/>
                <w:shd w:val="clear" w:fill="FFFFFF"/>
              </w:rPr>
              <w:t>0.000129</w:t>
            </w:r>
          </w:p>
        </w:tc>
        <w:tc>
          <w:tcPr>
            <w:tcW w:w="865" w:type="pct"/>
            <w:tcBorders>
              <w:tl2br w:val="nil"/>
              <w:tr2bl w:val="nil"/>
            </w:tcBorders>
            <w:vAlign w:val="center"/>
          </w:tcPr>
          <w:p w14:paraId="65D256C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Segoe UI" w:cs="Times New Roman"/>
                <w:i w:val="0"/>
                <w:iCs w:val="0"/>
                <w:caps w:val="0"/>
                <w:color w:val="auto"/>
                <w:spacing w:val="0"/>
                <w:sz w:val="21"/>
                <w:szCs w:val="21"/>
                <w:shd w:val="clear" w:fill="FFFFFF"/>
              </w:rPr>
              <w:t>0.000257</w:t>
            </w:r>
          </w:p>
        </w:tc>
        <w:tc>
          <w:tcPr>
            <w:tcW w:w="907" w:type="pct"/>
            <w:tcBorders>
              <w:tl2br w:val="nil"/>
              <w:tr2bl w:val="nil"/>
            </w:tcBorders>
            <w:vAlign w:val="center"/>
          </w:tcPr>
          <w:p w14:paraId="23FD5B3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Segoe UI" w:cs="Times New Roman"/>
                <w:i w:val="0"/>
                <w:iCs w:val="0"/>
                <w:caps w:val="0"/>
                <w:color w:val="auto"/>
                <w:spacing w:val="0"/>
                <w:sz w:val="21"/>
                <w:szCs w:val="21"/>
                <w:shd w:val="clear" w:fill="FFFFFF"/>
              </w:rPr>
              <w:t>0.000513</w:t>
            </w:r>
          </w:p>
        </w:tc>
      </w:tr>
      <w:tr w14:paraId="52E3F7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 w:type="pct"/>
            <w:tcBorders>
              <w:tl2br w:val="nil"/>
              <w:tr2bl w:val="nil"/>
            </w:tcBorders>
            <w:vAlign w:val="center"/>
          </w:tcPr>
          <w:p w14:paraId="64CF0409">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1304" w:type="dxa"/>
            <w:tcBorders>
              <w:tl2br w:val="nil"/>
              <w:tr2bl w:val="nil"/>
            </w:tcBorders>
            <w:vAlign w:val="center"/>
          </w:tcPr>
          <w:p w14:paraId="3B518A2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苯乙烯</w:t>
            </w:r>
          </w:p>
        </w:tc>
        <w:tc>
          <w:tcPr>
            <w:tcW w:w="702" w:type="pct"/>
            <w:tcBorders>
              <w:tl2br w:val="nil"/>
              <w:tr2bl w:val="nil"/>
            </w:tcBorders>
            <w:vAlign w:val="center"/>
          </w:tcPr>
          <w:p w14:paraId="2B2D2AAF">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1290</w:t>
            </w:r>
          </w:p>
        </w:tc>
        <w:tc>
          <w:tcPr>
            <w:tcW w:w="707" w:type="pct"/>
            <w:tcBorders>
              <w:tl2br w:val="nil"/>
              <w:tr2bl w:val="nil"/>
            </w:tcBorders>
            <w:vAlign w:val="center"/>
          </w:tcPr>
          <w:p w14:paraId="037FC477">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0.001</w:t>
            </w:r>
            <w:r>
              <w:rPr>
                <w:rFonts w:hint="default" w:ascii="Times New Roman" w:hAnsi="Times New Roman" w:eastAsia="宋体" w:cs="Times New Roman"/>
                <w:color w:val="auto"/>
                <w:sz w:val="21"/>
                <w:szCs w:val="21"/>
                <w:lang w:val="en-US" w:eastAsia="zh-CN"/>
              </w:rPr>
              <w:t>1</w:t>
            </w:r>
          </w:p>
        </w:tc>
        <w:tc>
          <w:tcPr>
            <w:tcW w:w="865" w:type="pct"/>
            <w:tcBorders>
              <w:tl2br w:val="nil"/>
              <w:tr2bl w:val="nil"/>
            </w:tcBorders>
            <w:vAlign w:val="center"/>
          </w:tcPr>
          <w:p w14:paraId="328B424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Segoe UI" w:cs="Times New Roman"/>
                <w:i w:val="0"/>
                <w:iCs w:val="0"/>
                <w:caps w:val="0"/>
                <w:color w:val="auto"/>
                <w:spacing w:val="0"/>
                <w:sz w:val="21"/>
                <w:szCs w:val="21"/>
                <w:shd w:val="clear" w:fill="FFFFFF"/>
              </w:rPr>
              <w:t>0.000098</w:t>
            </w:r>
          </w:p>
        </w:tc>
        <w:tc>
          <w:tcPr>
            <w:tcW w:w="865" w:type="pct"/>
            <w:tcBorders>
              <w:tl2br w:val="nil"/>
              <w:tr2bl w:val="nil"/>
            </w:tcBorders>
            <w:vAlign w:val="center"/>
          </w:tcPr>
          <w:p w14:paraId="3DBEEC1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Segoe UI" w:cs="Times New Roman"/>
                <w:i w:val="0"/>
                <w:iCs w:val="0"/>
                <w:caps w:val="0"/>
                <w:color w:val="auto"/>
                <w:spacing w:val="0"/>
                <w:sz w:val="21"/>
                <w:szCs w:val="21"/>
                <w:shd w:val="clear" w:fill="FFFFFF"/>
              </w:rPr>
              <w:t>0.000195</w:t>
            </w:r>
          </w:p>
        </w:tc>
        <w:tc>
          <w:tcPr>
            <w:tcW w:w="907" w:type="pct"/>
            <w:tcBorders>
              <w:tl2br w:val="nil"/>
              <w:tr2bl w:val="nil"/>
            </w:tcBorders>
            <w:vAlign w:val="center"/>
          </w:tcPr>
          <w:p w14:paraId="3173FF5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Segoe UI" w:cs="Times New Roman"/>
                <w:i w:val="0"/>
                <w:iCs w:val="0"/>
                <w:caps w:val="0"/>
                <w:color w:val="auto"/>
                <w:spacing w:val="0"/>
                <w:sz w:val="21"/>
                <w:szCs w:val="21"/>
                <w:shd w:val="clear" w:fill="FFFFFF"/>
              </w:rPr>
              <w:t>0.000389</w:t>
            </w:r>
          </w:p>
        </w:tc>
      </w:tr>
    </w:tbl>
    <w:p w14:paraId="2B48D0DD">
      <w:pPr>
        <w:spacing w:line="240" w:lineRule="auto"/>
        <w:ind w:firstLine="0" w:firstLineChars="0"/>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注：标准值采用《土壤环境质量 建设用地土壤污染风险管控标准（试行）》（GB36600-2018）第二类用地筛选值。</w:t>
      </w:r>
    </w:p>
    <w:p w14:paraId="6B670ECC">
      <w:pPr>
        <w:spacing w:line="480" w:lineRule="exact"/>
        <w:ind w:firstLine="480"/>
        <w:rPr>
          <w:rFonts w:hint="default" w:ascii="Times New Roman" w:hAnsi="Times New Roman" w:cs="Times New Roman"/>
          <w:color w:val="auto"/>
        </w:rPr>
      </w:pPr>
      <w:r>
        <w:rPr>
          <w:rFonts w:hint="default" w:ascii="Times New Roman" w:hAnsi="Times New Roman" w:cs="Times New Roman"/>
          <w:color w:val="auto"/>
          <w:sz w:val="24"/>
          <w:szCs w:val="24"/>
        </w:rPr>
        <w:t>由</w:t>
      </w:r>
      <w:r>
        <w:rPr>
          <w:rFonts w:hint="default" w:ascii="Times New Roman" w:hAnsi="Times New Roman" w:cs="Times New Roman"/>
          <w:color w:val="auto"/>
          <w:sz w:val="24"/>
          <w:szCs w:val="24"/>
          <w:lang w:val="en-US" w:eastAsia="zh-CN"/>
        </w:rPr>
        <w:t>预测结果</w:t>
      </w:r>
      <w:r>
        <w:rPr>
          <w:rFonts w:hint="default" w:ascii="Times New Roman" w:hAnsi="Times New Roman" w:cs="Times New Roman"/>
          <w:color w:val="auto"/>
          <w:sz w:val="24"/>
          <w:szCs w:val="24"/>
        </w:rPr>
        <w:t>可知，本项目排放废气中的</w:t>
      </w:r>
      <w:r>
        <w:rPr>
          <w:rFonts w:hint="default" w:ascii="Times New Roman" w:hAnsi="Times New Roman" w:eastAsia="宋体" w:cs="Times New Roman"/>
          <w:color w:val="auto"/>
          <w:sz w:val="24"/>
          <w:szCs w:val="21"/>
          <w:highlight w:val="none"/>
          <w:lang w:val="en-US" w:eastAsia="zh-CN"/>
        </w:rPr>
        <w:t>甲烷总烃、</w:t>
      </w:r>
      <w:r>
        <w:rPr>
          <w:rFonts w:hint="eastAsia" w:ascii="Times New Roman" w:hAnsi="Times New Roman" w:eastAsia="宋体" w:cs="Times New Roman"/>
          <w:color w:val="auto"/>
          <w:sz w:val="24"/>
          <w:szCs w:val="21"/>
          <w:highlight w:val="none"/>
          <w:lang w:val="en-US" w:eastAsia="zh-CN"/>
        </w:rPr>
        <w:t>甲苯、</w:t>
      </w:r>
      <w:r>
        <w:rPr>
          <w:rFonts w:hint="default" w:ascii="Times New Roman" w:hAnsi="Times New Roman" w:eastAsia="宋体" w:cs="Times New Roman"/>
          <w:color w:val="auto"/>
          <w:sz w:val="24"/>
          <w:szCs w:val="21"/>
          <w:highlight w:val="none"/>
          <w:lang w:val="en-US" w:eastAsia="zh-CN"/>
        </w:rPr>
        <w:t>苯乙烯</w:t>
      </w:r>
      <w:r>
        <w:rPr>
          <w:rFonts w:hint="default" w:ascii="Times New Roman" w:hAnsi="Times New Roman" w:cs="Times New Roman"/>
          <w:color w:val="auto"/>
          <w:sz w:val="24"/>
          <w:szCs w:val="24"/>
        </w:rPr>
        <w:t>很小，经20年沉降累积土壤中</w:t>
      </w:r>
      <w:r>
        <w:rPr>
          <w:rFonts w:hint="default" w:ascii="Times New Roman" w:hAnsi="Times New Roman" w:eastAsia="宋体" w:cs="Times New Roman"/>
          <w:color w:val="auto"/>
          <w:sz w:val="24"/>
          <w:szCs w:val="21"/>
          <w:highlight w:val="none"/>
          <w:lang w:val="en-US" w:eastAsia="zh-CN"/>
        </w:rPr>
        <w:t>甲烷总烃、</w:t>
      </w:r>
      <w:r>
        <w:rPr>
          <w:rFonts w:hint="eastAsia" w:ascii="Times New Roman" w:hAnsi="Times New Roman" w:eastAsia="宋体" w:cs="Times New Roman"/>
          <w:color w:val="auto"/>
          <w:sz w:val="24"/>
          <w:szCs w:val="21"/>
          <w:highlight w:val="none"/>
          <w:lang w:val="en-US" w:eastAsia="zh-CN"/>
        </w:rPr>
        <w:t>甲苯、</w:t>
      </w:r>
      <w:r>
        <w:rPr>
          <w:rFonts w:hint="default" w:ascii="Times New Roman" w:hAnsi="Times New Roman" w:eastAsia="宋体" w:cs="Times New Roman"/>
          <w:color w:val="auto"/>
          <w:sz w:val="24"/>
          <w:szCs w:val="21"/>
          <w:highlight w:val="none"/>
          <w:lang w:val="en-US" w:eastAsia="zh-CN"/>
        </w:rPr>
        <w:t>苯乙烯</w:t>
      </w:r>
      <w:r>
        <w:rPr>
          <w:rFonts w:hint="default" w:ascii="Times New Roman" w:hAnsi="Times New Roman" w:cs="Times New Roman"/>
          <w:color w:val="auto"/>
          <w:sz w:val="24"/>
          <w:szCs w:val="24"/>
        </w:rPr>
        <w:t>的增量甚微，</w:t>
      </w:r>
      <w:r>
        <w:rPr>
          <w:rFonts w:hint="eastAsia" w:ascii="Times New Roman" w:hAnsi="Times New Roman" w:eastAsia="宋体" w:cs="Times New Roman"/>
          <w:color w:val="auto"/>
          <w:sz w:val="24"/>
          <w:szCs w:val="24"/>
          <w:lang w:val="en-US" w:eastAsia="zh-CN"/>
        </w:rPr>
        <w:t>土壤</w:t>
      </w:r>
      <w:r>
        <w:rPr>
          <w:rFonts w:hint="default" w:ascii="Times New Roman" w:hAnsi="Times New Roman" w:cs="Times New Roman"/>
          <w:color w:val="auto"/>
          <w:sz w:val="24"/>
          <w:szCs w:val="24"/>
        </w:rPr>
        <w:t>可以满足《土壤环境质量标准 建设用地土壤污染风险管控标准（试行）》（GB36600-2018）筛选值，项目土壤环境影响可接受。</w:t>
      </w:r>
    </w:p>
    <w:p w14:paraId="321C71FE">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2</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6</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固体废物</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环境</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影响分析</w:t>
      </w:r>
    </w:p>
    <w:p w14:paraId="660B3138">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color w:val="auto"/>
          <w:sz w:val="24"/>
          <w:szCs w:val="24"/>
          <w:highlight w:val="none"/>
        </w:rPr>
      </w:pPr>
      <w:r>
        <w:rPr>
          <w:color w:val="auto"/>
          <w:sz w:val="24"/>
          <w:szCs w:val="24"/>
          <w:highlight w:val="none"/>
        </w:rPr>
        <w:t>本</w:t>
      </w:r>
      <w:r>
        <w:rPr>
          <w:rFonts w:hint="default" w:ascii="Times New Roman" w:hAnsi="Times New Roman" w:eastAsia="宋体" w:cs="Times New Roman"/>
          <w:color w:val="auto"/>
          <w:sz w:val="24"/>
          <w:szCs w:val="24"/>
          <w:lang w:val="en-US" w:eastAsia="zh-CN"/>
        </w:rPr>
        <w:t>项目运营期产生的固体废物主要包括危险废物、一般工业固体废物以及员工生活垃圾。一般工业固体废物主要为废包装材料、注塑工序不合格品、废布料、</w:t>
      </w:r>
      <w:r>
        <w:rPr>
          <w:rFonts w:hint="eastAsia" w:ascii="Times New Roman" w:hAnsi="Times New Roman" w:eastAsia="宋体" w:cs="Times New Roman"/>
          <w:snapToGrid w:val="0"/>
          <w:color w:val="auto"/>
          <w:kern w:val="0"/>
          <w:sz w:val="24"/>
          <w:szCs w:val="24"/>
          <w:lang w:val="en-US" w:eastAsia="zh-CN" w:bidi="ar-SA"/>
        </w:rPr>
        <w:t>陶瓷蓄热体、修整检验工序产生的废边角料及不合格品</w:t>
      </w:r>
      <w:r>
        <w:rPr>
          <w:rFonts w:hint="default" w:ascii="Times New Roman" w:hAnsi="Times New Roman" w:eastAsia="宋体" w:cs="Times New Roman"/>
          <w:color w:val="auto"/>
          <w:sz w:val="24"/>
          <w:szCs w:val="24"/>
          <w:lang w:val="en-US" w:eastAsia="zh-CN"/>
        </w:rPr>
        <w:t>；危险废物主要为除尘器收集粉尘、废布袋</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废包装桶、漆渣、废清洗溶剂、水帘废水、废</w:t>
      </w:r>
      <w:r>
        <w:rPr>
          <w:rFonts w:hint="eastAsia" w:ascii="Times New Roman" w:hAnsi="Times New Roman" w:eastAsia="宋体" w:cs="Times New Roman"/>
          <w:color w:val="auto"/>
          <w:sz w:val="24"/>
          <w:szCs w:val="24"/>
          <w:lang w:val="en-US" w:eastAsia="zh-CN"/>
        </w:rPr>
        <w:t>UV</w:t>
      </w:r>
      <w:r>
        <w:rPr>
          <w:rFonts w:hint="default" w:ascii="Times New Roman" w:hAnsi="Times New Roman" w:eastAsia="宋体" w:cs="Times New Roman"/>
          <w:color w:val="auto"/>
          <w:sz w:val="24"/>
          <w:szCs w:val="24"/>
          <w:lang w:val="en-US" w:eastAsia="zh-CN"/>
        </w:rPr>
        <w:t>灯管、废活性炭、</w:t>
      </w:r>
      <w:r>
        <w:rPr>
          <w:rFonts w:hint="default" w:ascii="Times New Roman" w:hAnsi="Times New Roman" w:eastAsia="宋体" w:cs="Times New Roman"/>
          <w:snapToGrid w:val="0"/>
          <w:color w:val="auto"/>
          <w:kern w:val="0"/>
          <w:sz w:val="24"/>
          <w:szCs w:val="24"/>
          <w:lang w:val="en-US" w:eastAsia="zh-CN" w:bidi="ar-SA"/>
        </w:rPr>
        <w:t>废润滑油、含油抹布、含油手套</w:t>
      </w:r>
      <w:r>
        <w:rPr>
          <w:rFonts w:hint="default" w:ascii="Times New Roman" w:hAnsi="Times New Roman" w:eastAsia="宋体" w:cs="Times New Roman"/>
          <w:color w:val="auto"/>
          <w:sz w:val="24"/>
          <w:szCs w:val="24"/>
          <w:lang w:val="en-US" w:eastAsia="zh-CN"/>
        </w:rPr>
        <w:t>。</w:t>
      </w:r>
    </w:p>
    <w:p w14:paraId="0CE4E435">
      <w:pPr>
        <w:keepNext w:val="0"/>
        <w:keepLines w:val="0"/>
        <w:pageBreakBefore w:val="0"/>
        <w:widowControl/>
        <w:kinsoku w:val="0"/>
        <w:wordWrap/>
        <w:overflowPunct/>
        <w:topLinePunct w:val="0"/>
        <w:autoSpaceDE w:val="0"/>
        <w:autoSpaceDN w:val="0"/>
        <w:bidi w:val="0"/>
        <w:adjustRightInd w:val="0"/>
        <w:snapToGrid w:val="0"/>
        <w:spacing w:after="0" w:line="360" w:lineRule="auto"/>
        <w:ind w:firstLine="528" w:firstLineChars="200"/>
        <w:jc w:val="both"/>
        <w:textAlignment w:val="baseline"/>
        <w:rPr>
          <w:rFonts w:ascii="Times New Roman" w:hAnsi="Times New Roman" w:eastAsia="宋体" w:cs="Times New Roman"/>
          <w:color w:val="auto"/>
          <w:sz w:val="24"/>
          <w:highlight w:val="none"/>
        </w:rPr>
      </w:pPr>
      <w:r>
        <w:rPr>
          <w:rFonts w:hint="eastAsia" w:ascii="Times New Roman" w:hAnsi="Times New Roman" w:eastAsia="宋体" w:cs="Times New Roman"/>
          <w:color w:val="auto"/>
          <w:spacing w:val="12"/>
          <w:sz w:val="24"/>
          <w:szCs w:val="24"/>
          <w:highlight w:val="none"/>
        </w:rPr>
        <w:t>固体废物处置方案</w:t>
      </w:r>
      <w:r>
        <w:rPr>
          <w:rFonts w:hint="eastAsia" w:cs="Times New Roman"/>
          <w:color w:val="auto"/>
          <w:spacing w:val="12"/>
          <w:sz w:val="24"/>
          <w:szCs w:val="24"/>
          <w:highlight w:val="none"/>
          <w:lang w:eastAsia="zh-CN"/>
        </w:rPr>
        <w:t>见</w:t>
      </w:r>
      <w:r>
        <w:rPr>
          <w:rFonts w:hint="eastAsia" w:ascii="Times New Roman" w:hAnsi="Times New Roman" w:eastAsia="宋体" w:cs="Times New Roman"/>
          <w:color w:val="auto"/>
          <w:spacing w:val="12"/>
          <w:sz w:val="24"/>
          <w:szCs w:val="24"/>
          <w:highlight w:val="none"/>
        </w:rPr>
        <w:t>表5.2-</w:t>
      </w:r>
      <w:r>
        <w:rPr>
          <w:rFonts w:hint="eastAsia" w:ascii="Times New Roman" w:hAnsi="Times New Roman" w:eastAsia="宋体" w:cs="Times New Roman"/>
          <w:color w:val="auto"/>
          <w:spacing w:val="12"/>
          <w:sz w:val="24"/>
          <w:szCs w:val="24"/>
          <w:highlight w:val="none"/>
          <w:lang w:val="en-US" w:eastAsia="zh-CN"/>
        </w:rPr>
        <w:t>19</w:t>
      </w:r>
      <w:r>
        <w:rPr>
          <w:rFonts w:hint="eastAsia" w:ascii="Times New Roman" w:hAnsi="Times New Roman" w:eastAsia="宋体" w:cs="Times New Roman"/>
          <w:color w:val="auto"/>
          <w:spacing w:val="12"/>
          <w:sz w:val="24"/>
          <w:szCs w:val="24"/>
          <w:highlight w:val="none"/>
        </w:rPr>
        <w:t>。</w:t>
      </w:r>
    </w:p>
    <w:p w14:paraId="40348C51">
      <w:pPr>
        <w:pStyle w:val="44"/>
        <w:bidi w:val="0"/>
        <w:rPr>
          <w:rFonts w:hint="eastAsia" w:eastAsia="宋体"/>
          <w:color w:val="auto"/>
          <w:highlight w:val="none"/>
          <w:lang w:eastAsia="zh-CN"/>
        </w:rPr>
      </w:pPr>
      <w:r>
        <w:rPr>
          <w:color w:val="auto"/>
          <w:highlight w:val="none"/>
        </w:rPr>
        <w:t>表</w:t>
      </w:r>
      <w:r>
        <w:rPr>
          <w:rFonts w:hint="eastAsia"/>
          <w:color w:val="auto"/>
          <w:highlight w:val="none"/>
        </w:rPr>
        <w:t>5.2-</w:t>
      </w:r>
      <w:r>
        <w:rPr>
          <w:rFonts w:hint="eastAsia"/>
          <w:color w:val="auto"/>
          <w:highlight w:val="none"/>
          <w:lang w:val="en-US" w:eastAsia="zh-CN"/>
        </w:rPr>
        <w:t>19</w:t>
      </w:r>
      <w:r>
        <w:rPr>
          <w:rFonts w:hint="eastAsia"/>
          <w:color w:val="auto"/>
          <w:highlight w:val="none"/>
        </w:rPr>
        <w:t xml:space="preserve">  </w:t>
      </w:r>
      <w:r>
        <w:rPr>
          <w:color w:val="auto"/>
          <w:highlight w:val="none"/>
        </w:rPr>
        <w:t>本项目</w:t>
      </w:r>
      <w:r>
        <w:rPr>
          <w:rFonts w:hint="eastAsia"/>
          <w:color w:val="auto"/>
          <w:highlight w:val="none"/>
        </w:rPr>
        <w:t>固体废物处置方案一览表</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2310"/>
        <w:gridCol w:w="1665"/>
        <w:gridCol w:w="1170"/>
        <w:gridCol w:w="2991"/>
      </w:tblGrid>
      <w:tr w14:paraId="424113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pct"/>
            <w:noWrap w:val="0"/>
            <w:vAlign w:val="center"/>
          </w:tcPr>
          <w:p w14:paraId="3F936C28">
            <w:pPr>
              <w:pStyle w:val="37"/>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来源</w:t>
            </w:r>
          </w:p>
        </w:tc>
        <w:tc>
          <w:tcPr>
            <w:tcW w:w="1243" w:type="pct"/>
            <w:noWrap w:val="0"/>
            <w:vAlign w:val="center"/>
          </w:tcPr>
          <w:p w14:paraId="60D13EFB">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固体废物名称</w:t>
            </w:r>
          </w:p>
        </w:tc>
        <w:tc>
          <w:tcPr>
            <w:tcW w:w="896" w:type="pct"/>
            <w:noWrap w:val="0"/>
            <w:vAlign w:val="center"/>
          </w:tcPr>
          <w:p w14:paraId="6D5D011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固废属性</w:t>
            </w:r>
          </w:p>
        </w:tc>
        <w:tc>
          <w:tcPr>
            <w:tcW w:w="630" w:type="pct"/>
            <w:noWrap w:val="0"/>
            <w:vAlign w:val="center"/>
          </w:tcPr>
          <w:p w14:paraId="59C48854">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产生量</w:t>
            </w:r>
          </w:p>
          <w:p w14:paraId="373D9A40">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（t/a）</w:t>
            </w:r>
          </w:p>
        </w:tc>
        <w:tc>
          <w:tcPr>
            <w:tcW w:w="1610" w:type="pct"/>
            <w:noWrap w:val="0"/>
            <w:vAlign w:val="center"/>
          </w:tcPr>
          <w:p w14:paraId="6DDAA8F3">
            <w:pPr>
              <w:pStyle w:val="37"/>
              <w:bidi w:val="0"/>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处理/处置方案</w:t>
            </w:r>
          </w:p>
        </w:tc>
      </w:tr>
      <w:tr w14:paraId="358FA2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pct"/>
            <w:shd w:val="clear" w:color="auto" w:fill="auto"/>
            <w:noWrap w:val="0"/>
            <w:vAlign w:val="center"/>
          </w:tcPr>
          <w:p w14:paraId="5171F933">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员工生活</w:t>
            </w:r>
          </w:p>
        </w:tc>
        <w:tc>
          <w:tcPr>
            <w:tcW w:w="1243" w:type="pct"/>
            <w:shd w:val="clear" w:color="auto" w:fill="auto"/>
            <w:noWrap w:val="0"/>
            <w:vAlign w:val="center"/>
          </w:tcPr>
          <w:p w14:paraId="4E4D68F4">
            <w:pPr>
              <w:pStyle w:val="37"/>
              <w:bidi w:val="0"/>
              <w:ind w:firstLine="0" w:firstLineChars="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生活垃圾</w:t>
            </w:r>
          </w:p>
        </w:tc>
        <w:tc>
          <w:tcPr>
            <w:tcW w:w="896" w:type="pct"/>
            <w:noWrap w:val="0"/>
            <w:vAlign w:val="center"/>
          </w:tcPr>
          <w:p w14:paraId="60A842DD">
            <w:pPr>
              <w:pStyle w:val="37"/>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630" w:type="pct"/>
            <w:shd w:val="clear" w:color="auto" w:fill="auto"/>
            <w:noWrap w:val="0"/>
            <w:vAlign w:val="center"/>
          </w:tcPr>
          <w:p w14:paraId="06B3826E">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eastAsia="宋体" w:cs="Times New Roman"/>
                <w:snapToGrid w:val="0"/>
                <w:color w:val="auto"/>
                <w:spacing w:val="6"/>
                <w:sz w:val="21"/>
                <w:szCs w:val="21"/>
                <w:highlight w:val="none"/>
                <w:lang w:val="en-US" w:eastAsia="zh-CN" w:bidi="ar-SA"/>
              </w:rPr>
              <w:t>58</w:t>
            </w:r>
          </w:p>
        </w:tc>
        <w:tc>
          <w:tcPr>
            <w:tcW w:w="1610" w:type="pct"/>
            <w:shd w:val="clear" w:color="auto" w:fill="auto"/>
            <w:noWrap w:val="0"/>
            <w:vAlign w:val="center"/>
          </w:tcPr>
          <w:p w14:paraId="1AE69C5C">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市政部门收集处置</w:t>
            </w:r>
          </w:p>
        </w:tc>
      </w:tr>
      <w:tr w14:paraId="3B3016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pct"/>
            <w:shd w:val="clear" w:color="auto" w:fill="auto"/>
            <w:noWrap w:val="0"/>
            <w:vAlign w:val="center"/>
          </w:tcPr>
          <w:p w14:paraId="46885031">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包装</w:t>
            </w:r>
          </w:p>
        </w:tc>
        <w:tc>
          <w:tcPr>
            <w:tcW w:w="1243" w:type="pct"/>
            <w:shd w:val="clear" w:color="auto" w:fill="auto"/>
            <w:noWrap w:val="0"/>
            <w:vAlign w:val="center"/>
          </w:tcPr>
          <w:p w14:paraId="2C99BC5D">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en-US" w:bidi="ar-SA"/>
              </w:rPr>
            </w:pPr>
            <w:r>
              <w:rPr>
                <w:rFonts w:hint="default" w:ascii="Times New Roman" w:hAnsi="Times New Roman" w:cs="Times New Roman"/>
                <w:color w:val="auto"/>
                <w:highlight w:val="none"/>
              </w:rPr>
              <w:t>废包装材料</w:t>
            </w:r>
          </w:p>
        </w:tc>
        <w:tc>
          <w:tcPr>
            <w:tcW w:w="896" w:type="pct"/>
            <w:noWrap w:val="0"/>
            <w:vAlign w:val="center"/>
          </w:tcPr>
          <w:p w14:paraId="2112DB5E">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一般工业固废</w:t>
            </w:r>
          </w:p>
        </w:tc>
        <w:tc>
          <w:tcPr>
            <w:tcW w:w="630" w:type="pct"/>
            <w:shd w:val="clear" w:color="auto" w:fill="auto"/>
            <w:noWrap w:val="0"/>
            <w:vAlign w:val="center"/>
          </w:tcPr>
          <w:p w14:paraId="19DE44FA">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1</w:t>
            </w:r>
          </w:p>
        </w:tc>
        <w:tc>
          <w:tcPr>
            <w:tcW w:w="1610" w:type="pct"/>
            <w:shd w:val="clear" w:color="auto" w:fill="auto"/>
            <w:noWrap w:val="0"/>
            <w:vAlign w:val="center"/>
          </w:tcPr>
          <w:p w14:paraId="32143F3E">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eastAsia="宋体" w:cs="Times New Roman"/>
                <w:snapToGrid w:val="0"/>
                <w:color w:val="auto"/>
                <w:spacing w:val="6"/>
                <w:sz w:val="21"/>
                <w:szCs w:val="21"/>
                <w:highlight w:val="none"/>
                <w:lang w:val="en-US" w:eastAsia="zh-CN" w:bidi="ar-SA"/>
              </w:rPr>
              <w:t>外收综合利用</w:t>
            </w:r>
          </w:p>
        </w:tc>
      </w:tr>
      <w:tr w14:paraId="74A00F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pct"/>
            <w:shd w:val="clear" w:color="auto" w:fill="auto"/>
            <w:noWrap w:val="0"/>
            <w:vAlign w:val="center"/>
          </w:tcPr>
          <w:p w14:paraId="7DF70835">
            <w:pPr>
              <w:pStyle w:val="37"/>
              <w:bidi w:val="0"/>
              <w:ind w:firstLine="0" w:firstLineChars="0"/>
              <w:rPr>
                <w:rFonts w:hint="default" w:ascii="Times New Roman" w:hAnsi="Times New Roman" w:eastAsia="Arial" w:cs="Times New Roman"/>
                <w:snapToGrid w:val="0"/>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注塑</w:t>
            </w:r>
          </w:p>
        </w:tc>
        <w:tc>
          <w:tcPr>
            <w:tcW w:w="1243" w:type="pct"/>
            <w:shd w:val="clear" w:color="auto" w:fill="auto"/>
            <w:noWrap w:val="0"/>
            <w:vAlign w:val="center"/>
          </w:tcPr>
          <w:p w14:paraId="689CDCC7">
            <w:pPr>
              <w:pStyle w:val="37"/>
              <w:bidi w:val="0"/>
              <w:ind w:firstLine="0" w:firstLineChars="0"/>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highlight w:val="none"/>
                <w:lang w:val="en-US" w:eastAsia="zh-CN"/>
              </w:rPr>
              <w:t>不合格品</w:t>
            </w:r>
          </w:p>
        </w:tc>
        <w:tc>
          <w:tcPr>
            <w:tcW w:w="896" w:type="pct"/>
            <w:shd w:val="clear" w:color="auto" w:fill="auto"/>
            <w:noWrap w:val="0"/>
            <w:vAlign w:val="center"/>
          </w:tcPr>
          <w:p w14:paraId="757F67E1">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一般工业固废</w:t>
            </w:r>
          </w:p>
        </w:tc>
        <w:tc>
          <w:tcPr>
            <w:tcW w:w="630" w:type="pct"/>
            <w:shd w:val="clear" w:color="auto" w:fill="auto"/>
            <w:noWrap w:val="0"/>
            <w:vAlign w:val="center"/>
          </w:tcPr>
          <w:p w14:paraId="69D7FFC9">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40</w:t>
            </w:r>
          </w:p>
        </w:tc>
        <w:tc>
          <w:tcPr>
            <w:tcW w:w="1610" w:type="pct"/>
            <w:shd w:val="clear" w:color="auto" w:fill="auto"/>
            <w:noWrap w:val="0"/>
            <w:vAlign w:val="center"/>
          </w:tcPr>
          <w:p w14:paraId="4242F0CD">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回用于注塑工序</w:t>
            </w:r>
          </w:p>
        </w:tc>
      </w:tr>
      <w:tr w14:paraId="3360AC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pct"/>
            <w:noWrap w:val="0"/>
            <w:vAlign w:val="center"/>
          </w:tcPr>
          <w:p w14:paraId="29AA81FE">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sz w:val="21"/>
                <w:szCs w:val="21"/>
                <w:highlight w:val="none"/>
                <w:lang w:val="en-US" w:eastAsia="zh-CN"/>
              </w:rPr>
              <w:t>包覆</w:t>
            </w:r>
          </w:p>
        </w:tc>
        <w:tc>
          <w:tcPr>
            <w:tcW w:w="1243" w:type="pct"/>
            <w:noWrap w:val="0"/>
            <w:vAlign w:val="center"/>
          </w:tcPr>
          <w:p w14:paraId="2FE6BD02">
            <w:pPr>
              <w:pStyle w:val="37"/>
              <w:bidi w:val="0"/>
              <w:ind w:firstLine="0" w:firstLineChars="0"/>
              <w:rPr>
                <w:rFonts w:hint="default" w:ascii="Times New Roman" w:hAnsi="Times New Roman" w:cs="Times New Roman"/>
                <w:color w:val="auto"/>
                <w:highlight w:val="none"/>
              </w:rPr>
            </w:pPr>
            <w:r>
              <w:rPr>
                <w:rFonts w:hint="eastAsia" w:ascii="Times New Roman" w:hAnsi="Times New Roman" w:eastAsia="宋体" w:cs="Times New Roman"/>
                <w:color w:val="auto"/>
                <w:sz w:val="21"/>
                <w:szCs w:val="21"/>
                <w:highlight w:val="none"/>
                <w:lang w:val="en-US" w:eastAsia="zh-CN"/>
              </w:rPr>
              <w:t>废布料</w:t>
            </w:r>
          </w:p>
        </w:tc>
        <w:tc>
          <w:tcPr>
            <w:tcW w:w="896" w:type="pct"/>
            <w:shd w:val="clear" w:color="auto" w:fill="auto"/>
            <w:noWrap w:val="0"/>
            <w:vAlign w:val="center"/>
          </w:tcPr>
          <w:p w14:paraId="4D66B5D8">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一般工业固废</w:t>
            </w:r>
          </w:p>
        </w:tc>
        <w:tc>
          <w:tcPr>
            <w:tcW w:w="630" w:type="pct"/>
            <w:shd w:val="clear" w:color="auto" w:fill="auto"/>
            <w:noWrap w:val="0"/>
            <w:vAlign w:val="center"/>
          </w:tcPr>
          <w:p w14:paraId="320A7AA4">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eastAsia="宋体" w:cs="Times New Roman"/>
                <w:snapToGrid w:val="0"/>
                <w:color w:val="auto"/>
                <w:spacing w:val="6"/>
                <w:sz w:val="21"/>
                <w:szCs w:val="21"/>
                <w:highlight w:val="none"/>
                <w:lang w:val="en-US" w:eastAsia="zh-CN" w:bidi="ar-SA"/>
              </w:rPr>
              <w:t>0.3</w:t>
            </w:r>
          </w:p>
        </w:tc>
        <w:tc>
          <w:tcPr>
            <w:tcW w:w="1610" w:type="pct"/>
            <w:shd w:val="clear" w:color="auto" w:fill="auto"/>
            <w:noWrap w:val="0"/>
            <w:vAlign w:val="center"/>
          </w:tcPr>
          <w:p w14:paraId="103C369C">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外售综合利用</w:t>
            </w:r>
          </w:p>
        </w:tc>
      </w:tr>
      <w:tr w14:paraId="57B7DC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pct"/>
            <w:noWrap w:val="0"/>
            <w:vAlign w:val="center"/>
          </w:tcPr>
          <w:p w14:paraId="2F1E19BE">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sz w:val="21"/>
                <w:szCs w:val="21"/>
                <w:highlight w:val="none"/>
                <w:lang w:val="en-US" w:eastAsia="zh-CN"/>
              </w:rPr>
              <w:t>RTO废气处理装置</w:t>
            </w:r>
          </w:p>
        </w:tc>
        <w:tc>
          <w:tcPr>
            <w:tcW w:w="1243" w:type="pct"/>
            <w:noWrap w:val="0"/>
            <w:vAlign w:val="center"/>
          </w:tcPr>
          <w:p w14:paraId="3C569B00">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sz w:val="21"/>
                <w:szCs w:val="21"/>
                <w:highlight w:val="none"/>
                <w:lang w:val="en-US" w:eastAsia="zh-CN"/>
              </w:rPr>
              <w:t>陶瓷蓄热体</w:t>
            </w:r>
          </w:p>
        </w:tc>
        <w:tc>
          <w:tcPr>
            <w:tcW w:w="896" w:type="pct"/>
            <w:shd w:val="clear" w:color="auto" w:fill="auto"/>
            <w:noWrap w:val="0"/>
            <w:vAlign w:val="center"/>
          </w:tcPr>
          <w:p w14:paraId="2E6FC3E8">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一般工业固废</w:t>
            </w:r>
          </w:p>
        </w:tc>
        <w:tc>
          <w:tcPr>
            <w:tcW w:w="630" w:type="pct"/>
            <w:shd w:val="clear" w:color="auto" w:fill="auto"/>
            <w:noWrap w:val="0"/>
            <w:vAlign w:val="center"/>
          </w:tcPr>
          <w:p w14:paraId="3C6809D0">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1t/5a</w:t>
            </w:r>
          </w:p>
        </w:tc>
        <w:tc>
          <w:tcPr>
            <w:tcW w:w="1610" w:type="pct"/>
            <w:shd w:val="clear" w:color="auto" w:fill="auto"/>
            <w:noWrap w:val="0"/>
            <w:vAlign w:val="center"/>
          </w:tcPr>
          <w:p w14:paraId="6FC43E7C">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2769BC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pct"/>
            <w:noWrap w:val="0"/>
            <w:vAlign w:val="center"/>
          </w:tcPr>
          <w:p w14:paraId="2961AECA">
            <w:pPr>
              <w:pStyle w:val="37"/>
              <w:bidi w:val="0"/>
              <w:ind w:firstLine="0" w:firstLineChars="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修整检验</w:t>
            </w:r>
          </w:p>
        </w:tc>
        <w:tc>
          <w:tcPr>
            <w:tcW w:w="1243" w:type="pct"/>
            <w:noWrap w:val="0"/>
            <w:vAlign w:val="center"/>
          </w:tcPr>
          <w:p w14:paraId="4F25B512">
            <w:pPr>
              <w:pStyle w:val="37"/>
              <w:bidi w:val="0"/>
              <w:ind w:firstLine="0" w:firstLineChars="0"/>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废边角料及不合格品</w:t>
            </w:r>
          </w:p>
        </w:tc>
        <w:tc>
          <w:tcPr>
            <w:tcW w:w="896" w:type="pct"/>
            <w:shd w:val="clear" w:color="auto" w:fill="auto"/>
            <w:noWrap w:val="0"/>
            <w:vAlign w:val="center"/>
          </w:tcPr>
          <w:p w14:paraId="7F00B303">
            <w:pPr>
              <w:pStyle w:val="37"/>
              <w:bidi w:val="0"/>
              <w:ind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一般工业固废</w:t>
            </w:r>
          </w:p>
        </w:tc>
        <w:tc>
          <w:tcPr>
            <w:tcW w:w="630" w:type="pct"/>
            <w:shd w:val="clear" w:color="auto" w:fill="auto"/>
            <w:noWrap w:val="0"/>
            <w:vAlign w:val="center"/>
          </w:tcPr>
          <w:p w14:paraId="47758421">
            <w:pPr>
              <w:pStyle w:val="37"/>
              <w:bidi w:val="0"/>
              <w:ind w:firstLine="0" w:firstLineChars="0"/>
              <w:rPr>
                <w:rFonts w:hint="eastAsia" w:ascii="Times New Roman" w:hAnsi="Times New Roman" w:cs="Times New Roman"/>
                <w:color w:val="auto"/>
                <w:sz w:val="21"/>
                <w:szCs w:val="21"/>
                <w:highlight w:val="none"/>
                <w:lang w:val="en-US" w:eastAsia="zh-CN"/>
              </w:rPr>
            </w:pPr>
            <w:r>
              <w:rPr>
                <w:rFonts w:hint="eastAsia" w:ascii="Times New Roman" w:hAnsi="Times New Roman" w:eastAsia="宋体" w:cs="Times New Roman"/>
                <w:snapToGrid w:val="0"/>
                <w:color w:val="auto"/>
                <w:spacing w:val="6"/>
                <w:sz w:val="21"/>
                <w:szCs w:val="21"/>
                <w:highlight w:val="none"/>
                <w:lang w:val="en-US" w:eastAsia="zh-CN" w:bidi="ar-SA"/>
              </w:rPr>
              <w:t>6</w:t>
            </w:r>
          </w:p>
        </w:tc>
        <w:tc>
          <w:tcPr>
            <w:tcW w:w="1610" w:type="pct"/>
            <w:shd w:val="clear" w:color="auto" w:fill="auto"/>
            <w:noWrap w:val="0"/>
            <w:vAlign w:val="center"/>
          </w:tcPr>
          <w:p w14:paraId="274568E9">
            <w:pPr>
              <w:pStyle w:val="37"/>
              <w:bidi w:val="0"/>
              <w:ind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外售综合利用</w:t>
            </w:r>
          </w:p>
        </w:tc>
      </w:tr>
      <w:tr w14:paraId="1A4D33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pct"/>
            <w:noWrap w:val="0"/>
            <w:vAlign w:val="center"/>
          </w:tcPr>
          <w:p w14:paraId="217A7A27">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sz w:val="21"/>
                <w:szCs w:val="21"/>
                <w:highlight w:val="none"/>
                <w:lang w:val="en-US" w:eastAsia="zh-CN"/>
              </w:rPr>
              <w:t>除尘</w:t>
            </w:r>
          </w:p>
        </w:tc>
        <w:tc>
          <w:tcPr>
            <w:tcW w:w="1243" w:type="pct"/>
            <w:noWrap w:val="0"/>
            <w:vAlign w:val="center"/>
          </w:tcPr>
          <w:p w14:paraId="202326BD">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eastAsia="宋体" w:cs="Times New Roman"/>
                <w:color w:val="auto"/>
                <w:sz w:val="21"/>
                <w:szCs w:val="21"/>
                <w:highlight w:val="none"/>
                <w:lang w:val="en-US" w:eastAsia="zh-CN"/>
              </w:rPr>
              <w:t>除尘器收集粉尘</w:t>
            </w:r>
          </w:p>
        </w:tc>
        <w:tc>
          <w:tcPr>
            <w:tcW w:w="896" w:type="pct"/>
            <w:shd w:val="clear" w:color="auto" w:fill="auto"/>
            <w:noWrap w:val="0"/>
            <w:vAlign w:val="center"/>
          </w:tcPr>
          <w:p w14:paraId="23B5E49D">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630" w:type="pct"/>
            <w:shd w:val="clear" w:color="auto" w:fill="auto"/>
            <w:noWrap w:val="0"/>
            <w:vAlign w:val="center"/>
          </w:tcPr>
          <w:p w14:paraId="5141FCF9">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2.319</w:t>
            </w:r>
          </w:p>
        </w:tc>
        <w:tc>
          <w:tcPr>
            <w:tcW w:w="1610" w:type="pct"/>
            <w:shd w:val="clear" w:color="auto" w:fill="auto"/>
            <w:noWrap w:val="0"/>
            <w:vAlign w:val="center"/>
          </w:tcPr>
          <w:p w14:paraId="6A8E442E">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00AC9F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pct"/>
            <w:noWrap w:val="0"/>
            <w:vAlign w:val="center"/>
          </w:tcPr>
          <w:p w14:paraId="12288630">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除尘</w:t>
            </w:r>
          </w:p>
        </w:tc>
        <w:tc>
          <w:tcPr>
            <w:tcW w:w="1243" w:type="pct"/>
            <w:noWrap w:val="0"/>
            <w:vAlign w:val="center"/>
          </w:tcPr>
          <w:p w14:paraId="64B8EDF8">
            <w:pPr>
              <w:pStyle w:val="37"/>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lang w:val="en-US" w:eastAsia="zh-CN"/>
              </w:rPr>
              <w:t>废布袋</w:t>
            </w:r>
          </w:p>
        </w:tc>
        <w:tc>
          <w:tcPr>
            <w:tcW w:w="896" w:type="pct"/>
            <w:shd w:val="clear" w:color="auto" w:fill="auto"/>
            <w:noWrap w:val="0"/>
            <w:vAlign w:val="center"/>
          </w:tcPr>
          <w:p w14:paraId="0B02BBD8">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630" w:type="pct"/>
            <w:shd w:val="clear" w:color="auto" w:fill="auto"/>
            <w:noWrap w:val="0"/>
            <w:vAlign w:val="center"/>
          </w:tcPr>
          <w:p w14:paraId="26F5C2B1">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eastAsia="宋体" w:cs="Times New Roman"/>
                <w:snapToGrid w:val="0"/>
                <w:color w:val="auto"/>
                <w:spacing w:val="6"/>
                <w:sz w:val="21"/>
                <w:szCs w:val="21"/>
                <w:highlight w:val="none"/>
                <w:lang w:val="en-US" w:eastAsia="zh-CN" w:bidi="ar-SA"/>
              </w:rPr>
              <w:t>0.2</w:t>
            </w:r>
          </w:p>
        </w:tc>
        <w:tc>
          <w:tcPr>
            <w:tcW w:w="1610" w:type="pct"/>
            <w:shd w:val="clear" w:color="auto" w:fill="auto"/>
            <w:noWrap w:val="0"/>
            <w:vAlign w:val="center"/>
          </w:tcPr>
          <w:p w14:paraId="228462F0">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6B0EE3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pct"/>
            <w:noWrap w:val="0"/>
            <w:vAlign w:val="center"/>
          </w:tcPr>
          <w:p w14:paraId="6183DD56">
            <w:pPr>
              <w:pStyle w:val="37"/>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lang w:val="en-US" w:eastAsia="zh-CN"/>
              </w:rPr>
              <w:t>包装</w:t>
            </w:r>
          </w:p>
        </w:tc>
        <w:tc>
          <w:tcPr>
            <w:tcW w:w="1243" w:type="pct"/>
            <w:noWrap w:val="0"/>
            <w:vAlign w:val="center"/>
          </w:tcPr>
          <w:p w14:paraId="38ECDEEE">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eastAsia="宋体" w:cs="Times New Roman"/>
                <w:color w:val="auto"/>
                <w:sz w:val="21"/>
                <w:szCs w:val="21"/>
                <w:highlight w:val="none"/>
                <w:lang w:val="en-US" w:eastAsia="zh-CN"/>
              </w:rPr>
              <w:t>废包装桶（油漆、稀释剂、固化剂、油墨）</w:t>
            </w:r>
          </w:p>
        </w:tc>
        <w:tc>
          <w:tcPr>
            <w:tcW w:w="896" w:type="pct"/>
            <w:shd w:val="clear" w:color="auto" w:fill="auto"/>
            <w:noWrap w:val="0"/>
            <w:vAlign w:val="center"/>
          </w:tcPr>
          <w:p w14:paraId="5368AB0E">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630" w:type="pct"/>
            <w:shd w:val="clear" w:color="auto" w:fill="auto"/>
            <w:noWrap w:val="0"/>
            <w:vAlign w:val="center"/>
          </w:tcPr>
          <w:p w14:paraId="6BA82A34">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25</w:t>
            </w:r>
          </w:p>
        </w:tc>
        <w:tc>
          <w:tcPr>
            <w:tcW w:w="1610" w:type="pct"/>
            <w:shd w:val="clear" w:color="auto" w:fill="auto"/>
            <w:noWrap w:val="0"/>
            <w:vAlign w:val="center"/>
          </w:tcPr>
          <w:p w14:paraId="666BF12A">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3727EE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pct"/>
            <w:noWrap w:val="0"/>
            <w:vAlign w:val="center"/>
          </w:tcPr>
          <w:p w14:paraId="6FD9D04C">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eastAsia="宋体" w:cs="Times New Roman"/>
                <w:color w:val="auto"/>
                <w:sz w:val="21"/>
                <w:szCs w:val="21"/>
                <w:highlight w:val="none"/>
                <w:lang w:val="en-US" w:eastAsia="zh-CN"/>
              </w:rPr>
              <w:t>喷漆</w:t>
            </w:r>
          </w:p>
        </w:tc>
        <w:tc>
          <w:tcPr>
            <w:tcW w:w="1243" w:type="pct"/>
            <w:noWrap w:val="0"/>
            <w:vAlign w:val="center"/>
          </w:tcPr>
          <w:p w14:paraId="1423FE74">
            <w:pPr>
              <w:pStyle w:val="37"/>
              <w:bidi w:val="0"/>
              <w:ind w:firstLine="0" w:firstLineChars="0"/>
              <w:rPr>
                <w:rFonts w:hint="default" w:ascii="Times New Roman" w:hAnsi="Times New Roman" w:cs="Times New Roman"/>
                <w:color w:val="auto"/>
                <w:highlight w:val="none"/>
              </w:rPr>
            </w:pPr>
            <w:r>
              <w:rPr>
                <w:rFonts w:hint="eastAsia" w:ascii="Times New Roman" w:hAnsi="Times New Roman" w:eastAsia="宋体" w:cs="Times New Roman"/>
                <w:color w:val="auto"/>
                <w:sz w:val="21"/>
                <w:szCs w:val="21"/>
                <w:highlight w:val="none"/>
                <w:lang w:val="en-US" w:eastAsia="zh-CN"/>
              </w:rPr>
              <w:t>漆渣</w:t>
            </w:r>
          </w:p>
        </w:tc>
        <w:tc>
          <w:tcPr>
            <w:tcW w:w="896" w:type="pct"/>
            <w:shd w:val="clear" w:color="auto" w:fill="auto"/>
            <w:noWrap w:val="0"/>
            <w:vAlign w:val="center"/>
          </w:tcPr>
          <w:p w14:paraId="3DACCF3F">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630" w:type="pct"/>
            <w:shd w:val="clear" w:color="auto" w:fill="auto"/>
            <w:noWrap w:val="0"/>
            <w:vAlign w:val="center"/>
          </w:tcPr>
          <w:p w14:paraId="209A33DF">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86.419</w:t>
            </w:r>
          </w:p>
        </w:tc>
        <w:tc>
          <w:tcPr>
            <w:tcW w:w="1610" w:type="pct"/>
            <w:shd w:val="clear" w:color="auto" w:fill="auto"/>
            <w:noWrap w:val="0"/>
            <w:vAlign w:val="center"/>
          </w:tcPr>
          <w:p w14:paraId="28988CE3">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038BE0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pct"/>
            <w:vAlign w:val="center"/>
          </w:tcPr>
          <w:p w14:paraId="1BD1DACB">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sz w:val="21"/>
                <w:szCs w:val="21"/>
                <w:highlight w:val="none"/>
                <w:lang w:val="en-US" w:eastAsia="zh-CN"/>
              </w:rPr>
              <w:t>清洗</w:t>
            </w:r>
          </w:p>
        </w:tc>
        <w:tc>
          <w:tcPr>
            <w:tcW w:w="1243" w:type="pct"/>
            <w:vAlign w:val="center"/>
          </w:tcPr>
          <w:p w14:paraId="2283AF96">
            <w:pPr>
              <w:pStyle w:val="37"/>
              <w:bidi w:val="0"/>
              <w:ind w:firstLine="0" w:firstLineChars="0"/>
              <w:rPr>
                <w:rFonts w:hint="default" w:ascii="Times New Roman" w:hAnsi="Times New Roman" w:cs="Times New Roman"/>
                <w:color w:val="auto"/>
                <w:highlight w:val="none"/>
              </w:rPr>
            </w:pPr>
            <w:r>
              <w:rPr>
                <w:rFonts w:hint="eastAsia" w:ascii="Times New Roman" w:hAnsi="Times New Roman" w:eastAsia="宋体" w:cs="Times New Roman"/>
                <w:color w:val="auto"/>
                <w:sz w:val="21"/>
                <w:szCs w:val="21"/>
                <w:highlight w:val="none"/>
                <w:lang w:val="en-US" w:eastAsia="zh-CN"/>
              </w:rPr>
              <w:t>废清洗溶剂</w:t>
            </w:r>
          </w:p>
        </w:tc>
        <w:tc>
          <w:tcPr>
            <w:tcW w:w="896" w:type="pct"/>
            <w:shd w:val="clear" w:color="auto" w:fill="auto"/>
            <w:vAlign w:val="center"/>
          </w:tcPr>
          <w:p w14:paraId="48B83E30">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630" w:type="pct"/>
            <w:shd w:val="clear" w:color="auto" w:fill="auto"/>
            <w:vAlign w:val="center"/>
          </w:tcPr>
          <w:p w14:paraId="2BD81A48">
            <w:pPr>
              <w:pStyle w:val="37"/>
              <w:bidi w:val="0"/>
              <w:ind w:firstLine="0" w:firstLineChars="0"/>
              <w:rPr>
                <w:rFonts w:hint="default" w:ascii="Times New Roman" w:hAnsi="Times New Roman" w:eastAsia="宋体" w:cs="Times New Roman"/>
                <w:snapToGrid w:val="0"/>
                <w:color w:val="auto"/>
                <w:spacing w:val="6"/>
                <w:sz w:val="21"/>
                <w:szCs w:val="21"/>
                <w:highlight w:val="none"/>
                <w:vertAlign w:val="baseline"/>
                <w:lang w:val="en-US" w:eastAsia="zh-CN" w:bidi="ar-SA"/>
              </w:rPr>
            </w:pPr>
            <w:r>
              <w:rPr>
                <w:rFonts w:hint="eastAsia" w:ascii="Times New Roman" w:hAnsi="Times New Roman" w:eastAsia="宋体" w:cs="Times New Roman"/>
                <w:snapToGrid w:val="0"/>
                <w:color w:val="auto"/>
                <w:spacing w:val="6"/>
                <w:sz w:val="21"/>
                <w:szCs w:val="21"/>
                <w:highlight w:val="none"/>
                <w:vertAlign w:val="baseline"/>
                <w:lang w:val="en-US" w:eastAsia="zh-CN" w:bidi="ar-SA"/>
              </w:rPr>
              <w:t>3.5</w:t>
            </w:r>
          </w:p>
        </w:tc>
        <w:tc>
          <w:tcPr>
            <w:tcW w:w="1610" w:type="pct"/>
            <w:shd w:val="clear" w:color="auto" w:fill="auto"/>
            <w:vAlign w:val="center"/>
          </w:tcPr>
          <w:p w14:paraId="33186422">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7ABD8B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pct"/>
            <w:vAlign w:val="center"/>
          </w:tcPr>
          <w:p w14:paraId="7B374CC1">
            <w:pPr>
              <w:pStyle w:val="37"/>
              <w:bidi w:val="0"/>
              <w:ind w:firstLine="0" w:firstLineChars="0"/>
              <w:rPr>
                <w:rFonts w:hint="default" w:ascii="Times New Roman" w:hAnsi="Times New Roman" w:cs="Times New Roman"/>
                <w:color w:val="auto"/>
                <w:highlight w:val="none"/>
              </w:rPr>
            </w:pPr>
            <w:r>
              <w:rPr>
                <w:rFonts w:hint="eastAsia" w:ascii="Times New Roman" w:hAnsi="Times New Roman" w:cs="Times New Roman"/>
                <w:color w:val="auto"/>
                <w:sz w:val="21"/>
                <w:szCs w:val="21"/>
                <w:highlight w:val="none"/>
                <w:lang w:val="en-US" w:eastAsia="zh-CN"/>
              </w:rPr>
              <w:t>喷漆水帘喷漆循环水池</w:t>
            </w:r>
          </w:p>
        </w:tc>
        <w:tc>
          <w:tcPr>
            <w:tcW w:w="1243" w:type="pct"/>
            <w:vAlign w:val="center"/>
          </w:tcPr>
          <w:p w14:paraId="322C2F55">
            <w:pPr>
              <w:pStyle w:val="37"/>
              <w:bidi w:val="0"/>
              <w:ind w:firstLine="0" w:firstLineChars="0"/>
              <w:rPr>
                <w:rFonts w:hint="default" w:ascii="Times New Roman" w:hAnsi="Times New Roman" w:cs="Times New Roman"/>
                <w:color w:val="auto"/>
                <w:highlight w:val="none"/>
              </w:rPr>
            </w:pPr>
            <w:r>
              <w:rPr>
                <w:rFonts w:hint="eastAsia" w:ascii="Times New Roman" w:hAnsi="Times New Roman" w:cs="Times New Roman"/>
                <w:color w:val="auto"/>
                <w:sz w:val="21"/>
                <w:szCs w:val="21"/>
                <w:highlight w:val="none"/>
                <w:lang w:val="en-US" w:eastAsia="zh-CN"/>
              </w:rPr>
              <w:t>水帘废水</w:t>
            </w:r>
          </w:p>
        </w:tc>
        <w:tc>
          <w:tcPr>
            <w:tcW w:w="896" w:type="pct"/>
            <w:shd w:val="clear" w:color="auto" w:fill="auto"/>
            <w:vAlign w:val="center"/>
          </w:tcPr>
          <w:p w14:paraId="50E261D6">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630" w:type="pct"/>
            <w:shd w:val="clear" w:color="auto" w:fill="auto"/>
            <w:vAlign w:val="center"/>
          </w:tcPr>
          <w:p w14:paraId="1EC55162">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400m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/a</w:t>
            </w:r>
          </w:p>
        </w:tc>
        <w:tc>
          <w:tcPr>
            <w:tcW w:w="1610" w:type="pct"/>
            <w:shd w:val="clear" w:color="auto" w:fill="auto"/>
            <w:vAlign w:val="center"/>
          </w:tcPr>
          <w:p w14:paraId="7B9E4D68">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不暂存，由有资质单位上门清运</w:t>
            </w:r>
          </w:p>
        </w:tc>
      </w:tr>
      <w:tr w14:paraId="521CF5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pct"/>
            <w:vAlign w:val="center"/>
          </w:tcPr>
          <w:p w14:paraId="5A208A79">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废气净化</w:t>
            </w:r>
          </w:p>
        </w:tc>
        <w:tc>
          <w:tcPr>
            <w:tcW w:w="1243" w:type="pct"/>
            <w:vAlign w:val="center"/>
          </w:tcPr>
          <w:p w14:paraId="6CF4AED1">
            <w:pPr>
              <w:pStyle w:val="37"/>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废活性炭</w:t>
            </w:r>
          </w:p>
        </w:tc>
        <w:tc>
          <w:tcPr>
            <w:tcW w:w="896" w:type="pct"/>
            <w:shd w:val="clear" w:color="auto" w:fill="auto"/>
            <w:vAlign w:val="center"/>
          </w:tcPr>
          <w:p w14:paraId="66596ADD">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630" w:type="pct"/>
            <w:shd w:val="clear" w:color="auto" w:fill="auto"/>
            <w:vAlign w:val="center"/>
          </w:tcPr>
          <w:p w14:paraId="299D8C5B">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eastAsia="宋体" w:cs="Times New Roman"/>
                <w:snapToGrid w:val="0"/>
                <w:color w:val="auto"/>
                <w:spacing w:val="6"/>
                <w:sz w:val="21"/>
                <w:szCs w:val="21"/>
                <w:highlight w:val="none"/>
                <w:lang w:val="en-US" w:eastAsia="zh-CN" w:bidi="ar-SA"/>
              </w:rPr>
              <w:t>73.71</w:t>
            </w:r>
          </w:p>
        </w:tc>
        <w:tc>
          <w:tcPr>
            <w:tcW w:w="1610" w:type="pct"/>
            <w:shd w:val="clear" w:color="auto" w:fill="auto"/>
            <w:vAlign w:val="center"/>
          </w:tcPr>
          <w:p w14:paraId="2917C565">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1B3E99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pct"/>
            <w:vAlign w:val="center"/>
          </w:tcPr>
          <w:p w14:paraId="3F0379BC">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固化</w:t>
            </w:r>
          </w:p>
        </w:tc>
        <w:tc>
          <w:tcPr>
            <w:tcW w:w="1243" w:type="pct"/>
            <w:vAlign w:val="center"/>
          </w:tcPr>
          <w:p w14:paraId="6A784ECA">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废UV灯管</w:t>
            </w:r>
          </w:p>
        </w:tc>
        <w:tc>
          <w:tcPr>
            <w:tcW w:w="896" w:type="pct"/>
            <w:shd w:val="clear" w:color="auto" w:fill="auto"/>
            <w:vAlign w:val="center"/>
          </w:tcPr>
          <w:p w14:paraId="7EC20944">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630" w:type="pct"/>
            <w:shd w:val="clear" w:color="auto" w:fill="auto"/>
            <w:vAlign w:val="center"/>
          </w:tcPr>
          <w:p w14:paraId="7221B2EC">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eastAsia="宋体" w:cs="Times New Roman"/>
                <w:snapToGrid w:val="0"/>
                <w:color w:val="auto"/>
                <w:spacing w:val="6"/>
                <w:sz w:val="21"/>
                <w:szCs w:val="21"/>
                <w:highlight w:val="none"/>
                <w:lang w:val="en-US" w:eastAsia="zh-CN" w:bidi="ar-SA"/>
              </w:rPr>
              <w:t>0.01</w:t>
            </w:r>
          </w:p>
        </w:tc>
        <w:tc>
          <w:tcPr>
            <w:tcW w:w="1610" w:type="pct"/>
            <w:shd w:val="clear" w:color="auto" w:fill="auto"/>
            <w:vAlign w:val="center"/>
          </w:tcPr>
          <w:p w14:paraId="3097DEE0">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557C8B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pct"/>
            <w:vAlign w:val="center"/>
          </w:tcPr>
          <w:p w14:paraId="28F138D3">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机修</w:t>
            </w:r>
          </w:p>
        </w:tc>
        <w:tc>
          <w:tcPr>
            <w:tcW w:w="1243" w:type="pct"/>
            <w:vAlign w:val="center"/>
          </w:tcPr>
          <w:p w14:paraId="53845D84">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废润滑油</w:t>
            </w:r>
          </w:p>
        </w:tc>
        <w:tc>
          <w:tcPr>
            <w:tcW w:w="896" w:type="pct"/>
            <w:shd w:val="clear" w:color="auto" w:fill="auto"/>
            <w:vAlign w:val="center"/>
          </w:tcPr>
          <w:p w14:paraId="3D11E898">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630" w:type="pct"/>
            <w:shd w:val="clear" w:color="auto" w:fill="auto"/>
            <w:vAlign w:val="center"/>
          </w:tcPr>
          <w:p w14:paraId="3A0C2C07">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eastAsia="宋体" w:cs="Times New Roman"/>
                <w:snapToGrid w:val="0"/>
                <w:color w:val="auto"/>
                <w:spacing w:val="6"/>
                <w:sz w:val="21"/>
                <w:szCs w:val="21"/>
                <w:highlight w:val="none"/>
                <w:lang w:val="en-US" w:eastAsia="zh-CN" w:bidi="ar-SA"/>
              </w:rPr>
              <w:t>0.5</w:t>
            </w:r>
          </w:p>
        </w:tc>
        <w:tc>
          <w:tcPr>
            <w:tcW w:w="1610" w:type="pct"/>
            <w:shd w:val="clear" w:color="auto" w:fill="auto"/>
            <w:vAlign w:val="center"/>
          </w:tcPr>
          <w:p w14:paraId="5CDFE949">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2C5276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pct"/>
            <w:vAlign w:val="center"/>
          </w:tcPr>
          <w:p w14:paraId="7BB2B546">
            <w:pPr>
              <w:pStyle w:val="37"/>
              <w:bidi w:val="0"/>
              <w:ind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机修</w:t>
            </w:r>
          </w:p>
        </w:tc>
        <w:tc>
          <w:tcPr>
            <w:tcW w:w="1243" w:type="pct"/>
            <w:vAlign w:val="center"/>
          </w:tcPr>
          <w:p w14:paraId="6D5C0099">
            <w:pPr>
              <w:pStyle w:val="37"/>
              <w:bidi w:val="0"/>
              <w:ind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废润滑油桶</w:t>
            </w:r>
          </w:p>
        </w:tc>
        <w:tc>
          <w:tcPr>
            <w:tcW w:w="896" w:type="pct"/>
            <w:shd w:val="clear" w:color="auto" w:fill="auto"/>
            <w:vAlign w:val="center"/>
          </w:tcPr>
          <w:p w14:paraId="500FB67C">
            <w:pPr>
              <w:pStyle w:val="37"/>
              <w:bidi w:val="0"/>
              <w:ind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630" w:type="pct"/>
            <w:shd w:val="clear" w:color="auto" w:fill="auto"/>
            <w:vAlign w:val="center"/>
          </w:tcPr>
          <w:p w14:paraId="7C24E67E">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eastAsia="宋体" w:cs="Times New Roman"/>
                <w:snapToGrid w:val="0"/>
                <w:color w:val="auto"/>
                <w:spacing w:val="6"/>
                <w:sz w:val="21"/>
                <w:szCs w:val="21"/>
                <w:highlight w:val="none"/>
                <w:lang w:val="en-US" w:eastAsia="zh-CN" w:bidi="ar-SA"/>
              </w:rPr>
              <w:t>0.1</w:t>
            </w:r>
          </w:p>
        </w:tc>
        <w:tc>
          <w:tcPr>
            <w:tcW w:w="1610" w:type="pct"/>
            <w:shd w:val="clear" w:color="auto" w:fill="auto"/>
            <w:vAlign w:val="center"/>
          </w:tcPr>
          <w:p w14:paraId="0F4189B1">
            <w:pPr>
              <w:pStyle w:val="37"/>
              <w:bidi w:val="0"/>
              <w:ind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暂存危险废物贮存库，交有资质单位处置</w:t>
            </w:r>
          </w:p>
        </w:tc>
      </w:tr>
      <w:tr w14:paraId="539B65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8" w:type="pct"/>
            <w:vAlign w:val="center"/>
          </w:tcPr>
          <w:p w14:paraId="726141BF">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机械保养</w:t>
            </w:r>
            <w:r>
              <w:rPr>
                <w:rFonts w:hint="eastAsia" w:ascii="Times New Roman" w:hAnsi="Times New Roman" w:cs="Times New Roman"/>
                <w:color w:val="auto"/>
                <w:sz w:val="21"/>
                <w:szCs w:val="21"/>
                <w:highlight w:val="none"/>
                <w:lang w:val="en-US" w:eastAsia="zh-CN"/>
              </w:rPr>
              <w:t>和维修</w:t>
            </w:r>
          </w:p>
        </w:tc>
        <w:tc>
          <w:tcPr>
            <w:tcW w:w="1243" w:type="pct"/>
            <w:vAlign w:val="center"/>
          </w:tcPr>
          <w:p w14:paraId="4A279FA2">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废含油手套及抹布</w:t>
            </w:r>
          </w:p>
        </w:tc>
        <w:tc>
          <w:tcPr>
            <w:tcW w:w="896" w:type="pct"/>
            <w:shd w:val="clear" w:color="auto" w:fill="auto"/>
            <w:vAlign w:val="center"/>
          </w:tcPr>
          <w:p w14:paraId="3A9F1462">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630" w:type="pct"/>
            <w:shd w:val="clear" w:color="auto" w:fill="auto"/>
            <w:vAlign w:val="center"/>
          </w:tcPr>
          <w:p w14:paraId="7C229AC7">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eastAsia="宋体" w:cs="Times New Roman"/>
                <w:snapToGrid w:val="0"/>
                <w:color w:val="auto"/>
                <w:spacing w:val="6"/>
                <w:sz w:val="21"/>
                <w:szCs w:val="21"/>
                <w:highlight w:val="none"/>
                <w:lang w:val="en-US" w:eastAsia="zh-CN" w:bidi="ar-SA"/>
              </w:rPr>
              <w:t>0.02</w:t>
            </w:r>
          </w:p>
        </w:tc>
        <w:tc>
          <w:tcPr>
            <w:tcW w:w="1610" w:type="pct"/>
            <w:shd w:val="clear" w:color="auto" w:fill="auto"/>
            <w:vAlign w:val="center"/>
          </w:tcPr>
          <w:p w14:paraId="67D7C61C">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市政</w:t>
            </w:r>
            <w:r>
              <w:rPr>
                <w:rFonts w:hint="default" w:ascii="Times New Roman" w:hAnsi="Times New Roman" w:cs="Times New Roman"/>
                <w:color w:val="auto"/>
                <w:sz w:val="21"/>
                <w:szCs w:val="21"/>
                <w:highlight w:val="none"/>
              </w:rPr>
              <w:t>部门</w:t>
            </w:r>
            <w:r>
              <w:rPr>
                <w:rFonts w:hint="default" w:ascii="Times New Roman" w:hAnsi="Times New Roman" w:cs="Times New Roman"/>
                <w:color w:val="auto"/>
                <w:sz w:val="21"/>
                <w:szCs w:val="21"/>
                <w:highlight w:val="none"/>
                <w:lang w:val="en-US" w:eastAsia="zh-CN"/>
              </w:rPr>
              <w:t>收集</w:t>
            </w:r>
            <w:r>
              <w:rPr>
                <w:rFonts w:hint="default" w:ascii="Times New Roman" w:hAnsi="Times New Roman" w:cs="Times New Roman"/>
                <w:color w:val="auto"/>
                <w:sz w:val="21"/>
                <w:szCs w:val="21"/>
                <w:highlight w:val="none"/>
              </w:rPr>
              <w:t>处置</w:t>
            </w:r>
          </w:p>
        </w:tc>
      </w:tr>
    </w:tbl>
    <w:p w14:paraId="31785A4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p>
    <w:p w14:paraId="4652329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（2）固体废物环境影响分析</w:t>
      </w:r>
    </w:p>
    <w:p w14:paraId="4674B64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本项目产生的固体废物分类收集、分类贮存。本项目严格执行《危险废物贮存污染控制标准》（GB18597-2023）和《一般工业固体废物贮存和填埋污染控制标准》</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GB18599-2020</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，危险废物和一般工业固体废物收集后分类、分区暂存，杜绝混合存放。</w:t>
      </w:r>
    </w:p>
    <w:p w14:paraId="44380F2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①一般工业固体废物暂存</w:t>
      </w:r>
      <w:r>
        <w:rPr>
          <w:rFonts w:hint="default" w:ascii="Times New Roman" w:hAnsi="Times New Roman" w:cs="Times New Roman"/>
          <w:color w:val="auto"/>
          <w:sz w:val="24"/>
          <w:szCs w:val="24"/>
          <w:highlight w:val="none"/>
          <w:lang w:val="en-US" w:eastAsia="zh-CN"/>
        </w:rPr>
        <w:t>及处置</w:t>
      </w:r>
      <w:r>
        <w:rPr>
          <w:rFonts w:hint="default" w:ascii="Times New Roman" w:hAnsi="Times New Roman" w:cs="Times New Roman"/>
          <w:color w:val="auto"/>
          <w:sz w:val="24"/>
          <w:szCs w:val="24"/>
          <w:highlight w:val="none"/>
        </w:rPr>
        <w:t>情况</w:t>
      </w:r>
    </w:p>
    <w:p w14:paraId="49BE11A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本项目产生的一般工业固体废物</w:t>
      </w:r>
      <w:r>
        <w:rPr>
          <w:rFonts w:hint="default" w:ascii="Times New Roman" w:hAnsi="Times New Roman" w:cs="Times New Roman"/>
          <w:color w:val="auto"/>
          <w:sz w:val="24"/>
          <w:szCs w:val="24"/>
          <w:highlight w:val="none"/>
          <w:lang w:val="en-US" w:eastAsia="zh-CN"/>
        </w:rPr>
        <w:t>分区暂存</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均堆存在室内，无露天堆存情况，贮存过程具备防渗漏、防雨淋、防扬尘等措施，</w:t>
      </w:r>
      <w:r>
        <w:rPr>
          <w:rFonts w:hint="default" w:ascii="Times New Roman" w:hAnsi="Times New Roman" w:cs="Times New Roman"/>
          <w:color w:val="auto"/>
          <w:sz w:val="24"/>
          <w:szCs w:val="24"/>
          <w:highlight w:val="none"/>
        </w:rPr>
        <w:t>并由专人管理和维护，定期处置或综合利用</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不会</w:t>
      </w:r>
      <w:r>
        <w:rPr>
          <w:rFonts w:hint="default" w:ascii="Times New Roman" w:hAnsi="Times New Roman" w:cs="Times New Roman"/>
          <w:color w:val="auto"/>
          <w:sz w:val="24"/>
          <w:szCs w:val="24"/>
          <w:highlight w:val="none"/>
          <w:lang w:val="en-US" w:eastAsia="zh-CN"/>
        </w:rPr>
        <w:t>对环境造成二次污染</w:t>
      </w:r>
      <w:r>
        <w:rPr>
          <w:rFonts w:hint="default" w:ascii="Times New Roman" w:hAnsi="Times New Roman" w:cs="Times New Roman"/>
          <w:color w:val="auto"/>
          <w:sz w:val="24"/>
          <w:szCs w:val="24"/>
          <w:highlight w:val="none"/>
        </w:rPr>
        <w:t>。</w:t>
      </w:r>
    </w:p>
    <w:p w14:paraId="28DC2FF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②危险废物暂存</w:t>
      </w:r>
      <w:r>
        <w:rPr>
          <w:rFonts w:hint="default" w:ascii="Times New Roman" w:hAnsi="Times New Roman" w:cs="Times New Roman"/>
          <w:color w:val="auto"/>
          <w:sz w:val="24"/>
          <w:szCs w:val="24"/>
          <w:highlight w:val="none"/>
          <w:lang w:val="en-US" w:eastAsia="zh-CN"/>
        </w:rPr>
        <w:t>及处置</w:t>
      </w:r>
      <w:r>
        <w:rPr>
          <w:rFonts w:hint="default" w:ascii="Times New Roman" w:hAnsi="Times New Roman" w:cs="Times New Roman"/>
          <w:color w:val="auto"/>
          <w:sz w:val="24"/>
          <w:szCs w:val="24"/>
          <w:highlight w:val="none"/>
        </w:rPr>
        <w:t>情况</w:t>
      </w:r>
    </w:p>
    <w:p w14:paraId="09E7940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rPr>
        <w:t>本项目</w:t>
      </w:r>
      <w:r>
        <w:rPr>
          <w:rFonts w:hint="eastAsia" w:ascii="Times New Roman" w:hAnsi="Times New Roman" w:eastAsia="宋体" w:cs="Times New Roman"/>
          <w:color w:val="auto"/>
          <w:sz w:val="24"/>
          <w:szCs w:val="24"/>
          <w:highlight w:val="none"/>
          <w:lang w:val="en-US" w:eastAsia="zh-CN"/>
        </w:rPr>
        <w:t>厂区内</w:t>
      </w:r>
      <w:r>
        <w:rPr>
          <w:rFonts w:hint="default" w:ascii="Times New Roman" w:hAnsi="Times New Roman" w:cs="Times New Roman"/>
          <w:color w:val="auto"/>
          <w:sz w:val="24"/>
          <w:szCs w:val="24"/>
          <w:highlight w:val="none"/>
          <w:lang w:val="en-US" w:eastAsia="zh-CN"/>
        </w:rPr>
        <w:t>设置</w:t>
      </w:r>
      <w:r>
        <w:rPr>
          <w:rFonts w:hint="default" w:ascii="Times New Roman" w:hAnsi="Times New Roman" w:cs="Times New Roman"/>
          <w:color w:val="auto"/>
          <w:sz w:val="24"/>
          <w:szCs w:val="24"/>
          <w:highlight w:val="none"/>
        </w:rPr>
        <w:t>1座</w:t>
      </w:r>
      <w:r>
        <w:rPr>
          <w:rFonts w:hint="eastAsia" w:ascii="Times New Roman" w:hAnsi="Times New Roman" w:cs="Times New Roman"/>
          <w:color w:val="auto"/>
          <w:sz w:val="24"/>
          <w:szCs w:val="24"/>
          <w:highlight w:val="none"/>
          <w:lang w:val="en-US" w:eastAsia="zh-CN"/>
        </w:rPr>
        <w:t>200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lang w:eastAsia="zh-CN"/>
        </w:rPr>
        <w:t>危险废物贮存库，危险废物贮存库</w:t>
      </w:r>
      <w:r>
        <w:rPr>
          <w:rFonts w:hint="default" w:ascii="Times New Roman" w:hAnsi="Times New Roman" w:cs="Times New Roman"/>
          <w:color w:val="auto"/>
          <w:sz w:val="24"/>
          <w:szCs w:val="24"/>
          <w:highlight w:val="none"/>
        </w:rPr>
        <w:t>采取基础防渗，防渗层为至少1m厚粘土层（渗透</w:t>
      </w:r>
      <w:r>
        <w:rPr>
          <w:rFonts w:hint="default" w:ascii="Times New Roman" w:hAnsi="Times New Roman" w:cs="Times New Roman"/>
          <w:color w:val="auto"/>
          <w:sz w:val="24"/>
          <w:szCs w:val="24"/>
          <w:highlight w:val="none"/>
          <w:lang w:val="en-US" w:eastAsia="zh-CN"/>
        </w:rPr>
        <w:t>系数</w:t>
      </w:r>
      <w:r>
        <w:rPr>
          <w:rFonts w:hint="default" w:ascii="Times New Roman" w:hAnsi="Times New Roman" w:cs="Times New Roman"/>
          <w:color w:val="auto"/>
          <w:sz w:val="24"/>
          <w:szCs w:val="24"/>
          <w:highlight w:val="none"/>
        </w:rPr>
        <w:t>≤10</w:t>
      </w:r>
      <w:r>
        <w:rPr>
          <w:rFonts w:hint="default" w:ascii="Times New Roman" w:hAnsi="Times New Roman" w:cs="Times New Roman"/>
          <w:color w:val="auto"/>
          <w:sz w:val="24"/>
          <w:szCs w:val="24"/>
          <w:highlight w:val="none"/>
          <w:vertAlign w:val="superscript"/>
        </w:rPr>
        <w:t>-7</w:t>
      </w:r>
      <w:r>
        <w:rPr>
          <w:rFonts w:hint="default" w:ascii="Times New Roman" w:hAnsi="Times New Roman" w:cs="Times New Roman"/>
          <w:color w:val="auto"/>
          <w:sz w:val="24"/>
          <w:szCs w:val="24"/>
          <w:highlight w:val="none"/>
        </w:rPr>
        <w:t>cm/s），或2mm厚高密度聚乙烯</w:t>
      </w:r>
      <w:r>
        <w:rPr>
          <w:rFonts w:hint="default" w:ascii="Times New Roman" w:hAnsi="Times New Roman" w:cs="Times New Roman"/>
          <w:color w:val="auto"/>
          <w:sz w:val="24"/>
          <w:szCs w:val="24"/>
          <w:highlight w:val="none"/>
          <w:lang w:val="en-US" w:eastAsia="zh-CN"/>
        </w:rPr>
        <w:t>膜等人工材料（</w:t>
      </w:r>
      <w:r>
        <w:rPr>
          <w:rFonts w:hint="default" w:ascii="Times New Roman" w:hAnsi="Times New Roman" w:cs="Times New Roman"/>
          <w:color w:val="auto"/>
          <w:sz w:val="24"/>
          <w:szCs w:val="24"/>
          <w:highlight w:val="none"/>
        </w:rPr>
        <w:t>渗透</w:t>
      </w:r>
      <w:r>
        <w:rPr>
          <w:rFonts w:hint="default" w:ascii="Times New Roman" w:hAnsi="Times New Roman" w:cs="Times New Roman"/>
          <w:color w:val="auto"/>
          <w:sz w:val="24"/>
          <w:szCs w:val="24"/>
          <w:highlight w:val="none"/>
          <w:lang w:val="en-US" w:eastAsia="zh-CN"/>
        </w:rPr>
        <w:t>系数</w:t>
      </w:r>
      <w:r>
        <w:rPr>
          <w:rFonts w:hint="default" w:ascii="Times New Roman" w:hAnsi="Times New Roman" w:cs="Times New Roman"/>
          <w:color w:val="auto"/>
          <w:sz w:val="24"/>
          <w:szCs w:val="24"/>
          <w:highlight w:val="none"/>
        </w:rPr>
        <w:t>≤10</w:t>
      </w:r>
      <w:r>
        <w:rPr>
          <w:rFonts w:hint="default" w:ascii="Times New Roman" w:hAnsi="Times New Roman" w:cs="Times New Roman"/>
          <w:color w:val="auto"/>
          <w:sz w:val="24"/>
          <w:szCs w:val="24"/>
          <w:highlight w:val="none"/>
          <w:vertAlign w:val="superscript"/>
        </w:rPr>
        <w:t>-</w:t>
      </w:r>
      <w:r>
        <w:rPr>
          <w:rFonts w:hint="default" w:ascii="Times New Roman" w:hAnsi="Times New Roman" w:cs="Times New Roman"/>
          <w:color w:val="auto"/>
          <w:sz w:val="24"/>
          <w:szCs w:val="24"/>
          <w:highlight w:val="none"/>
          <w:vertAlign w:val="superscript"/>
          <w:lang w:val="en-US" w:eastAsia="zh-CN"/>
        </w:rPr>
        <w:t>10</w:t>
      </w:r>
      <w:r>
        <w:rPr>
          <w:rFonts w:hint="default" w:ascii="Times New Roman" w:hAnsi="Times New Roman" w:cs="Times New Roman"/>
          <w:color w:val="auto"/>
          <w:sz w:val="24"/>
          <w:szCs w:val="24"/>
          <w:highlight w:val="none"/>
        </w:rPr>
        <w:t>cm/s</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，或</w:t>
      </w:r>
      <w:r>
        <w:rPr>
          <w:rFonts w:hint="default" w:ascii="Times New Roman" w:hAnsi="Times New Roman" w:cs="Times New Roman"/>
          <w:color w:val="auto"/>
          <w:sz w:val="24"/>
          <w:szCs w:val="24"/>
          <w:highlight w:val="none"/>
          <w:lang w:val="en-US" w:eastAsia="zh-CN"/>
        </w:rPr>
        <w:t>其他防渗性能等效的</w:t>
      </w:r>
      <w:r>
        <w:rPr>
          <w:rFonts w:hint="default" w:ascii="Times New Roman" w:hAnsi="Times New Roman" w:cs="Times New Roman"/>
          <w:color w:val="auto"/>
          <w:sz w:val="24"/>
          <w:szCs w:val="24"/>
          <w:highlight w:val="none"/>
        </w:rPr>
        <w:t>材料，满足《危险废物贮存污染控制标准》（GB18597-2023）</w:t>
      </w:r>
      <w:r>
        <w:rPr>
          <w:rFonts w:hint="default" w:ascii="Times New Roman" w:hAnsi="Times New Roman" w:cs="Times New Roman"/>
          <w:color w:val="auto"/>
          <w:sz w:val="24"/>
          <w:szCs w:val="24"/>
          <w:highlight w:val="none"/>
          <w:lang w:val="en-US" w:eastAsia="zh-CN"/>
        </w:rPr>
        <w:t>基础防渗</w:t>
      </w:r>
      <w:r>
        <w:rPr>
          <w:rFonts w:hint="default" w:ascii="Times New Roman" w:hAnsi="Times New Roman" w:cs="Times New Roman"/>
          <w:color w:val="auto"/>
          <w:sz w:val="24"/>
          <w:szCs w:val="24"/>
          <w:highlight w:val="none"/>
        </w:rPr>
        <w:t>要求</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项目暂存的危险废物采用密闭桶装收集或袋装存贮，无敞开堆放，故本项目危险废物不涉及易产生粉尘、VOCs、酸雾、有毒有害大气污染物和刺激性气味气体的危险废物，故未设置气体收集装置和气体净化设施。</w:t>
      </w:r>
    </w:p>
    <w:p w14:paraId="2EB5159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项目各类危险废物分区</w:t>
      </w:r>
      <w:r>
        <w:rPr>
          <w:rFonts w:hint="default" w:ascii="Times New Roman" w:hAnsi="Times New Roman" w:cs="Times New Roman"/>
          <w:color w:val="auto"/>
          <w:sz w:val="24"/>
          <w:szCs w:val="24"/>
          <w:highlight w:val="none"/>
        </w:rPr>
        <w:t>暂存于</w:t>
      </w:r>
      <w:r>
        <w:rPr>
          <w:rFonts w:hint="default" w:ascii="Times New Roman" w:hAnsi="Times New Roman" w:cs="Times New Roman"/>
          <w:color w:val="auto"/>
          <w:sz w:val="24"/>
          <w:szCs w:val="24"/>
          <w:highlight w:val="none"/>
          <w:lang w:eastAsia="zh-CN"/>
        </w:rPr>
        <w:t>危险废物贮存库，</w:t>
      </w:r>
      <w:r>
        <w:rPr>
          <w:rFonts w:hint="default" w:ascii="Times New Roman" w:hAnsi="Times New Roman" w:cs="Times New Roman"/>
          <w:color w:val="auto"/>
          <w:sz w:val="24"/>
          <w:szCs w:val="24"/>
          <w:highlight w:val="none"/>
          <w:lang w:val="en-US" w:eastAsia="zh-CN"/>
        </w:rPr>
        <w:t>各类危险废物存储区采用过道、隔板或隔墙等方式隔离，危险废物底部采用防渗漏托盘，托盘带有液体收集槽，按照日常液体危险废物贮存量确定托盘尺寸和收集槽容积，要求收集槽容积不小于液体危险废物贮存量。</w:t>
      </w:r>
    </w:p>
    <w:p w14:paraId="5FB35B1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危险废物在</w:t>
      </w:r>
      <w:r>
        <w:rPr>
          <w:rFonts w:hint="default" w:ascii="Times New Roman" w:hAnsi="Times New Roman" w:cs="Times New Roman"/>
          <w:color w:val="auto"/>
          <w:sz w:val="24"/>
          <w:szCs w:val="24"/>
          <w:highlight w:val="none"/>
          <w:lang w:eastAsia="zh-CN"/>
        </w:rPr>
        <w:t>危险废物贮存库</w:t>
      </w:r>
      <w:r>
        <w:rPr>
          <w:rFonts w:hint="default" w:ascii="Times New Roman" w:hAnsi="Times New Roman" w:cs="Times New Roman"/>
          <w:color w:val="auto"/>
          <w:sz w:val="24"/>
          <w:szCs w:val="24"/>
          <w:highlight w:val="none"/>
        </w:rPr>
        <w:t>暂存后定期</w:t>
      </w:r>
      <w:r>
        <w:rPr>
          <w:rFonts w:hint="default" w:ascii="Times New Roman" w:hAnsi="Times New Roman" w:cs="Times New Roman"/>
          <w:color w:val="auto"/>
          <w:sz w:val="24"/>
          <w:szCs w:val="24"/>
          <w:highlight w:val="none"/>
          <w:lang w:val="en-US" w:eastAsia="zh-CN"/>
        </w:rPr>
        <w:t>交</w:t>
      </w:r>
      <w:r>
        <w:rPr>
          <w:rFonts w:hint="default" w:ascii="Times New Roman" w:hAnsi="Times New Roman" w:cs="Times New Roman"/>
          <w:color w:val="auto"/>
          <w:sz w:val="24"/>
          <w:szCs w:val="24"/>
          <w:highlight w:val="none"/>
        </w:rPr>
        <w:t>由</w:t>
      </w:r>
      <w:r>
        <w:rPr>
          <w:rFonts w:hint="default" w:ascii="Times New Roman" w:hAnsi="Times New Roman" w:cs="Times New Roman"/>
          <w:color w:val="auto"/>
          <w:sz w:val="24"/>
          <w:szCs w:val="24"/>
          <w:highlight w:val="none"/>
          <w:lang w:val="en-US" w:eastAsia="zh-CN"/>
        </w:rPr>
        <w:t>有</w:t>
      </w:r>
      <w:r>
        <w:rPr>
          <w:rFonts w:hint="default" w:ascii="Times New Roman" w:hAnsi="Times New Roman" w:cs="Times New Roman"/>
          <w:color w:val="auto"/>
          <w:sz w:val="24"/>
          <w:szCs w:val="24"/>
          <w:highlight w:val="none"/>
        </w:rPr>
        <w:t>资质单位</w:t>
      </w:r>
      <w:r>
        <w:rPr>
          <w:rFonts w:hint="default" w:ascii="Times New Roman" w:hAnsi="Times New Roman" w:cs="Times New Roman"/>
          <w:color w:val="auto"/>
          <w:sz w:val="24"/>
          <w:szCs w:val="24"/>
          <w:highlight w:val="none"/>
          <w:lang w:val="en-US" w:eastAsia="zh-CN"/>
        </w:rPr>
        <w:t>运输</w:t>
      </w:r>
      <w:r>
        <w:rPr>
          <w:rFonts w:hint="default" w:ascii="Times New Roman" w:hAnsi="Times New Roman" w:cs="Times New Roman"/>
          <w:color w:val="auto"/>
          <w:sz w:val="24"/>
          <w:szCs w:val="24"/>
          <w:highlight w:val="none"/>
        </w:rPr>
        <w:t>处置。</w:t>
      </w:r>
    </w:p>
    <w:p w14:paraId="14B735F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采取上述治理措施后，固体废物的综合利用率、安全处置率可达100%，不会对环境产生污染影响。</w:t>
      </w:r>
    </w:p>
    <w:p w14:paraId="2C48A55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③</w:t>
      </w:r>
      <w:r>
        <w:rPr>
          <w:rFonts w:hint="default" w:ascii="Times New Roman" w:hAnsi="Times New Roman" w:cs="Times New Roman"/>
          <w:color w:val="auto"/>
          <w:sz w:val="24"/>
          <w:szCs w:val="24"/>
          <w:highlight w:val="none"/>
        </w:rPr>
        <w:t>危险废物贮存设施能力</w:t>
      </w:r>
    </w:p>
    <w:p w14:paraId="727DCE7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本项目危险废物</w:t>
      </w:r>
      <w:r>
        <w:rPr>
          <w:rFonts w:hint="eastAsia" w:ascii="Times New Roman" w:hAnsi="Times New Roman" w:eastAsia="宋体" w:cs="Times New Roman"/>
          <w:color w:val="auto"/>
          <w:sz w:val="24"/>
          <w:szCs w:val="24"/>
          <w:highlight w:val="none"/>
          <w:lang w:val="en-US" w:eastAsia="zh-CN"/>
        </w:rPr>
        <w:t>贮存</w:t>
      </w:r>
      <w:r>
        <w:rPr>
          <w:rFonts w:hint="default" w:ascii="Times New Roman" w:hAnsi="Times New Roman" w:cs="Times New Roman"/>
          <w:color w:val="auto"/>
          <w:sz w:val="24"/>
          <w:szCs w:val="24"/>
          <w:highlight w:val="none"/>
        </w:rPr>
        <w:t>情况汇总见表5.2-</w:t>
      </w:r>
      <w:r>
        <w:rPr>
          <w:rFonts w:hint="eastAsia" w:ascii="Times New Roman" w:hAnsi="Times New Roman" w:eastAsia="宋体" w:cs="Times New Roman"/>
          <w:color w:val="auto"/>
          <w:sz w:val="24"/>
          <w:szCs w:val="24"/>
          <w:highlight w:val="none"/>
          <w:lang w:val="en-US" w:eastAsia="zh-CN"/>
        </w:rPr>
        <w:t>20</w:t>
      </w:r>
      <w:r>
        <w:rPr>
          <w:rFonts w:hint="default" w:ascii="Times New Roman" w:hAnsi="Times New Roman" w:cs="Times New Roman"/>
          <w:color w:val="auto"/>
          <w:sz w:val="24"/>
          <w:szCs w:val="24"/>
          <w:highlight w:val="none"/>
        </w:rPr>
        <w:t>。</w:t>
      </w:r>
    </w:p>
    <w:p w14:paraId="6724FC9F">
      <w:pPr>
        <w:pStyle w:val="88"/>
        <w:numPr>
          <w:ilvl w:val="0"/>
          <w:numId w:val="0"/>
        </w:numPr>
        <w:spacing w:before="0" w:after="0" w:line="240" w:lineRule="auto"/>
        <w:ind w:leftChars="0"/>
        <w:jc w:val="center"/>
        <w:rPr>
          <w:rFonts w:hint="default" w:ascii="Times New Roman" w:hAnsi="Times New Roman" w:cs="Times New Roman"/>
          <w:color w:val="auto"/>
          <w:sz w:val="24"/>
          <w:szCs w:val="24"/>
        </w:rPr>
      </w:pPr>
      <w:r>
        <w:rPr>
          <w:rFonts w:hint="eastAsia" w:ascii="Times New Roman" w:hAnsi="Times New Roman" w:eastAsia="宋体" w:cs="Times New Roman"/>
          <w:snapToGrid w:val="0"/>
          <w:color w:val="auto"/>
          <w:sz w:val="24"/>
          <w:szCs w:val="24"/>
          <w:lang w:val="en-US" w:eastAsia="zh-CN"/>
        </w:rPr>
        <w:t xml:space="preserve">表5.2-20 </w:t>
      </w:r>
      <w:r>
        <w:rPr>
          <w:rFonts w:hint="default" w:ascii="Times New Roman" w:hAnsi="Times New Roman" w:cs="Times New Roman"/>
          <w:snapToGrid w:val="0"/>
          <w:color w:val="auto"/>
          <w:sz w:val="24"/>
          <w:szCs w:val="24"/>
        </w:rPr>
        <w:t>本项目危险废物</w:t>
      </w:r>
      <w:r>
        <w:rPr>
          <w:rFonts w:hint="eastAsia" w:ascii="Times New Roman" w:hAnsi="Times New Roman" w:eastAsia="宋体" w:cs="Times New Roman"/>
          <w:snapToGrid w:val="0"/>
          <w:color w:val="auto"/>
          <w:sz w:val="24"/>
          <w:szCs w:val="24"/>
          <w:lang w:val="en-US" w:eastAsia="zh-CN"/>
        </w:rPr>
        <w:t>贮存</w:t>
      </w:r>
      <w:r>
        <w:rPr>
          <w:rFonts w:hint="default" w:ascii="Times New Roman" w:hAnsi="Times New Roman" w:cs="Times New Roman"/>
          <w:snapToGrid w:val="0"/>
          <w:color w:val="auto"/>
          <w:sz w:val="24"/>
          <w:szCs w:val="24"/>
        </w:rPr>
        <w:t>方式评价表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02"/>
        <w:gridCol w:w="956"/>
        <w:gridCol w:w="1038"/>
        <w:gridCol w:w="887"/>
        <w:gridCol w:w="1346"/>
        <w:gridCol w:w="872"/>
        <w:gridCol w:w="965"/>
        <w:gridCol w:w="978"/>
        <w:gridCol w:w="801"/>
        <w:gridCol w:w="943"/>
      </w:tblGrid>
      <w:tr w14:paraId="2B8CE8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70" w:type="pct"/>
            <w:tcBorders>
              <w:tl2br w:val="nil"/>
              <w:tr2bl w:val="nil"/>
            </w:tcBorders>
            <w:vAlign w:val="center"/>
          </w:tcPr>
          <w:p w14:paraId="450262C1">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514" w:type="pct"/>
            <w:tcBorders>
              <w:tl2br w:val="nil"/>
              <w:tr2bl w:val="nil"/>
            </w:tcBorders>
            <w:vAlign w:val="center"/>
          </w:tcPr>
          <w:p w14:paraId="618241A8">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贮存场所（设施）名称</w:t>
            </w:r>
          </w:p>
        </w:tc>
        <w:tc>
          <w:tcPr>
            <w:tcW w:w="558" w:type="pct"/>
            <w:tcBorders>
              <w:tl2br w:val="nil"/>
              <w:tr2bl w:val="nil"/>
            </w:tcBorders>
            <w:vAlign w:val="center"/>
          </w:tcPr>
          <w:p w14:paraId="33D0A0FF">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危险废物名称</w:t>
            </w:r>
          </w:p>
        </w:tc>
        <w:tc>
          <w:tcPr>
            <w:tcW w:w="477" w:type="pct"/>
            <w:tcBorders>
              <w:tl2br w:val="nil"/>
              <w:tr2bl w:val="nil"/>
            </w:tcBorders>
            <w:vAlign w:val="center"/>
          </w:tcPr>
          <w:p w14:paraId="39C1DE8D">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危险废物类别</w:t>
            </w:r>
          </w:p>
        </w:tc>
        <w:tc>
          <w:tcPr>
            <w:tcW w:w="724" w:type="pct"/>
            <w:tcBorders>
              <w:tl2br w:val="nil"/>
              <w:tr2bl w:val="nil"/>
            </w:tcBorders>
            <w:vAlign w:val="center"/>
          </w:tcPr>
          <w:p w14:paraId="0A5974B1">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危险废物代码</w:t>
            </w:r>
          </w:p>
        </w:tc>
        <w:tc>
          <w:tcPr>
            <w:tcW w:w="469" w:type="pct"/>
            <w:tcBorders>
              <w:tl2br w:val="nil"/>
              <w:tr2bl w:val="nil"/>
            </w:tcBorders>
            <w:vAlign w:val="center"/>
          </w:tcPr>
          <w:p w14:paraId="77FD70BE">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位置</w:t>
            </w:r>
          </w:p>
        </w:tc>
        <w:tc>
          <w:tcPr>
            <w:tcW w:w="519" w:type="pct"/>
            <w:tcBorders>
              <w:tl2br w:val="nil"/>
              <w:tr2bl w:val="nil"/>
            </w:tcBorders>
            <w:vAlign w:val="center"/>
          </w:tcPr>
          <w:p w14:paraId="0927170C">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占地面积</w:t>
            </w:r>
          </w:p>
        </w:tc>
        <w:tc>
          <w:tcPr>
            <w:tcW w:w="526" w:type="pct"/>
            <w:tcBorders>
              <w:tl2br w:val="nil"/>
              <w:tr2bl w:val="nil"/>
            </w:tcBorders>
            <w:vAlign w:val="center"/>
          </w:tcPr>
          <w:p w14:paraId="7EC8A875">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贮存方式</w:t>
            </w:r>
          </w:p>
        </w:tc>
        <w:tc>
          <w:tcPr>
            <w:tcW w:w="431" w:type="pct"/>
            <w:tcBorders>
              <w:tl2br w:val="nil"/>
              <w:tr2bl w:val="nil"/>
            </w:tcBorders>
            <w:vAlign w:val="center"/>
          </w:tcPr>
          <w:p w14:paraId="363E9C77">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贮存能力</w:t>
            </w:r>
          </w:p>
        </w:tc>
        <w:tc>
          <w:tcPr>
            <w:tcW w:w="507" w:type="pct"/>
            <w:tcBorders>
              <w:tl2br w:val="nil"/>
              <w:tr2bl w:val="nil"/>
            </w:tcBorders>
            <w:vAlign w:val="center"/>
          </w:tcPr>
          <w:p w14:paraId="7D488236">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贮存周期</w:t>
            </w:r>
          </w:p>
        </w:tc>
      </w:tr>
      <w:tr w14:paraId="3E5FAD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70" w:type="pct"/>
            <w:tcBorders>
              <w:tl2br w:val="nil"/>
              <w:tr2bl w:val="nil"/>
            </w:tcBorders>
            <w:vAlign w:val="center"/>
          </w:tcPr>
          <w:p w14:paraId="49AD7AA1">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514" w:type="pct"/>
            <w:vMerge w:val="restart"/>
            <w:tcBorders>
              <w:tl2br w:val="nil"/>
              <w:tr2bl w:val="nil"/>
            </w:tcBorders>
            <w:vAlign w:val="center"/>
          </w:tcPr>
          <w:p w14:paraId="78A818D6">
            <w:pPr>
              <w:pStyle w:val="83"/>
              <w:spacing w:line="240" w:lineRule="auto"/>
              <w:ind w:left="22" w:right="22"/>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危险废物贮存库</w:t>
            </w:r>
          </w:p>
        </w:tc>
        <w:tc>
          <w:tcPr>
            <w:tcW w:w="558" w:type="pct"/>
            <w:tcBorders>
              <w:tl2br w:val="nil"/>
              <w:tr2bl w:val="nil"/>
            </w:tcBorders>
            <w:vAlign w:val="center"/>
          </w:tcPr>
          <w:p w14:paraId="16937DB5">
            <w:pPr>
              <w:pStyle w:val="83"/>
              <w:spacing w:line="240" w:lineRule="auto"/>
              <w:ind w:left="19" w:leftChars="9" w:right="19" w:rightChars="9" w:firstLine="0" w:firstLineChars="0"/>
              <w:rPr>
                <w:rFonts w:hint="default" w:ascii="Times New Roman" w:hAnsi="Times New Roman" w:cs="Times New Roman"/>
                <w:color w:val="auto"/>
                <w:sz w:val="21"/>
                <w:szCs w:val="21"/>
              </w:rPr>
            </w:pPr>
            <w:r>
              <w:rPr>
                <w:rFonts w:hint="eastAsia" w:ascii="Times New Roman" w:hAnsi="Times New Roman" w:eastAsia="宋体" w:cs="Times New Roman"/>
                <w:color w:val="auto"/>
                <w:lang w:val="en-US" w:eastAsia="zh-CN"/>
              </w:rPr>
              <w:t>除尘器收集粉尘</w:t>
            </w:r>
          </w:p>
        </w:tc>
        <w:tc>
          <w:tcPr>
            <w:tcW w:w="477" w:type="pct"/>
            <w:tcBorders>
              <w:tl2br w:val="nil"/>
              <w:tr2bl w:val="nil"/>
            </w:tcBorders>
            <w:vAlign w:val="center"/>
          </w:tcPr>
          <w:p w14:paraId="2263F9F8">
            <w:pPr>
              <w:pStyle w:val="83"/>
              <w:spacing w:line="240" w:lineRule="auto"/>
              <w:ind w:left="19" w:leftChars="9" w:right="19" w:rightChars="9" w:firstLine="0" w:firstLineChars="0"/>
              <w:rPr>
                <w:rFonts w:hint="default" w:ascii="Times New Roman" w:hAnsi="Times New Roman" w:cs="Times New Roman"/>
                <w:color w:val="auto"/>
                <w:sz w:val="21"/>
                <w:szCs w:val="21"/>
              </w:rPr>
            </w:pPr>
            <w:r>
              <w:rPr>
                <w:rFonts w:hint="eastAsia" w:ascii="Times New Roman" w:hAnsi="Times New Roman" w:eastAsia="宋体" w:cs="Times New Roman"/>
                <w:color w:val="auto"/>
                <w:lang w:val="en-US" w:eastAsia="zh-CN"/>
              </w:rPr>
              <w:t>HW12</w:t>
            </w:r>
          </w:p>
        </w:tc>
        <w:tc>
          <w:tcPr>
            <w:tcW w:w="724" w:type="pct"/>
            <w:tcBorders>
              <w:tl2br w:val="nil"/>
              <w:tr2bl w:val="nil"/>
            </w:tcBorders>
            <w:vAlign w:val="center"/>
          </w:tcPr>
          <w:p w14:paraId="5E686E6D">
            <w:pPr>
              <w:pStyle w:val="83"/>
              <w:spacing w:line="240" w:lineRule="auto"/>
              <w:ind w:left="19" w:leftChars="9" w:right="19" w:rightChars="9" w:firstLine="0" w:firstLineChars="0"/>
              <w:rPr>
                <w:rFonts w:hint="default" w:ascii="Times New Roman" w:hAnsi="Times New Roman" w:cs="Times New Roman"/>
                <w:color w:val="auto"/>
                <w:sz w:val="21"/>
                <w:szCs w:val="21"/>
              </w:rPr>
            </w:pPr>
            <w:r>
              <w:rPr>
                <w:rFonts w:hint="default" w:ascii="Times New Roman" w:hAnsi="Times New Roman" w:cs="Times New Roman"/>
                <w:color w:val="auto"/>
              </w:rPr>
              <w:t>900-252-12</w:t>
            </w:r>
          </w:p>
        </w:tc>
        <w:tc>
          <w:tcPr>
            <w:tcW w:w="469" w:type="pct"/>
            <w:vMerge w:val="restart"/>
            <w:tcBorders>
              <w:tl2br w:val="nil"/>
              <w:tr2bl w:val="nil"/>
            </w:tcBorders>
            <w:vAlign w:val="center"/>
          </w:tcPr>
          <w:p w14:paraId="5D3415DF">
            <w:pPr>
              <w:pStyle w:val="83"/>
              <w:spacing w:line="240" w:lineRule="auto"/>
              <w:ind w:left="22" w:right="22"/>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lang w:eastAsia="zh-CN"/>
              </w:rPr>
              <w:t>危险废物贮存库</w:t>
            </w:r>
          </w:p>
        </w:tc>
        <w:tc>
          <w:tcPr>
            <w:tcW w:w="519" w:type="pct"/>
            <w:vMerge w:val="restart"/>
            <w:tcBorders>
              <w:tl2br w:val="nil"/>
              <w:tr2bl w:val="nil"/>
            </w:tcBorders>
            <w:vAlign w:val="center"/>
          </w:tcPr>
          <w:p w14:paraId="1110BFA8">
            <w:pPr>
              <w:pStyle w:val="83"/>
              <w:spacing w:line="240" w:lineRule="auto"/>
              <w:ind w:left="22" w:right="22"/>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526" w:type="pct"/>
            <w:tcBorders>
              <w:tl2br w:val="nil"/>
              <w:tr2bl w:val="nil"/>
            </w:tcBorders>
            <w:vAlign w:val="center"/>
          </w:tcPr>
          <w:p w14:paraId="20DECF23">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桶装</w:t>
            </w:r>
          </w:p>
        </w:tc>
        <w:tc>
          <w:tcPr>
            <w:tcW w:w="431" w:type="pct"/>
            <w:vMerge w:val="restart"/>
            <w:tcBorders>
              <w:tl2br w:val="nil"/>
              <w:tr2bl w:val="nil"/>
            </w:tcBorders>
            <w:vAlign w:val="center"/>
          </w:tcPr>
          <w:p w14:paraId="214927AC">
            <w:pPr>
              <w:pStyle w:val="83"/>
              <w:spacing w:line="240" w:lineRule="auto"/>
              <w:ind w:left="22" w:right="22"/>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10t</w:t>
            </w:r>
          </w:p>
        </w:tc>
        <w:tc>
          <w:tcPr>
            <w:tcW w:w="507" w:type="pct"/>
            <w:vMerge w:val="restart"/>
            <w:tcBorders>
              <w:tl2br w:val="nil"/>
              <w:tr2bl w:val="nil"/>
            </w:tcBorders>
            <w:vAlign w:val="center"/>
          </w:tcPr>
          <w:p w14:paraId="25CB8888">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1个月</w:t>
            </w:r>
          </w:p>
        </w:tc>
      </w:tr>
      <w:tr w14:paraId="3AB1C47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70" w:type="pct"/>
            <w:tcBorders>
              <w:tl2br w:val="nil"/>
              <w:tr2bl w:val="nil"/>
            </w:tcBorders>
            <w:vAlign w:val="center"/>
          </w:tcPr>
          <w:p w14:paraId="410A9D42">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514" w:type="pct"/>
            <w:vMerge w:val="continue"/>
            <w:tcBorders>
              <w:tl2br w:val="nil"/>
              <w:tr2bl w:val="nil"/>
            </w:tcBorders>
            <w:vAlign w:val="center"/>
          </w:tcPr>
          <w:p w14:paraId="5B58C57E">
            <w:pPr>
              <w:pStyle w:val="83"/>
              <w:spacing w:line="240" w:lineRule="auto"/>
              <w:ind w:left="22" w:right="22"/>
              <w:rPr>
                <w:rFonts w:hint="default" w:ascii="Times New Roman" w:hAnsi="Times New Roman" w:cs="Times New Roman"/>
                <w:color w:val="auto"/>
                <w:sz w:val="21"/>
                <w:szCs w:val="21"/>
              </w:rPr>
            </w:pPr>
          </w:p>
        </w:tc>
        <w:tc>
          <w:tcPr>
            <w:tcW w:w="558" w:type="pct"/>
            <w:tcBorders>
              <w:tl2br w:val="nil"/>
              <w:tr2bl w:val="nil"/>
            </w:tcBorders>
            <w:vAlign w:val="center"/>
          </w:tcPr>
          <w:p w14:paraId="1A913618">
            <w:pPr>
              <w:pStyle w:val="83"/>
              <w:spacing w:line="240" w:lineRule="auto"/>
              <w:ind w:left="19" w:leftChars="9" w:right="19" w:rightChars="9" w:firstLine="0" w:firstLineChars="0"/>
              <w:rPr>
                <w:rFonts w:hint="default" w:ascii="Times New Roman" w:hAnsi="Times New Roman" w:cs="Times New Roman"/>
                <w:color w:val="auto"/>
                <w:sz w:val="21"/>
                <w:szCs w:val="21"/>
              </w:rPr>
            </w:pPr>
            <w:r>
              <w:rPr>
                <w:rFonts w:hint="eastAsia" w:ascii="Times New Roman" w:hAnsi="Times New Roman" w:eastAsia="宋体" w:cs="Times New Roman"/>
                <w:color w:val="auto"/>
                <w:lang w:val="en-US" w:eastAsia="zh-CN"/>
              </w:rPr>
              <w:t>废布袋</w:t>
            </w:r>
          </w:p>
        </w:tc>
        <w:tc>
          <w:tcPr>
            <w:tcW w:w="477" w:type="pct"/>
            <w:tcBorders>
              <w:tl2br w:val="nil"/>
              <w:tr2bl w:val="nil"/>
            </w:tcBorders>
            <w:vAlign w:val="center"/>
          </w:tcPr>
          <w:p w14:paraId="010D2471">
            <w:pPr>
              <w:pStyle w:val="83"/>
              <w:spacing w:line="240" w:lineRule="auto"/>
              <w:ind w:left="19" w:leftChars="9" w:right="19" w:rightChars="9"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HW49</w:t>
            </w:r>
          </w:p>
        </w:tc>
        <w:tc>
          <w:tcPr>
            <w:tcW w:w="724" w:type="pct"/>
            <w:tcBorders>
              <w:tl2br w:val="nil"/>
              <w:tr2bl w:val="nil"/>
            </w:tcBorders>
            <w:vAlign w:val="center"/>
          </w:tcPr>
          <w:p w14:paraId="5087BA3E">
            <w:pPr>
              <w:pStyle w:val="83"/>
              <w:spacing w:line="240" w:lineRule="auto"/>
              <w:ind w:left="19" w:leftChars="9" w:right="19" w:rightChars="9"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Cs w:val="21"/>
              </w:rPr>
              <w:t>900-042-49</w:t>
            </w:r>
          </w:p>
        </w:tc>
        <w:tc>
          <w:tcPr>
            <w:tcW w:w="469" w:type="pct"/>
            <w:vMerge w:val="continue"/>
            <w:tcBorders>
              <w:tl2br w:val="nil"/>
              <w:tr2bl w:val="nil"/>
            </w:tcBorders>
            <w:vAlign w:val="center"/>
          </w:tcPr>
          <w:p w14:paraId="43C28B5E">
            <w:pPr>
              <w:pStyle w:val="83"/>
              <w:spacing w:line="240" w:lineRule="auto"/>
              <w:ind w:left="22" w:right="22"/>
              <w:rPr>
                <w:rFonts w:hint="default" w:ascii="Times New Roman" w:hAnsi="Times New Roman" w:cs="Times New Roman"/>
                <w:color w:val="auto"/>
                <w:sz w:val="21"/>
                <w:szCs w:val="21"/>
              </w:rPr>
            </w:pPr>
          </w:p>
        </w:tc>
        <w:tc>
          <w:tcPr>
            <w:tcW w:w="519" w:type="pct"/>
            <w:vMerge w:val="continue"/>
            <w:tcBorders>
              <w:tl2br w:val="nil"/>
              <w:tr2bl w:val="nil"/>
            </w:tcBorders>
            <w:vAlign w:val="center"/>
          </w:tcPr>
          <w:p w14:paraId="4BC15A52">
            <w:pPr>
              <w:pStyle w:val="83"/>
              <w:spacing w:line="240" w:lineRule="auto"/>
              <w:ind w:left="22" w:right="22"/>
              <w:rPr>
                <w:rFonts w:hint="default" w:ascii="Times New Roman" w:hAnsi="Times New Roman" w:cs="Times New Roman"/>
                <w:color w:val="auto"/>
                <w:sz w:val="21"/>
                <w:szCs w:val="21"/>
              </w:rPr>
            </w:pPr>
          </w:p>
        </w:tc>
        <w:tc>
          <w:tcPr>
            <w:tcW w:w="526" w:type="pct"/>
            <w:tcBorders>
              <w:tl2br w:val="nil"/>
              <w:tr2bl w:val="nil"/>
            </w:tcBorders>
            <w:vAlign w:val="center"/>
          </w:tcPr>
          <w:p w14:paraId="1F800322">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桶装</w:t>
            </w:r>
          </w:p>
        </w:tc>
        <w:tc>
          <w:tcPr>
            <w:tcW w:w="431" w:type="pct"/>
            <w:vMerge w:val="continue"/>
            <w:tcBorders>
              <w:tl2br w:val="nil"/>
              <w:tr2bl w:val="nil"/>
            </w:tcBorders>
            <w:vAlign w:val="center"/>
          </w:tcPr>
          <w:p w14:paraId="19FC8237">
            <w:pPr>
              <w:pStyle w:val="83"/>
              <w:spacing w:line="240" w:lineRule="auto"/>
              <w:ind w:left="22" w:right="22"/>
              <w:rPr>
                <w:rFonts w:hint="default" w:ascii="Times New Roman" w:hAnsi="Times New Roman" w:cs="Times New Roman"/>
                <w:color w:val="auto"/>
                <w:sz w:val="21"/>
                <w:szCs w:val="21"/>
              </w:rPr>
            </w:pPr>
          </w:p>
        </w:tc>
        <w:tc>
          <w:tcPr>
            <w:tcW w:w="507" w:type="pct"/>
            <w:vMerge w:val="continue"/>
            <w:tcBorders>
              <w:tl2br w:val="nil"/>
              <w:tr2bl w:val="nil"/>
            </w:tcBorders>
            <w:vAlign w:val="center"/>
          </w:tcPr>
          <w:p w14:paraId="3A290AF8">
            <w:pPr>
              <w:pStyle w:val="83"/>
              <w:spacing w:line="240" w:lineRule="auto"/>
              <w:ind w:left="22" w:right="22"/>
              <w:rPr>
                <w:rFonts w:hint="default" w:ascii="Times New Roman" w:hAnsi="Times New Roman" w:cs="Times New Roman"/>
                <w:color w:val="auto"/>
                <w:sz w:val="21"/>
                <w:szCs w:val="21"/>
              </w:rPr>
            </w:pPr>
          </w:p>
        </w:tc>
      </w:tr>
      <w:tr w14:paraId="07798E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70" w:type="pct"/>
            <w:tcBorders>
              <w:tl2br w:val="nil"/>
              <w:tr2bl w:val="nil"/>
            </w:tcBorders>
            <w:vAlign w:val="center"/>
          </w:tcPr>
          <w:p w14:paraId="74F594F7">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514" w:type="pct"/>
            <w:vMerge w:val="continue"/>
            <w:tcBorders>
              <w:tl2br w:val="nil"/>
              <w:tr2bl w:val="nil"/>
            </w:tcBorders>
            <w:vAlign w:val="center"/>
          </w:tcPr>
          <w:p w14:paraId="197ABCC0">
            <w:pPr>
              <w:pStyle w:val="83"/>
              <w:spacing w:line="240" w:lineRule="auto"/>
              <w:ind w:left="22" w:right="22"/>
              <w:rPr>
                <w:rFonts w:hint="default" w:ascii="Times New Roman" w:hAnsi="Times New Roman" w:cs="Times New Roman"/>
                <w:color w:val="auto"/>
                <w:sz w:val="21"/>
                <w:szCs w:val="21"/>
              </w:rPr>
            </w:pPr>
          </w:p>
        </w:tc>
        <w:tc>
          <w:tcPr>
            <w:tcW w:w="558" w:type="pct"/>
            <w:tcBorders>
              <w:tl2br w:val="nil"/>
              <w:tr2bl w:val="nil"/>
            </w:tcBorders>
            <w:vAlign w:val="center"/>
          </w:tcPr>
          <w:p w14:paraId="6D17BBA8">
            <w:pPr>
              <w:pStyle w:val="83"/>
              <w:spacing w:line="240" w:lineRule="auto"/>
              <w:ind w:left="19" w:leftChars="9" w:right="19" w:rightChars="9" w:firstLine="0" w:firstLineChars="0"/>
              <w:rPr>
                <w:rFonts w:hint="default" w:ascii="Times New Roman" w:hAnsi="Times New Roman" w:cs="Times New Roman"/>
                <w:color w:val="auto"/>
                <w:sz w:val="21"/>
                <w:szCs w:val="21"/>
              </w:rPr>
            </w:pPr>
            <w:r>
              <w:rPr>
                <w:rFonts w:hint="default" w:ascii="Times New Roman" w:hAnsi="Times New Roman" w:cs="Times New Roman"/>
                <w:color w:val="auto"/>
                <w:lang w:val="en-US" w:eastAsia="zh-CN"/>
              </w:rPr>
              <w:t>废包装桶（油漆、稀释剂、固化剂、油墨）</w:t>
            </w:r>
          </w:p>
        </w:tc>
        <w:tc>
          <w:tcPr>
            <w:tcW w:w="477" w:type="pct"/>
            <w:tcBorders>
              <w:tl2br w:val="nil"/>
              <w:tr2bl w:val="nil"/>
            </w:tcBorders>
            <w:vAlign w:val="center"/>
          </w:tcPr>
          <w:p w14:paraId="32103BA5">
            <w:pPr>
              <w:pStyle w:val="83"/>
              <w:spacing w:line="240" w:lineRule="auto"/>
              <w:ind w:left="19" w:leftChars="9" w:right="19" w:rightChars="9" w:firstLine="0" w:firstLineChars="0"/>
              <w:rPr>
                <w:rFonts w:hint="default" w:ascii="Times New Roman" w:hAnsi="Times New Roman" w:cs="Times New Roman"/>
                <w:color w:val="auto"/>
                <w:sz w:val="21"/>
                <w:szCs w:val="21"/>
              </w:rPr>
            </w:pPr>
            <w:r>
              <w:rPr>
                <w:rFonts w:hint="default" w:ascii="Times New Roman" w:hAnsi="Times New Roman" w:cs="Times New Roman"/>
                <w:color w:val="auto"/>
              </w:rPr>
              <w:t>HW49</w:t>
            </w:r>
          </w:p>
        </w:tc>
        <w:tc>
          <w:tcPr>
            <w:tcW w:w="724" w:type="pct"/>
            <w:tcBorders>
              <w:tl2br w:val="nil"/>
              <w:tr2bl w:val="nil"/>
            </w:tcBorders>
            <w:vAlign w:val="center"/>
          </w:tcPr>
          <w:p w14:paraId="75EB8563">
            <w:pPr>
              <w:pStyle w:val="83"/>
              <w:spacing w:line="240" w:lineRule="auto"/>
              <w:ind w:left="19" w:leftChars="9" w:right="19" w:rightChars="9" w:firstLine="0" w:firstLineChars="0"/>
              <w:rPr>
                <w:rFonts w:hint="default" w:ascii="Times New Roman" w:hAnsi="Times New Roman" w:cs="Times New Roman"/>
                <w:color w:val="auto"/>
                <w:sz w:val="21"/>
                <w:szCs w:val="21"/>
              </w:rPr>
            </w:pPr>
            <w:r>
              <w:rPr>
                <w:rFonts w:hint="default" w:ascii="Times New Roman" w:hAnsi="Times New Roman" w:cs="Times New Roman"/>
                <w:color w:val="auto"/>
              </w:rPr>
              <w:t>900-041-49</w:t>
            </w:r>
          </w:p>
        </w:tc>
        <w:tc>
          <w:tcPr>
            <w:tcW w:w="469" w:type="pct"/>
            <w:vMerge w:val="continue"/>
            <w:tcBorders>
              <w:tl2br w:val="nil"/>
              <w:tr2bl w:val="nil"/>
            </w:tcBorders>
            <w:vAlign w:val="center"/>
          </w:tcPr>
          <w:p w14:paraId="3F72428C">
            <w:pPr>
              <w:pStyle w:val="83"/>
              <w:spacing w:line="240" w:lineRule="auto"/>
              <w:ind w:left="22" w:right="22"/>
              <w:rPr>
                <w:rFonts w:hint="default" w:ascii="Times New Roman" w:hAnsi="Times New Roman" w:cs="Times New Roman"/>
                <w:color w:val="auto"/>
                <w:sz w:val="21"/>
                <w:szCs w:val="21"/>
              </w:rPr>
            </w:pPr>
          </w:p>
        </w:tc>
        <w:tc>
          <w:tcPr>
            <w:tcW w:w="519" w:type="pct"/>
            <w:vMerge w:val="continue"/>
            <w:tcBorders>
              <w:tl2br w:val="nil"/>
              <w:tr2bl w:val="nil"/>
            </w:tcBorders>
            <w:vAlign w:val="center"/>
          </w:tcPr>
          <w:p w14:paraId="0226D897">
            <w:pPr>
              <w:pStyle w:val="83"/>
              <w:spacing w:line="240" w:lineRule="auto"/>
              <w:ind w:left="22" w:right="22"/>
              <w:rPr>
                <w:rFonts w:hint="default" w:ascii="Times New Roman" w:hAnsi="Times New Roman" w:cs="Times New Roman"/>
                <w:color w:val="auto"/>
                <w:sz w:val="21"/>
                <w:szCs w:val="21"/>
              </w:rPr>
            </w:pPr>
          </w:p>
        </w:tc>
        <w:tc>
          <w:tcPr>
            <w:tcW w:w="526" w:type="pct"/>
            <w:tcBorders>
              <w:tl2br w:val="nil"/>
              <w:tr2bl w:val="nil"/>
            </w:tcBorders>
            <w:vAlign w:val="center"/>
          </w:tcPr>
          <w:p w14:paraId="79C9E9E9">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桶装</w:t>
            </w:r>
          </w:p>
        </w:tc>
        <w:tc>
          <w:tcPr>
            <w:tcW w:w="431" w:type="pct"/>
            <w:vMerge w:val="continue"/>
            <w:tcBorders>
              <w:tl2br w:val="nil"/>
              <w:tr2bl w:val="nil"/>
            </w:tcBorders>
            <w:vAlign w:val="center"/>
          </w:tcPr>
          <w:p w14:paraId="2FD5DC0E">
            <w:pPr>
              <w:pStyle w:val="83"/>
              <w:spacing w:line="240" w:lineRule="auto"/>
              <w:ind w:left="22" w:right="22"/>
              <w:rPr>
                <w:rFonts w:hint="default" w:ascii="Times New Roman" w:hAnsi="Times New Roman" w:cs="Times New Roman"/>
                <w:color w:val="auto"/>
                <w:sz w:val="21"/>
                <w:szCs w:val="21"/>
              </w:rPr>
            </w:pPr>
          </w:p>
        </w:tc>
        <w:tc>
          <w:tcPr>
            <w:tcW w:w="507" w:type="pct"/>
            <w:vMerge w:val="continue"/>
            <w:tcBorders>
              <w:tl2br w:val="nil"/>
              <w:tr2bl w:val="nil"/>
            </w:tcBorders>
            <w:vAlign w:val="center"/>
          </w:tcPr>
          <w:p w14:paraId="2953E8F9">
            <w:pPr>
              <w:pStyle w:val="83"/>
              <w:spacing w:line="240" w:lineRule="auto"/>
              <w:ind w:left="22" w:right="22"/>
              <w:rPr>
                <w:rFonts w:hint="default" w:ascii="Times New Roman" w:hAnsi="Times New Roman" w:cs="Times New Roman"/>
                <w:color w:val="auto"/>
                <w:sz w:val="21"/>
                <w:szCs w:val="21"/>
              </w:rPr>
            </w:pPr>
          </w:p>
        </w:tc>
      </w:tr>
      <w:tr w14:paraId="3189DE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70" w:type="pct"/>
            <w:tcBorders>
              <w:tl2br w:val="nil"/>
              <w:tr2bl w:val="nil"/>
            </w:tcBorders>
            <w:vAlign w:val="center"/>
          </w:tcPr>
          <w:p w14:paraId="1CDFB1D1">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514" w:type="pct"/>
            <w:vMerge w:val="continue"/>
            <w:tcBorders>
              <w:tl2br w:val="nil"/>
              <w:tr2bl w:val="nil"/>
            </w:tcBorders>
            <w:vAlign w:val="center"/>
          </w:tcPr>
          <w:p w14:paraId="6386C857">
            <w:pPr>
              <w:pStyle w:val="83"/>
              <w:spacing w:line="240" w:lineRule="auto"/>
              <w:ind w:left="22" w:right="22"/>
              <w:rPr>
                <w:rFonts w:hint="default" w:ascii="Times New Roman" w:hAnsi="Times New Roman" w:cs="Times New Roman"/>
                <w:color w:val="auto"/>
                <w:sz w:val="21"/>
                <w:szCs w:val="21"/>
              </w:rPr>
            </w:pPr>
          </w:p>
        </w:tc>
        <w:tc>
          <w:tcPr>
            <w:tcW w:w="558" w:type="pct"/>
            <w:tcBorders>
              <w:tl2br w:val="nil"/>
              <w:tr2bl w:val="nil"/>
            </w:tcBorders>
            <w:vAlign w:val="center"/>
          </w:tcPr>
          <w:p w14:paraId="721B770F">
            <w:pPr>
              <w:pStyle w:val="83"/>
              <w:spacing w:line="240" w:lineRule="auto"/>
              <w:ind w:left="19" w:leftChars="9" w:right="19" w:rightChars="9" w:firstLine="0" w:firstLineChars="0"/>
              <w:rPr>
                <w:rFonts w:hint="default" w:ascii="Times New Roman" w:hAnsi="Times New Roman" w:cs="Times New Roman"/>
                <w:color w:val="auto"/>
                <w:sz w:val="21"/>
                <w:szCs w:val="21"/>
              </w:rPr>
            </w:pPr>
            <w:r>
              <w:rPr>
                <w:rFonts w:hint="default" w:ascii="Times New Roman" w:hAnsi="Times New Roman" w:cs="Times New Roman"/>
                <w:color w:val="auto"/>
              </w:rPr>
              <w:t>漆渣</w:t>
            </w:r>
          </w:p>
        </w:tc>
        <w:tc>
          <w:tcPr>
            <w:tcW w:w="477" w:type="pct"/>
            <w:tcBorders>
              <w:tl2br w:val="nil"/>
              <w:tr2bl w:val="nil"/>
            </w:tcBorders>
            <w:vAlign w:val="center"/>
          </w:tcPr>
          <w:p w14:paraId="71370F2D">
            <w:pPr>
              <w:pStyle w:val="83"/>
              <w:spacing w:line="240" w:lineRule="auto"/>
              <w:ind w:left="19" w:leftChars="9" w:right="19" w:rightChars="9" w:firstLine="0" w:firstLineChars="0"/>
              <w:rPr>
                <w:rFonts w:hint="default" w:ascii="Times New Roman" w:hAnsi="Times New Roman" w:cs="Times New Roman"/>
                <w:color w:val="auto"/>
                <w:sz w:val="21"/>
                <w:szCs w:val="21"/>
              </w:rPr>
            </w:pPr>
            <w:r>
              <w:rPr>
                <w:rFonts w:hint="default" w:ascii="Times New Roman" w:hAnsi="Times New Roman" w:cs="Times New Roman"/>
                <w:color w:val="auto"/>
              </w:rPr>
              <w:t>HW12</w:t>
            </w:r>
          </w:p>
        </w:tc>
        <w:tc>
          <w:tcPr>
            <w:tcW w:w="724" w:type="pct"/>
            <w:tcBorders>
              <w:tl2br w:val="nil"/>
              <w:tr2bl w:val="nil"/>
            </w:tcBorders>
            <w:vAlign w:val="center"/>
          </w:tcPr>
          <w:p w14:paraId="1B8128A9">
            <w:pPr>
              <w:pStyle w:val="83"/>
              <w:spacing w:line="240" w:lineRule="auto"/>
              <w:ind w:left="19" w:leftChars="9" w:right="19" w:rightChars="9" w:firstLine="0" w:firstLineChars="0"/>
              <w:rPr>
                <w:rFonts w:hint="default" w:ascii="Times New Roman" w:hAnsi="Times New Roman" w:cs="Times New Roman"/>
                <w:color w:val="auto"/>
                <w:sz w:val="21"/>
                <w:szCs w:val="21"/>
              </w:rPr>
            </w:pPr>
            <w:r>
              <w:rPr>
                <w:rFonts w:hint="default" w:ascii="Times New Roman" w:hAnsi="Times New Roman" w:cs="Times New Roman"/>
                <w:color w:val="auto"/>
              </w:rPr>
              <w:t>900-252-12</w:t>
            </w:r>
          </w:p>
        </w:tc>
        <w:tc>
          <w:tcPr>
            <w:tcW w:w="469" w:type="pct"/>
            <w:vMerge w:val="continue"/>
            <w:tcBorders>
              <w:tl2br w:val="nil"/>
              <w:tr2bl w:val="nil"/>
            </w:tcBorders>
            <w:vAlign w:val="center"/>
          </w:tcPr>
          <w:p w14:paraId="70C786BD">
            <w:pPr>
              <w:pStyle w:val="83"/>
              <w:spacing w:line="240" w:lineRule="auto"/>
              <w:ind w:left="22" w:right="22"/>
              <w:rPr>
                <w:rFonts w:hint="default" w:ascii="Times New Roman" w:hAnsi="Times New Roman" w:cs="Times New Roman"/>
                <w:color w:val="auto"/>
                <w:sz w:val="21"/>
                <w:szCs w:val="21"/>
              </w:rPr>
            </w:pPr>
          </w:p>
        </w:tc>
        <w:tc>
          <w:tcPr>
            <w:tcW w:w="519" w:type="pct"/>
            <w:vMerge w:val="continue"/>
            <w:tcBorders>
              <w:tl2br w:val="nil"/>
              <w:tr2bl w:val="nil"/>
            </w:tcBorders>
            <w:vAlign w:val="center"/>
          </w:tcPr>
          <w:p w14:paraId="5F3FE93E">
            <w:pPr>
              <w:pStyle w:val="83"/>
              <w:spacing w:line="240" w:lineRule="auto"/>
              <w:ind w:left="22" w:right="22"/>
              <w:rPr>
                <w:rFonts w:hint="default" w:ascii="Times New Roman" w:hAnsi="Times New Roman" w:cs="Times New Roman"/>
                <w:color w:val="auto"/>
                <w:sz w:val="21"/>
                <w:szCs w:val="21"/>
              </w:rPr>
            </w:pPr>
          </w:p>
        </w:tc>
        <w:tc>
          <w:tcPr>
            <w:tcW w:w="526" w:type="pct"/>
            <w:tcBorders>
              <w:tl2br w:val="nil"/>
              <w:tr2bl w:val="nil"/>
            </w:tcBorders>
            <w:vAlign w:val="center"/>
          </w:tcPr>
          <w:p w14:paraId="3DEE6A56">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桶装</w:t>
            </w:r>
          </w:p>
        </w:tc>
        <w:tc>
          <w:tcPr>
            <w:tcW w:w="431" w:type="pct"/>
            <w:vMerge w:val="continue"/>
            <w:tcBorders>
              <w:tl2br w:val="nil"/>
              <w:tr2bl w:val="nil"/>
            </w:tcBorders>
            <w:vAlign w:val="center"/>
          </w:tcPr>
          <w:p w14:paraId="7C7EF0C5">
            <w:pPr>
              <w:pStyle w:val="83"/>
              <w:spacing w:line="240" w:lineRule="auto"/>
              <w:ind w:left="22" w:right="22"/>
              <w:rPr>
                <w:rFonts w:hint="default" w:ascii="Times New Roman" w:hAnsi="Times New Roman" w:cs="Times New Roman"/>
                <w:color w:val="auto"/>
                <w:sz w:val="21"/>
                <w:szCs w:val="21"/>
              </w:rPr>
            </w:pPr>
          </w:p>
        </w:tc>
        <w:tc>
          <w:tcPr>
            <w:tcW w:w="507" w:type="pct"/>
            <w:vMerge w:val="continue"/>
            <w:tcBorders>
              <w:tl2br w:val="nil"/>
              <w:tr2bl w:val="nil"/>
            </w:tcBorders>
            <w:vAlign w:val="center"/>
          </w:tcPr>
          <w:p w14:paraId="527162CA">
            <w:pPr>
              <w:pStyle w:val="83"/>
              <w:spacing w:line="240" w:lineRule="auto"/>
              <w:ind w:left="22" w:right="22"/>
              <w:rPr>
                <w:rFonts w:hint="default" w:ascii="Times New Roman" w:hAnsi="Times New Roman" w:cs="Times New Roman"/>
                <w:color w:val="auto"/>
                <w:sz w:val="21"/>
                <w:szCs w:val="21"/>
              </w:rPr>
            </w:pPr>
          </w:p>
        </w:tc>
      </w:tr>
      <w:tr w14:paraId="583139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70" w:type="pct"/>
            <w:tcBorders>
              <w:tl2br w:val="nil"/>
              <w:tr2bl w:val="nil"/>
            </w:tcBorders>
            <w:vAlign w:val="center"/>
          </w:tcPr>
          <w:p w14:paraId="5283450F">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514" w:type="pct"/>
            <w:vMerge w:val="continue"/>
            <w:tcBorders>
              <w:tl2br w:val="nil"/>
              <w:tr2bl w:val="nil"/>
            </w:tcBorders>
            <w:vAlign w:val="center"/>
          </w:tcPr>
          <w:p w14:paraId="25D0F256">
            <w:pPr>
              <w:pStyle w:val="83"/>
              <w:spacing w:line="240" w:lineRule="auto"/>
              <w:ind w:left="22" w:right="22"/>
              <w:rPr>
                <w:rFonts w:hint="default" w:ascii="Times New Roman" w:hAnsi="Times New Roman" w:cs="Times New Roman"/>
                <w:color w:val="auto"/>
                <w:sz w:val="21"/>
                <w:szCs w:val="21"/>
              </w:rPr>
            </w:pPr>
          </w:p>
        </w:tc>
        <w:tc>
          <w:tcPr>
            <w:tcW w:w="558" w:type="pct"/>
            <w:tcBorders>
              <w:tl2br w:val="nil"/>
              <w:tr2bl w:val="nil"/>
            </w:tcBorders>
            <w:shd w:val="clear" w:color="auto" w:fill="auto"/>
            <w:vAlign w:val="center"/>
          </w:tcPr>
          <w:p w14:paraId="46D7F8FB">
            <w:pPr>
              <w:pStyle w:val="37"/>
              <w:bidi w:val="0"/>
              <w:ind w:firstLine="0" w:firstLineChars="0"/>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highlight w:val="none"/>
                <w:lang w:val="en-US" w:eastAsia="zh-CN"/>
              </w:rPr>
              <w:t>废清洗溶剂</w:t>
            </w:r>
          </w:p>
        </w:tc>
        <w:tc>
          <w:tcPr>
            <w:tcW w:w="477" w:type="pct"/>
            <w:tcBorders>
              <w:tl2br w:val="nil"/>
              <w:tr2bl w:val="nil"/>
            </w:tcBorders>
            <w:shd w:val="clear" w:color="auto" w:fill="auto"/>
            <w:vAlign w:val="center"/>
          </w:tcPr>
          <w:p w14:paraId="2745A452">
            <w:pPr>
              <w:pStyle w:val="83"/>
              <w:spacing w:line="240" w:lineRule="auto"/>
              <w:ind w:left="19" w:leftChars="9" w:right="19" w:rightChars="9" w:firstLine="0" w:firstLineChars="0"/>
              <w:rPr>
                <w:rFonts w:hint="default" w:ascii="Times New Roman" w:hAnsi="Times New Roman" w:cs="Times New Roman"/>
                <w:color w:val="auto"/>
                <w:sz w:val="21"/>
                <w:szCs w:val="21"/>
              </w:rPr>
            </w:pPr>
            <w:r>
              <w:rPr>
                <w:rFonts w:hint="eastAsia" w:ascii="Times New Roman" w:hAnsi="Times New Roman" w:eastAsia="宋体" w:cs="Times New Roman"/>
                <w:color w:val="auto"/>
                <w:lang w:val="en-US" w:eastAsia="zh-CN"/>
              </w:rPr>
              <w:t>HW12</w:t>
            </w:r>
          </w:p>
        </w:tc>
        <w:tc>
          <w:tcPr>
            <w:tcW w:w="724" w:type="pct"/>
            <w:tcBorders>
              <w:tl2br w:val="nil"/>
              <w:tr2bl w:val="nil"/>
            </w:tcBorders>
            <w:shd w:val="clear" w:color="auto" w:fill="auto"/>
            <w:vAlign w:val="center"/>
          </w:tcPr>
          <w:p w14:paraId="5F99F3DF">
            <w:pPr>
              <w:pStyle w:val="83"/>
              <w:spacing w:line="240" w:lineRule="auto"/>
              <w:ind w:left="19" w:leftChars="9" w:right="19" w:rightChars="9" w:firstLine="0" w:firstLineChars="0"/>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highlight w:val="none"/>
                <w:lang w:val="en-US" w:eastAsia="zh-CN"/>
              </w:rPr>
              <w:t>900-256-12</w:t>
            </w:r>
          </w:p>
        </w:tc>
        <w:tc>
          <w:tcPr>
            <w:tcW w:w="469" w:type="pct"/>
            <w:vMerge w:val="continue"/>
            <w:tcBorders>
              <w:tl2br w:val="nil"/>
              <w:tr2bl w:val="nil"/>
            </w:tcBorders>
            <w:shd w:val="clear" w:color="auto" w:fill="auto"/>
            <w:vAlign w:val="center"/>
          </w:tcPr>
          <w:p w14:paraId="32179687">
            <w:pPr>
              <w:pStyle w:val="83"/>
              <w:spacing w:line="240" w:lineRule="auto"/>
              <w:ind w:left="22" w:right="22"/>
              <w:rPr>
                <w:rFonts w:hint="default" w:ascii="Times New Roman" w:hAnsi="Times New Roman" w:cs="Times New Roman"/>
                <w:color w:val="auto"/>
                <w:sz w:val="21"/>
                <w:szCs w:val="21"/>
              </w:rPr>
            </w:pPr>
          </w:p>
        </w:tc>
        <w:tc>
          <w:tcPr>
            <w:tcW w:w="519" w:type="pct"/>
            <w:vMerge w:val="continue"/>
            <w:tcBorders>
              <w:tl2br w:val="nil"/>
              <w:tr2bl w:val="nil"/>
            </w:tcBorders>
            <w:shd w:val="clear" w:color="auto" w:fill="auto"/>
            <w:vAlign w:val="center"/>
          </w:tcPr>
          <w:p w14:paraId="19C03531">
            <w:pPr>
              <w:pStyle w:val="83"/>
              <w:spacing w:line="240" w:lineRule="auto"/>
              <w:ind w:left="22" w:right="22"/>
              <w:rPr>
                <w:rFonts w:hint="default" w:ascii="Times New Roman" w:hAnsi="Times New Roman" w:cs="Times New Roman"/>
                <w:color w:val="auto"/>
                <w:sz w:val="21"/>
                <w:szCs w:val="21"/>
              </w:rPr>
            </w:pPr>
          </w:p>
        </w:tc>
        <w:tc>
          <w:tcPr>
            <w:tcW w:w="526" w:type="pct"/>
            <w:tcBorders>
              <w:tl2br w:val="nil"/>
              <w:tr2bl w:val="nil"/>
            </w:tcBorders>
            <w:shd w:val="clear" w:color="auto" w:fill="auto"/>
            <w:vAlign w:val="center"/>
          </w:tcPr>
          <w:p w14:paraId="7292EF02">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桶装</w:t>
            </w:r>
          </w:p>
        </w:tc>
        <w:tc>
          <w:tcPr>
            <w:tcW w:w="431" w:type="pct"/>
            <w:vMerge w:val="continue"/>
            <w:tcBorders>
              <w:tl2br w:val="nil"/>
              <w:tr2bl w:val="nil"/>
            </w:tcBorders>
            <w:shd w:val="clear" w:color="auto" w:fill="auto"/>
            <w:vAlign w:val="center"/>
          </w:tcPr>
          <w:p w14:paraId="2E95A649">
            <w:pPr>
              <w:pStyle w:val="83"/>
              <w:spacing w:line="240" w:lineRule="auto"/>
              <w:ind w:left="22" w:right="22"/>
              <w:rPr>
                <w:rFonts w:hint="default" w:ascii="Times New Roman" w:hAnsi="Times New Roman" w:cs="Times New Roman"/>
                <w:color w:val="auto"/>
                <w:sz w:val="21"/>
                <w:szCs w:val="21"/>
              </w:rPr>
            </w:pPr>
          </w:p>
        </w:tc>
        <w:tc>
          <w:tcPr>
            <w:tcW w:w="507" w:type="pct"/>
            <w:vMerge w:val="continue"/>
            <w:tcBorders>
              <w:tl2br w:val="nil"/>
              <w:tr2bl w:val="nil"/>
            </w:tcBorders>
            <w:shd w:val="clear" w:color="auto" w:fill="auto"/>
            <w:vAlign w:val="center"/>
          </w:tcPr>
          <w:p w14:paraId="57A03052">
            <w:pPr>
              <w:pStyle w:val="83"/>
              <w:spacing w:line="240" w:lineRule="auto"/>
              <w:ind w:left="22" w:right="22"/>
              <w:rPr>
                <w:rFonts w:hint="default" w:ascii="Times New Roman" w:hAnsi="Times New Roman" w:cs="Times New Roman"/>
                <w:color w:val="auto"/>
                <w:sz w:val="21"/>
                <w:szCs w:val="21"/>
              </w:rPr>
            </w:pPr>
          </w:p>
        </w:tc>
      </w:tr>
      <w:tr w14:paraId="5F802E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70" w:type="pct"/>
            <w:tcBorders>
              <w:tl2br w:val="nil"/>
              <w:tr2bl w:val="nil"/>
            </w:tcBorders>
            <w:vAlign w:val="center"/>
          </w:tcPr>
          <w:p w14:paraId="5863FD3E">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514" w:type="pct"/>
            <w:vMerge w:val="continue"/>
            <w:tcBorders>
              <w:tl2br w:val="nil"/>
              <w:tr2bl w:val="nil"/>
            </w:tcBorders>
            <w:vAlign w:val="center"/>
          </w:tcPr>
          <w:p w14:paraId="3D875F0A">
            <w:pPr>
              <w:pStyle w:val="83"/>
              <w:spacing w:line="240" w:lineRule="auto"/>
              <w:ind w:left="22" w:right="22"/>
              <w:rPr>
                <w:rFonts w:hint="default" w:ascii="Times New Roman" w:hAnsi="Times New Roman" w:cs="Times New Roman"/>
                <w:color w:val="auto"/>
                <w:sz w:val="21"/>
                <w:szCs w:val="21"/>
              </w:rPr>
            </w:pPr>
          </w:p>
        </w:tc>
        <w:tc>
          <w:tcPr>
            <w:tcW w:w="558" w:type="pct"/>
            <w:tcBorders>
              <w:tl2br w:val="nil"/>
              <w:tr2bl w:val="nil"/>
            </w:tcBorders>
            <w:shd w:val="clear" w:color="auto" w:fill="auto"/>
            <w:vAlign w:val="center"/>
          </w:tcPr>
          <w:p w14:paraId="10006631">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rPr>
              <w:t>废活性炭</w:t>
            </w:r>
          </w:p>
        </w:tc>
        <w:tc>
          <w:tcPr>
            <w:tcW w:w="477" w:type="pct"/>
            <w:tcBorders>
              <w:tl2br w:val="nil"/>
              <w:tr2bl w:val="nil"/>
            </w:tcBorders>
            <w:shd w:val="clear" w:color="auto" w:fill="auto"/>
            <w:vAlign w:val="center"/>
          </w:tcPr>
          <w:p w14:paraId="3C70DDC1">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rPr>
              <w:t>HW49</w:t>
            </w:r>
          </w:p>
        </w:tc>
        <w:tc>
          <w:tcPr>
            <w:tcW w:w="724" w:type="pct"/>
            <w:tcBorders>
              <w:tl2br w:val="nil"/>
              <w:tr2bl w:val="nil"/>
            </w:tcBorders>
            <w:shd w:val="clear" w:color="auto" w:fill="auto"/>
            <w:vAlign w:val="center"/>
          </w:tcPr>
          <w:p w14:paraId="1453CE50">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rPr>
              <w:t>900-039-49</w:t>
            </w:r>
          </w:p>
        </w:tc>
        <w:tc>
          <w:tcPr>
            <w:tcW w:w="469" w:type="pct"/>
            <w:vMerge w:val="continue"/>
            <w:tcBorders>
              <w:tl2br w:val="nil"/>
              <w:tr2bl w:val="nil"/>
            </w:tcBorders>
            <w:vAlign w:val="center"/>
          </w:tcPr>
          <w:p w14:paraId="03F4E25E">
            <w:pPr>
              <w:pStyle w:val="83"/>
              <w:spacing w:line="240" w:lineRule="auto"/>
              <w:ind w:left="22" w:right="22"/>
              <w:rPr>
                <w:rFonts w:hint="default" w:ascii="Times New Roman" w:hAnsi="Times New Roman" w:cs="Times New Roman"/>
                <w:color w:val="auto"/>
                <w:sz w:val="21"/>
                <w:szCs w:val="21"/>
              </w:rPr>
            </w:pPr>
          </w:p>
        </w:tc>
        <w:tc>
          <w:tcPr>
            <w:tcW w:w="519" w:type="pct"/>
            <w:vMerge w:val="continue"/>
            <w:tcBorders>
              <w:tl2br w:val="nil"/>
              <w:tr2bl w:val="nil"/>
            </w:tcBorders>
            <w:shd w:val="clear" w:color="auto" w:fill="auto"/>
            <w:vAlign w:val="center"/>
          </w:tcPr>
          <w:p w14:paraId="23590DC1">
            <w:pPr>
              <w:pStyle w:val="83"/>
              <w:spacing w:line="240" w:lineRule="auto"/>
              <w:ind w:left="22" w:right="22"/>
              <w:rPr>
                <w:rFonts w:hint="default" w:ascii="Times New Roman" w:hAnsi="Times New Roman" w:cs="Times New Roman"/>
                <w:color w:val="auto"/>
                <w:sz w:val="21"/>
                <w:szCs w:val="21"/>
              </w:rPr>
            </w:pPr>
          </w:p>
        </w:tc>
        <w:tc>
          <w:tcPr>
            <w:tcW w:w="526" w:type="pct"/>
            <w:tcBorders>
              <w:tl2br w:val="nil"/>
              <w:tr2bl w:val="nil"/>
            </w:tcBorders>
            <w:shd w:val="clear" w:color="auto" w:fill="auto"/>
            <w:vAlign w:val="center"/>
          </w:tcPr>
          <w:p w14:paraId="797A0542">
            <w:pPr>
              <w:spacing w:line="240" w:lineRule="auto"/>
              <w:ind w:left="22" w:right="22"/>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桶装</w:t>
            </w:r>
          </w:p>
        </w:tc>
        <w:tc>
          <w:tcPr>
            <w:tcW w:w="431" w:type="pct"/>
            <w:vMerge w:val="continue"/>
            <w:tcBorders>
              <w:tl2br w:val="nil"/>
              <w:tr2bl w:val="nil"/>
            </w:tcBorders>
            <w:shd w:val="clear" w:color="auto" w:fill="auto"/>
            <w:vAlign w:val="center"/>
          </w:tcPr>
          <w:p w14:paraId="34F750A1">
            <w:pPr>
              <w:pStyle w:val="83"/>
              <w:spacing w:line="240" w:lineRule="auto"/>
              <w:ind w:left="22" w:right="22"/>
              <w:rPr>
                <w:rFonts w:hint="default" w:ascii="Times New Roman" w:hAnsi="Times New Roman" w:cs="Times New Roman"/>
                <w:color w:val="auto"/>
                <w:sz w:val="21"/>
                <w:szCs w:val="21"/>
              </w:rPr>
            </w:pPr>
          </w:p>
        </w:tc>
        <w:tc>
          <w:tcPr>
            <w:tcW w:w="507" w:type="pct"/>
            <w:vMerge w:val="continue"/>
            <w:tcBorders>
              <w:tl2br w:val="nil"/>
              <w:tr2bl w:val="nil"/>
            </w:tcBorders>
            <w:shd w:val="clear" w:color="auto" w:fill="auto"/>
            <w:vAlign w:val="center"/>
          </w:tcPr>
          <w:p w14:paraId="304C773B">
            <w:pPr>
              <w:pStyle w:val="83"/>
              <w:spacing w:line="240" w:lineRule="auto"/>
              <w:ind w:left="22" w:right="22"/>
              <w:rPr>
                <w:rFonts w:hint="default" w:ascii="Times New Roman" w:hAnsi="Times New Roman" w:cs="Times New Roman"/>
                <w:color w:val="auto"/>
                <w:sz w:val="21"/>
                <w:szCs w:val="21"/>
              </w:rPr>
            </w:pPr>
          </w:p>
        </w:tc>
      </w:tr>
      <w:tr w14:paraId="2B3056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70" w:type="pct"/>
            <w:tcBorders>
              <w:tl2br w:val="nil"/>
              <w:tr2bl w:val="nil"/>
            </w:tcBorders>
            <w:vAlign w:val="center"/>
          </w:tcPr>
          <w:p w14:paraId="5CD641E9">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w:t>
            </w:r>
          </w:p>
        </w:tc>
        <w:tc>
          <w:tcPr>
            <w:tcW w:w="514" w:type="pct"/>
            <w:vMerge w:val="continue"/>
            <w:tcBorders>
              <w:tl2br w:val="nil"/>
              <w:tr2bl w:val="nil"/>
            </w:tcBorders>
            <w:vAlign w:val="center"/>
          </w:tcPr>
          <w:p w14:paraId="5E130292">
            <w:pPr>
              <w:pStyle w:val="83"/>
              <w:spacing w:line="240" w:lineRule="auto"/>
              <w:ind w:left="22" w:right="22"/>
              <w:rPr>
                <w:rFonts w:hint="default" w:ascii="Times New Roman" w:hAnsi="Times New Roman" w:cs="Times New Roman"/>
                <w:color w:val="auto"/>
                <w:sz w:val="21"/>
                <w:szCs w:val="21"/>
              </w:rPr>
            </w:pPr>
          </w:p>
        </w:tc>
        <w:tc>
          <w:tcPr>
            <w:tcW w:w="558" w:type="pct"/>
            <w:tcBorders>
              <w:tl2br w:val="nil"/>
              <w:tr2bl w:val="nil"/>
            </w:tcBorders>
            <w:shd w:val="clear" w:color="auto" w:fill="auto"/>
            <w:vAlign w:val="center"/>
          </w:tcPr>
          <w:p w14:paraId="35EA4F24">
            <w:pPr>
              <w:pStyle w:val="83"/>
              <w:spacing w:line="240" w:lineRule="auto"/>
              <w:ind w:left="19" w:leftChars="9" w:right="19" w:rightChars="9" w:firstLine="0" w:firstLineChars="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color w:val="auto"/>
                <w:lang w:val="en-US" w:eastAsia="zh-CN"/>
              </w:rPr>
              <w:t>废UV灯管</w:t>
            </w:r>
          </w:p>
        </w:tc>
        <w:tc>
          <w:tcPr>
            <w:tcW w:w="477" w:type="pct"/>
            <w:tcBorders>
              <w:tl2br w:val="nil"/>
              <w:tr2bl w:val="nil"/>
            </w:tcBorders>
            <w:shd w:val="clear" w:color="auto" w:fill="auto"/>
            <w:vAlign w:val="center"/>
          </w:tcPr>
          <w:p w14:paraId="09A366FF">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1"/>
                <w:lang w:val="en-US" w:eastAsia="en-US" w:bidi="ar-SA"/>
              </w:rPr>
            </w:pPr>
            <w:r>
              <w:rPr>
                <w:rFonts w:hint="eastAsia" w:ascii="Times New Roman" w:hAnsi="Times New Roman" w:eastAsia="宋体" w:cs="Times New Roman"/>
                <w:color w:val="auto"/>
                <w:lang w:val="en-US" w:eastAsia="zh-CN"/>
              </w:rPr>
              <w:t>HW29</w:t>
            </w:r>
          </w:p>
        </w:tc>
        <w:tc>
          <w:tcPr>
            <w:tcW w:w="724" w:type="pct"/>
            <w:tcBorders>
              <w:tl2br w:val="nil"/>
              <w:tr2bl w:val="nil"/>
            </w:tcBorders>
            <w:shd w:val="clear" w:color="auto" w:fill="auto"/>
            <w:vAlign w:val="center"/>
          </w:tcPr>
          <w:p w14:paraId="4689CF5C">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eastAsia="Arial" w:cs="Times New Roman"/>
                <w:snapToGrid w:val="0"/>
                <w:color w:val="auto"/>
                <w:kern w:val="0"/>
                <w:sz w:val="21"/>
                <w:szCs w:val="21"/>
                <w:highlight w:val="none"/>
                <w:lang w:val="en-US" w:eastAsia="en-US" w:bidi="ar-SA"/>
              </w:rPr>
              <w:t>900-023-29</w:t>
            </w:r>
          </w:p>
        </w:tc>
        <w:tc>
          <w:tcPr>
            <w:tcW w:w="469" w:type="pct"/>
            <w:vMerge w:val="continue"/>
            <w:tcBorders>
              <w:tl2br w:val="nil"/>
              <w:tr2bl w:val="nil"/>
            </w:tcBorders>
            <w:vAlign w:val="center"/>
          </w:tcPr>
          <w:p w14:paraId="32446127">
            <w:pPr>
              <w:pStyle w:val="83"/>
              <w:spacing w:line="240" w:lineRule="auto"/>
              <w:ind w:left="22" w:right="22"/>
              <w:rPr>
                <w:rFonts w:hint="default" w:ascii="Times New Roman" w:hAnsi="Times New Roman" w:cs="Times New Roman"/>
                <w:color w:val="auto"/>
                <w:sz w:val="21"/>
                <w:szCs w:val="21"/>
              </w:rPr>
            </w:pPr>
          </w:p>
        </w:tc>
        <w:tc>
          <w:tcPr>
            <w:tcW w:w="519" w:type="pct"/>
            <w:vMerge w:val="continue"/>
            <w:tcBorders>
              <w:tl2br w:val="nil"/>
              <w:tr2bl w:val="nil"/>
            </w:tcBorders>
            <w:shd w:val="clear" w:color="auto" w:fill="auto"/>
            <w:vAlign w:val="center"/>
          </w:tcPr>
          <w:p w14:paraId="4688F0E8">
            <w:pPr>
              <w:pStyle w:val="83"/>
              <w:spacing w:line="240" w:lineRule="auto"/>
              <w:ind w:left="22" w:right="22"/>
              <w:rPr>
                <w:rFonts w:hint="default" w:ascii="Times New Roman" w:hAnsi="Times New Roman" w:cs="Times New Roman"/>
                <w:color w:val="auto"/>
                <w:sz w:val="21"/>
                <w:szCs w:val="21"/>
              </w:rPr>
            </w:pPr>
          </w:p>
        </w:tc>
        <w:tc>
          <w:tcPr>
            <w:tcW w:w="526" w:type="pct"/>
            <w:tcBorders>
              <w:tl2br w:val="nil"/>
              <w:tr2bl w:val="nil"/>
            </w:tcBorders>
            <w:shd w:val="clear" w:color="auto" w:fill="auto"/>
            <w:vAlign w:val="center"/>
          </w:tcPr>
          <w:p w14:paraId="5BA56D92">
            <w:pPr>
              <w:spacing w:line="240" w:lineRule="auto"/>
              <w:ind w:left="22" w:right="22"/>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桶装</w:t>
            </w:r>
          </w:p>
        </w:tc>
        <w:tc>
          <w:tcPr>
            <w:tcW w:w="431" w:type="pct"/>
            <w:vMerge w:val="continue"/>
            <w:tcBorders>
              <w:tl2br w:val="nil"/>
              <w:tr2bl w:val="nil"/>
            </w:tcBorders>
            <w:shd w:val="clear" w:color="auto" w:fill="auto"/>
            <w:vAlign w:val="center"/>
          </w:tcPr>
          <w:p w14:paraId="0D3E3977">
            <w:pPr>
              <w:pStyle w:val="83"/>
              <w:spacing w:line="240" w:lineRule="auto"/>
              <w:ind w:left="22" w:right="22"/>
              <w:rPr>
                <w:rFonts w:hint="default" w:ascii="Times New Roman" w:hAnsi="Times New Roman" w:cs="Times New Roman"/>
                <w:color w:val="auto"/>
                <w:sz w:val="21"/>
                <w:szCs w:val="21"/>
              </w:rPr>
            </w:pPr>
          </w:p>
        </w:tc>
        <w:tc>
          <w:tcPr>
            <w:tcW w:w="507" w:type="pct"/>
            <w:vMerge w:val="continue"/>
            <w:tcBorders>
              <w:tl2br w:val="nil"/>
              <w:tr2bl w:val="nil"/>
            </w:tcBorders>
            <w:shd w:val="clear" w:color="auto" w:fill="auto"/>
            <w:vAlign w:val="center"/>
          </w:tcPr>
          <w:p w14:paraId="181EED3D">
            <w:pPr>
              <w:pStyle w:val="83"/>
              <w:spacing w:line="240" w:lineRule="auto"/>
              <w:ind w:left="22" w:right="22"/>
              <w:rPr>
                <w:rFonts w:hint="default" w:ascii="Times New Roman" w:hAnsi="Times New Roman" w:cs="Times New Roman"/>
                <w:color w:val="auto"/>
                <w:sz w:val="21"/>
                <w:szCs w:val="21"/>
              </w:rPr>
            </w:pPr>
          </w:p>
        </w:tc>
      </w:tr>
      <w:tr w14:paraId="23B9CD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70" w:type="pct"/>
            <w:tcBorders>
              <w:tl2br w:val="nil"/>
              <w:tr2bl w:val="nil"/>
            </w:tcBorders>
            <w:vAlign w:val="center"/>
          </w:tcPr>
          <w:p w14:paraId="28042D51">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w:t>
            </w:r>
          </w:p>
        </w:tc>
        <w:tc>
          <w:tcPr>
            <w:tcW w:w="514" w:type="pct"/>
            <w:vMerge w:val="continue"/>
            <w:tcBorders>
              <w:tl2br w:val="nil"/>
              <w:tr2bl w:val="nil"/>
            </w:tcBorders>
            <w:vAlign w:val="center"/>
          </w:tcPr>
          <w:p w14:paraId="1C1EE6EF">
            <w:pPr>
              <w:pStyle w:val="83"/>
              <w:spacing w:line="240" w:lineRule="auto"/>
              <w:ind w:left="22" w:right="22"/>
              <w:rPr>
                <w:rFonts w:hint="default" w:ascii="Times New Roman" w:hAnsi="Times New Roman" w:cs="Times New Roman"/>
                <w:color w:val="auto"/>
                <w:sz w:val="21"/>
                <w:szCs w:val="21"/>
              </w:rPr>
            </w:pPr>
          </w:p>
        </w:tc>
        <w:tc>
          <w:tcPr>
            <w:tcW w:w="558" w:type="pct"/>
            <w:tcBorders>
              <w:tl2br w:val="nil"/>
              <w:tr2bl w:val="nil"/>
            </w:tcBorders>
            <w:shd w:val="clear" w:color="auto" w:fill="auto"/>
            <w:vAlign w:val="center"/>
          </w:tcPr>
          <w:p w14:paraId="6D81FA52">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1"/>
                <w:lang w:val="en-US" w:eastAsia="zh-CN" w:bidi="ar-SA"/>
              </w:rPr>
            </w:pPr>
            <w:r>
              <w:rPr>
                <w:rFonts w:hint="default" w:ascii="Times New Roman" w:hAnsi="Times New Roman" w:cs="Times New Roman"/>
                <w:color w:val="auto"/>
              </w:rPr>
              <w:t>废</w:t>
            </w:r>
            <w:r>
              <w:rPr>
                <w:rFonts w:hint="eastAsia" w:ascii="Times New Roman" w:hAnsi="Times New Roman" w:eastAsia="宋体" w:cs="Times New Roman"/>
                <w:color w:val="auto"/>
                <w:lang w:val="en-US" w:eastAsia="zh-CN"/>
              </w:rPr>
              <w:t>润滑油</w:t>
            </w:r>
          </w:p>
        </w:tc>
        <w:tc>
          <w:tcPr>
            <w:tcW w:w="477" w:type="pct"/>
            <w:tcBorders>
              <w:tl2br w:val="nil"/>
              <w:tr2bl w:val="nil"/>
            </w:tcBorders>
            <w:shd w:val="clear" w:color="auto" w:fill="auto"/>
            <w:vAlign w:val="center"/>
          </w:tcPr>
          <w:p w14:paraId="7178D0D5">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rPr>
              <w:t>HW08</w:t>
            </w:r>
          </w:p>
        </w:tc>
        <w:tc>
          <w:tcPr>
            <w:tcW w:w="724" w:type="pct"/>
            <w:tcBorders>
              <w:tl2br w:val="nil"/>
              <w:tr2bl w:val="nil"/>
            </w:tcBorders>
            <w:shd w:val="clear" w:color="auto" w:fill="auto"/>
            <w:vAlign w:val="center"/>
          </w:tcPr>
          <w:p w14:paraId="7CFDFDFE">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szCs w:val="21"/>
              </w:rPr>
              <w:t>900-21</w:t>
            </w:r>
            <w:r>
              <w:rPr>
                <w:rFonts w:hint="eastAsia" w:ascii="Times New Roman" w:hAnsi="Times New Roman" w:eastAsia="宋体" w:cs="Times New Roman"/>
                <w:color w:val="auto"/>
                <w:szCs w:val="21"/>
                <w:lang w:val="en-US" w:eastAsia="zh-CN"/>
              </w:rPr>
              <w:t>4</w:t>
            </w:r>
            <w:r>
              <w:rPr>
                <w:rFonts w:hint="default" w:ascii="Times New Roman" w:hAnsi="Times New Roman" w:cs="Times New Roman"/>
                <w:color w:val="auto"/>
                <w:szCs w:val="21"/>
              </w:rPr>
              <w:t>-08</w:t>
            </w:r>
          </w:p>
        </w:tc>
        <w:tc>
          <w:tcPr>
            <w:tcW w:w="469" w:type="pct"/>
            <w:vMerge w:val="continue"/>
            <w:tcBorders>
              <w:tl2br w:val="nil"/>
              <w:tr2bl w:val="nil"/>
            </w:tcBorders>
            <w:shd w:val="clear" w:color="auto" w:fill="auto"/>
            <w:vAlign w:val="center"/>
          </w:tcPr>
          <w:p w14:paraId="603A0845">
            <w:pPr>
              <w:pStyle w:val="83"/>
              <w:spacing w:line="240" w:lineRule="auto"/>
              <w:ind w:left="22" w:right="22"/>
              <w:rPr>
                <w:rFonts w:hint="default" w:ascii="Times New Roman" w:hAnsi="Times New Roman" w:cs="Times New Roman"/>
                <w:color w:val="auto"/>
                <w:sz w:val="21"/>
                <w:szCs w:val="21"/>
              </w:rPr>
            </w:pPr>
          </w:p>
        </w:tc>
        <w:tc>
          <w:tcPr>
            <w:tcW w:w="519" w:type="pct"/>
            <w:vMerge w:val="continue"/>
            <w:tcBorders>
              <w:tl2br w:val="nil"/>
              <w:tr2bl w:val="nil"/>
            </w:tcBorders>
            <w:shd w:val="clear" w:color="auto" w:fill="auto"/>
            <w:vAlign w:val="center"/>
          </w:tcPr>
          <w:p w14:paraId="462F5F98">
            <w:pPr>
              <w:pStyle w:val="83"/>
              <w:spacing w:line="240" w:lineRule="auto"/>
              <w:ind w:left="22" w:right="22"/>
              <w:rPr>
                <w:rFonts w:hint="default" w:ascii="Times New Roman" w:hAnsi="Times New Roman" w:cs="Times New Roman"/>
                <w:color w:val="auto"/>
                <w:sz w:val="21"/>
                <w:szCs w:val="21"/>
              </w:rPr>
            </w:pPr>
          </w:p>
        </w:tc>
        <w:tc>
          <w:tcPr>
            <w:tcW w:w="526" w:type="pct"/>
            <w:tcBorders>
              <w:tl2br w:val="nil"/>
              <w:tr2bl w:val="nil"/>
            </w:tcBorders>
            <w:shd w:val="clear" w:color="auto" w:fill="auto"/>
            <w:vAlign w:val="center"/>
          </w:tcPr>
          <w:p w14:paraId="3B98422D">
            <w:pPr>
              <w:spacing w:line="240" w:lineRule="auto"/>
              <w:ind w:left="22" w:right="22"/>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桶装</w:t>
            </w:r>
          </w:p>
        </w:tc>
        <w:tc>
          <w:tcPr>
            <w:tcW w:w="431" w:type="pct"/>
            <w:vMerge w:val="continue"/>
            <w:tcBorders>
              <w:tl2br w:val="nil"/>
              <w:tr2bl w:val="nil"/>
            </w:tcBorders>
            <w:shd w:val="clear" w:color="auto" w:fill="auto"/>
            <w:vAlign w:val="center"/>
          </w:tcPr>
          <w:p w14:paraId="25624642">
            <w:pPr>
              <w:pStyle w:val="83"/>
              <w:spacing w:line="240" w:lineRule="auto"/>
              <w:ind w:left="22" w:right="22"/>
              <w:rPr>
                <w:rFonts w:hint="default" w:ascii="Times New Roman" w:hAnsi="Times New Roman" w:cs="Times New Roman"/>
                <w:color w:val="auto"/>
                <w:sz w:val="21"/>
                <w:szCs w:val="21"/>
              </w:rPr>
            </w:pPr>
          </w:p>
        </w:tc>
        <w:tc>
          <w:tcPr>
            <w:tcW w:w="507" w:type="pct"/>
            <w:vMerge w:val="continue"/>
            <w:tcBorders>
              <w:tl2br w:val="nil"/>
              <w:tr2bl w:val="nil"/>
            </w:tcBorders>
            <w:shd w:val="clear" w:color="auto" w:fill="auto"/>
            <w:vAlign w:val="center"/>
          </w:tcPr>
          <w:p w14:paraId="66CC272B">
            <w:pPr>
              <w:pStyle w:val="83"/>
              <w:spacing w:line="240" w:lineRule="auto"/>
              <w:ind w:left="22" w:right="22"/>
              <w:rPr>
                <w:rFonts w:hint="default" w:ascii="Times New Roman" w:hAnsi="Times New Roman" w:cs="Times New Roman"/>
                <w:color w:val="auto"/>
                <w:sz w:val="21"/>
                <w:szCs w:val="21"/>
              </w:rPr>
            </w:pPr>
          </w:p>
        </w:tc>
      </w:tr>
      <w:tr w14:paraId="1A2C5AC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70" w:type="pct"/>
            <w:tcBorders>
              <w:tl2br w:val="nil"/>
              <w:tr2bl w:val="nil"/>
            </w:tcBorders>
            <w:vAlign w:val="center"/>
          </w:tcPr>
          <w:p w14:paraId="1A3719AD">
            <w:pPr>
              <w:pStyle w:val="83"/>
              <w:spacing w:line="240" w:lineRule="auto"/>
              <w:ind w:left="22" w:right="2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w:t>
            </w:r>
          </w:p>
        </w:tc>
        <w:tc>
          <w:tcPr>
            <w:tcW w:w="514" w:type="pct"/>
            <w:vMerge w:val="continue"/>
            <w:tcBorders>
              <w:bottom w:val="single" w:color="000000" w:sz="4" w:space="0"/>
              <w:tl2br w:val="nil"/>
              <w:tr2bl w:val="nil"/>
            </w:tcBorders>
            <w:vAlign w:val="center"/>
          </w:tcPr>
          <w:p w14:paraId="3C35B524">
            <w:pPr>
              <w:pStyle w:val="83"/>
              <w:spacing w:line="240" w:lineRule="auto"/>
              <w:ind w:left="22" w:right="22"/>
              <w:rPr>
                <w:rFonts w:hint="default" w:ascii="Times New Roman" w:hAnsi="Times New Roman" w:cs="Times New Roman"/>
                <w:color w:val="auto"/>
                <w:sz w:val="21"/>
                <w:szCs w:val="21"/>
              </w:rPr>
            </w:pPr>
          </w:p>
        </w:tc>
        <w:tc>
          <w:tcPr>
            <w:tcW w:w="558" w:type="pct"/>
            <w:tcBorders>
              <w:bottom w:val="single" w:color="000000" w:sz="4" w:space="0"/>
              <w:tl2br w:val="nil"/>
              <w:tr2bl w:val="nil"/>
            </w:tcBorders>
            <w:shd w:val="clear" w:color="auto" w:fill="auto"/>
            <w:vAlign w:val="center"/>
          </w:tcPr>
          <w:p w14:paraId="7EDFD019">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lang w:val="en-US" w:eastAsia="zh-CN"/>
              </w:rPr>
              <w:t>废含油手套及抹布</w:t>
            </w:r>
          </w:p>
        </w:tc>
        <w:tc>
          <w:tcPr>
            <w:tcW w:w="477" w:type="pct"/>
            <w:tcBorders>
              <w:tl2br w:val="nil"/>
              <w:tr2bl w:val="nil"/>
            </w:tcBorders>
            <w:shd w:val="clear" w:color="auto" w:fill="auto"/>
            <w:vAlign w:val="center"/>
          </w:tcPr>
          <w:p w14:paraId="11760D71">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rPr>
              <w:t>HW49</w:t>
            </w:r>
          </w:p>
        </w:tc>
        <w:tc>
          <w:tcPr>
            <w:tcW w:w="724" w:type="pct"/>
            <w:tcBorders>
              <w:bottom w:val="single" w:color="000000" w:sz="4" w:space="0"/>
              <w:tl2br w:val="nil"/>
              <w:tr2bl w:val="nil"/>
            </w:tcBorders>
            <w:shd w:val="clear" w:color="auto" w:fill="auto"/>
            <w:vAlign w:val="center"/>
          </w:tcPr>
          <w:p w14:paraId="20A532AA">
            <w:pPr>
              <w:pStyle w:val="83"/>
              <w:spacing w:line="240" w:lineRule="auto"/>
              <w:ind w:left="19" w:leftChars="9" w:right="19" w:rightChars="9" w:firstLine="0" w:firstLineChars="0"/>
              <w:rPr>
                <w:rFonts w:hint="default" w:ascii="Times New Roman" w:hAnsi="Times New Roman" w:eastAsia="Arial" w:cs="Times New Roman"/>
                <w:snapToGrid w:val="0"/>
                <w:color w:val="auto"/>
                <w:kern w:val="0"/>
                <w:sz w:val="21"/>
                <w:szCs w:val="21"/>
                <w:lang w:val="en-US" w:eastAsia="en-US" w:bidi="ar-SA"/>
              </w:rPr>
            </w:pPr>
            <w:r>
              <w:rPr>
                <w:rFonts w:hint="default" w:ascii="Times New Roman" w:hAnsi="Times New Roman" w:cs="Times New Roman"/>
                <w:color w:val="auto"/>
                <w:szCs w:val="21"/>
              </w:rPr>
              <w:t xml:space="preserve">900-041-49 </w:t>
            </w:r>
          </w:p>
        </w:tc>
        <w:tc>
          <w:tcPr>
            <w:tcW w:w="469" w:type="pct"/>
            <w:vMerge w:val="continue"/>
            <w:tcBorders>
              <w:bottom w:val="single" w:color="000000" w:sz="4" w:space="0"/>
              <w:tl2br w:val="nil"/>
              <w:tr2bl w:val="nil"/>
            </w:tcBorders>
            <w:shd w:val="clear" w:color="auto" w:fill="auto"/>
            <w:vAlign w:val="center"/>
          </w:tcPr>
          <w:p w14:paraId="635D92B8">
            <w:pPr>
              <w:pStyle w:val="83"/>
              <w:spacing w:line="240" w:lineRule="auto"/>
              <w:ind w:left="22" w:right="22"/>
              <w:rPr>
                <w:rFonts w:hint="default" w:ascii="Times New Roman" w:hAnsi="Times New Roman" w:cs="Times New Roman"/>
                <w:color w:val="auto"/>
                <w:sz w:val="21"/>
                <w:szCs w:val="21"/>
              </w:rPr>
            </w:pPr>
          </w:p>
        </w:tc>
        <w:tc>
          <w:tcPr>
            <w:tcW w:w="519" w:type="pct"/>
            <w:vMerge w:val="continue"/>
            <w:tcBorders>
              <w:bottom w:val="single" w:color="000000" w:sz="4" w:space="0"/>
              <w:tl2br w:val="nil"/>
              <w:tr2bl w:val="nil"/>
            </w:tcBorders>
            <w:shd w:val="clear" w:color="auto" w:fill="auto"/>
            <w:vAlign w:val="center"/>
          </w:tcPr>
          <w:p w14:paraId="3A0CD465">
            <w:pPr>
              <w:pStyle w:val="83"/>
              <w:spacing w:line="240" w:lineRule="auto"/>
              <w:ind w:left="22" w:right="22"/>
              <w:rPr>
                <w:rFonts w:hint="default" w:ascii="Times New Roman" w:hAnsi="Times New Roman" w:cs="Times New Roman"/>
                <w:color w:val="auto"/>
                <w:sz w:val="21"/>
                <w:szCs w:val="21"/>
              </w:rPr>
            </w:pPr>
          </w:p>
        </w:tc>
        <w:tc>
          <w:tcPr>
            <w:tcW w:w="526" w:type="pct"/>
            <w:tcBorders>
              <w:tl2br w:val="nil"/>
              <w:tr2bl w:val="nil"/>
            </w:tcBorders>
            <w:shd w:val="clear" w:color="auto" w:fill="auto"/>
            <w:vAlign w:val="center"/>
          </w:tcPr>
          <w:p w14:paraId="625FE7DF">
            <w:pPr>
              <w:spacing w:line="240" w:lineRule="auto"/>
              <w:ind w:left="22" w:right="22"/>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桶装</w:t>
            </w:r>
          </w:p>
        </w:tc>
        <w:tc>
          <w:tcPr>
            <w:tcW w:w="431" w:type="pct"/>
            <w:vMerge w:val="continue"/>
            <w:tcBorders>
              <w:tl2br w:val="nil"/>
              <w:tr2bl w:val="nil"/>
            </w:tcBorders>
            <w:shd w:val="clear" w:color="auto" w:fill="auto"/>
            <w:vAlign w:val="center"/>
          </w:tcPr>
          <w:p w14:paraId="06E72157">
            <w:pPr>
              <w:pStyle w:val="83"/>
              <w:spacing w:line="240" w:lineRule="auto"/>
              <w:ind w:left="22" w:right="22"/>
              <w:rPr>
                <w:rFonts w:hint="default" w:ascii="Times New Roman" w:hAnsi="Times New Roman" w:cs="Times New Roman"/>
                <w:color w:val="auto"/>
                <w:sz w:val="21"/>
                <w:szCs w:val="21"/>
              </w:rPr>
            </w:pPr>
          </w:p>
        </w:tc>
        <w:tc>
          <w:tcPr>
            <w:tcW w:w="507" w:type="pct"/>
            <w:vMerge w:val="continue"/>
            <w:tcBorders>
              <w:tl2br w:val="nil"/>
              <w:tr2bl w:val="nil"/>
            </w:tcBorders>
            <w:shd w:val="clear" w:color="auto" w:fill="auto"/>
            <w:vAlign w:val="center"/>
          </w:tcPr>
          <w:p w14:paraId="660251E5">
            <w:pPr>
              <w:pStyle w:val="83"/>
              <w:spacing w:line="240" w:lineRule="auto"/>
              <w:ind w:left="22" w:right="22"/>
              <w:rPr>
                <w:rFonts w:hint="default" w:ascii="Times New Roman" w:hAnsi="Times New Roman" w:cs="Times New Roman"/>
                <w:color w:val="auto"/>
                <w:sz w:val="21"/>
                <w:szCs w:val="21"/>
              </w:rPr>
            </w:pPr>
          </w:p>
        </w:tc>
      </w:tr>
      <w:tr w14:paraId="072732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70" w:type="pct"/>
            <w:tcBorders>
              <w:tl2br w:val="nil"/>
              <w:tr2bl w:val="nil"/>
            </w:tcBorders>
            <w:vAlign w:val="center"/>
          </w:tcPr>
          <w:p w14:paraId="430C7518">
            <w:pPr>
              <w:pStyle w:val="83"/>
              <w:spacing w:line="240" w:lineRule="auto"/>
              <w:ind w:left="22" w:right="22"/>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514" w:type="pct"/>
            <w:tcBorders>
              <w:top w:val="single" w:color="000000" w:sz="4" w:space="0"/>
              <w:tl2br w:val="nil"/>
              <w:tr2bl w:val="nil"/>
            </w:tcBorders>
            <w:vAlign w:val="center"/>
          </w:tcPr>
          <w:p w14:paraId="41513868">
            <w:pPr>
              <w:pStyle w:val="83"/>
              <w:spacing w:line="240" w:lineRule="auto"/>
              <w:ind w:left="22" w:right="22"/>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循环水池</w:t>
            </w:r>
          </w:p>
        </w:tc>
        <w:tc>
          <w:tcPr>
            <w:tcW w:w="558" w:type="pct"/>
            <w:tcBorders>
              <w:top w:val="single" w:color="000000" w:sz="4" w:space="0"/>
              <w:tl2br w:val="nil"/>
              <w:tr2bl w:val="nil"/>
            </w:tcBorders>
            <w:shd w:val="clear" w:color="auto" w:fill="auto"/>
            <w:vAlign w:val="center"/>
          </w:tcPr>
          <w:p w14:paraId="57C4DF7D">
            <w:pPr>
              <w:pStyle w:val="37"/>
              <w:bidi w:val="0"/>
              <w:ind w:firstLine="0" w:firstLineChars="0"/>
              <w:rPr>
                <w:rFonts w:hint="default" w:ascii="Times New Roman" w:hAnsi="Times New Roman" w:cs="Times New Roman"/>
                <w:color w:val="auto"/>
                <w:sz w:val="21"/>
                <w:szCs w:val="21"/>
              </w:rPr>
            </w:pPr>
            <w:r>
              <w:rPr>
                <w:rFonts w:hint="eastAsia" w:ascii="Times New Roman" w:hAnsi="Times New Roman" w:cs="Times New Roman"/>
                <w:color w:val="auto"/>
                <w:sz w:val="21"/>
                <w:szCs w:val="21"/>
                <w:highlight w:val="none"/>
                <w:lang w:val="en-US" w:eastAsia="zh-CN"/>
              </w:rPr>
              <w:t>水帘废水</w:t>
            </w:r>
          </w:p>
        </w:tc>
        <w:tc>
          <w:tcPr>
            <w:tcW w:w="477" w:type="pct"/>
            <w:tcBorders>
              <w:tl2br w:val="nil"/>
              <w:tr2bl w:val="nil"/>
            </w:tcBorders>
            <w:shd w:val="clear" w:color="auto" w:fill="auto"/>
            <w:vAlign w:val="center"/>
          </w:tcPr>
          <w:p w14:paraId="212B188C">
            <w:pPr>
              <w:pStyle w:val="83"/>
              <w:spacing w:line="240" w:lineRule="auto"/>
              <w:ind w:left="19" w:leftChars="9" w:right="19" w:rightChars="9"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HW49</w:t>
            </w:r>
          </w:p>
        </w:tc>
        <w:tc>
          <w:tcPr>
            <w:tcW w:w="724" w:type="pct"/>
            <w:tcBorders>
              <w:top w:val="single" w:color="000000" w:sz="4" w:space="0"/>
              <w:tl2br w:val="nil"/>
              <w:tr2bl w:val="nil"/>
            </w:tcBorders>
            <w:shd w:val="clear" w:color="auto" w:fill="auto"/>
            <w:vAlign w:val="center"/>
          </w:tcPr>
          <w:p w14:paraId="485789C7">
            <w:pPr>
              <w:pStyle w:val="83"/>
              <w:spacing w:line="240" w:lineRule="auto"/>
              <w:ind w:left="19" w:leftChars="9" w:right="19" w:rightChars="9"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Cs w:val="21"/>
                <w:highlight w:val="none"/>
              </w:rPr>
              <w:t>900-042-49</w:t>
            </w:r>
          </w:p>
        </w:tc>
        <w:tc>
          <w:tcPr>
            <w:tcW w:w="469" w:type="pct"/>
            <w:tcBorders>
              <w:top w:val="single" w:color="000000" w:sz="4" w:space="0"/>
              <w:tl2br w:val="nil"/>
              <w:tr2bl w:val="nil"/>
            </w:tcBorders>
            <w:shd w:val="clear" w:color="auto" w:fill="auto"/>
            <w:vAlign w:val="center"/>
          </w:tcPr>
          <w:p w14:paraId="429CF42F">
            <w:pPr>
              <w:pStyle w:val="83"/>
              <w:spacing w:line="240" w:lineRule="auto"/>
              <w:ind w:left="22" w:right="22"/>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不贮存，产生后直接由有资质单位外运处置</w:t>
            </w:r>
          </w:p>
        </w:tc>
        <w:tc>
          <w:tcPr>
            <w:tcW w:w="519" w:type="pct"/>
            <w:tcBorders>
              <w:top w:val="single" w:color="000000" w:sz="4" w:space="0"/>
              <w:tl2br w:val="nil"/>
              <w:tr2bl w:val="nil"/>
            </w:tcBorders>
            <w:shd w:val="clear" w:color="auto" w:fill="auto"/>
            <w:vAlign w:val="center"/>
          </w:tcPr>
          <w:p w14:paraId="47E1ECC7">
            <w:pPr>
              <w:pStyle w:val="83"/>
              <w:spacing w:line="240" w:lineRule="auto"/>
              <w:ind w:left="22" w:right="22"/>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400</w:t>
            </w:r>
          </w:p>
        </w:tc>
        <w:tc>
          <w:tcPr>
            <w:tcW w:w="526" w:type="pct"/>
            <w:tcBorders>
              <w:tl2br w:val="nil"/>
              <w:tr2bl w:val="nil"/>
            </w:tcBorders>
            <w:shd w:val="clear" w:color="auto" w:fill="auto"/>
            <w:vAlign w:val="center"/>
          </w:tcPr>
          <w:p w14:paraId="7FCEF972">
            <w:pPr>
              <w:pStyle w:val="83"/>
              <w:spacing w:line="240" w:lineRule="auto"/>
              <w:ind w:left="22" w:right="22"/>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水池</w:t>
            </w:r>
          </w:p>
        </w:tc>
        <w:tc>
          <w:tcPr>
            <w:tcW w:w="431" w:type="pct"/>
            <w:tcBorders>
              <w:tl2br w:val="nil"/>
              <w:tr2bl w:val="nil"/>
            </w:tcBorders>
            <w:shd w:val="clear" w:color="auto" w:fill="auto"/>
            <w:vAlign w:val="center"/>
          </w:tcPr>
          <w:p w14:paraId="2E13A071">
            <w:pPr>
              <w:pStyle w:val="83"/>
              <w:spacing w:line="240" w:lineRule="auto"/>
              <w:ind w:left="22" w:right="22"/>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400m</w:t>
            </w:r>
            <w:r>
              <w:rPr>
                <w:rFonts w:hint="eastAsia" w:ascii="Times New Roman" w:hAnsi="Times New Roman" w:eastAsia="宋体" w:cs="Times New Roman"/>
                <w:color w:val="auto"/>
                <w:sz w:val="21"/>
                <w:szCs w:val="21"/>
                <w:highlight w:val="none"/>
                <w:vertAlign w:val="superscript"/>
                <w:lang w:val="en-US" w:eastAsia="zh-CN"/>
              </w:rPr>
              <w:t>3</w:t>
            </w:r>
          </w:p>
        </w:tc>
        <w:tc>
          <w:tcPr>
            <w:tcW w:w="507" w:type="pct"/>
            <w:tcBorders>
              <w:tl2br w:val="nil"/>
              <w:tr2bl w:val="nil"/>
            </w:tcBorders>
            <w:shd w:val="clear" w:color="auto" w:fill="auto"/>
            <w:vAlign w:val="center"/>
          </w:tcPr>
          <w:p w14:paraId="38B8A2F2">
            <w:pPr>
              <w:pStyle w:val="83"/>
              <w:spacing w:line="240" w:lineRule="auto"/>
              <w:ind w:left="22" w:right="22"/>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6个月</w:t>
            </w:r>
          </w:p>
        </w:tc>
      </w:tr>
    </w:tbl>
    <w:p w14:paraId="0BFE1695">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w:t>
      </w:r>
      <w:r>
        <w:rPr>
          <w:rFonts w:hint="default" w:ascii="Times New Roman" w:hAnsi="Times New Roman" w:cs="Times New Roman"/>
          <w:color w:val="auto"/>
          <w:sz w:val="24"/>
          <w:szCs w:val="24"/>
        </w:rPr>
        <w:t>危险废物运输过程环境影响分析</w:t>
      </w:r>
    </w:p>
    <w:p w14:paraId="3F432F5D">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危险废物贮存设施均位于本厂区内部，不涉及厂外运输或贮存。危险废物运输过程可能导致危险废物泄漏或抛洒遗漏而导致污染扩散，对运输过程沿途环境造成一定的环境影响。本次评价要求企业强化管理制度、加强输送管理要求，运输过程中加强危险废物密闭性，尽量避免危险废物运输发生污染事件。</w:t>
      </w:r>
    </w:p>
    <w:p w14:paraId="73AFA651">
      <w:pPr>
        <w:pStyle w:val="70"/>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200"/>
        <w:textAlignment w:val="baseline"/>
        <w:rPr>
          <w:rFonts w:hint="default" w:ascii="Times New Roman" w:hAnsi="Times New Roman" w:cs="Times New Roman"/>
          <w:color w:val="auto"/>
          <w:sz w:val="24"/>
          <w:szCs w:val="24"/>
        </w:rPr>
      </w:pPr>
      <w:r>
        <w:rPr>
          <w:rFonts w:hint="eastAsia" w:ascii="Times New Roman" w:hAnsi="Times New Roman" w:eastAsia="宋体" w:cs="Times New Roman"/>
          <w:color w:val="auto"/>
          <w:sz w:val="24"/>
          <w:szCs w:val="24"/>
          <w:lang w:val="en-US" w:eastAsia="zh-CN"/>
        </w:rPr>
        <w:t>⑤</w:t>
      </w:r>
      <w:r>
        <w:rPr>
          <w:rFonts w:hint="default" w:ascii="Times New Roman" w:hAnsi="Times New Roman" w:cs="Times New Roman"/>
          <w:color w:val="auto"/>
          <w:sz w:val="24"/>
          <w:szCs w:val="24"/>
        </w:rPr>
        <w:t>危险废物委托利用、处置环境影响分析</w:t>
      </w:r>
    </w:p>
    <w:p w14:paraId="5CD010E5">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本项目危险废物委托有相应类别的资质单位处置。</w:t>
      </w:r>
    </w:p>
    <w:p w14:paraId="02DD9D05">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综上所述，本项目所产生的固体废物通过以上方法处理处置后，对周围环境及人体不会造成显著影响，亦不会造成二次污染。</w:t>
      </w:r>
    </w:p>
    <w:p w14:paraId="48AF860D">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5.2.7</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环境风险预测与评价</w:t>
      </w:r>
    </w:p>
    <w:p w14:paraId="0F796CEA">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zh-CN" w:eastAsia="zh-CN"/>
        </w:rPr>
      </w:pPr>
      <w:bookmarkStart w:id="53" w:name="_Toc21931"/>
      <w:bookmarkStart w:id="54" w:name="_Toc31955"/>
      <w:r>
        <w:rPr>
          <w:rFonts w:hint="default" w:ascii="Times New Roman" w:hAnsi="Times New Roman" w:eastAsia="宋体" w:cs="Times New Roman"/>
          <w:b/>
          <w:bCs/>
          <w:color w:val="auto"/>
          <w:sz w:val="28"/>
          <w:szCs w:val="28"/>
          <w:lang w:val="zh-CN" w:eastAsia="zh-CN"/>
        </w:rPr>
        <w:t>5.</w:t>
      </w:r>
      <w:r>
        <w:rPr>
          <w:rFonts w:hint="eastAsia" w:ascii="Times New Roman" w:hAnsi="Times New Roman" w:eastAsia="宋体" w:cs="Times New Roman"/>
          <w:b/>
          <w:bCs/>
          <w:color w:val="auto"/>
          <w:sz w:val="28"/>
          <w:szCs w:val="28"/>
          <w:lang w:val="en-US" w:eastAsia="zh-CN"/>
        </w:rPr>
        <w:t>2</w:t>
      </w:r>
      <w:r>
        <w:rPr>
          <w:rFonts w:hint="default" w:ascii="Times New Roman" w:hAnsi="Times New Roman" w:eastAsia="宋体" w:cs="Times New Roman"/>
          <w:b/>
          <w:bCs/>
          <w:color w:val="auto"/>
          <w:sz w:val="28"/>
          <w:szCs w:val="28"/>
          <w:lang w:val="zh-CN" w:eastAsia="zh-CN"/>
        </w:rPr>
        <w:t>.</w:t>
      </w:r>
      <w:r>
        <w:rPr>
          <w:rFonts w:hint="eastAsia" w:ascii="Times New Roman" w:hAnsi="Times New Roman" w:eastAsia="宋体" w:cs="Times New Roman"/>
          <w:b/>
          <w:bCs/>
          <w:color w:val="auto"/>
          <w:sz w:val="28"/>
          <w:szCs w:val="28"/>
          <w:lang w:val="en-US" w:eastAsia="zh-CN"/>
        </w:rPr>
        <w:t>7.</w:t>
      </w:r>
      <w:r>
        <w:rPr>
          <w:rFonts w:hint="default" w:ascii="Times New Roman" w:hAnsi="Times New Roman" w:eastAsia="宋体" w:cs="Times New Roman"/>
          <w:b/>
          <w:bCs/>
          <w:color w:val="auto"/>
          <w:sz w:val="28"/>
          <w:szCs w:val="28"/>
          <w:lang w:val="zh-CN" w:eastAsia="zh-CN"/>
        </w:rPr>
        <w:t>1 分析目的</w:t>
      </w:r>
      <w:bookmarkEnd w:id="53"/>
      <w:bookmarkEnd w:id="54"/>
    </w:p>
    <w:p w14:paraId="61FF81EF">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1"/>
          <w:highlight w:val="none"/>
        </w:rPr>
      </w:pPr>
      <w:r>
        <w:rPr>
          <w:rFonts w:hint="default" w:ascii="Times New Roman" w:hAnsi="Times New Roman" w:eastAsia="宋体" w:cs="Times New Roman"/>
          <w:color w:val="auto"/>
          <w:kern w:val="2"/>
          <w:sz w:val="24"/>
          <w:szCs w:val="21"/>
          <w:highlight w:val="none"/>
        </w:rPr>
        <w:t>环境风险是指突发性事故对环境（或健康）的危害程度。建设项目环境风险评价，主要是对建设项目建设和运行期间发生的可预测突发性事件或事故（一般不包括人为破坏及自然灾害）引起有毒有害、易燃易爆等物质泄漏、或突发事件产生的新的有毒有害物质所造成的对人身安全与环境的影响和损害进行分析、预测和评估，提出环境风险预防、控制、减缓措施，以使建设项目事故率、损失和环境影响达到可接受水平。</w:t>
      </w:r>
    </w:p>
    <w:p w14:paraId="381C7618">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zh-CN" w:eastAsia="zh-CN"/>
        </w:rPr>
      </w:pPr>
      <w:bookmarkStart w:id="55" w:name="_Toc20731"/>
      <w:bookmarkStart w:id="56" w:name="_Toc3046"/>
      <w:r>
        <w:rPr>
          <w:rFonts w:hint="default" w:ascii="Times New Roman" w:hAnsi="Times New Roman" w:eastAsia="宋体" w:cs="Times New Roman"/>
          <w:b/>
          <w:bCs/>
          <w:color w:val="auto"/>
          <w:sz w:val="28"/>
          <w:szCs w:val="28"/>
          <w:lang w:val="zh-CN" w:eastAsia="zh-CN"/>
        </w:rPr>
        <w:t>5.</w:t>
      </w:r>
      <w:r>
        <w:rPr>
          <w:rFonts w:hint="eastAsia" w:ascii="Times New Roman" w:hAnsi="Times New Roman" w:eastAsia="宋体" w:cs="Times New Roman"/>
          <w:b/>
          <w:bCs/>
          <w:color w:val="auto"/>
          <w:sz w:val="28"/>
          <w:szCs w:val="28"/>
          <w:lang w:val="en-US" w:eastAsia="zh-CN"/>
        </w:rPr>
        <w:t>2</w:t>
      </w:r>
      <w:r>
        <w:rPr>
          <w:rFonts w:hint="default" w:ascii="Times New Roman" w:hAnsi="Times New Roman" w:eastAsia="宋体" w:cs="Times New Roman"/>
          <w:b/>
          <w:bCs/>
          <w:color w:val="auto"/>
          <w:sz w:val="28"/>
          <w:szCs w:val="28"/>
          <w:lang w:val="zh-CN" w:eastAsia="zh-CN"/>
        </w:rPr>
        <w:t>.</w:t>
      </w:r>
      <w:r>
        <w:rPr>
          <w:rFonts w:hint="eastAsia" w:ascii="Times New Roman" w:hAnsi="Times New Roman" w:eastAsia="宋体" w:cs="Times New Roman"/>
          <w:b/>
          <w:bCs/>
          <w:color w:val="auto"/>
          <w:sz w:val="28"/>
          <w:szCs w:val="28"/>
          <w:lang w:val="en-US" w:eastAsia="zh-CN"/>
        </w:rPr>
        <w:t>7.</w:t>
      </w:r>
      <w:r>
        <w:rPr>
          <w:rFonts w:hint="default" w:ascii="Times New Roman" w:hAnsi="Times New Roman" w:eastAsia="宋体" w:cs="Times New Roman"/>
          <w:b/>
          <w:bCs/>
          <w:color w:val="auto"/>
          <w:sz w:val="28"/>
          <w:szCs w:val="28"/>
          <w:lang w:val="zh-CN" w:eastAsia="zh-CN"/>
        </w:rPr>
        <w:t>2 环境风险评价程序</w:t>
      </w:r>
      <w:bookmarkEnd w:id="55"/>
      <w:bookmarkEnd w:id="56"/>
    </w:p>
    <w:p w14:paraId="55A42746">
      <w:pPr>
        <w:keepNext w:val="0"/>
        <w:keepLines w:val="0"/>
        <w:pageBreakBefore w:val="0"/>
        <w:widowControl w:val="0"/>
        <w:kinsoku/>
        <w:wordWrap/>
        <w:overflowPunct/>
        <w:topLinePunct w:val="0"/>
        <w:autoSpaceDE/>
        <w:autoSpaceDN/>
        <w:bidi w:val="0"/>
        <w:adjustRightInd w:val="0"/>
        <w:snapToGrid/>
        <w:spacing w:after="0" w:line="360" w:lineRule="auto"/>
        <w:ind w:firstLine="480" w:firstLineChars="200"/>
        <w:contextualSpacing/>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评价工作程序：调整评价工作程序（见图5.</w:t>
      </w:r>
      <w:r>
        <w:rPr>
          <w:rFonts w:hint="eastAsia" w:ascii="Times New Roman" w:hAnsi="Times New Roman" w:eastAsia="宋体" w:cs="Times New Roman"/>
          <w:color w:val="auto"/>
          <w:kern w:val="2"/>
          <w:sz w:val="24"/>
          <w:szCs w:val="24"/>
          <w:highlight w:val="none"/>
          <w:lang w:val="en-US" w:eastAsia="zh-CN"/>
        </w:rPr>
        <w:t>2</w:t>
      </w:r>
      <w:r>
        <w:rPr>
          <w:rFonts w:hint="default" w:ascii="Times New Roman" w:hAnsi="Times New Roman" w:eastAsia="宋体" w:cs="Times New Roman"/>
          <w:color w:val="auto"/>
          <w:kern w:val="2"/>
          <w:sz w:val="24"/>
          <w:szCs w:val="24"/>
          <w:highlight w:val="none"/>
        </w:rPr>
        <w:t>-</w:t>
      </w:r>
      <w:r>
        <w:rPr>
          <w:rFonts w:hint="eastAsia" w:ascii="Times New Roman" w:hAnsi="Times New Roman" w:eastAsia="宋体" w:cs="Times New Roman"/>
          <w:color w:val="auto"/>
          <w:kern w:val="2"/>
          <w:sz w:val="24"/>
          <w:szCs w:val="24"/>
          <w:highlight w:val="none"/>
          <w:lang w:val="en-US" w:eastAsia="zh-CN"/>
        </w:rPr>
        <w:t>5</w:t>
      </w:r>
      <w:r>
        <w:rPr>
          <w:rFonts w:hint="default" w:ascii="Times New Roman" w:hAnsi="Times New Roman" w:eastAsia="宋体" w:cs="Times New Roman"/>
          <w:color w:val="auto"/>
          <w:kern w:val="2"/>
          <w:sz w:val="24"/>
          <w:szCs w:val="24"/>
          <w:highlight w:val="none"/>
        </w:rPr>
        <w:t>）。通过对项目的危险性和项目所在地的环境敏感性识别对建设项目风险潜势进行初判，由此确定风险评价工作的技术内容和深度，细化从风险识别、源项分析、源强设定到事故情形预测分析的工作程序，明确了事故情景设定原则、方法，并补充了相关资料性附录，在此基础上提出风险管理对策措施，给出总体结论和建议。</w:t>
      </w:r>
    </w:p>
    <w:p w14:paraId="174A4C82">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color w:val="FF0000"/>
          <w:kern w:val="2"/>
          <w:sz w:val="24"/>
          <w:szCs w:val="24"/>
          <w:highlight w:val="none"/>
        </w:rPr>
      </w:pPr>
      <w:r>
        <w:rPr>
          <w:rFonts w:hint="default" w:ascii="Times New Roman" w:hAnsi="Times New Roman" w:cs="Times New Roman"/>
          <w:color w:val="FF0000"/>
          <w:highlight w:val="none"/>
        </w:rPr>
        <w:drawing>
          <wp:inline distT="0" distB="0" distL="114300" distR="114300">
            <wp:extent cx="5274310" cy="4881880"/>
            <wp:effectExtent l="0" t="0" r="2540" b="13970"/>
            <wp:docPr id="12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8"/>
                    <pic:cNvPicPr>
                      <a:picLocks noChangeAspect="1"/>
                    </pic:cNvPicPr>
                  </pic:nvPicPr>
                  <pic:blipFill>
                    <a:blip r:embed="rId113"/>
                    <a:stretch>
                      <a:fillRect/>
                    </a:stretch>
                  </pic:blipFill>
                  <pic:spPr>
                    <a:xfrm>
                      <a:off x="0" y="0"/>
                      <a:ext cx="5274310" cy="4881880"/>
                    </a:xfrm>
                    <a:prstGeom prst="rect">
                      <a:avLst/>
                    </a:prstGeom>
                    <a:noFill/>
                    <a:ln>
                      <a:noFill/>
                    </a:ln>
                  </pic:spPr>
                </pic:pic>
              </a:graphicData>
            </a:graphic>
          </wp:inline>
        </w:drawing>
      </w:r>
    </w:p>
    <w:p w14:paraId="55005F65">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color w:val="auto"/>
          <w:kern w:val="2"/>
          <w:sz w:val="24"/>
          <w:szCs w:val="24"/>
          <w:highlight w:val="none"/>
        </w:rPr>
      </w:pPr>
      <w:r>
        <w:rPr>
          <w:rFonts w:hint="default" w:ascii="Times New Roman" w:hAnsi="Times New Roman" w:eastAsia="宋体" w:cs="Times New Roman"/>
          <w:b/>
          <w:color w:val="auto"/>
          <w:kern w:val="2"/>
          <w:sz w:val="24"/>
          <w:szCs w:val="24"/>
          <w:highlight w:val="none"/>
        </w:rPr>
        <w:t>图5.</w:t>
      </w:r>
      <w:r>
        <w:rPr>
          <w:rFonts w:hint="eastAsia" w:ascii="Times New Roman" w:hAnsi="Times New Roman" w:eastAsia="宋体" w:cs="Times New Roman"/>
          <w:b/>
          <w:color w:val="auto"/>
          <w:kern w:val="2"/>
          <w:sz w:val="24"/>
          <w:szCs w:val="24"/>
          <w:highlight w:val="none"/>
          <w:lang w:val="en-US" w:eastAsia="zh-CN"/>
        </w:rPr>
        <w:t>2</w:t>
      </w:r>
      <w:r>
        <w:rPr>
          <w:rFonts w:hint="default" w:ascii="Times New Roman" w:hAnsi="Times New Roman" w:eastAsia="宋体" w:cs="Times New Roman"/>
          <w:b/>
          <w:color w:val="auto"/>
          <w:kern w:val="2"/>
          <w:sz w:val="24"/>
          <w:szCs w:val="24"/>
          <w:highlight w:val="none"/>
        </w:rPr>
        <w:t>-</w:t>
      </w:r>
      <w:r>
        <w:rPr>
          <w:rFonts w:hint="eastAsia" w:ascii="Times New Roman" w:hAnsi="Times New Roman" w:eastAsia="宋体" w:cs="Times New Roman"/>
          <w:b/>
          <w:color w:val="auto"/>
          <w:kern w:val="2"/>
          <w:sz w:val="24"/>
          <w:szCs w:val="24"/>
          <w:highlight w:val="none"/>
          <w:lang w:val="en-US" w:eastAsia="zh-CN"/>
        </w:rPr>
        <w:t>5</w:t>
      </w:r>
      <w:r>
        <w:rPr>
          <w:rFonts w:hint="default" w:ascii="Times New Roman" w:hAnsi="Times New Roman" w:eastAsia="宋体" w:cs="Times New Roman"/>
          <w:b/>
          <w:color w:val="auto"/>
          <w:kern w:val="2"/>
          <w:sz w:val="24"/>
          <w:szCs w:val="24"/>
          <w:highlight w:val="none"/>
        </w:rPr>
        <w:t xml:space="preserve">  风险评价程序图</w:t>
      </w:r>
    </w:p>
    <w:p w14:paraId="17F70798">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zh-CN" w:eastAsia="zh-CN"/>
        </w:rPr>
      </w:pPr>
      <w:bookmarkStart w:id="57" w:name="_Toc30416"/>
      <w:bookmarkStart w:id="58" w:name="_Toc24294"/>
      <w:r>
        <w:rPr>
          <w:rFonts w:hint="default" w:ascii="Times New Roman" w:hAnsi="Times New Roman" w:eastAsia="宋体" w:cs="Times New Roman"/>
          <w:b/>
          <w:bCs/>
          <w:color w:val="auto"/>
          <w:sz w:val="28"/>
          <w:szCs w:val="28"/>
          <w:lang w:val="zh-CN" w:eastAsia="zh-CN"/>
        </w:rPr>
        <w:t>5</w:t>
      </w:r>
      <w:r>
        <w:rPr>
          <w:rFonts w:hint="eastAsia" w:ascii="Times New Roman" w:hAnsi="Times New Roman" w:eastAsia="宋体" w:cs="Times New Roman"/>
          <w:b/>
          <w:bCs/>
          <w:color w:val="auto"/>
          <w:sz w:val="28"/>
          <w:szCs w:val="28"/>
          <w:lang w:val="en-US" w:eastAsia="zh-CN"/>
        </w:rPr>
        <w:t>.2</w:t>
      </w:r>
      <w:r>
        <w:rPr>
          <w:rFonts w:hint="default" w:ascii="Times New Roman" w:hAnsi="Times New Roman" w:eastAsia="宋体" w:cs="Times New Roman"/>
          <w:b/>
          <w:bCs/>
          <w:color w:val="auto"/>
          <w:sz w:val="28"/>
          <w:szCs w:val="28"/>
          <w:lang w:val="zh-CN" w:eastAsia="zh-CN"/>
        </w:rPr>
        <w:t>.</w:t>
      </w:r>
      <w:r>
        <w:rPr>
          <w:rFonts w:hint="eastAsia" w:ascii="Times New Roman" w:hAnsi="Times New Roman" w:eastAsia="宋体" w:cs="Times New Roman"/>
          <w:b/>
          <w:bCs/>
          <w:color w:val="auto"/>
          <w:sz w:val="28"/>
          <w:szCs w:val="28"/>
          <w:lang w:val="en-US" w:eastAsia="zh-CN"/>
        </w:rPr>
        <w:t>7</w:t>
      </w:r>
      <w:r>
        <w:rPr>
          <w:rFonts w:hint="default" w:ascii="Times New Roman" w:hAnsi="Times New Roman" w:eastAsia="宋体" w:cs="Times New Roman"/>
          <w:b/>
          <w:bCs/>
          <w:color w:val="auto"/>
          <w:sz w:val="28"/>
          <w:szCs w:val="28"/>
          <w:lang w:val="zh-CN" w:eastAsia="zh-CN"/>
        </w:rPr>
        <w:t>.3 环境风险评价内容</w:t>
      </w:r>
      <w:bookmarkEnd w:id="57"/>
      <w:bookmarkEnd w:id="58"/>
    </w:p>
    <w:p w14:paraId="18AFFE92">
      <w:pPr>
        <w:keepNext w:val="0"/>
        <w:keepLines w:val="0"/>
        <w:pageBreakBefore w:val="0"/>
        <w:widowControl w:val="0"/>
        <w:kinsoku/>
        <w:wordWrap/>
        <w:overflowPunct/>
        <w:topLinePunct w:val="0"/>
        <w:autoSpaceDE/>
        <w:autoSpaceDN/>
        <w:bidi w:val="0"/>
        <w:adjustRightInd w:val="0"/>
        <w:snapToGrid/>
        <w:spacing w:after="0" w:line="360" w:lineRule="auto"/>
        <w:ind w:firstLine="480" w:firstLineChars="200"/>
        <w:contextualSpacing/>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（1）从环境风险源、扩散途径、保护目标三方面识别环境风险。包括危险物质和生产设施的风险识别、有毒有害物质扩散途径（大气环境、水环境、土壤等）识别以及可能受影响的环境保护目标识别。</w:t>
      </w:r>
    </w:p>
    <w:p w14:paraId="69BE79BC">
      <w:pPr>
        <w:keepNext w:val="0"/>
        <w:keepLines w:val="0"/>
        <w:pageBreakBefore w:val="0"/>
        <w:widowControl w:val="0"/>
        <w:kinsoku/>
        <w:wordWrap/>
        <w:overflowPunct/>
        <w:topLinePunct w:val="0"/>
        <w:autoSpaceDE/>
        <w:autoSpaceDN/>
        <w:bidi w:val="0"/>
        <w:adjustRightInd w:val="0"/>
        <w:snapToGrid/>
        <w:spacing w:after="0" w:line="360" w:lineRule="auto"/>
        <w:ind w:firstLine="480" w:firstLineChars="200"/>
        <w:contextualSpacing/>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（2）按照《建设项目环境风险评价技术导则》（HJ169-2018）的相关要求，预测评价突发性事件或事故可能引发的环境风险，提出环境风险防范和应急措施。</w:t>
      </w:r>
    </w:p>
    <w:p w14:paraId="4A5858D7">
      <w:pPr>
        <w:keepNext w:val="0"/>
        <w:keepLines w:val="0"/>
        <w:pageBreakBefore w:val="0"/>
        <w:widowControl w:val="0"/>
        <w:kinsoku/>
        <w:wordWrap/>
        <w:overflowPunct/>
        <w:topLinePunct w:val="0"/>
        <w:autoSpaceDE/>
        <w:autoSpaceDN/>
        <w:bidi w:val="0"/>
        <w:adjustRightInd w:val="0"/>
        <w:snapToGrid/>
        <w:spacing w:after="0" w:line="360" w:lineRule="auto"/>
        <w:ind w:firstLine="480" w:firstLineChars="200"/>
        <w:contextualSpacing/>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3）针对项目生产运行过程中可能发生的火灾、爆炸、危险物质泄漏等设定最大可信事故，并充分考虑伴生/次生的危险物质，从大气、地表水、地下水、土壤等方面预测评价突发环境事件对环境的影响范围和程度。</w:t>
      </w:r>
    </w:p>
    <w:p w14:paraId="056F6D65">
      <w:pPr>
        <w:keepNext w:val="0"/>
        <w:keepLines w:val="0"/>
        <w:pageBreakBefore w:val="0"/>
        <w:widowControl w:val="0"/>
        <w:kinsoku/>
        <w:wordWrap/>
        <w:overflowPunct/>
        <w:topLinePunct w:val="0"/>
        <w:autoSpaceDE/>
        <w:autoSpaceDN/>
        <w:bidi w:val="0"/>
        <w:adjustRightInd w:val="0"/>
        <w:snapToGrid/>
        <w:spacing w:after="0" w:line="360" w:lineRule="auto"/>
        <w:ind w:firstLine="480" w:firstLineChars="200"/>
        <w:contextualSpacing/>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4）结合环办（2010）13号《关于开展全国重点行业企业环境风险及化学品检查工作的通知》和《突发环境事件应急管理办法》（环境保护部令第34号）的有关要求，提出环境风险防范措施和应急措施，并对措施的合理性和有效性进行论证。</w:t>
      </w:r>
    </w:p>
    <w:p w14:paraId="51F0D1CE">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zh-CN" w:eastAsia="zh-CN"/>
        </w:rPr>
      </w:pPr>
      <w:bookmarkStart w:id="59" w:name="_Toc25976"/>
      <w:bookmarkStart w:id="60" w:name="_Toc25772"/>
      <w:r>
        <w:rPr>
          <w:rFonts w:hint="default" w:ascii="Times New Roman" w:hAnsi="Times New Roman" w:eastAsia="宋体" w:cs="Times New Roman"/>
          <w:b/>
          <w:bCs/>
          <w:color w:val="auto"/>
          <w:sz w:val="28"/>
          <w:szCs w:val="28"/>
          <w:lang w:val="zh-CN" w:eastAsia="zh-CN"/>
        </w:rPr>
        <w:t>5.</w:t>
      </w:r>
      <w:r>
        <w:rPr>
          <w:rFonts w:hint="eastAsia" w:ascii="Times New Roman" w:hAnsi="Times New Roman" w:eastAsia="宋体" w:cs="Times New Roman"/>
          <w:b/>
          <w:bCs/>
          <w:color w:val="auto"/>
          <w:sz w:val="28"/>
          <w:szCs w:val="28"/>
          <w:lang w:val="en-US" w:eastAsia="zh-CN"/>
        </w:rPr>
        <w:t>2.7</w:t>
      </w:r>
      <w:r>
        <w:rPr>
          <w:rFonts w:hint="default" w:ascii="Times New Roman" w:hAnsi="Times New Roman" w:eastAsia="宋体" w:cs="Times New Roman"/>
          <w:b/>
          <w:bCs/>
          <w:color w:val="auto"/>
          <w:sz w:val="28"/>
          <w:szCs w:val="28"/>
          <w:lang w:val="zh-CN" w:eastAsia="zh-CN"/>
        </w:rPr>
        <w:t>.4 事故分析及防治措施</w:t>
      </w:r>
      <w:bookmarkEnd w:id="59"/>
      <w:bookmarkEnd w:id="60"/>
    </w:p>
    <w:p w14:paraId="3194BCA3">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1"/>
          <w:highlight w:val="none"/>
        </w:rPr>
      </w:pPr>
      <w:r>
        <w:rPr>
          <w:rFonts w:hint="default" w:ascii="Times New Roman" w:hAnsi="Times New Roman" w:eastAsia="宋体" w:cs="Times New Roman"/>
          <w:color w:val="auto"/>
          <w:kern w:val="2"/>
          <w:sz w:val="24"/>
          <w:szCs w:val="21"/>
          <w:highlight w:val="none"/>
        </w:rPr>
        <w:t>（1）运输影响分析</w:t>
      </w:r>
    </w:p>
    <w:p w14:paraId="42907F40">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1"/>
          <w:highlight w:val="none"/>
        </w:rPr>
      </w:pPr>
      <w:r>
        <w:rPr>
          <w:rFonts w:hint="default" w:ascii="Times New Roman" w:hAnsi="Times New Roman" w:eastAsia="宋体" w:cs="Times New Roman"/>
          <w:color w:val="auto"/>
          <w:kern w:val="2"/>
          <w:sz w:val="24"/>
          <w:szCs w:val="21"/>
          <w:highlight w:val="none"/>
        </w:rPr>
        <w:t>油漆等辅料在运输过程存在泄漏、火灾和进入沿线水体的风险。如不采取措施或者措施不到位，泄</w:t>
      </w:r>
      <w:r>
        <w:rPr>
          <w:rFonts w:hint="default" w:ascii="Times New Roman" w:hAnsi="Times New Roman" w:eastAsia="宋体" w:cs="Times New Roman"/>
          <w:color w:val="auto"/>
          <w:kern w:val="2"/>
          <w:sz w:val="24"/>
          <w:szCs w:val="21"/>
          <w:highlight w:val="none"/>
          <w:lang w:eastAsia="zh-CN"/>
        </w:rPr>
        <w:t>漏</w:t>
      </w:r>
      <w:r>
        <w:rPr>
          <w:rFonts w:hint="default" w:ascii="Times New Roman" w:hAnsi="Times New Roman" w:eastAsia="宋体" w:cs="Times New Roman"/>
          <w:color w:val="auto"/>
          <w:kern w:val="2"/>
          <w:sz w:val="24"/>
          <w:szCs w:val="21"/>
          <w:highlight w:val="none"/>
        </w:rPr>
        <w:t>的危险物质会对周边的地表水体造成污染。</w:t>
      </w:r>
    </w:p>
    <w:p w14:paraId="00234817">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1"/>
          <w:highlight w:val="none"/>
        </w:rPr>
      </w:pPr>
      <w:r>
        <w:rPr>
          <w:rFonts w:hint="default" w:ascii="Times New Roman" w:hAnsi="Times New Roman" w:eastAsia="宋体" w:cs="Times New Roman"/>
          <w:color w:val="auto"/>
          <w:kern w:val="2"/>
          <w:sz w:val="24"/>
          <w:szCs w:val="21"/>
          <w:highlight w:val="none"/>
        </w:rPr>
        <w:t>根据建设单位提供资料，本项目使用的油漆等辅料均为供应商直接供货，因此本环评不考虑运输过程风险。</w:t>
      </w:r>
    </w:p>
    <w:p w14:paraId="27B7F644">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1"/>
          <w:highlight w:val="none"/>
        </w:rPr>
      </w:pPr>
      <w:r>
        <w:rPr>
          <w:rFonts w:hint="default" w:ascii="Times New Roman" w:hAnsi="Times New Roman" w:eastAsia="宋体" w:cs="Times New Roman"/>
          <w:color w:val="auto"/>
          <w:kern w:val="2"/>
          <w:sz w:val="24"/>
          <w:szCs w:val="21"/>
          <w:highlight w:val="none"/>
        </w:rPr>
        <w:t>（2）漆料</w:t>
      </w:r>
      <w:r>
        <w:rPr>
          <w:rFonts w:hint="eastAsia" w:ascii="Times New Roman" w:hAnsi="Times New Roman" w:eastAsia="宋体" w:cs="Times New Roman"/>
          <w:color w:val="auto"/>
          <w:kern w:val="2"/>
          <w:sz w:val="24"/>
          <w:szCs w:val="21"/>
          <w:highlight w:val="none"/>
          <w:lang w:eastAsia="zh-CN"/>
        </w:rPr>
        <w:t>、</w:t>
      </w:r>
      <w:r>
        <w:rPr>
          <w:rFonts w:hint="eastAsia" w:ascii="Times New Roman" w:hAnsi="Times New Roman" w:eastAsia="宋体" w:cs="Times New Roman"/>
          <w:color w:val="auto"/>
          <w:kern w:val="2"/>
          <w:sz w:val="24"/>
          <w:szCs w:val="21"/>
          <w:highlight w:val="none"/>
          <w:lang w:val="en-US" w:eastAsia="zh-CN"/>
        </w:rPr>
        <w:t>危险废物</w:t>
      </w:r>
      <w:r>
        <w:rPr>
          <w:rFonts w:hint="default" w:ascii="Times New Roman" w:hAnsi="Times New Roman" w:eastAsia="宋体" w:cs="Times New Roman"/>
          <w:color w:val="auto"/>
          <w:kern w:val="2"/>
          <w:sz w:val="24"/>
          <w:szCs w:val="21"/>
          <w:highlight w:val="none"/>
        </w:rPr>
        <w:t>泄</w:t>
      </w:r>
      <w:r>
        <w:rPr>
          <w:rFonts w:hint="default" w:ascii="Times New Roman" w:hAnsi="Times New Roman" w:eastAsia="宋体" w:cs="Times New Roman"/>
          <w:color w:val="auto"/>
          <w:kern w:val="2"/>
          <w:sz w:val="24"/>
          <w:szCs w:val="21"/>
          <w:highlight w:val="none"/>
          <w:lang w:eastAsia="zh-CN"/>
        </w:rPr>
        <w:t>漏</w:t>
      </w:r>
      <w:r>
        <w:rPr>
          <w:rFonts w:hint="default" w:ascii="Times New Roman" w:hAnsi="Times New Roman" w:eastAsia="宋体" w:cs="Times New Roman"/>
          <w:color w:val="auto"/>
          <w:kern w:val="2"/>
          <w:sz w:val="24"/>
          <w:szCs w:val="21"/>
          <w:highlight w:val="none"/>
        </w:rPr>
        <w:t>影响分析</w:t>
      </w:r>
    </w:p>
    <w:p w14:paraId="605FE68F">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1"/>
          <w:highlight w:val="none"/>
        </w:rPr>
      </w:pPr>
      <w:r>
        <w:rPr>
          <w:rFonts w:hint="default" w:ascii="Times New Roman" w:hAnsi="Times New Roman" w:eastAsia="宋体" w:cs="Times New Roman"/>
          <w:color w:val="auto"/>
          <w:kern w:val="2"/>
          <w:sz w:val="24"/>
          <w:szCs w:val="21"/>
          <w:highlight w:val="none"/>
        </w:rPr>
        <w:t>有毒有害原料在泄漏时，如果能及时对泄漏的物料进行收集，则可避免对环境造成污染，如果收集不及时，泄漏物料因蒸发进入大气，部分随地表径流进入地表水体，甚至会渗透进入土壤和地下水环境造成污染。本项目的</w:t>
      </w:r>
      <w:r>
        <w:rPr>
          <w:rFonts w:hint="eastAsia" w:ascii="Times New Roman" w:hAnsi="Times New Roman" w:eastAsia="宋体" w:cs="Times New Roman"/>
          <w:color w:val="auto"/>
          <w:kern w:val="2"/>
          <w:sz w:val="24"/>
          <w:szCs w:val="21"/>
          <w:highlight w:val="none"/>
          <w:lang w:val="en-US" w:eastAsia="zh-CN"/>
        </w:rPr>
        <w:t>危险废物</w:t>
      </w:r>
      <w:r>
        <w:rPr>
          <w:rFonts w:hint="default" w:ascii="Times New Roman" w:hAnsi="Times New Roman" w:eastAsia="宋体" w:cs="Times New Roman"/>
          <w:color w:val="auto"/>
          <w:kern w:val="2"/>
          <w:sz w:val="24"/>
          <w:szCs w:val="21"/>
          <w:highlight w:val="none"/>
        </w:rPr>
        <w:t>放置于</w:t>
      </w:r>
      <w:r>
        <w:rPr>
          <w:rFonts w:hint="eastAsia" w:ascii="Times New Roman" w:hAnsi="Times New Roman" w:eastAsia="宋体" w:cs="Times New Roman"/>
          <w:color w:val="auto"/>
          <w:kern w:val="2"/>
          <w:sz w:val="24"/>
          <w:szCs w:val="21"/>
          <w:highlight w:val="none"/>
          <w:lang w:eastAsia="zh-CN"/>
        </w:rPr>
        <w:t>危险废物贮存库</w:t>
      </w:r>
      <w:r>
        <w:rPr>
          <w:rFonts w:hint="default" w:ascii="Times New Roman" w:hAnsi="Times New Roman" w:eastAsia="宋体" w:cs="Times New Roman"/>
          <w:color w:val="auto"/>
          <w:kern w:val="2"/>
          <w:sz w:val="24"/>
          <w:szCs w:val="21"/>
          <w:highlight w:val="none"/>
        </w:rPr>
        <w:t>内，油漆放置于油漆库内，</w:t>
      </w:r>
      <w:r>
        <w:rPr>
          <w:rFonts w:hint="eastAsia" w:ascii="Times New Roman" w:hAnsi="Times New Roman" w:eastAsia="宋体" w:cs="Times New Roman"/>
          <w:color w:val="auto"/>
          <w:kern w:val="2"/>
          <w:sz w:val="24"/>
          <w:szCs w:val="21"/>
          <w:highlight w:val="none"/>
          <w:lang w:eastAsia="zh-CN"/>
        </w:rPr>
        <w:t>危险废物贮存库</w:t>
      </w:r>
      <w:r>
        <w:rPr>
          <w:rFonts w:hint="default" w:ascii="Times New Roman" w:hAnsi="Times New Roman" w:eastAsia="宋体" w:cs="Times New Roman"/>
          <w:color w:val="auto"/>
          <w:kern w:val="2"/>
          <w:sz w:val="24"/>
          <w:szCs w:val="21"/>
          <w:highlight w:val="none"/>
        </w:rPr>
        <w:t>及油漆库地面已进行防渗处理，可防止泄漏的液体径流至厂房外以及渗入土壤和地下水。因此泄漏事故主要扩散途径为液体泄漏至房内地面，因蒸发进入大气，对大气环境造成污染。</w:t>
      </w:r>
    </w:p>
    <w:p w14:paraId="34F82905">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1"/>
          <w:highlight w:val="none"/>
        </w:rPr>
      </w:pPr>
      <w:r>
        <w:rPr>
          <w:rFonts w:hint="default" w:ascii="Times New Roman" w:hAnsi="Times New Roman" w:eastAsia="宋体" w:cs="Times New Roman"/>
          <w:color w:val="auto"/>
          <w:kern w:val="2"/>
          <w:sz w:val="24"/>
          <w:szCs w:val="21"/>
          <w:highlight w:val="none"/>
        </w:rPr>
        <w:t>（</w:t>
      </w:r>
      <w:r>
        <w:rPr>
          <w:rFonts w:hint="eastAsia" w:ascii="Times New Roman" w:hAnsi="Times New Roman" w:eastAsia="宋体" w:cs="Times New Roman"/>
          <w:color w:val="auto"/>
          <w:kern w:val="2"/>
          <w:sz w:val="24"/>
          <w:szCs w:val="21"/>
          <w:highlight w:val="none"/>
          <w:lang w:val="en-US" w:eastAsia="zh-CN"/>
        </w:rPr>
        <w:t>3</w:t>
      </w:r>
      <w:r>
        <w:rPr>
          <w:rFonts w:hint="default" w:ascii="Times New Roman" w:hAnsi="Times New Roman" w:eastAsia="宋体" w:cs="Times New Roman"/>
          <w:color w:val="auto"/>
          <w:kern w:val="2"/>
          <w:sz w:val="24"/>
          <w:szCs w:val="21"/>
          <w:highlight w:val="none"/>
        </w:rPr>
        <w:t>）火灾事故影响分析</w:t>
      </w:r>
    </w:p>
    <w:p w14:paraId="6D4109DE">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1"/>
          <w:highlight w:val="none"/>
        </w:rPr>
      </w:pPr>
      <w:r>
        <w:rPr>
          <w:rFonts w:hint="default" w:ascii="Times New Roman" w:hAnsi="Times New Roman" w:eastAsia="宋体" w:cs="Times New Roman"/>
          <w:color w:val="auto"/>
          <w:kern w:val="2"/>
          <w:sz w:val="24"/>
          <w:szCs w:val="21"/>
          <w:highlight w:val="none"/>
        </w:rPr>
        <w:t>火灾事故环境风险预测属于安全评价范围，并且火灾主要发生在厂区之内。发生火灾爆炸时产生的环境危害主要是震荡作用、冲击波、碎片冲击和造成火灾等影响，不仅会造成财产损失、停产等，而且有可能造成人员伤亡。爆炸起火后将通过热辐射方式影响周围环境，在近距离范围内将对建筑物和人员造成严重伤害。</w:t>
      </w:r>
    </w:p>
    <w:p w14:paraId="79EB8F1E">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1"/>
          <w:highlight w:val="none"/>
        </w:rPr>
      </w:pPr>
      <w:r>
        <w:rPr>
          <w:rFonts w:hint="default" w:ascii="Times New Roman" w:hAnsi="Times New Roman" w:eastAsia="宋体" w:cs="Times New Roman"/>
          <w:color w:val="auto"/>
          <w:kern w:val="2"/>
          <w:sz w:val="24"/>
          <w:szCs w:val="21"/>
          <w:highlight w:val="none"/>
        </w:rPr>
        <w:t>本项目的生产车间内（包含油漆</w:t>
      </w:r>
      <w:r>
        <w:rPr>
          <w:rFonts w:hint="eastAsia" w:ascii="Times New Roman" w:hAnsi="Times New Roman" w:eastAsia="宋体" w:cs="Times New Roman"/>
          <w:color w:val="auto"/>
          <w:kern w:val="2"/>
          <w:sz w:val="24"/>
          <w:szCs w:val="21"/>
          <w:highlight w:val="none"/>
          <w:lang w:eastAsia="zh-CN"/>
        </w:rPr>
        <w:t>、</w:t>
      </w:r>
      <w:r>
        <w:rPr>
          <w:rFonts w:hint="eastAsia" w:ascii="Times New Roman" w:hAnsi="Times New Roman" w:eastAsia="宋体" w:cs="Times New Roman"/>
          <w:color w:val="auto"/>
          <w:kern w:val="2"/>
          <w:sz w:val="24"/>
          <w:szCs w:val="21"/>
          <w:highlight w:val="none"/>
          <w:lang w:val="en-US" w:eastAsia="zh-CN"/>
        </w:rPr>
        <w:t>天然气</w:t>
      </w:r>
      <w:r>
        <w:rPr>
          <w:rFonts w:hint="default" w:ascii="Times New Roman" w:hAnsi="Times New Roman" w:eastAsia="宋体" w:cs="Times New Roman"/>
          <w:color w:val="auto"/>
          <w:kern w:val="2"/>
          <w:sz w:val="24"/>
          <w:szCs w:val="21"/>
          <w:highlight w:val="none"/>
        </w:rPr>
        <w:t>）发生火灾、爆炸事故时，进入大气的燃烧产物包括不完全燃烧形成的CO烟雾或二氧化硫或其他中间产物化学物质，这些物质往往具有毒性特征，会形成与毒物泄漏相同后果的次生环境污染事故。</w:t>
      </w:r>
    </w:p>
    <w:p w14:paraId="00CE1053">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1"/>
          <w:highlight w:val="none"/>
        </w:rPr>
      </w:pPr>
      <w:r>
        <w:rPr>
          <w:rFonts w:hint="default" w:ascii="Times New Roman" w:hAnsi="Times New Roman" w:eastAsia="宋体" w:cs="Times New Roman"/>
          <w:color w:val="auto"/>
          <w:kern w:val="2"/>
          <w:sz w:val="24"/>
          <w:szCs w:val="21"/>
          <w:highlight w:val="none"/>
        </w:rPr>
        <w:t>以上事故影响在落实各项原料储存的安全措施后，可使火灾。爆炸危险性下降。</w:t>
      </w:r>
    </w:p>
    <w:p w14:paraId="24C9D422">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1"/>
          <w:highlight w:val="none"/>
        </w:rPr>
      </w:pPr>
      <w:r>
        <w:rPr>
          <w:rFonts w:hint="default" w:ascii="Times New Roman" w:hAnsi="Times New Roman" w:eastAsia="宋体" w:cs="Times New Roman"/>
          <w:color w:val="auto"/>
          <w:kern w:val="2"/>
          <w:sz w:val="24"/>
          <w:szCs w:val="21"/>
          <w:highlight w:val="none"/>
        </w:rPr>
        <w:t>但值得注意的是，一旦某设备或装置发生火灾、爆炸，很可能会造成“多米诺效应”。因此，要强化管理、措施到位，要防微杜渐。</w:t>
      </w:r>
    </w:p>
    <w:p w14:paraId="3CEE19E2">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1"/>
          <w:highlight w:val="none"/>
        </w:rPr>
      </w:pPr>
      <w:r>
        <w:rPr>
          <w:rFonts w:hint="default" w:ascii="Times New Roman" w:hAnsi="Times New Roman" w:eastAsia="宋体" w:cs="Times New Roman"/>
          <w:color w:val="auto"/>
          <w:kern w:val="2"/>
          <w:sz w:val="24"/>
          <w:szCs w:val="21"/>
          <w:highlight w:val="none"/>
        </w:rPr>
        <w:t>（</w:t>
      </w:r>
      <w:r>
        <w:rPr>
          <w:rFonts w:hint="eastAsia" w:ascii="Times New Roman" w:hAnsi="Times New Roman" w:eastAsia="宋体" w:cs="Times New Roman"/>
          <w:color w:val="auto"/>
          <w:kern w:val="2"/>
          <w:sz w:val="24"/>
          <w:szCs w:val="21"/>
          <w:highlight w:val="none"/>
          <w:lang w:val="en-US" w:eastAsia="zh-CN"/>
        </w:rPr>
        <w:t>4</w:t>
      </w:r>
      <w:r>
        <w:rPr>
          <w:rFonts w:hint="default" w:ascii="Times New Roman" w:hAnsi="Times New Roman" w:eastAsia="宋体" w:cs="Times New Roman"/>
          <w:color w:val="auto"/>
          <w:kern w:val="2"/>
          <w:sz w:val="24"/>
          <w:szCs w:val="21"/>
          <w:highlight w:val="none"/>
        </w:rPr>
        <w:t>）废气事故排放</w:t>
      </w:r>
    </w:p>
    <w:p w14:paraId="6B635D69">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1"/>
          <w:highlight w:val="none"/>
        </w:rPr>
      </w:pPr>
      <w:r>
        <w:rPr>
          <w:rFonts w:hint="default" w:ascii="Times New Roman" w:hAnsi="Times New Roman" w:eastAsia="宋体" w:cs="Times New Roman"/>
          <w:color w:val="auto"/>
          <w:kern w:val="2"/>
          <w:sz w:val="24"/>
          <w:szCs w:val="21"/>
          <w:highlight w:val="none"/>
        </w:rPr>
        <w:t>废气的事故排放（非正常排放）条件下对周围环境空气质量影响会增加。为保护环境及周围敏感点，建设单位必须保证废气处理设施的正常运转，保证污染物的有效去除，一旦出现故障，应立即停产检修，禁止事故状态下排放废气。</w:t>
      </w:r>
    </w:p>
    <w:p w14:paraId="1A613062">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zh-CN" w:eastAsia="zh-CN"/>
        </w:rPr>
      </w:pPr>
      <w:bookmarkStart w:id="61" w:name="_Toc17082"/>
      <w:bookmarkStart w:id="62" w:name="_Toc6333"/>
      <w:r>
        <w:rPr>
          <w:rFonts w:hint="default" w:ascii="Times New Roman" w:hAnsi="Times New Roman" w:eastAsia="宋体" w:cs="Times New Roman"/>
          <w:b/>
          <w:bCs/>
          <w:color w:val="auto"/>
          <w:sz w:val="28"/>
          <w:szCs w:val="28"/>
          <w:lang w:val="zh-CN" w:eastAsia="zh-CN"/>
        </w:rPr>
        <w:t>5.</w:t>
      </w:r>
      <w:r>
        <w:rPr>
          <w:rFonts w:hint="eastAsia" w:ascii="Times New Roman" w:hAnsi="Times New Roman" w:eastAsia="宋体" w:cs="Times New Roman"/>
          <w:b/>
          <w:bCs/>
          <w:color w:val="auto"/>
          <w:sz w:val="28"/>
          <w:szCs w:val="28"/>
          <w:lang w:val="en-US" w:eastAsia="zh-CN"/>
        </w:rPr>
        <w:t>2.7</w:t>
      </w:r>
      <w:r>
        <w:rPr>
          <w:rFonts w:hint="default" w:ascii="Times New Roman" w:hAnsi="Times New Roman" w:eastAsia="宋体" w:cs="Times New Roman"/>
          <w:b/>
          <w:bCs/>
          <w:color w:val="auto"/>
          <w:sz w:val="28"/>
          <w:szCs w:val="28"/>
          <w:lang w:val="zh-CN" w:eastAsia="zh-CN"/>
        </w:rPr>
        <w:t>.5 可能影响环境的途径</w:t>
      </w:r>
      <w:bookmarkEnd w:id="61"/>
      <w:bookmarkEnd w:id="62"/>
    </w:p>
    <w:p w14:paraId="1F113DA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lang w:val="en-US" w:eastAsia="zh-CN"/>
        </w:rPr>
      </w:pPr>
      <w:r>
        <w:rPr>
          <w:rFonts w:hint="default" w:ascii="Times New Roman" w:hAnsi="Times New Roman" w:cs="Times New Roman"/>
          <w:b w:val="0"/>
          <w:bCs w:val="0"/>
          <w:color w:val="auto"/>
          <w:sz w:val="24"/>
          <w:szCs w:val="24"/>
          <w:lang w:val="en-US" w:eastAsia="zh-CN"/>
        </w:rPr>
        <w:t>1、大气环境风险分析</w:t>
      </w:r>
    </w:p>
    <w:p w14:paraId="190FA6BF">
      <w:pPr>
        <w:keepNext w:val="0"/>
        <w:keepLines w:val="0"/>
        <w:pageBreakBefore w:val="0"/>
        <w:widowControl w:val="0"/>
        <w:kinsoku/>
        <w:wordWrap/>
        <w:overflowPunct/>
        <w:topLinePunct w:val="0"/>
        <w:autoSpaceDE/>
        <w:autoSpaceDN/>
        <w:bidi w:val="0"/>
        <w:adjustRightInd w:val="0"/>
        <w:snapToGrid/>
        <w:spacing w:after="0" w:line="360" w:lineRule="auto"/>
        <w:ind w:firstLine="480" w:firstLineChars="200"/>
        <w:contextualSpacing/>
        <w:jc w:val="both"/>
        <w:textAlignment w:val="auto"/>
        <w:rPr>
          <w:rFonts w:hint="default" w:ascii="Times New Roman" w:hAnsi="Times New Roman" w:eastAsia="宋体" w:cs="Times New Roman"/>
          <w:b w:val="0"/>
          <w:bCs w:val="0"/>
          <w:color w:val="auto"/>
          <w:kern w:val="2"/>
          <w:sz w:val="24"/>
          <w:szCs w:val="24"/>
          <w:highlight w:val="none"/>
        </w:rPr>
      </w:pPr>
      <w:r>
        <w:rPr>
          <w:rFonts w:hint="default" w:ascii="Times New Roman" w:hAnsi="Times New Roman" w:eastAsia="宋体" w:cs="Times New Roman"/>
          <w:b w:val="0"/>
          <w:bCs w:val="0"/>
          <w:color w:val="auto"/>
          <w:kern w:val="2"/>
          <w:sz w:val="24"/>
          <w:szCs w:val="24"/>
          <w:highlight w:val="none"/>
        </w:rPr>
        <w:t>本项目环境风险事故主要是原辅材料泄漏、废气事故排放、火灾和爆炸等风险，可能导致对大气环境、水环境、土壤环境等污染。发生火灾事故时主要对厂区内工作人员及生产设施产生影响，影响范围可控制在厂内，不会对厂区周围的居民生命安全构成威胁，对周边居民区大气环境质量影响较小。</w:t>
      </w:r>
    </w:p>
    <w:p w14:paraId="0816C9A5">
      <w:pPr>
        <w:pStyle w:val="13"/>
        <w:keepNext w:val="0"/>
        <w:keepLines w:val="0"/>
        <w:pageBreakBefore w:val="0"/>
        <w:wordWrap/>
        <w:overflowPunct/>
        <w:topLinePunct w:val="0"/>
        <w:bidi w:val="0"/>
        <w:adjustRightInd w:val="0"/>
        <w:spacing w:line="360" w:lineRule="auto"/>
        <w:ind w:firstLine="480" w:firstLineChars="200"/>
        <w:rPr>
          <w:rFonts w:hint="default" w:ascii="Times New Roman" w:hAnsi="Times New Roman" w:eastAsia="宋体" w:cs="Times New Roman"/>
          <w:b w:val="0"/>
          <w:bCs w:val="0"/>
          <w:snapToGrid w:val="0"/>
          <w:color w:val="auto"/>
          <w:kern w:val="2"/>
          <w:sz w:val="24"/>
          <w:szCs w:val="24"/>
          <w:highlight w:val="none"/>
          <w:lang w:val="en-US" w:eastAsia="en-US" w:bidi="ar-SA"/>
        </w:rPr>
      </w:pPr>
      <w:r>
        <w:rPr>
          <w:rFonts w:hint="eastAsia" w:ascii="Times New Roman" w:hAnsi="Times New Roman" w:eastAsia="宋体" w:cs="Times New Roman"/>
          <w:b w:val="0"/>
          <w:bCs w:val="0"/>
          <w:snapToGrid w:val="0"/>
          <w:color w:val="auto"/>
          <w:kern w:val="2"/>
          <w:sz w:val="24"/>
          <w:szCs w:val="24"/>
          <w:highlight w:val="none"/>
          <w:lang w:val="en-US" w:eastAsia="zh-CN" w:bidi="ar-SA"/>
        </w:rPr>
        <w:t>2、</w:t>
      </w:r>
      <w:r>
        <w:rPr>
          <w:rFonts w:hint="default" w:ascii="Times New Roman" w:hAnsi="Times New Roman" w:eastAsia="宋体" w:cs="Times New Roman"/>
          <w:b w:val="0"/>
          <w:bCs w:val="0"/>
          <w:snapToGrid w:val="0"/>
          <w:color w:val="auto"/>
          <w:kern w:val="2"/>
          <w:sz w:val="24"/>
          <w:szCs w:val="24"/>
          <w:highlight w:val="none"/>
          <w:lang w:val="en-US" w:eastAsia="en-US" w:bidi="ar-SA"/>
        </w:rPr>
        <w:t>地表水环境风险分析</w:t>
      </w:r>
    </w:p>
    <w:p w14:paraId="128702E6">
      <w:pPr>
        <w:pStyle w:val="13"/>
        <w:keepNext w:val="0"/>
        <w:keepLines w:val="0"/>
        <w:pageBreakBefore w:val="0"/>
        <w:wordWrap/>
        <w:overflowPunct/>
        <w:topLinePunct w:val="0"/>
        <w:bidi w:val="0"/>
        <w:adjustRightInd w:val="0"/>
        <w:spacing w:line="360" w:lineRule="auto"/>
        <w:ind w:firstLine="480" w:firstLineChars="200"/>
        <w:rPr>
          <w:rFonts w:hint="default" w:ascii="Times New Roman" w:hAnsi="Times New Roman" w:eastAsia="宋体" w:cs="Times New Roman"/>
          <w:b w:val="0"/>
          <w:bCs w:val="0"/>
          <w:snapToGrid w:val="0"/>
          <w:color w:val="auto"/>
          <w:kern w:val="2"/>
          <w:sz w:val="24"/>
          <w:szCs w:val="24"/>
          <w:highlight w:val="none"/>
          <w:lang w:val="en-US" w:eastAsia="en-US" w:bidi="ar-SA"/>
        </w:rPr>
      </w:pPr>
      <w:r>
        <w:rPr>
          <w:rFonts w:hint="default" w:ascii="Times New Roman" w:hAnsi="Times New Roman" w:eastAsia="宋体" w:cs="Times New Roman"/>
          <w:b w:val="0"/>
          <w:bCs w:val="0"/>
          <w:snapToGrid w:val="0"/>
          <w:color w:val="auto"/>
          <w:kern w:val="2"/>
          <w:sz w:val="24"/>
          <w:szCs w:val="24"/>
          <w:highlight w:val="none"/>
          <w:lang w:val="en-US" w:eastAsia="en-US" w:bidi="ar-SA"/>
        </w:rPr>
        <w:t>本项目危险废物和油漆均为桶装，且危险废物均放置于危险废物</w:t>
      </w:r>
      <w:r>
        <w:rPr>
          <w:rFonts w:hint="eastAsia" w:ascii="Times New Roman" w:hAnsi="Times New Roman" w:eastAsia="宋体" w:cs="Times New Roman"/>
          <w:b w:val="0"/>
          <w:bCs w:val="0"/>
          <w:snapToGrid w:val="0"/>
          <w:color w:val="auto"/>
          <w:kern w:val="2"/>
          <w:sz w:val="24"/>
          <w:szCs w:val="24"/>
          <w:highlight w:val="none"/>
          <w:lang w:val="en-US" w:eastAsia="zh-CN" w:bidi="ar-SA"/>
        </w:rPr>
        <w:t>贮存库</w:t>
      </w:r>
      <w:r>
        <w:rPr>
          <w:rFonts w:hint="default" w:ascii="Times New Roman" w:hAnsi="Times New Roman" w:eastAsia="宋体" w:cs="Times New Roman"/>
          <w:b w:val="0"/>
          <w:bCs w:val="0"/>
          <w:snapToGrid w:val="0"/>
          <w:color w:val="auto"/>
          <w:kern w:val="2"/>
          <w:sz w:val="24"/>
          <w:szCs w:val="24"/>
          <w:highlight w:val="none"/>
          <w:lang w:val="en-US" w:eastAsia="en-US" w:bidi="ar-SA"/>
        </w:rPr>
        <w:t>内，油漆放置于油漆库内，</w:t>
      </w:r>
      <w:r>
        <w:rPr>
          <w:rFonts w:hint="eastAsia" w:ascii="Times New Roman" w:hAnsi="Times New Roman" w:eastAsia="宋体" w:cs="Times New Roman"/>
          <w:b w:val="0"/>
          <w:bCs w:val="0"/>
          <w:snapToGrid w:val="0"/>
          <w:color w:val="auto"/>
          <w:kern w:val="2"/>
          <w:sz w:val="24"/>
          <w:szCs w:val="24"/>
          <w:highlight w:val="none"/>
          <w:lang w:val="en-US" w:eastAsia="zh-CN" w:bidi="ar-SA"/>
        </w:rPr>
        <w:t>危险废物贮存库</w:t>
      </w:r>
      <w:r>
        <w:rPr>
          <w:rFonts w:hint="default" w:ascii="Times New Roman" w:hAnsi="Times New Roman" w:eastAsia="宋体" w:cs="Times New Roman"/>
          <w:b w:val="0"/>
          <w:bCs w:val="0"/>
          <w:snapToGrid w:val="0"/>
          <w:color w:val="auto"/>
          <w:kern w:val="2"/>
          <w:sz w:val="24"/>
          <w:szCs w:val="24"/>
          <w:highlight w:val="none"/>
          <w:lang w:val="en-US" w:eastAsia="en-US" w:bidi="ar-SA"/>
        </w:rPr>
        <w:t>和油漆库其地面进行防渗处理，若出现少量泄漏，基本不会流至外围地表水体。一旦可能发生危险物质泄漏至厂外，需要第一时间采取厂区封堵措施，避免危险物质外泄厂外，避免对厂区外地表水体产生影响。</w:t>
      </w:r>
    </w:p>
    <w:p w14:paraId="348C841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lang w:val="en-US" w:eastAsia="zh-CN"/>
        </w:rPr>
        <w:t>地下水环境风险分析</w:t>
      </w:r>
    </w:p>
    <w:p w14:paraId="1A192180">
      <w:pPr>
        <w:keepNext w:val="0"/>
        <w:keepLines w:val="0"/>
        <w:pageBreakBefore w:val="0"/>
        <w:widowControl w:val="0"/>
        <w:kinsoku/>
        <w:wordWrap/>
        <w:overflowPunct/>
        <w:topLinePunct w:val="0"/>
        <w:autoSpaceDE/>
        <w:autoSpaceDN/>
        <w:bidi w:val="0"/>
        <w:adjustRightInd w:val="0"/>
        <w:snapToGrid/>
        <w:spacing w:after="0" w:line="360" w:lineRule="auto"/>
        <w:ind w:firstLine="480" w:firstLineChars="200"/>
        <w:contextualSpacing/>
        <w:jc w:val="both"/>
        <w:textAlignment w:val="auto"/>
        <w:rPr>
          <w:rFonts w:hint="default" w:ascii="Times New Roman" w:hAnsi="Times New Roman" w:eastAsia="宋体" w:cs="Times New Roman"/>
          <w:b w:val="0"/>
          <w:bCs w:val="0"/>
          <w:color w:val="auto"/>
          <w:kern w:val="2"/>
          <w:sz w:val="24"/>
          <w:szCs w:val="24"/>
          <w:highlight w:val="none"/>
        </w:rPr>
      </w:pPr>
      <w:r>
        <w:rPr>
          <w:rFonts w:hint="default" w:ascii="Times New Roman" w:hAnsi="Times New Roman" w:eastAsia="宋体" w:cs="Times New Roman"/>
          <w:b w:val="0"/>
          <w:bCs w:val="0"/>
          <w:color w:val="auto"/>
          <w:kern w:val="2"/>
          <w:sz w:val="24"/>
          <w:szCs w:val="24"/>
          <w:highlight w:val="none"/>
        </w:rPr>
        <w:t>按相关规定做好防渗，危险物质泄漏时对地下水影响较小。</w:t>
      </w:r>
    </w:p>
    <w:p w14:paraId="070382B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4、</w:t>
      </w:r>
      <w:r>
        <w:rPr>
          <w:rFonts w:hint="default" w:ascii="Times New Roman" w:hAnsi="Times New Roman" w:cs="Times New Roman"/>
          <w:b w:val="0"/>
          <w:bCs w:val="0"/>
          <w:color w:val="auto"/>
          <w:sz w:val="24"/>
          <w:szCs w:val="24"/>
          <w:lang w:val="en-US" w:eastAsia="zh-CN"/>
        </w:rPr>
        <w:t>土壤环境风险分析</w:t>
      </w:r>
    </w:p>
    <w:p w14:paraId="08630F23">
      <w:pPr>
        <w:keepNext w:val="0"/>
        <w:keepLines w:val="0"/>
        <w:pageBreakBefore w:val="0"/>
        <w:widowControl w:val="0"/>
        <w:kinsoku w:val="0"/>
        <w:wordWrap/>
        <w:overflowPunct/>
        <w:topLinePunct w:val="0"/>
        <w:autoSpaceDE w:val="0"/>
        <w:autoSpaceDN w:val="0"/>
        <w:bidi w:val="0"/>
        <w:adjustRightInd w:val="0"/>
        <w:snapToGrid/>
        <w:spacing w:after="0" w:line="360" w:lineRule="auto"/>
        <w:ind w:firstLine="480" w:firstLineChars="200"/>
        <w:contextualSpacing/>
        <w:jc w:val="both"/>
        <w:textAlignment w:val="baseline"/>
        <w:rPr>
          <w:rFonts w:hint="default" w:ascii="Times New Roman" w:hAnsi="Times New Roman" w:eastAsia="宋体" w:cs="Times New Roman"/>
          <w:color w:val="FF0000"/>
          <w:kern w:val="2"/>
          <w:sz w:val="24"/>
          <w:szCs w:val="24"/>
          <w:highlight w:val="none"/>
        </w:rPr>
      </w:pPr>
      <w:r>
        <w:rPr>
          <w:rFonts w:hint="default" w:ascii="Times New Roman" w:hAnsi="Times New Roman" w:eastAsia="宋体" w:cs="Times New Roman"/>
          <w:color w:val="auto"/>
          <w:kern w:val="2"/>
          <w:sz w:val="24"/>
          <w:szCs w:val="24"/>
          <w:highlight w:val="none"/>
        </w:rPr>
        <w:t>本项目</w:t>
      </w:r>
      <w:r>
        <w:rPr>
          <w:rFonts w:hint="default" w:ascii="Times New Roman" w:hAnsi="Times New Roman" w:eastAsia="宋体" w:cs="Times New Roman"/>
          <w:color w:val="auto"/>
          <w:kern w:val="2"/>
          <w:sz w:val="24"/>
          <w:szCs w:val="24"/>
          <w:highlight w:val="none"/>
          <w:lang w:eastAsia="zh-CN"/>
        </w:rPr>
        <w:t>生产车间</w:t>
      </w:r>
      <w:r>
        <w:rPr>
          <w:rFonts w:hint="default" w:ascii="Times New Roman" w:hAnsi="Times New Roman" w:eastAsia="宋体" w:cs="Times New Roman"/>
          <w:color w:val="auto"/>
          <w:kern w:val="2"/>
          <w:sz w:val="24"/>
          <w:szCs w:val="24"/>
          <w:highlight w:val="none"/>
        </w:rPr>
        <w:t>进行地面硬化，没有直接裸露的土壤存在，因此发生物料泄漏时对厂界内的土壤影响有限，事故后及时控制基本不会对厂界内的土壤造成严重污染。</w:t>
      </w:r>
    </w:p>
    <w:p w14:paraId="2D795FA7">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zh-CN" w:eastAsia="zh-CN"/>
        </w:rPr>
      </w:pPr>
      <w:r>
        <w:rPr>
          <w:rFonts w:hint="default" w:ascii="Times New Roman" w:hAnsi="Times New Roman" w:eastAsia="宋体" w:cs="Times New Roman"/>
          <w:b/>
          <w:bCs/>
          <w:color w:val="auto"/>
          <w:sz w:val="28"/>
          <w:szCs w:val="28"/>
          <w:lang w:val="zh-CN" w:eastAsia="zh-CN"/>
        </w:rPr>
        <w:t>5.</w:t>
      </w:r>
      <w:r>
        <w:rPr>
          <w:rFonts w:hint="eastAsia" w:ascii="Times New Roman" w:hAnsi="Times New Roman" w:eastAsia="宋体" w:cs="Times New Roman"/>
          <w:b/>
          <w:bCs/>
          <w:color w:val="auto"/>
          <w:sz w:val="28"/>
          <w:szCs w:val="28"/>
          <w:lang w:val="en-US" w:eastAsia="zh-CN"/>
        </w:rPr>
        <w:t>2.7</w:t>
      </w:r>
      <w:r>
        <w:rPr>
          <w:rFonts w:hint="default" w:ascii="Times New Roman" w:hAnsi="Times New Roman" w:eastAsia="宋体" w:cs="Times New Roman"/>
          <w:b/>
          <w:bCs/>
          <w:color w:val="auto"/>
          <w:sz w:val="28"/>
          <w:szCs w:val="28"/>
          <w:lang w:val="zh-CN" w:eastAsia="zh-CN"/>
        </w:rPr>
        <w:t>.</w:t>
      </w:r>
      <w:r>
        <w:rPr>
          <w:rFonts w:hint="eastAsia" w:ascii="Times New Roman" w:hAnsi="Times New Roman" w:eastAsia="宋体" w:cs="Times New Roman"/>
          <w:b/>
          <w:bCs/>
          <w:color w:val="auto"/>
          <w:sz w:val="28"/>
          <w:szCs w:val="28"/>
          <w:lang w:val="en-US" w:eastAsia="zh-CN"/>
        </w:rPr>
        <w:t>6</w:t>
      </w:r>
      <w:r>
        <w:rPr>
          <w:rFonts w:hint="default" w:ascii="Times New Roman" w:hAnsi="Times New Roman" w:eastAsia="宋体" w:cs="Times New Roman"/>
          <w:b/>
          <w:bCs/>
          <w:color w:val="auto"/>
          <w:sz w:val="28"/>
          <w:szCs w:val="28"/>
          <w:lang w:val="zh-CN" w:eastAsia="zh-CN"/>
        </w:rPr>
        <w:t xml:space="preserve"> 环境风险防范措施及应急要求</w:t>
      </w:r>
    </w:p>
    <w:p w14:paraId="591D0404">
      <w:pPr>
        <w:keepNext w:val="0"/>
        <w:keepLines w:val="0"/>
        <w:pageBreakBefore w:val="0"/>
        <w:kinsoku w:val="0"/>
        <w:wordWrap/>
        <w:overflowPunct/>
        <w:topLinePunct w:val="0"/>
        <w:autoSpaceDE w:val="0"/>
        <w:autoSpaceDN w:val="0"/>
        <w:bidi w:val="0"/>
        <w:adjustRightInd w:val="0"/>
        <w:spacing w:line="360" w:lineRule="auto"/>
        <w:ind w:left="0" w:firstLine="480" w:firstLineChars="200"/>
        <w:textAlignment w:val="baseline"/>
        <w:rPr>
          <w:rFonts w:hint="default" w:ascii="Times New Roman" w:hAnsi="Times New Roman" w:cs="Times New Roman"/>
          <w:color w:val="auto"/>
          <w:sz w:val="24"/>
          <w:szCs w:val="24"/>
        </w:rPr>
      </w:pPr>
      <w:r>
        <w:rPr>
          <w:rFonts w:hint="eastAsia" w:ascii="Times New Roman" w:hAnsi="Times New Roman" w:eastAsia="宋体" w:cs="Times New Roman"/>
          <w:color w:val="auto"/>
          <w:sz w:val="24"/>
          <w:szCs w:val="24"/>
          <w:lang w:val="en-US" w:eastAsia="zh-CN"/>
        </w:rPr>
        <w:t>1、</w:t>
      </w:r>
      <w:r>
        <w:rPr>
          <w:rFonts w:hint="default" w:ascii="Times New Roman" w:hAnsi="Times New Roman" w:cs="Times New Roman"/>
          <w:color w:val="auto"/>
          <w:sz w:val="24"/>
          <w:szCs w:val="24"/>
        </w:rPr>
        <w:t>风险防范措施</w:t>
      </w:r>
    </w:p>
    <w:p w14:paraId="41C53C96">
      <w:pPr>
        <w:keepNext w:val="0"/>
        <w:keepLines w:val="0"/>
        <w:pageBreakBefore w:val="0"/>
        <w:kinsoku w:val="0"/>
        <w:wordWrap/>
        <w:overflowPunct/>
        <w:topLinePunct w:val="0"/>
        <w:autoSpaceDE w:val="0"/>
        <w:autoSpaceDN w:val="0"/>
        <w:bidi w:val="0"/>
        <w:adjustRightInd w:val="0"/>
        <w:spacing w:line="360" w:lineRule="auto"/>
        <w:ind w:left="0"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建设单位应组建安全环保管理机构，配备管理人员，通过技能培训，承担该公司运行中的环保安全工作。</w:t>
      </w:r>
    </w:p>
    <w:p w14:paraId="1F53944B">
      <w:pPr>
        <w:keepNext w:val="0"/>
        <w:keepLines w:val="0"/>
        <w:pageBreakBefore w:val="0"/>
        <w:kinsoku w:val="0"/>
        <w:wordWrap/>
        <w:overflowPunct/>
        <w:topLinePunct w:val="0"/>
        <w:autoSpaceDE w:val="0"/>
        <w:autoSpaceDN w:val="0"/>
        <w:bidi w:val="0"/>
        <w:adjustRightInd w:val="0"/>
        <w:spacing w:line="360" w:lineRule="auto"/>
        <w:ind w:left="0"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安全环保机构将根据相关的环境管理要求，结合厂区具体情况，制定各项安全生产管理制度、严格的生产操作规则和完善的事故应急计划及相应的应急处理手段和设施，同时加强安全教育，以增强职工的安全意识和安全防范能力。</w:t>
      </w:r>
    </w:p>
    <w:p w14:paraId="62B108F3">
      <w:pPr>
        <w:keepNext w:val="0"/>
        <w:keepLines w:val="0"/>
        <w:pageBreakBefore w:val="0"/>
        <w:kinsoku w:val="0"/>
        <w:wordWrap/>
        <w:overflowPunct/>
        <w:topLinePunct w:val="0"/>
        <w:autoSpaceDE w:val="0"/>
        <w:autoSpaceDN w:val="0"/>
        <w:bidi w:val="0"/>
        <w:adjustRightInd w:val="0"/>
        <w:spacing w:line="360" w:lineRule="auto"/>
        <w:ind w:left="0" w:firstLine="480" w:firstLineChars="200"/>
        <w:textAlignment w:val="baseline"/>
        <w:rPr>
          <w:rFonts w:hint="default" w:ascii="Times New Roman" w:hAnsi="Times New Roman" w:cs="Times New Roman"/>
          <w:color w:val="auto"/>
          <w:sz w:val="24"/>
          <w:szCs w:val="24"/>
        </w:rPr>
      </w:pPr>
      <w:r>
        <w:rPr>
          <w:rFonts w:hint="eastAsia" w:ascii="Times New Roman" w:hAnsi="Times New Roman" w:eastAsia="宋体" w:cs="Times New Roman"/>
          <w:color w:val="auto"/>
          <w:sz w:val="24"/>
          <w:szCs w:val="24"/>
          <w:lang w:val="en-US" w:eastAsia="zh-CN"/>
        </w:rPr>
        <w:t>2、</w:t>
      </w:r>
      <w:r>
        <w:rPr>
          <w:rFonts w:hint="default" w:ascii="Times New Roman" w:hAnsi="Times New Roman" w:cs="Times New Roman"/>
          <w:color w:val="auto"/>
          <w:sz w:val="24"/>
          <w:szCs w:val="24"/>
        </w:rPr>
        <w:t>总图布置和建筑安全防范措施</w:t>
      </w:r>
    </w:p>
    <w:p w14:paraId="46A6EA15">
      <w:pPr>
        <w:keepNext w:val="0"/>
        <w:keepLines w:val="0"/>
        <w:pageBreakBefore w:val="0"/>
        <w:kinsoku w:val="0"/>
        <w:wordWrap/>
        <w:overflowPunct/>
        <w:topLinePunct w:val="0"/>
        <w:autoSpaceDE w:val="0"/>
        <w:autoSpaceDN w:val="0"/>
        <w:bidi w:val="0"/>
        <w:adjustRightInd w:val="0"/>
        <w:spacing w:line="360" w:lineRule="auto"/>
        <w:ind w:left="0"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厂区总平面布置严格执行相关规范要求，所有建、构筑物之间或与其他场所之间留有足够的防火间距，防止在火灾或爆炸时相互影响；严格按工艺处理物料特性，对厂区进行危险区划分。</w:t>
      </w:r>
    </w:p>
    <w:p w14:paraId="70824856">
      <w:pPr>
        <w:keepNext w:val="0"/>
        <w:keepLines w:val="0"/>
        <w:pageBreakBefore w:val="0"/>
        <w:kinsoku w:val="0"/>
        <w:wordWrap/>
        <w:overflowPunct/>
        <w:topLinePunct w:val="0"/>
        <w:autoSpaceDE w:val="0"/>
        <w:autoSpaceDN w:val="0"/>
        <w:bidi w:val="0"/>
        <w:adjustRightInd w:val="0"/>
        <w:spacing w:line="360" w:lineRule="auto"/>
        <w:ind w:left="0" w:firstLine="480" w:firstLineChars="200"/>
        <w:textAlignment w:val="baseline"/>
        <w:rPr>
          <w:rFonts w:hint="default" w:ascii="Times New Roman" w:hAnsi="Times New Roman" w:cs="Times New Roman"/>
          <w:color w:val="auto"/>
          <w:sz w:val="24"/>
          <w:szCs w:val="24"/>
        </w:rPr>
      </w:pPr>
      <w:r>
        <w:rPr>
          <w:rFonts w:hint="eastAsia" w:ascii="Times New Roman" w:hAnsi="Times New Roman" w:eastAsia="宋体" w:cs="Times New Roman"/>
          <w:color w:val="auto"/>
          <w:sz w:val="24"/>
          <w:szCs w:val="24"/>
          <w:lang w:val="en-US" w:eastAsia="zh-CN"/>
        </w:rPr>
        <w:t>3、</w:t>
      </w:r>
      <w:r>
        <w:rPr>
          <w:rFonts w:hint="default" w:ascii="Times New Roman" w:hAnsi="Times New Roman" w:cs="Times New Roman"/>
          <w:color w:val="auto"/>
          <w:sz w:val="24"/>
          <w:szCs w:val="24"/>
        </w:rPr>
        <w:t>天然气泄漏风险防范措施</w:t>
      </w:r>
    </w:p>
    <w:p w14:paraId="4F5E7CBB">
      <w:pPr>
        <w:keepNext w:val="0"/>
        <w:keepLines w:val="0"/>
        <w:pageBreakBefore w:val="0"/>
        <w:kinsoku w:val="0"/>
        <w:wordWrap/>
        <w:overflowPunct/>
        <w:topLinePunct w:val="0"/>
        <w:autoSpaceDE w:val="0"/>
        <w:autoSpaceDN w:val="0"/>
        <w:bidi w:val="0"/>
        <w:adjustRightInd w:val="0"/>
        <w:spacing w:line="360" w:lineRule="auto"/>
        <w:ind w:left="0" w:firstLine="480" w:firstLineChars="200"/>
        <w:jc w:val="left"/>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①天然气管道平面设计符合《城镇燃气设计规范》（GB50028-2006)（2020版）和《建筑防火通用规范》</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GB 55037-2022</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等规范的要求。②燃气管道接入使用设备燃烧器的部分采用带金属防护的软管，防止撞击造成管道与燃烧器连接处断裂。③燃气设施安装要遵循先设计后施工的原则。④保证生产运营人员持证上岗，严格遵守操作规程。⑤为避免管道内形成爆炸性混合物，在停车检修和开车时，对管道进行置换，彻底置换出空气，以防止在管道或燃烧器内形成爆炸性混合物。⑥使用天然气的车间内所有可能泄漏天然气的释放源、阀门组均须挂有提醒人们注意的警告标示，并标注天然气的流向。⑦燃气区域内的燃气阀门组区域和燃烧管道接入燃烧使用设备不同燃烧器前的球阀处各设计1枚可燃气体检测探头。天然气泄漏报警器与事故排风装置连锁，天然气发生泄漏，报警后可自行切换主管道电磁阀并自动启动事故排风设施进行排风。车间内燃气泄漏报警器集中布置在有人值守的场所内。⑧天然气管道设低压、高压报警装置和紧急切断阀。</w:t>
      </w:r>
    </w:p>
    <w:p w14:paraId="71FFB226">
      <w:pPr>
        <w:keepNext w:val="0"/>
        <w:keepLines w:val="0"/>
        <w:pageBreakBefore w:val="0"/>
        <w:kinsoku w:val="0"/>
        <w:wordWrap/>
        <w:overflowPunct/>
        <w:topLinePunct w:val="0"/>
        <w:autoSpaceDE w:val="0"/>
        <w:autoSpaceDN w:val="0"/>
        <w:bidi w:val="0"/>
        <w:adjustRightInd w:val="0"/>
        <w:spacing w:line="360" w:lineRule="auto"/>
        <w:ind w:left="0" w:firstLine="480" w:firstLineChars="200"/>
        <w:textAlignment w:val="baseline"/>
        <w:rPr>
          <w:rFonts w:hint="default" w:ascii="Times New Roman" w:hAnsi="Times New Roman" w:cs="Times New Roman"/>
          <w:color w:val="auto"/>
          <w:sz w:val="24"/>
          <w:szCs w:val="24"/>
        </w:rPr>
      </w:pPr>
      <w:r>
        <w:rPr>
          <w:rFonts w:hint="eastAsia" w:ascii="Times New Roman" w:hAnsi="Times New Roman" w:eastAsia="宋体" w:cs="Times New Roman"/>
          <w:color w:val="auto"/>
          <w:sz w:val="24"/>
          <w:szCs w:val="24"/>
          <w:lang w:val="en-US" w:eastAsia="zh-CN"/>
        </w:rPr>
        <w:t>4、</w:t>
      </w:r>
      <w:r>
        <w:rPr>
          <w:rFonts w:hint="default" w:ascii="Times New Roman" w:hAnsi="Times New Roman" w:cs="Times New Roman"/>
          <w:color w:val="auto"/>
          <w:sz w:val="24"/>
          <w:szCs w:val="24"/>
        </w:rPr>
        <w:t>废气事故风险防范措施</w:t>
      </w:r>
    </w:p>
    <w:p w14:paraId="18C916B8">
      <w:pPr>
        <w:keepNext w:val="0"/>
        <w:keepLines w:val="0"/>
        <w:pageBreakBefore w:val="0"/>
        <w:kinsoku w:val="0"/>
        <w:wordWrap/>
        <w:overflowPunct/>
        <w:topLinePunct w:val="0"/>
        <w:autoSpaceDE w:val="0"/>
        <w:autoSpaceDN w:val="0"/>
        <w:bidi w:val="0"/>
        <w:adjustRightInd w:val="0"/>
        <w:spacing w:line="360" w:lineRule="auto"/>
        <w:ind w:left="0"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平时加强废气处理设施的维护保养，及时发现处理设备的隐患，并及时进行维修，确保废气处理系统正常运行；建立健全的环保机构，配置必要的监测仪器，对管理人员和技术人员进行岗位培训，对废气处理实行全过程跟踪控制。</w:t>
      </w:r>
    </w:p>
    <w:p w14:paraId="392AB722">
      <w:pPr>
        <w:keepNext w:val="0"/>
        <w:keepLines w:val="0"/>
        <w:pageBreakBefore w:val="0"/>
        <w:kinsoku w:val="0"/>
        <w:wordWrap/>
        <w:overflowPunct/>
        <w:topLinePunct w:val="0"/>
        <w:autoSpaceDE w:val="0"/>
        <w:autoSpaceDN w:val="0"/>
        <w:bidi w:val="0"/>
        <w:adjustRightInd w:val="0"/>
        <w:spacing w:line="360" w:lineRule="auto"/>
        <w:ind w:left="0" w:firstLine="480" w:firstLineChars="200"/>
        <w:textAlignment w:val="baseline"/>
        <w:rPr>
          <w:rFonts w:hint="default" w:ascii="Times New Roman" w:hAnsi="Times New Roman" w:cs="Times New Roman"/>
          <w:color w:val="auto"/>
          <w:sz w:val="24"/>
          <w:szCs w:val="24"/>
        </w:rPr>
      </w:pPr>
      <w:r>
        <w:rPr>
          <w:rFonts w:hint="eastAsia" w:ascii="Times New Roman" w:hAnsi="Times New Roman" w:eastAsia="宋体" w:cs="Times New Roman"/>
          <w:color w:val="auto"/>
          <w:sz w:val="24"/>
          <w:szCs w:val="24"/>
          <w:lang w:val="en-US" w:eastAsia="zh-CN"/>
        </w:rPr>
        <w:t>5、</w:t>
      </w:r>
      <w:r>
        <w:rPr>
          <w:rFonts w:hint="default" w:ascii="Times New Roman" w:hAnsi="Times New Roman" w:cs="Times New Roman"/>
          <w:color w:val="auto"/>
          <w:sz w:val="24"/>
          <w:szCs w:val="24"/>
        </w:rPr>
        <w:t>危险废物流失影响分析</w:t>
      </w:r>
    </w:p>
    <w:p w14:paraId="38109B33">
      <w:pPr>
        <w:keepNext w:val="0"/>
        <w:keepLines w:val="0"/>
        <w:pageBreakBefore w:val="0"/>
        <w:kinsoku w:val="0"/>
        <w:wordWrap/>
        <w:overflowPunct/>
        <w:topLinePunct w:val="0"/>
        <w:autoSpaceDE w:val="0"/>
        <w:autoSpaceDN w:val="0"/>
        <w:bidi w:val="0"/>
        <w:adjustRightInd w:val="0"/>
        <w:spacing w:line="360" w:lineRule="auto"/>
        <w:ind w:left="0"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项目产生的危险废物主要</w:t>
      </w:r>
      <w:r>
        <w:rPr>
          <w:rFonts w:hint="eastAsia" w:ascii="Times New Roman" w:hAnsi="Times New Roman" w:eastAsia="宋体" w:cs="Times New Roman"/>
          <w:color w:val="auto"/>
          <w:sz w:val="24"/>
          <w:szCs w:val="24"/>
          <w:lang w:val="en-US" w:eastAsia="zh-CN"/>
        </w:rPr>
        <w:t>暂存于危险废物贮存库，定期交由有资质单位处理处置</w:t>
      </w:r>
      <w:r>
        <w:rPr>
          <w:rFonts w:hint="default" w:ascii="Times New Roman" w:hAnsi="Times New Roman" w:cs="Times New Roman"/>
          <w:color w:val="auto"/>
          <w:sz w:val="24"/>
          <w:szCs w:val="24"/>
        </w:rPr>
        <w:t>。若由于人员管理失误等原因导致危险废物混入生活垃圾、一般固体废物并流失出厂，公司相关危险废物台账出现误差，违反了《中华人民共和国固体废物污染环境防治法》（2020年9月1日修订）中第二十条“收集、贮存、运输、利用、处置固体废物的单位和个人，必须采取防扬散、防流失、防渗漏或者其他防止污染环境的措施；不得擅自倾倒、堆放、丢弃、遗撒固体废物”、第七十九条“产生危险废物的单位，应当按照国家有关规定和环境保护标准要求贮存、利用、处置危险废物，不得擅自倾倒、堆放”、第八十二条“转移危险废物的，应当按照国家有关规定填写、运行危险废物电子或者纸质转移联单”等条款。</w:t>
      </w:r>
    </w:p>
    <w:p w14:paraId="0D0E35E1">
      <w:pPr>
        <w:keepNext w:val="0"/>
        <w:keepLines w:val="0"/>
        <w:pageBreakBefore w:val="0"/>
        <w:kinsoku w:val="0"/>
        <w:wordWrap/>
        <w:overflowPunct/>
        <w:topLinePunct w:val="0"/>
        <w:autoSpaceDE w:val="0"/>
        <w:autoSpaceDN w:val="0"/>
        <w:bidi w:val="0"/>
        <w:adjustRightInd w:val="0"/>
        <w:spacing w:line="360" w:lineRule="auto"/>
        <w:ind w:left="0"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企业应制定严格的管理制度对危险废物在产生、分类、管理和运输等环节进行严格的监控。项目处置危险废物的措施应符合《中华人民共和国固体废弃物污染环境防治法》，应执行《危险废物转移联单管理办法》规定的各项程序。如果危险废物收集、暂存过程出现异常时，将对周围环境造成较大的影响，由于本项目危险废物均委外处理，企业危险废物库设置应符合《危险废物贮存污染控制标准》（GB18597-2023）要求，则对周围环境影响不大。</w:t>
      </w:r>
    </w:p>
    <w:p w14:paraId="0B70FA72">
      <w:pPr>
        <w:pStyle w:val="70"/>
        <w:keepNext w:val="0"/>
        <w:keepLines w:val="0"/>
        <w:pageBreakBefore w:val="0"/>
        <w:kinsoku w:val="0"/>
        <w:wordWrap/>
        <w:overflowPunct/>
        <w:topLinePunct w:val="0"/>
        <w:autoSpaceDE w:val="0"/>
        <w:autoSpaceDN w:val="0"/>
        <w:bidi w:val="0"/>
        <w:adjustRightInd w:val="0"/>
        <w:spacing w:line="360" w:lineRule="auto"/>
        <w:ind w:left="0" w:firstLine="480" w:firstLineChars="200"/>
        <w:textAlignment w:val="baseline"/>
        <w:rPr>
          <w:rFonts w:hint="default" w:ascii="Times New Roman" w:hAnsi="Times New Roman" w:cs="Times New Roman"/>
          <w:color w:val="auto"/>
          <w:sz w:val="24"/>
          <w:szCs w:val="24"/>
        </w:rPr>
      </w:pPr>
      <w:r>
        <w:rPr>
          <w:rFonts w:hint="eastAsia" w:ascii="Times New Roman" w:hAnsi="Times New Roman" w:eastAsia="宋体" w:cs="Times New Roman"/>
          <w:color w:val="auto"/>
          <w:sz w:val="24"/>
          <w:szCs w:val="24"/>
          <w:lang w:val="en-US" w:eastAsia="zh-CN"/>
        </w:rPr>
        <w:t>6、</w:t>
      </w:r>
      <w:r>
        <w:rPr>
          <w:rFonts w:hint="default" w:ascii="Times New Roman" w:hAnsi="Times New Roman" w:cs="Times New Roman"/>
          <w:color w:val="auto"/>
          <w:sz w:val="24"/>
          <w:szCs w:val="24"/>
        </w:rPr>
        <w:t>环境事故应急预案</w:t>
      </w:r>
    </w:p>
    <w:p w14:paraId="30F0B143">
      <w:pPr>
        <w:keepNext w:val="0"/>
        <w:keepLines w:val="0"/>
        <w:pageBreakBefore w:val="0"/>
        <w:widowControl w:val="0"/>
        <w:kinsoku w:val="0"/>
        <w:wordWrap/>
        <w:overflowPunct/>
        <w:topLinePunct w:val="0"/>
        <w:autoSpaceDE w:val="0"/>
        <w:autoSpaceDN w:val="0"/>
        <w:bidi w:val="0"/>
        <w:adjustRightInd w:val="0"/>
        <w:snapToGrid/>
        <w:spacing w:line="360" w:lineRule="auto"/>
        <w:ind w:left="0" w:firstLine="480" w:firstLineChars="200"/>
        <w:contextualSpacing/>
        <w:jc w:val="both"/>
        <w:textAlignment w:val="baseline"/>
        <w:rPr>
          <w:rFonts w:hint="default" w:ascii="Times New Roman" w:hAnsi="Times New Roman" w:eastAsia="宋体" w:cs="Times New Roman"/>
          <w:color w:val="auto"/>
          <w:kern w:val="2"/>
          <w:sz w:val="24"/>
          <w:szCs w:val="24"/>
          <w:highlight w:val="none"/>
        </w:rPr>
      </w:pPr>
      <w:r>
        <w:rPr>
          <w:rFonts w:hint="default" w:ascii="Times New Roman" w:hAnsi="Times New Roman" w:cs="Times New Roman"/>
          <w:color w:val="auto"/>
          <w:sz w:val="24"/>
          <w:szCs w:val="24"/>
        </w:rPr>
        <w:t>为了在发生突发环境事件时，能够及时、有序、高效地实施抢险救援工作，最大限度地减少人员伤亡和财产损失，尽快恢复正常生产、工作秩序，本项目建设单位已制订突发环境事件应急预案，本项目投产运行前，建设单位应及时变更应急预案相应内容，完善应急措施。</w:t>
      </w:r>
      <w:r>
        <w:rPr>
          <w:rFonts w:hint="default" w:ascii="Times New Roman" w:hAnsi="Times New Roman" w:eastAsia="宋体" w:cs="Times New Roman"/>
          <w:color w:val="auto"/>
          <w:kern w:val="2"/>
          <w:sz w:val="24"/>
          <w:szCs w:val="24"/>
          <w:highlight w:val="none"/>
        </w:rPr>
        <w:t>本项目突发事故应急预案见表5.</w:t>
      </w:r>
      <w:r>
        <w:rPr>
          <w:rFonts w:hint="eastAsia" w:ascii="Times New Roman" w:hAnsi="Times New Roman" w:eastAsia="宋体" w:cs="Times New Roman"/>
          <w:color w:val="auto"/>
          <w:kern w:val="2"/>
          <w:sz w:val="24"/>
          <w:szCs w:val="24"/>
          <w:highlight w:val="none"/>
          <w:lang w:val="en-US" w:eastAsia="zh-CN"/>
        </w:rPr>
        <w:t>2</w:t>
      </w:r>
      <w:r>
        <w:rPr>
          <w:rFonts w:hint="default" w:ascii="Times New Roman" w:hAnsi="Times New Roman" w:eastAsia="宋体" w:cs="Times New Roman"/>
          <w:color w:val="auto"/>
          <w:kern w:val="2"/>
          <w:sz w:val="24"/>
          <w:szCs w:val="24"/>
          <w:highlight w:val="none"/>
          <w:lang w:val="en-US" w:eastAsia="zh-CN"/>
        </w:rPr>
        <w:t>-</w:t>
      </w:r>
      <w:r>
        <w:rPr>
          <w:rFonts w:hint="eastAsia" w:ascii="Times New Roman" w:hAnsi="Times New Roman" w:eastAsia="宋体" w:cs="Times New Roman"/>
          <w:color w:val="auto"/>
          <w:kern w:val="2"/>
          <w:sz w:val="24"/>
          <w:szCs w:val="24"/>
          <w:highlight w:val="none"/>
          <w:lang w:val="en-US" w:eastAsia="zh-CN"/>
        </w:rPr>
        <w:t>21</w:t>
      </w:r>
      <w:r>
        <w:rPr>
          <w:rFonts w:hint="default" w:ascii="Times New Roman" w:hAnsi="Times New Roman" w:eastAsia="宋体" w:cs="Times New Roman"/>
          <w:color w:val="auto"/>
          <w:kern w:val="2"/>
          <w:sz w:val="24"/>
          <w:szCs w:val="24"/>
          <w:highlight w:val="none"/>
        </w:rPr>
        <w:t>。</w:t>
      </w:r>
    </w:p>
    <w:p w14:paraId="2F9E0036">
      <w:pPr>
        <w:widowControl w:val="0"/>
        <w:adjustRightInd w:val="0"/>
        <w:snapToGrid w:val="0"/>
        <w:spacing w:after="0" w:line="500" w:lineRule="exact"/>
        <w:jc w:val="center"/>
        <w:rPr>
          <w:rFonts w:hint="default" w:ascii="Times New Roman" w:hAnsi="Times New Roman" w:cs="Times New Roman"/>
          <w:color w:val="auto"/>
          <w:highlight w:val="none"/>
        </w:rPr>
      </w:pPr>
      <w:r>
        <w:rPr>
          <w:rFonts w:hint="default" w:ascii="Times New Roman" w:hAnsi="Times New Roman" w:eastAsia="宋体" w:cs="Times New Roman"/>
          <w:b/>
          <w:color w:val="auto"/>
          <w:kern w:val="2"/>
          <w:sz w:val="24"/>
          <w:szCs w:val="24"/>
          <w:highlight w:val="none"/>
        </w:rPr>
        <w:t>表5.</w:t>
      </w:r>
      <w:r>
        <w:rPr>
          <w:rFonts w:hint="eastAsia" w:ascii="Times New Roman" w:hAnsi="Times New Roman" w:eastAsia="宋体" w:cs="Times New Roman"/>
          <w:b/>
          <w:color w:val="auto"/>
          <w:kern w:val="2"/>
          <w:sz w:val="24"/>
          <w:szCs w:val="24"/>
          <w:highlight w:val="none"/>
          <w:lang w:val="en-US" w:eastAsia="zh-CN"/>
        </w:rPr>
        <w:t>2</w:t>
      </w:r>
      <w:r>
        <w:rPr>
          <w:rFonts w:hint="default" w:ascii="Times New Roman" w:hAnsi="Times New Roman" w:eastAsia="宋体" w:cs="Times New Roman"/>
          <w:b/>
          <w:color w:val="auto"/>
          <w:kern w:val="2"/>
          <w:sz w:val="24"/>
          <w:szCs w:val="24"/>
          <w:highlight w:val="none"/>
          <w:lang w:val="en-US" w:eastAsia="zh-CN"/>
        </w:rPr>
        <w:t>-</w:t>
      </w:r>
      <w:r>
        <w:rPr>
          <w:rFonts w:hint="eastAsia" w:ascii="Times New Roman" w:hAnsi="Times New Roman" w:eastAsia="宋体" w:cs="Times New Roman"/>
          <w:b/>
          <w:color w:val="auto"/>
          <w:kern w:val="2"/>
          <w:sz w:val="24"/>
          <w:szCs w:val="24"/>
          <w:highlight w:val="none"/>
          <w:lang w:val="en-US" w:eastAsia="zh-CN"/>
        </w:rPr>
        <w:t>21</w:t>
      </w:r>
      <w:r>
        <w:rPr>
          <w:rFonts w:hint="default" w:ascii="Times New Roman" w:hAnsi="Times New Roman" w:eastAsia="宋体" w:cs="Times New Roman"/>
          <w:b/>
          <w:color w:val="auto"/>
          <w:kern w:val="2"/>
          <w:sz w:val="24"/>
          <w:szCs w:val="24"/>
          <w:highlight w:val="none"/>
        </w:rPr>
        <w:t xml:space="preserve">  突发事故应急预案内容表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661"/>
        <w:gridCol w:w="2695"/>
        <w:gridCol w:w="5932"/>
      </w:tblGrid>
      <w:tr w14:paraId="1124CEF3">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356" w:type="pct"/>
            <w:tcBorders>
              <w:tl2br w:val="nil"/>
              <w:tr2bl w:val="nil"/>
            </w:tcBorders>
            <w:noWrap w:val="0"/>
            <w:vAlign w:val="center"/>
          </w:tcPr>
          <w:p w14:paraId="494B9CE2">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序号</w:t>
            </w:r>
          </w:p>
        </w:tc>
        <w:tc>
          <w:tcPr>
            <w:tcW w:w="1450" w:type="pct"/>
            <w:tcBorders>
              <w:tl2br w:val="nil"/>
              <w:tr2bl w:val="nil"/>
            </w:tcBorders>
            <w:noWrap w:val="0"/>
            <w:vAlign w:val="center"/>
          </w:tcPr>
          <w:p w14:paraId="5EAD0364">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项目</w:t>
            </w:r>
          </w:p>
        </w:tc>
        <w:tc>
          <w:tcPr>
            <w:tcW w:w="3192" w:type="pct"/>
            <w:tcBorders>
              <w:tl2br w:val="nil"/>
              <w:tr2bl w:val="nil"/>
            </w:tcBorders>
            <w:noWrap w:val="0"/>
            <w:vAlign w:val="center"/>
          </w:tcPr>
          <w:p w14:paraId="726876A6">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内容及要求</w:t>
            </w:r>
          </w:p>
        </w:tc>
      </w:tr>
      <w:tr w14:paraId="21412C2D">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356" w:type="pct"/>
            <w:tcBorders>
              <w:tl2br w:val="nil"/>
              <w:tr2bl w:val="nil"/>
            </w:tcBorders>
            <w:noWrap w:val="0"/>
            <w:vAlign w:val="center"/>
          </w:tcPr>
          <w:p w14:paraId="54739A78">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w:t>
            </w:r>
          </w:p>
        </w:tc>
        <w:tc>
          <w:tcPr>
            <w:tcW w:w="1450" w:type="pct"/>
            <w:tcBorders>
              <w:tl2br w:val="nil"/>
              <w:tr2bl w:val="nil"/>
            </w:tcBorders>
            <w:noWrap w:val="0"/>
            <w:vAlign w:val="center"/>
          </w:tcPr>
          <w:p w14:paraId="2D80A387">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总则</w:t>
            </w:r>
          </w:p>
        </w:tc>
        <w:tc>
          <w:tcPr>
            <w:tcW w:w="3192" w:type="pct"/>
            <w:tcBorders>
              <w:tl2br w:val="nil"/>
              <w:tr2bl w:val="nil"/>
            </w:tcBorders>
            <w:noWrap w:val="0"/>
            <w:vAlign w:val="center"/>
          </w:tcPr>
          <w:p w14:paraId="34589828">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w:t>
            </w:r>
          </w:p>
        </w:tc>
      </w:tr>
      <w:tr w14:paraId="37319EA0">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356" w:type="pct"/>
            <w:tcBorders>
              <w:tl2br w:val="nil"/>
              <w:tr2bl w:val="nil"/>
            </w:tcBorders>
            <w:noWrap w:val="0"/>
            <w:vAlign w:val="center"/>
          </w:tcPr>
          <w:p w14:paraId="3EF9C039">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w:t>
            </w:r>
          </w:p>
        </w:tc>
        <w:tc>
          <w:tcPr>
            <w:tcW w:w="1450" w:type="pct"/>
            <w:tcBorders>
              <w:tl2br w:val="nil"/>
              <w:tr2bl w:val="nil"/>
            </w:tcBorders>
            <w:noWrap w:val="0"/>
            <w:vAlign w:val="center"/>
          </w:tcPr>
          <w:p w14:paraId="06D0EB0A">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危险源概况</w:t>
            </w:r>
          </w:p>
        </w:tc>
        <w:tc>
          <w:tcPr>
            <w:tcW w:w="3192" w:type="pct"/>
            <w:tcBorders>
              <w:tl2br w:val="nil"/>
              <w:tr2bl w:val="nil"/>
            </w:tcBorders>
            <w:noWrap w:val="0"/>
            <w:vAlign w:val="center"/>
          </w:tcPr>
          <w:p w14:paraId="58B61C43">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详述危险源类型、数量及其分布</w:t>
            </w:r>
          </w:p>
        </w:tc>
      </w:tr>
      <w:tr w14:paraId="159435AD">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356" w:type="pct"/>
            <w:tcBorders>
              <w:tl2br w:val="nil"/>
              <w:tr2bl w:val="nil"/>
            </w:tcBorders>
            <w:noWrap w:val="0"/>
            <w:vAlign w:val="center"/>
          </w:tcPr>
          <w:p w14:paraId="3C0A1332">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w:t>
            </w:r>
          </w:p>
        </w:tc>
        <w:tc>
          <w:tcPr>
            <w:tcW w:w="1450" w:type="pct"/>
            <w:tcBorders>
              <w:tl2br w:val="nil"/>
              <w:tr2bl w:val="nil"/>
            </w:tcBorders>
            <w:noWrap w:val="0"/>
            <w:vAlign w:val="center"/>
          </w:tcPr>
          <w:p w14:paraId="58C354E5">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应急计划区</w:t>
            </w:r>
          </w:p>
        </w:tc>
        <w:tc>
          <w:tcPr>
            <w:tcW w:w="3192" w:type="pct"/>
            <w:tcBorders>
              <w:tl2br w:val="nil"/>
              <w:tr2bl w:val="nil"/>
            </w:tcBorders>
            <w:noWrap w:val="0"/>
            <w:vAlign w:val="center"/>
          </w:tcPr>
          <w:p w14:paraId="59F1F4C8">
            <w:pPr>
              <w:widowControl w:val="0"/>
              <w:adjustRightInd w:val="0"/>
              <w:snapToGrid w:val="0"/>
              <w:spacing w:after="0"/>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喷漆间、油漆库</w:t>
            </w:r>
          </w:p>
        </w:tc>
      </w:tr>
      <w:tr w14:paraId="4781628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356" w:type="pct"/>
            <w:tcBorders>
              <w:tl2br w:val="nil"/>
              <w:tr2bl w:val="nil"/>
            </w:tcBorders>
            <w:noWrap w:val="0"/>
            <w:vAlign w:val="center"/>
          </w:tcPr>
          <w:p w14:paraId="76150DE6">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4</w:t>
            </w:r>
          </w:p>
        </w:tc>
        <w:tc>
          <w:tcPr>
            <w:tcW w:w="1450" w:type="pct"/>
            <w:tcBorders>
              <w:tl2br w:val="nil"/>
              <w:tr2bl w:val="nil"/>
            </w:tcBorders>
            <w:noWrap w:val="0"/>
            <w:vAlign w:val="center"/>
          </w:tcPr>
          <w:p w14:paraId="1ED8600B">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应急组织</w:t>
            </w:r>
          </w:p>
        </w:tc>
        <w:tc>
          <w:tcPr>
            <w:tcW w:w="3192" w:type="pct"/>
            <w:tcBorders>
              <w:tl2br w:val="nil"/>
              <w:tr2bl w:val="nil"/>
            </w:tcBorders>
            <w:noWrap w:val="0"/>
            <w:vAlign w:val="center"/>
          </w:tcPr>
          <w:p w14:paraId="1D2ED2B7">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eastAsia="zh-CN"/>
              </w:rPr>
              <w:t>厂区</w:t>
            </w:r>
            <w:r>
              <w:rPr>
                <w:rFonts w:hint="default" w:ascii="Times New Roman" w:hAnsi="Times New Roman" w:eastAsia="宋体" w:cs="Times New Roman"/>
                <w:color w:val="auto"/>
                <w:kern w:val="2"/>
                <w:sz w:val="21"/>
                <w:szCs w:val="21"/>
                <w:highlight w:val="none"/>
              </w:rPr>
              <w:t>：指挥部—负责现场全面指挥</w:t>
            </w:r>
          </w:p>
          <w:p w14:paraId="204C32AA">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专业救援队伍—负责事故控制、救援、善后处理</w:t>
            </w:r>
          </w:p>
          <w:p w14:paraId="00E8754E">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地区：地区指挥部—负责工厂附近地区全面指挥，救援、管制、疏散</w:t>
            </w:r>
          </w:p>
          <w:p w14:paraId="768B7F89">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专业救援队伍—负责对厂专业救援队伍的支援</w:t>
            </w:r>
          </w:p>
        </w:tc>
      </w:tr>
      <w:tr w14:paraId="3D23C86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356" w:type="pct"/>
            <w:tcBorders>
              <w:tl2br w:val="nil"/>
              <w:tr2bl w:val="nil"/>
            </w:tcBorders>
            <w:noWrap w:val="0"/>
            <w:vAlign w:val="center"/>
          </w:tcPr>
          <w:p w14:paraId="20EF4C0A">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5</w:t>
            </w:r>
          </w:p>
        </w:tc>
        <w:tc>
          <w:tcPr>
            <w:tcW w:w="1450" w:type="pct"/>
            <w:tcBorders>
              <w:tl2br w:val="nil"/>
              <w:tr2bl w:val="nil"/>
            </w:tcBorders>
            <w:noWrap w:val="0"/>
            <w:vAlign w:val="center"/>
          </w:tcPr>
          <w:p w14:paraId="2E0E9939">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应急状态分类及应急响应程序</w:t>
            </w:r>
          </w:p>
        </w:tc>
        <w:tc>
          <w:tcPr>
            <w:tcW w:w="3192" w:type="pct"/>
            <w:tcBorders>
              <w:tl2br w:val="nil"/>
              <w:tr2bl w:val="nil"/>
            </w:tcBorders>
            <w:noWrap w:val="0"/>
            <w:vAlign w:val="center"/>
          </w:tcPr>
          <w:p w14:paraId="25B676A3">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规定事故的级别及相应的应急分类影响程序</w:t>
            </w:r>
          </w:p>
        </w:tc>
      </w:tr>
      <w:tr w14:paraId="50F15912">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356" w:type="pct"/>
            <w:tcBorders>
              <w:tl2br w:val="nil"/>
              <w:tr2bl w:val="nil"/>
            </w:tcBorders>
            <w:noWrap w:val="0"/>
            <w:vAlign w:val="center"/>
          </w:tcPr>
          <w:p w14:paraId="28D6974E">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6</w:t>
            </w:r>
          </w:p>
        </w:tc>
        <w:tc>
          <w:tcPr>
            <w:tcW w:w="1450" w:type="pct"/>
            <w:tcBorders>
              <w:tl2br w:val="nil"/>
              <w:tr2bl w:val="nil"/>
            </w:tcBorders>
            <w:noWrap w:val="0"/>
            <w:vAlign w:val="center"/>
          </w:tcPr>
          <w:p w14:paraId="683D9B39">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应急设施，设备与材料</w:t>
            </w:r>
          </w:p>
        </w:tc>
        <w:tc>
          <w:tcPr>
            <w:tcW w:w="3192" w:type="pct"/>
            <w:tcBorders>
              <w:tl2br w:val="nil"/>
              <w:tr2bl w:val="nil"/>
            </w:tcBorders>
            <w:noWrap w:val="0"/>
            <w:vAlign w:val="center"/>
          </w:tcPr>
          <w:p w14:paraId="5F12899B">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防有毒有害物质外溢、扩散</w:t>
            </w:r>
          </w:p>
        </w:tc>
      </w:tr>
      <w:tr w14:paraId="0415183D">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356" w:type="pct"/>
            <w:tcBorders>
              <w:tl2br w:val="nil"/>
              <w:tr2bl w:val="nil"/>
            </w:tcBorders>
            <w:noWrap w:val="0"/>
            <w:vAlign w:val="center"/>
          </w:tcPr>
          <w:p w14:paraId="3C41E3CD">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7</w:t>
            </w:r>
          </w:p>
        </w:tc>
        <w:tc>
          <w:tcPr>
            <w:tcW w:w="1450" w:type="pct"/>
            <w:tcBorders>
              <w:tl2br w:val="nil"/>
              <w:tr2bl w:val="nil"/>
            </w:tcBorders>
            <w:noWrap w:val="0"/>
            <w:vAlign w:val="center"/>
          </w:tcPr>
          <w:p w14:paraId="7E99FDD1">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应急通讯、通知和交通</w:t>
            </w:r>
          </w:p>
        </w:tc>
        <w:tc>
          <w:tcPr>
            <w:tcW w:w="3192" w:type="pct"/>
            <w:tcBorders>
              <w:tl2br w:val="nil"/>
              <w:tr2bl w:val="nil"/>
            </w:tcBorders>
            <w:noWrap w:val="0"/>
            <w:vAlign w:val="center"/>
          </w:tcPr>
          <w:p w14:paraId="399DD97B">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规定应急状态下的通讯方式和交通保障、管制。</w:t>
            </w:r>
          </w:p>
        </w:tc>
      </w:tr>
      <w:tr w14:paraId="36DC26D7">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356" w:type="pct"/>
            <w:tcBorders>
              <w:tl2br w:val="nil"/>
              <w:tr2bl w:val="nil"/>
            </w:tcBorders>
            <w:noWrap w:val="0"/>
            <w:vAlign w:val="center"/>
          </w:tcPr>
          <w:p w14:paraId="7EA6EE1E">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8</w:t>
            </w:r>
          </w:p>
        </w:tc>
        <w:tc>
          <w:tcPr>
            <w:tcW w:w="1450" w:type="pct"/>
            <w:tcBorders>
              <w:tl2br w:val="nil"/>
              <w:tr2bl w:val="nil"/>
            </w:tcBorders>
            <w:noWrap w:val="0"/>
            <w:vAlign w:val="center"/>
          </w:tcPr>
          <w:p w14:paraId="0307B1D2">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应急环境监测及事故后评估</w:t>
            </w:r>
          </w:p>
        </w:tc>
        <w:tc>
          <w:tcPr>
            <w:tcW w:w="3192" w:type="pct"/>
            <w:tcBorders>
              <w:tl2br w:val="nil"/>
              <w:tr2bl w:val="nil"/>
            </w:tcBorders>
            <w:noWrap w:val="0"/>
            <w:vAlign w:val="center"/>
          </w:tcPr>
          <w:p w14:paraId="0753C989">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由专业队伍负责对事故现场进行侦查监测，对事故性质数与后果进行评估，为指挥部门提供决策依据。</w:t>
            </w:r>
          </w:p>
        </w:tc>
      </w:tr>
      <w:tr w14:paraId="573316F8">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356" w:type="pct"/>
            <w:tcBorders>
              <w:tl2br w:val="nil"/>
              <w:tr2bl w:val="nil"/>
            </w:tcBorders>
            <w:noWrap w:val="0"/>
            <w:vAlign w:val="center"/>
          </w:tcPr>
          <w:p w14:paraId="5B2FC16F">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9</w:t>
            </w:r>
          </w:p>
        </w:tc>
        <w:tc>
          <w:tcPr>
            <w:tcW w:w="1450" w:type="pct"/>
            <w:tcBorders>
              <w:tl2br w:val="nil"/>
              <w:tr2bl w:val="nil"/>
            </w:tcBorders>
            <w:noWrap w:val="0"/>
            <w:vAlign w:val="center"/>
          </w:tcPr>
          <w:p w14:paraId="054F1036">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应急防护措施、清除泄漏措施方法和器材</w:t>
            </w:r>
          </w:p>
        </w:tc>
        <w:tc>
          <w:tcPr>
            <w:tcW w:w="3192" w:type="pct"/>
            <w:tcBorders>
              <w:tl2br w:val="nil"/>
              <w:tr2bl w:val="nil"/>
            </w:tcBorders>
            <w:noWrap w:val="0"/>
            <w:vAlign w:val="center"/>
          </w:tcPr>
          <w:p w14:paraId="55B03D96">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事故现场：控制事故、防止扩大、蔓延及链锁反应。清除现场泄漏物，降低危害，相应的设施器材配备</w:t>
            </w:r>
          </w:p>
          <w:p w14:paraId="113D717C">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邻近区域：控制防火区域，控制和清除污染措施及相应设备配备。</w:t>
            </w:r>
          </w:p>
        </w:tc>
      </w:tr>
      <w:tr w14:paraId="6EDFFF0E">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356" w:type="pct"/>
            <w:tcBorders>
              <w:tl2br w:val="nil"/>
              <w:tr2bl w:val="nil"/>
            </w:tcBorders>
            <w:noWrap w:val="0"/>
            <w:vAlign w:val="center"/>
          </w:tcPr>
          <w:p w14:paraId="369236FC">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10</w:t>
            </w:r>
          </w:p>
        </w:tc>
        <w:tc>
          <w:tcPr>
            <w:tcW w:w="1450" w:type="pct"/>
            <w:tcBorders>
              <w:tl2br w:val="nil"/>
              <w:tr2bl w:val="nil"/>
            </w:tcBorders>
            <w:noWrap w:val="0"/>
            <w:vAlign w:val="center"/>
          </w:tcPr>
          <w:p w14:paraId="414276D9">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应急剂量控制、撤离组织计划、医疗救护与公众健康</w:t>
            </w:r>
          </w:p>
        </w:tc>
        <w:tc>
          <w:tcPr>
            <w:tcW w:w="3192" w:type="pct"/>
            <w:tcBorders>
              <w:tl2br w:val="nil"/>
              <w:tr2bl w:val="nil"/>
            </w:tcBorders>
            <w:noWrap w:val="0"/>
            <w:vAlign w:val="center"/>
          </w:tcPr>
          <w:p w14:paraId="27093BD9">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事故现场：事故处理人员对毒物的应急剂量控制制定，现场及邻近装置人员撤离组织计划及救护。</w:t>
            </w:r>
          </w:p>
          <w:p w14:paraId="2391913D">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工厂邻近区：受事故影响的邻近区域人员及公众对毒物应急剂量控制规定，撤离组织计划及救护。</w:t>
            </w:r>
          </w:p>
        </w:tc>
      </w:tr>
      <w:tr w14:paraId="4E914EF0">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356" w:type="pct"/>
            <w:tcBorders>
              <w:tl2br w:val="nil"/>
              <w:tr2bl w:val="nil"/>
            </w:tcBorders>
            <w:noWrap w:val="0"/>
            <w:vAlign w:val="center"/>
          </w:tcPr>
          <w:p w14:paraId="72F42A3D">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11</w:t>
            </w:r>
          </w:p>
        </w:tc>
        <w:tc>
          <w:tcPr>
            <w:tcW w:w="1450" w:type="pct"/>
            <w:tcBorders>
              <w:tl2br w:val="nil"/>
              <w:tr2bl w:val="nil"/>
            </w:tcBorders>
            <w:noWrap w:val="0"/>
            <w:vAlign w:val="center"/>
          </w:tcPr>
          <w:p w14:paraId="6F48E954">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应急状态终止与恢复措施</w:t>
            </w:r>
          </w:p>
        </w:tc>
        <w:tc>
          <w:tcPr>
            <w:tcW w:w="3192" w:type="pct"/>
            <w:tcBorders>
              <w:tl2br w:val="nil"/>
              <w:tr2bl w:val="nil"/>
            </w:tcBorders>
            <w:noWrap w:val="0"/>
            <w:vAlign w:val="center"/>
          </w:tcPr>
          <w:p w14:paraId="4604A46D">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规定应急状态终止程序</w:t>
            </w:r>
          </w:p>
          <w:p w14:paraId="4DB02540">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事故现场善后处理，恢复措施</w:t>
            </w:r>
          </w:p>
          <w:p w14:paraId="02830B18">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邻近区域解除事故警戒及善后恢复措施</w:t>
            </w:r>
          </w:p>
        </w:tc>
      </w:tr>
      <w:tr w14:paraId="1DDEFFDD">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356" w:type="pct"/>
            <w:tcBorders>
              <w:tl2br w:val="nil"/>
              <w:tr2bl w:val="nil"/>
            </w:tcBorders>
            <w:noWrap w:val="0"/>
            <w:vAlign w:val="center"/>
          </w:tcPr>
          <w:p w14:paraId="1CA30AB6">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12</w:t>
            </w:r>
          </w:p>
        </w:tc>
        <w:tc>
          <w:tcPr>
            <w:tcW w:w="1450" w:type="pct"/>
            <w:tcBorders>
              <w:tl2br w:val="nil"/>
              <w:tr2bl w:val="nil"/>
            </w:tcBorders>
            <w:noWrap w:val="0"/>
            <w:vAlign w:val="center"/>
          </w:tcPr>
          <w:p w14:paraId="4A638504">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人员培训与演练</w:t>
            </w:r>
          </w:p>
        </w:tc>
        <w:tc>
          <w:tcPr>
            <w:tcW w:w="3192" w:type="pct"/>
            <w:tcBorders>
              <w:tl2br w:val="nil"/>
              <w:tr2bl w:val="nil"/>
            </w:tcBorders>
            <w:noWrap w:val="0"/>
            <w:vAlign w:val="center"/>
          </w:tcPr>
          <w:p w14:paraId="78F7AF5D">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应急计划制定后，平时安排人员培训与演练。</w:t>
            </w:r>
          </w:p>
        </w:tc>
      </w:tr>
      <w:tr w14:paraId="7443000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356" w:type="pct"/>
            <w:tcBorders>
              <w:tl2br w:val="nil"/>
              <w:tr2bl w:val="nil"/>
            </w:tcBorders>
            <w:noWrap w:val="0"/>
            <w:vAlign w:val="center"/>
          </w:tcPr>
          <w:p w14:paraId="4E86ECA6">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13</w:t>
            </w:r>
          </w:p>
        </w:tc>
        <w:tc>
          <w:tcPr>
            <w:tcW w:w="1450" w:type="pct"/>
            <w:tcBorders>
              <w:tl2br w:val="nil"/>
              <w:tr2bl w:val="nil"/>
            </w:tcBorders>
            <w:noWrap w:val="0"/>
            <w:vAlign w:val="center"/>
          </w:tcPr>
          <w:p w14:paraId="11E01F1E">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公众教育和信息</w:t>
            </w:r>
          </w:p>
        </w:tc>
        <w:tc>
          <w:tcPr>
            <w:tcW w:w="3192" w:type="pct"/>
            <w:tcBorders>
              <w:tl2br w:val="nil"/>
              <w:tr2bl w:val="nil"/>
            </w:tcBorders>
            <w:noWrap w:val="0"/>
            <w:vAlign w:val="center"/>
          </w:tcPr>
          <w:p w14:paraId="57263C0A">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对工厂邻近地区开展公众教育、培训和发布有关信息。</w:t>
            </w:r>
          </w:p>
        </w:tc>
      </w:tr>
      <w:tr w14:paraId="4D8983C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356" w:type="pct"/>
            <w:tcBorders>
              <w:tl2br w:val="nil"/>
              <w:tr2bl w:val="nil"/>
            </w:tcBorders>
            <w:noWrap w:val="0"/>
            <w:vAlign w:val="center"/>
          </w:tcPr>
          <w:p w14:paraId="635D696C">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14</w:t>
            </w:r>
          </w:p>
        </w:tc>
        <w:tc>
          <w:tcPr>
            <w:tcW w:w="1450" w:type="pct"/>
            <w:tcBorders>
              <w:tl2br w:val="nil"/>
              <w:tr2bl w:val="nil"/>
            </w:tcBorders>
            <w:noWrap w:val="0"/>
            <w:vAlign w:val="center"/>
          </w:tcPr>
          <w:p w14:paraId="65E92CB6">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记录和报告</w:t>
            </w:r>
          </w:p>
        </w:tc>
        <w:tc>
          <w:tcPr>
            <w:tcW w:w="3192" w:type="pct"/>
            <w:tcBorders>
              <w:tl2br w:val="nil"/>
              <w:tr2bl w:val="nil"/>
            </w:tcBorders>
            <w:noWrap w:val="0"/>
            <w:vAlign w:val="center"/>
          </w:tcPr>
          <w:p w14:paraId="64C70ADA">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设置应急事故专门记录，建档案和专门报告制度，设专门部门和负责管理。</w:t>
            </w:r>
          </w:p>
        </w:tc>
      </w:tr>
      <w:tr w14:paraId="43F6787D">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356" w:type="pct"/>
            <w:tcBorders>
              <w:tl2br w:val="nil"/>
              <w:tr2bl w:val="nil"/>
            </w:tcBorders>
            <w:noWrap w:val="0"/>
            <w:vAlign w:val="center"/>
          </w:tcPr>
          <w:p w14:paraId="3BCAD942">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15</w:t>
            </w:r>
          </w:p>
        </w:tc>
        <w:tc>
          <w:tcPr>
            <w:tcW w:w="1450" w:type="pct"/>
            <w:tcBorders>
              <w:tl2br w:val="nil"/>
              <w:tr2bl w:val="nil"/>
            </w:tcBorders>
            <w:noWrap w:val="0"/>
            <w:vAlign w:val="center"/>
          </w:tcPr>
          <w:p w14:paraId="5872D828">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附件</w:t>
            </w:r>
          </w:p>
        </w:tc>
        <w:tc>
          <w:tcPr>
            <w:tcW w:w="3192" w:type="pct"/>
            <w:tcBorders>
              <w:tl2br w:val="nil"/>
              <w:tr2bl w:val="nil"/>
            </w:tcBorders>
            <w:noWrap w:val="0"/>
            <w:vAlign w:val="center"/>
          </w:tcPr>
          <w:p w14:paraId="01F5B87C">
            <w:pPr>
              <w:widowControl w:val="0"/>
              <w:adjustRightInd w:val="0"/>
              <w:snapToGrid w:val="0"/>
              <w:spacing w:after="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与应急事故有关的多种附件材料的准备和形成。</w:t>
            </w:r>
          </w:p>
        </w:tc>
      </w:tr>
    </w:tbl>
    <w:p w14:paraId="55E8EA0D">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zh-CN" w:eastAsia="zh-CN"/>
        </w:rPr>
      </w:pPr>
      <w:bookmarkStart w:id="63" w:name="_Toc10067"/>
      <w:bookmarkStart w:id="64" w:name="_Toc4657"/>
      <w:r>
        <w:rPr>
          <w:rFonts w:hint="default" w:ascii="Times New Roman" w:hAnsi="Times New Roman" w:eastAsia="宋体" w:cs="Times New Roman"/>
          <w:b/>
          <w:bCs/>
          <w:color w:val="auto"/>
          <w:sz w:val="28"/>
          <w:szCs w:val="28"/>
          <w:lang w:val="zh-CN" w:eastAsia="zh-CN"/>
        </w:rPr>
        <w:t>5.</w:t>
      </w:r>
      <w:r>
        <w:rPr>
          <w:rFonts w:hint="eastAsia" w:ascii="Times New Roman" w:hAnsi="Times New Roman" w:eastAsia="宋体" w:cs="Times New Roman"/>
          <w:b/>
          <w:bCs/>
          <w:color w:val="auto"/>
          <w:sz w:val="28"/>
          <w:szCs w:val="28"/>
          <w:lang w:val="en-US" w:eastAsia="zh-CN"/>
        </w:rPr>
        <w:t>2.7</w:t>
      </w:r>
      <w:r>
        <w:rPr>
          <w:rFonts w:hint="default" w:ascii="Times New Roman" w:hAnsi="Times New Roman" w:eastAsia="宋体" w:cs="Times New Roman"/>
          <w:b/>
          <w:bCs/>
          <w:color w:val="auto"/>
          <w:sz w:val="28"/>
          <w:szCs w:val="28"/>
          <w:lang w:val="zh-CN" w:eastAsia="zh-CN"/>
        </w:rPr>
        <w:t>.</w:t>
      </w:r>
      <w:r>
        <w:rPr>
          <w:rFonts w:hint="eastAsia" w:ascii="Times New Roman" w:hAnsi="Times New Roman" w:eastAsia="宋体" w:cs="Times New Roman"/>
          <w:b/>
          <w:bCs/>
          <w:color w:val="auto"/>
          <w:sz w:val="28"/>
          <w:szCs w:val="28"/>
          <w:lang w:val="en-US" w:eastAsia="zh-CN"/>
        </w:rPr>
        <w:t>7</w:t>
      </w:r>
      <w:r>
        <w:rPr>
          <w:rFonts w:hint="default" w:ascii="Times New Roman" w:hAnsi="Times New Roman" w:eastAsia="宋体" w:cs="Times New Roman"/>
          <w:b/>
          <w:bCs/>
          <w:color w:val="auto"/>
          <w:sz w:val="28"/>
          <w:szCs w:val="28"/>
          <w:lang w:val="en-US" w:eastAsia="zh-CN"/>
        </w:rPr>
        <w:t xml:space="preserve"> </w:t>
      </w:r>
      <w:r>
        <w:rPr>
          <w:rFonts w:hint="default" w:ascii="Times New Roman" w:hAnsi="Times New Roman" w:eastAsia="宋体" w:cs="Times New Roman"/>
          <w:b/>
          <w:bCs/>
          <w:color w:val="auto"/>
          <w:sz w:val="28"/>
          <w:szCs w:val="28"/>
          <w:lang w:val="zh-CN" w:eastAsia="zh-CN"/>
        </w:rPr>
        <w:t>环境风险评价结论</w:t>
      </w:r>
      <w:bookmarkEnd w:id="63"/>
      <w:bookmarkEnd w:id="64"/>
    </w:p>
    <w:p w14:paraId="2EFF3A57">
      <w:pPr>
        <w:keepNext w:val="0"/>
        <w:keepLines w:val="0"/>
        <w:pageBreakBefore w:val="0"/>
        <w:widowControl w:val="0"/>
        <w:kinsoku/>
        <w:wordWrap/>
        <w:overflowPunct/>
        <w:topLinePunct w:val="0"/>
        <w:autoSpaceDE/>
        <w:autoSpaceDN/>
        <w:bidi w:val="0"/>
        <w:adjustRightInd w:val="0"/>
        <w:snapToGrid/>
        <w:spacing w:after="0" w:line="360" w:lineRule="auto"/>
        <w:ind w:firstLine="480" w:firstLineChars="200"/>
        <w:contextualSpacing/>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本项目发生火灾或爆炸事故时主要对厂区内工作人员及生产设施产生影响，影响范围可控制在厂内，不会对厂区周围的居民生命安全构成威胁。</w:t>
      </w:r>
    </w:p>
    <w:p w14:paraId="6D34ED0A">
      <w:pPr>
        <w:keepNext w:val="0"/>
        <w:keepLines w:val="0"/>
        <w:pageBreakBefore w:val="0"/>
        <w:widowControl w:val="0"/>
        <w:kinsoku/>
        <w:wordWrap/>
        <w:overflowPunct/>
        <w:topLinePunct w:val="0"/>
        <w:autoSpaceDE/>
        <w:autoSpaceDN/>
        <w:bidi w:val="0"/>
        <w:adjustRightInd w:val="0"/>
        <w:snapToGrid/>
        <w:spacing w:after="0" w:line="360" w:lineRule="auto"/>
        <w:ind w:firstLine="480" w:firstLineChars="200"/>
        <w:contextualSpacing/>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本项目采取了分区防渗措施，满足</w:t>
      </w:r>
      <w:r>
        <w:rPr>
          <w:rFonts w:hint="eastAsia" w:ascii="Times New Roman" w:hAnsi="Times New Roman" w:eastAsia="宋体" w:cs="Times New Roman"/>
          <w:color w:val="auto"/>
          <w:kern w:val="2"/>
          <w:sz w:val="24"/>
          <w:szCs w:val="24"/>
          <w:highlight w:val="none"/>
          <w:lang w:eastAsia="zh-CN"/>
        </w:rPr>
        <w:t>《危险废物贮存污染控制标准》（GB18597-2023）</w:t>
      </w:r>
      <w:r>
        <w:rPr>
          <w:rFonts w:hint="default" w:ascii="Times New Roman" w:hAnsi="Times New Roman" w:eastAsia="宋体" w:cs="Times New Roman"/>
          <w:color w:val="auto"/>
          <w:kern w:val="2"/>
          <w:sz w:val="24"/>
          <w:szCs w:val="24"/>
          <w:highlight w:val="none"/>
        </w:rPr>
        <w:t>要求，不会污染土壤及地下水体。</w:t>
      </w:r>
    </w:p>
    <w:p w14:paraId="4E640B18">
      <w:pPr>
        <w:keepNext w:val="0"/>
        <w:keepLines w:val="0"/>
        <w:pageBreakBefore w:val="0"/>
        <w:widowControl w:val="0"/>
        <w:kinsoku/>
        <w:wordWrap/>
        <w:overflowPunct/>
        <w:topLinePunct w:val="0"/>
        <w:autoSpaceDE/>
        <w:autoSpaceDN/>
        <w:bidi w:val="0"/>
        <w:adjustRightInd w:val="0"/>
        <w:snapToGrid/>
        <w:spacing w:after="0" w:line="360" w:lineRule="auto"/>
        <w:ind w:firstLine="480" w:firstLineChars="200"/>
        <w:contextualSpacing/>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本工程在设计过程中应充分考虑应急防范措施，制定相应的应急预案，使事故对厂区内人员及各关心点的影响降低到最小。</w:t>
      </w:r>
    </w:p>
    <w:p w14:paraId="355DA222">
      <w:pPr>
        <w:keepNext w:val="0"/>
        <w:keepLines w:val="0"/>
        <w:pageBreakBefore w:val="0"/>
        <w:widowControl w:val="0"/>
        <w:kinsoku/>
        <w:wordWrap/>
        <w:overflowPunct/>
        <w:topLinePunct w:val="0"/>
        <w:autoSpaceDE/>
        <w:autoSpaceDN/>
        <w:bidi w:val="0"/>
        <w:adjustRightInd w:val="0"/>
        <w:snapToGrid/>
        <w:spacing w:after="0" w:line="360" w:lineRule="auto"/>
        <w:ind w:firstLine="480" w:firstLineChars="200"/>
        <w:contextualSpacing/>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综上所述，只要企业能够认真执行本报告书中关于风险管理方面的内容，并充分落实、加强管理，杜绝违章操作，完善各类安全设备、设施，建立相应的风险管理制度和应急救援预案，严格执行遵守风险管理制度和操作规程，就能保证本项目在本阶段设计的环境风险防范水平，满足国家有关环境保护和安全法规、标准的要求，使本项目的环境风险达到可接受的水平，保证本项目从环境风险角度分析的可行性。</w:t>
      </w:r>
    </w:p>
    <w:p w14:paraId="70CCAFA7">
      <w:pPr>
        <w:keepNext w:val="0"/>
        <w:keepLines w:val="0"/>
        <w:pageBreakBefore w:val="0"/>
        <w:widowControl w:val="0"/>
        <w:kinsoku/>
        <w:wordWrap/>
        <w:overflowPunct/>
        <w:topLinePunct w:val="0"/>
        <w:autoSpaceDE/>
        <w:autoSpaceDN/>
        <w:bidi w:val="0"/>
        <w:adjustRightInd w:val="0"/>
        <w:snapToGrid/>
        <w:spacing w:after="0" w:line="360" w:lineRule="auto"/>
        <w:ind w:firstLine="480" w:firstLineChars="200"/>
        <w:contextualSpacing/>
        <w:jc w:val="both"/>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本项目环境风险简单分析内容表见表5.</w:t>
      </w:r>
      <w:r>
        <w:rPr>
          <w:rFonts w:hint="eastAsia" w:ascii="Times New Roman" w:hAnsi="Times New Roman" w:eastAsia="宋体" w:cs="Times New Roman"/>
          <w:color w:val="auto"/>
          <w:kern w:val="2"/>
          <w:sz w:val="24"/>
          <w:szCs w:val="24"/>
          <w:highlight w:val="none"/>
          <w:lang w:val="en-US" w:eastAsia="zh-CN"/>
        </w:rPr>
        <w:t>2</w:t>
      </w:r>
      <w:r>
        <w:rPr>
          <w:rFonts w:hint="default" w:ascii="Times New Roman" w:hAnsi="Times New Roman" w:eastAsia="宋体" w:cs="Times New Roman"/>
          <w:color w:val="auto"/>
          <w:kern w:val="2"/>
          <w:sz w:val="24"/>
          <w:szCs w:val="24"/>
          <w:highlight w:val="none"/>
          <w:lang w:val="en-US" w:eastAsia="zh-CN"/>
        </w:rPr>
        <w:t>-2</w:t>
      </w:r>
      <w:r>
        <w:rPr>
          <w:rFonts w:hint="eastAsia" w:ascii="Times New Roman" w:hAnsi="Times New Roman" w:eastAsia="宋体" w:cs="Times New Roman"/>
          <w:color w:val="auto"/>
          <w:kern w:val="2"/>
          <w:sz w:val="24"/>
          <w:szCs w:val="24"/>
          <w:highlight w:val="none"/>
          <w:lang w:val="en-US" w:eastAsia="zh-CN"/>
        </w:rPr>
        <w:t>2</w:t>
      </w:r>
      <w:r>
        <w:rPr>
          <w:rFonts w:hint="default" w:ascii="Times New Roman" w:hAnsi="Times New Roman" w:eastAsia="宋体" w:cs="Times New Roman"/>
          <w:color w:val="auto"/>
          <w:kern w:val="2"/>
          <w:sz w:val="24"/>
          <w:szCs w:val="24"/>
          <w:highlight w:val="none"/>
        </w:rPr>
        <w:t>。</w:t>
      </w:r>
    </w:p>
    <w:p w14:paraId="15158BE8">
      <w:pPr>
        <w:widowControl w:val="0"/>
        <w:adjustRightInd w:val="0"/>
        <w:snapToGrid w:val="0"/>
        <w:spacing w:after="0" w:line="500" w:lineRule="exact"/>
        <w:jc w:val="center"/>
        <w:rPr>
          <w:rFonts w:hint="default" w:ascii="Times New Roman" w:hAnsi="Times New Roman" w:eastAsia="宋体" w:cs="Times New Roman"/>
          <w:b/>
          <w:color w:val="auto"/>
          <w:kern w:val="2"/>
          <w:sz w:val="24"/>
          <w:szCs w:val="24"/>
          <w:highlight w:val="none"/>
        </w:rPr>
      </w:pPr>
      <w:r>
        <w:rPr>
          <w:rFonts w:hint="default" w:ascii="Times New Roman" w:hAnsi="Times New Roman" w:eastAsia="宋体" w:cs="Times New Roman"/>
          <w:b/>
          <w:color w:val="auto"/>
          <w:kern w:val="2"/>
          <w:sz w:val="24"/>
          <w:szCs w:val="24"/>
          <w:highlight w:val="none"/>
        </w:rPr>
        <w:t>表5.</w:t>
      </w:r>
      <w:r>
        <w:rPr>
          <w:rFonts w:hint="eastAsia" w:ascii="Times New Roman" w:hAnsi="Times New Roman" w:eastAsia="宋体" w:cs="Times New Roman"/>
          <w:b/>
          <w:color w:val="auto"/>
          <w:kern w:val="2"/>
          <w:sz w:val="24"/>
          <w:szCs w:val="24"/>
          <w:highlight w:val="none"/>
          <w:lang w:val="en-US" w:eastAsia="zh-CN"/>
        </w:rPr>
        <w:t>2</w:t>
      </w:r>
      <w:r>
        <w:rPr>
          <w:rFonts w:hint="default" w:ascii="Times New Roman" w:hAnsi="Times New Roman" w:eastAsia="宋体" w:cs="Times New Roman"/>
          <w:b/>
          <w:color w:val="auto"/>
          <w:kern w:val="2"/>
          <w:sz w:val="24"/>
          <w:szCs w:val="24"/>
          <w:highlight w:val="none"/>
          <w:lang w:val="en-US" w:eastAsia="zh-CN"/>
        </w:rPr>
        <w:t>-2</w:t>
      </w:r>
      <w:r>
        <w:rPr>
          <w:rFonts w:hint="eastAsia" w:ascii="Times New Roman" w:hAnsi="Times New Roman" w:eastAsia="宋体" w:cs="Times New Roman"/>
          <w:b/>
          <w:color w:val="auto"/>
          <w:kern w:val="2"/>
          <w:sz w:val="24"/>
          <w:szCs w:val="24"/>
          <w:highlight w:val="none"/>
          <w:lang w:val="en-US" w:eastAsia="zh-CN"/>
        </w:rPr>
        <w:t>2</w:t>
      </w:r>
      <w:r>
        <w:rPr>
          <w:rFonts w:hint="default" w:ascii="Times New Roman" w:hAnsi="Times New Roman" w:eastAsia="宋体" w:cs="Times New Roman"/>
          <w:b/>
          <w:color w:val="auto"/>
          <w:kern w:val="2"/>
          <w:sz w:val="24"/>
          <w:szCs w:val="24"/>
          <w:highlight w:val="none"/>
        </w:rPr>
        <w:t xml:space="preserve">  本项目环境风险简单分析内容表</w:t>
      </w:r>
    </w:p>
    <w:tbl>
      <w:tblPr>
        <w:tblStyle w:val="2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79"/>
        <w:gridCol w:w="1623"/>
        <w:gridCol w:w="2117"/>
        <w:gridCol w:w="1345"/>
        <w:gridCol w:w="1822"/>
      </w:tblGrid>
      <w:tr w14:paraId="4E0450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81" w:type="pct"/>
            <w:tcBorders>
              <w:tl2br w:val="nil"/>
              <w:tr2bl w:val="nil"/>
            </w:tcBorders>
            <w:noWrap w:val="0"/>
            <w:vAlign w:val="center"/>
          </w:tcPr>
          <w:p w14:paraId="597C2395">
            <w:pPr>
              <w:keepNext w:val="0"/>
              <w:keepLines w:val="0"/>
              <w:pageBreakBefore w:val="0"/>
              <w:widowControl w:val="0"/>
              <w:kinsoku w:val="0"/>
              <w:wordWrap/>
              <w:overflowPunct/>
              <w:topLinePunct w:val="0"/>
              <w:autoSpaceDE w:val="0"/>
              <w:autoSpaceDN w:val="0"/>
              <w:bidi w:val="0"/>
              <w:adjustRightInd w:val="0"/>
              <w:snapToGrid w:val="0"/>
              <w:spacing w:after="0"/>
              <w:jc w:val="center"/>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建设项目名称</w:t>
            </w:r>
          </w:p>
        </w:tc>
        <w:tc>
          <w:tcPr>
            <w:tcW w:w="3718" w:type="pct"/>
            <w:gridSpan w:val="4"/>
            <w:tcBorders>
              <w:tl2br w:val="nil"/>
              <w:tr2bl w:val="nil"/>
            </w:tcBorders>
            <w:noWrap w:val="0"/>
            <w:vAlign w:val="center"/>
          </w:tcPr>
          <w:p w14:paraId="1678763F">
            <w:pPr>
              <w:keepNext w:val="0"/>
              <w:keepLines w:val="0"/>
              <w:pageBreakBefore w:val="0"/>
              <w:widowControl w:val="0"/>
              <w:kinsoku w:val="0"/>
              <w:wordWrap/>
              <w:overflowPunct/>
              <w:topLinePunct w:val="0"/>
              <w:autoSpaceDE w:val="0"/>
              <w:autoSpaceDN w:val="0"/>
              <w:bidi w:val="0"/>
              <w:adjustRightInd w:val="0"/>
              <w:snapToGrid w:val="0"/>
              <w:spacing w:after="0"/>
              <w:jc w:val="center"/>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eastAsia="zh-CN"/>
              </w:rPr>
              <w:t>黑龙江天时利精密科技有限公司新建项目</w:t>
            </w:r>
          </w:p>
        </w:tc>
      </w:tr>
      <w:tr w14:paraId="79FD81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81" w:type="pct"/>
            <w:tcBorders>
              <w:tl2br w:val="nil"/>
              <w:tr2bl w:val="nil"/>
            </w:tcBorders>
            <w:noWrap w:val="0"/>
            <w:vAlign w:val="center"/>
          </w:tcPr>
          <w:p w14:paraId="5B1F3C78">
            <w:pPr>
              <w:keepNext w:val="0"/>
              <w:keepLines w:val="0"/>
              <w:pageBreakBefore w:val="0"/>
              <w:widowControl w:val="0"/>
              <w:kinsoku w:val="0"/>
              <w:wordWrap/>
              <w:overflowPunct/>
              <w:topLinePunct w:val="0"/>
              <w:autoSpaceDE w:val="0"/>
              <w:autoSpaceDN w:val="0"/>
              <w:bidi w:val="0"/>
              <w:adjustRightInd w:val="0"/>
              <w:snapToGrid w:val="0"/>
              <w:spacing w:after="0"/>
              <w:jc w:val="center"/>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建设地点</w:t>
            </w:r>
          </w:p>
        </w:tc>
        <w:tc>
          <w:tcPr>
            <w:tcW w:w="874" w:type="pct"/>
            <w:tcBorders>
              <w:tl2br w:val="nil"/>
              <w:tr2bl w:val="nil"/>
            </w:tcBorders>
            <w:noWrap w:val="0"/>
            <w:vAlign w:val="center"/>
          </w:tcPr>
          <w:p w14:paraId="37912987">
            <w:pPr>
              <w:keepNext w:val="0"/>
              <w:keepLines w:val="0"/>
              <w:pageBreakBefore w:val="0"/>
              <w:widowControl w:val="0"/>
              <w:kinsoku w:val="0"/>
              <w:wordWrap/>
              <w:overflowPunct/>
              <w:topLinePunct w:val="0"/>
              <w:autoSpaceDE w:val="0"/>
              <w:autoSpaceDN w:val="0"/>
              <w:bidi w:val="0"/>
              <w:adjustRightInd w:val="0"/>
              <w:snapToGrid w:val="0"/>
              <w:spacing w:after="0"/>
              <w:jc w:val="center"/>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（黑龙江）省</w:t>
            </w:r>
          </w:p>
        </w:tc>
        <w:tc>
          <w:tcPr>
            <w:tcW w:w="1140" w:type="pct"/>
            <w:tcBorders>
              <w:tl2br w:val="nil"/>
              <w:tr2bl w:val="nil"/>
            </w:tcBorders>
            <w:noWrap w:val="0"/>
            <w:vAlign w:val="center"/>
          </w:tcPr>
          <w:p w14:paraId="6C893AD4">
            <w:pPr>
              <w:keepNext w:val="0"/>
              <w:keepLines w:val="0"/>
              <w:pageBreakBefore w:val="0"/>
              <w:widowControl w:val="0"/>
              <w:kinsoku w:val="0"/>
              <w:wordWrap/>
              <w:overflowPunct/>
              <w:topLinePunct w:val="0"/>
              <w:autoSpaceDE w:val="0"/>
              <w:autoSpaceDN w:val="0"/>
              <w:bidi w:val="0"/>
              <w:adjustRightInd w:val="0"/>
              <w:snapToGrid w:val="0"/>
              <w:spacing w:after="0"/>
              <w:jc w:val="center"/>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（哈尔滨）市</w:t>
            </w:r>
          </w:p>
        </w:tc>
        <w:tc>
          <w:tcPr>
            <w:tcW w:w="1703" w:type="pct"/>
            <w:gridSpan w:val="2"/>
            <w:tcBorders>
              <w:tl2br w:val="nil"/>
              <w:tr2bl w:val="nil"/>
            </w:tcBorders>
            <w:noWrap w:val="0"/>
            <w:vAlign w:val="center"/>
          </w:tcPr>
          <w:p w14:paraId="4907AB4C">
            <w:pPr>
              <w:keepNext w:val="0"/>
              <w:keepLines w:val="0"/>
              <w:pageBreakBefore w:val="0"/>
              <w:widowControl w:val="0"/>
              <w:kinsoku w:val="0"/>
              <w:wordWrap/>
              <w:overflowPunct/>
              <w:topLinePunct w:val="0"/>
              <w:autoSpaceDE w:val="0"/>
              <w:autoSpaceDN w:val="0"/>
              <w:bidi w:val="0"/>
              <w:adjustRightInd w:val="0"/>
              <w:snapToGrid w:val="0"/>
              <w:spacing w:after="0"/>
              <w:jc w:val="center"/>
              <w:textAlignment w:val="baseline"/>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五常市</w:t>
            </w:r>
          </w:p>
        </w:tc>
      </w:tr>
      <w:tr w14:paraId="6C3112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81" w:type="pct"/>
            <w:tcBorders>
              <w:tl2br w:val="nil"/>
              <w:tr2bl w:val="nil"/>
            </w:tcBorders>
            <w:noWrap w:val="0"/>
            <w:vAlign w:val="center"/>
          </w:tcPr>
          <w:p w14:paraId="141532A8">
            <w:pPr>
              <w:keepNext w:val="0"/>
              <w:keepLines w:val="0"/>
              <w:pageBreakBefore w:val="0"/>
              <w:widowControl w:val="0"/>
              <w:kinsoku w:val="0"/>
              <w:wordWrap/>
              <w:overflowPunct/>
              <w:topLinePunct w:val="0"/>
              <w:autoSpaceDE w:val="0"/>
              <w:autoSpaceDN w:val="0"/>
              <w:bidi w:val="0"/>
              <w:adjustRightInd w:val="0"/>
              <w:snapToGrid w:val="0"/>
              <w:spacing w:after="0"/>
              <w:jc w:val="center"/>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地理坐标</w:t>
            </w:r>
          </w:p>
        </w:tc>
        <w:tc>
          <w:tcPr>
            <w:tcW w:w="874" w:type="pct"/>
            <w:tcBorders>
              <w:tl2br w:val="nil"/>
              <w:tr2bl w:val="nil"/>
            </w:tcBorders>
            <w:noWrap w:val="0"/>
            <w:vAlign w:val="center"/>
          </w:tcPr>
          <w:p w14:paraId="0A7DD087">
            <w:pPr>
              <w:keepNext w:val="0"/>
              <w:keepLines w:val="0"/>
              <w:pageBreakBefore w:val="0"/>
              <w:widowControl w:val="0"/>
              <w:kinsoku w:val="0"/>
              <w:wordWrap/>
              <w:overflowPunct/>
              <w:topLinePunct w:val="0"/>
              <w:autoSpaceDE w:val="0"/>
              <w:autoSpaceDN w:val="0"/>
              <w:bidi w:val="0"/>
              <w:adjustRightInd w:val="0"/>
              <w:snapToGrid w:val="0"/>
              <w:spacing w:after="0"/>
              <w:jc w:val="center"/>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经度</w:t>
            </w:r>
          </w:p>
        </w:tc>
        <w:tc>
          <w:tcPr>
            <w:tcW w:w="1140" w:type="pct"/>
            <w:tcBorders>
              <w:tl2br w:val="nil"/>
              <w:tr2bl w:val="nil"/>
            </w:tcBorders>
            <w:noWrap w:val="0"/>
            <w:vAlign w:val="center"/>
          </w:tcPr>
          <w:p w14:paraId="231E31E3">
            <w:pPr>
              <w:keepNext w:val="0"/>
              <w:keepLines w:val="0"/>
              <w:pageBreakBefore w:val="0"/>
              <w:widowControl w:val="0"/>
              <w:kinsoku w:val="0"/>
              <w:wordWrap/>
              <w:overflowPunct/>
              <w:topLinePunct w:val="0"/>
              <w:autoSpaceDE w:val="0"/>
              <w:autoSpaceDN w:val="0"/>
              <w:bidi w:val="0"/>
              <w:adjustRightInd w:val="0"/>
              <w:snapToGrid w:val="0"/>
              <w:spacing w:after="0"/>
              <w:jc w:val="center"/>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E</w:t>
            </w:r>
            <w:r>
              <w:rPr>
                <w:rFonts w:hint="default" w:ascii="Times New Roman" w:hAnsi="Times New Roman" w:eastAsia="宋体" w:cs="Times New Roman"/>
                <w:color w:val="auto"/>
                <w:kern w:val="2"/>
                <w:sz w:val="21"/>
                <w:szCs w:val="21"/>
                <w:highlight w:val="none"/>
                <w:lang w:val="en-US" w:eastAsia="zh-CN"/>
              </w:rPr>
              <w:t>126°43′33.163″</w:t>
            </w:r>
          </w:p>
        </w:tc>
        <w:tc>
          <w:tcPr>
            <w:tcW w:w="724" w:type="pct"/>
            <w:tcBorders>
              <w:tl2br w:val="nil"/>
              <w:tr2bl w:val="nil"/>
            </w:tcBorders>
            <w:noWrap w:val="0"/>
            <w:vAlign w:val="center"/>
          </w:tcPr>
          <w:p w14:paraId="1D138CFE">
            <w:pPr>
              <w:keepNext w:val="0"/>
              <w:keepLines w:val="0"/>
              <w:pageBreakBefore w:val="0"/>
              <w:widowControl w:val="0"/>
              <w:kinsoku w:val="0"/>
              <w:wordWrap/>
              <w:overflowPunct/>
              <w:topLinePunct w:val="0"/>
              <w:autoSpaceDE w:val="0"/>
              <w:autoSpaceDN w:val="0"/>
              <w:bidi w:val="0"/>
              <w:adjustRightInd w:val="0"/>
              <w:snapToGrid w:val="0"/>
              <w:spacing w:after="0"/>
              <w:jc w:val="center"/>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纬度</w:t>
            </w:r>
          </w:p>
        </w:tc>
        <w:tc>
          <w:tcPr>
            <w:tcW w:w="979" w:type="pct"/>
            <w:tcBorders>
              <w:tl2br w:val="nil"/>
              <w:tr2bl w:val="nil"/>
            </w:tcBorders>
            <w:noWrap w:val="0"/>
            <w:vAlign w:val="center"/>
          </w:tcPr>
          <w:p w14:paraId="1972D930">
            <w:pPr>
              <w:keepNext w:val="0"/>
              <w:keepLines w:val="0"/>
              <w:pageBreakBefore w:val="0"/>
              <w:widowControl w:val="0"/>
              <w:kinsoku w:val="0"/>
              <w:wordWrap/>
              <w:overflowPunct/>
              <w:topLinePunct w:val="0"/>
              <w:autoSpaceDE w:val="0"/>
              <w:autoSpaceDN w:val="0"/>
              <w:bidi w:val="0"/>
              <w:adjustRightInd w:val="0"/>
              <w:snapToGrid w:val="0"/>
              <w:spacing w:after="0"/>
              <w:jc w:val="center"/>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N</w:t>
            </w:r>
            <w:r>
              <w:rPr>
                <w:rFonts w:hint="default" w:ascii="Times New Roman" w:hAnsi="Times New Roman" w:eastAsia="宋体" w:cs="Times New Roman"/>
                <w:color w:val="auto"/>
                <w:kern w:val="2"/>
                <w:sz w:val="21"/>
                <w:szCs w:val="21"/>
                <w:highlight w:val="none"/>
                <w:lang w:val="en-US" w:eastAsia="zh-CN"/>
              </w:rPr>
              <w:t>45°25′47.075″</w:t>
            </w:r>
          </w:p>
        </w:tc>
      </w:tr>
      <w:tr w14:paraId="21CC15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81" w:type="pct"/>
            <w:tcBorders>
              <w:tl2br w:val="nil"/>
              <w:tr2bl w:val="nil"/>
            </w:tcBorders>
            <w:noWrap w:val="0"/>
            <w:vAlign w:val="center"/>
          </w:tcPr>
          <w:p w14:paraId="2CB81344">
            <w:pPr>
              <w:keepNext w:val="0"/>
              <w:keepLines w:val="0"/>
              <w:pageBreakBefore w:val="0"/>
              <w:widowControl w:val="0"/>
              <w:kinsoku w:val="0"/>
              <w:wordWrap/>
              <w:overflowPunct/>
              <w:topLinePunct w:val="0"/>
              <w:autoSpaceDE w:val="0"/>
              <w:autoSpaceDN w:val="0"/>
              <w:bidi w:val="0"/>
              <w:adjustRightInd w:val="0"/>
              <w:snapToGrid w:val="0"/>
              <w:spacing w:after="0"/>
              <w:jc w:val="center"/>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主要危险物质及分布</w:t>
            </w:r>
          </w:p>
        </w:tc>
        <w:tc>
          <w:tcPr>
            <w:tcW w:w="3718" w:type="pct"/>
            <w:gridSpan w:val="4"/>
            <w:tcBorders>
              <w:tl2br w:val="nil"/>
              <w:tr2bl w:val="nil"/>
            </w:tcBorders>
            <w:noWrap w:val="0"/>
            <w:vAlign w:val="center"/>
          </w:tcPr>
          <w:p w14:paraId="432B44E2">
            <w:pPr>
              <w:keepNext w:val="0"/>
              <w:keepLines w:val="0"/>
              <w:pageBreakBefore w:val="0"/>
              <w:widowControl w:val="0"/>
              <w:kinsoku w:val="0"/>
              <w:wordWrap/>
              <w:overflowPunct/>
              <w:topLinePunct w:val="0"/>
              <w:autoSpaceDE w:val="0"/>
              <w:autoSpaceDN w:val="0"/>
              <w:bidi w:val="0"/>
              <w:adjustRightInd w:val="0"/>
              <w:snapToGrid w:val="0"/>
              <w:spacing w:after="0"/>
              <w:jc w:val="center"/>
              <w:textAlignment w:val="baseline"/>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油漆</w:t>
            </w:r>
            <w:r>
              <w:rPr>
                <w:rFonts w:hint="default" w:ascii="Times New Roman" w:hAnsi="Times New Roman" w:eastAsia="宋体" w:cs="Times New Roman"/>
                <w:color w:val="auto"/>
                <w:kern w:val="2"/>
                <w:sz w:val="21"/>
                <w:szCs w:val="21"/>
                <w:highlight w:val="none"/>
              </w:rPr>
              <w:t>分布在</w:t>
            </w:r>
            <w:r>
              <w:rPr>
                <w:rFonts w:hint="default" w:ascii="Times New Roman" w:hAnsi="Times New Roman" w:eastAsia="宋体" w:cs="Times New Roman"/>
                <w:color w:val="auto"/>
                <w:kern w:val="2"/>
                <w:sz w:val="21"/>
                <w:szCs w:val="21"/>
                <w:highlight w:val="none"/>
                <w:lang w:eastAsia="zh-CN"/>
              </w:rPr>
              <w:t>油漆库</w:t>
            </w:r>
            <w:r>
              <w:rPr>
                <w:rFonts w:hint="default" w:ascii="Times New Roman" w:hAnsi="Times New Roman" w:eastAsia="宋体" w:cs="Times New Roman"/>
                <w:color w:val="auto"/>
                <w:kern w:val="2"/>
                <w:sz w:val="21"/>
                <w:szCs w:val="21"/>
                <w:highlight w:val="none"/>
              </w:rPr>
              <w:t>及喷涂间。</w:t>
            </w:r>
            <w:r>
              <w:rPr>
                <w:rFonts w:hint="eastAsia" w:ascii="Times New Roman" w:hAnsi="Times New Roman" w:eastAsia="宋体" w:cs="Times New Roman"/>
                <w:color w:val="auto"/>
                <w:kern w:val="2"/>
                <w:sz w:val="21"/>
                <w:szCs w:val="21"/>
                <w:highlight w:val="none"/>
                <w:lang w:val="en-US" w:eastAsia="zh-CN"/>
              </w:rPr>
              <w:t>危险废物分布于危险废物贮存库。</w:t>
            </w:r>
            <w:r>
              <w:rPr>
                <w:rFonts w:hint="default" w:ascii="Times New Roman" w:hAnsi="Times New Roman" w:eastAsia="宋体" w:cs="Times New Roman"/>
                <w:color w:val="auto"/>
                <w:kern w:val="2"/>
                <w:sz w:val="21"/>
                <w:szCs w:val="21"/>
                <w:highlight w:val="none"/>
              </w:rPr>
              <w:t>天然气属于易燃易爆物质，主要是存在于管道中。</w:t>
            </w:r>
          </w:p>
        </w:tc>
      </w:tr>
      <w:tr w14:paraId="4D09FE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0" w:hRule="atLeast"/>
          <w:jc w:val="center"/>
        </w:trPr>
        <w:tc>
          <w:tcPr>
            <w:tcW w:w="1281" w:type="pct"/>
            <w:tcBorders>
              <w:tl2br w:val="nil"/>
              <w:tr2bl w:val="nil"/>
            </w:tcBorders>
            <w:noWrap w:val="0"/>
            <w:vAlign w:val="center"/>
          </w:tcPr>
          <w:p w14:paraId="57A201E2">
            <w:pPr>
              <w:keepNext w:val="0"/>
              <w:keepLines w:val="0"/>
              <w:pageBreakBefore w:val="0"/>
              <w:widowControl w:val="0"/>
              <w:kinsoku w:val="0"/>
              <w:wordWrap/>
              <w:overflowPunct/>
              <w:topLinePunct w:val="0"/>
              <w:autoSpaceDE w:val="0"/>
              <w:autoSpaceDN w:val="0"/>
              <w:bidi w:val="0"/>
              <w:adjustRightInd w:val="0"/>
              <w:snapToGrid w:val="0"/>
              <w:spacing w:after="0"/>
              <w:jc w:val="center"/>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环境影响途径及危害后果（大气、地表水、地下水等）</w:t>
            </w:r>
          </w:p>
        </w:tc>
        <w:tc>
          <w:tcPr>
            <w:tcW w:w="3718" w:type="pct"/>
            <w:gridSpan w:val="4"/>
            <w:tcBorders>
              <w:tl2br w:val="nil"/>
              <w:tr2bl w:val="nil"/>
            </w:tcBorders>
            <w:noWrap w:val="0"/>
            <w:vAlign w:val="center"/>
          </w:tcPr>
          <w:p w14:paraId="1475ADB8">
            <w:pPr>
              <w:keepNext w:val="0"/>
              <w:keepLines w:val="0"/>
              <w:pageBreakBefore w:val="0"/>
              <w:widowControl w:val="0"/>
              <w:kinsoku w:val="0"/>
              <w:wordWrap/>
              <w:overflowPunct/>
              <w:topLinePunct w:val="0"/>
              <w:autoSpaceDE w:val="0"/>
              <w:autoSpaceDN w:val="0"/>
              <w:bidi w:val="0"/>
              <w:adjustRightInd w:val="0"/>
              <w:snapToGrid w:val="0"/>
              <w:spacing w:after="0"/>
              <w:jc w:val="left"/>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①大气环境风险分析：天然气、废</w:t>
            </w:r>
            <w:r>
              <w:rPr>
                <w:rFonts w:hint="eastAsia" w:ascii="Times New Roman" w:hAnsi="Times New Roman" w:eastAsia="宋体" w:cs="Times New Roman"/>
                <w:color w:val="auto"/>
                <w:kern w:val="2"/>
                <w:sz w:val="21"/>
                <w:szCs w:val="21"/>
                <w:highlight w:val="none"/>
                <w:lang w:val="en-US" w:eastAsia="zh-CN"/>
              </w:rPr>
              <w:t>润滑油</w:t>
            </w:r>
            <w:r>
              <w:rPr>
                <w:rFonts w:hint="default" w:ascii="Times New Roman" w:hAnsi="Times New Roman" w:eastAsia="宋体" w:cs="Times New Roman"/>
                <w:color w:val="auto"/>
                <w:kern w:val="2"/>
                <w:sz w:val="21"/>
                <w:szCs w:val="21"/>
                <w:highlight w:val="none"/>
              </w:rPr>
              <w:t>等泄漏后若遇明火，会发生火灾燃烧、爆炸事故，燃烧后次生的主要分解产物CO会对周围人群造成较大影响。当废气发生事故排放时，废气中的有毒有害物质会对周围大气造成污染。</w:t>
            </w:r>
          </w:p>
          <w:p w14:paraId="6892A889">
            <w:pPr>
              <w:keepNext w:val="0"/>
              <w:keepLines w:val="0"/>
              <w:pageBreakBefore w:val="0"/>
              <w:widowControl w:val="0"/>
              <w:kinsoku w:val="0"/>
              <w:wordWrap/>
              <w:overflowPunct/>
              <w:topLinePunct w:val="0"/>
              <w:autoSpaceDE w:val="0"/>
              <w:autoSpaceDN w:val="0"/>
              <w:bidi w:val="0"/>
              <w:adjustRightInd w:val="0"/>
              <w:snapToGrid w:val="0"/>
              <w:spacing w:after="0"/>
              <w:jc w:val="left"/>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②地表水环境风险分析：本项目油漆及危险废物均为桶装，且油漆包装桶均放置于化学品仓库内，危险废物均放置于危险废物</w:t>
            </w:r>
            <w:r>
              <w:rPr>
                <w:rFonts w:hint="eastAsia" w:ascii="Times New Roman" w:hAnsi="Times New Roman" w:eastAsia="宋体" w:cs="Times New Roman"/>
                <w:color w:val="auto"/>
                <w:kern w:val="2"/>
                <w:sz w:val="21"/>
                <w:szCs w:val="21"/>
                <w:highlight w:val="none"/>
                <w:lang w:val="en-US" w:eastAsia="zh-CN"/>
              </w:rPr>
              <w:t>贮存库</w:t>
            </w:r>
            <w:r>
              <w:rPr>
                <w:rFonts w:hint="default" w:ascii="Times New Roman" w:hAnsi="Times New Roman" w:eastAsia="宋体" w:cs="Times New Roman"/>
                <w:color w:val="auto"/>
                <w:kern w:val="2"/>
                <w:sz w:val="21"/>
                <w:szCs w:val="21"/>
                <w:highlight w:val="none"/>
              </w:rPr>
              <w:t>内，其地面已进行防渗处理，若出现少量泄漏，不会流至外围地表水体。</w:t>
            </w:r>
          </w:p>
          <w:p w14:paraId="0E0F03C9">
            <w:pPr>
              <w:keepNext w:val="0"/>
              <w:keepLines w:val="0"/>
              <w:pageBreakBefore w:val="0"/>
              <w:widowControl w:val="0"/>
              <w:kinsoku w:val="0"/>
              <w:wordWrap/>
              <w:overflowPunct/>
              <w:topLinePunct w:val="0"/>
              <w:autoSpaceDE w:val="0"/>
              <w:autoSpaceDN w:val="0"/>
              <w:bidi w:val="0"/>
              <w:adjustRightInd w:val="0"/>
              <w:snapToGrid w:val="0"/>
              <w:spacing w:after="0"/>
              <w:jc w:val="left"/>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③地下水环境风险分析：本项目危险废物均放置于危险废物</w:t>
            </w:r>
            <w:r>
              <w:rPr>
                <w:rFonts w:hint="eastAsia" w:ascii="Times New Roman" w:hAnsi="Times New Roman" w:eastAsia="宋体" w:cs="Times New Roman"/>
                <w:color w:val="auto"/>
                <w:kern w:val="2"/>
                <w:sz w:val="21"/>
                <w:szCs w:val="21"/>
                <w:highlight w:val="none"/>
                <w:lang w:val="en-US" w:eastAsia="zh-CN"/>
              </w:rPr>
              <w:t>贮存库</w:t>
            </w:r>
            <w:r>
              <w:rPr>
                <w:rFonts w:hint="default" w:ascii="Times New Roman" w:hAnsi="Times New Roman" w:eastAsia="宋体" w:cs="Times New Roman"/>
                <w:color w:val="auto"/>
                <w:kern w:val="2"/>
                <w:sz w:val="21"/>
                <w:szCs w:val="21"/>
                <w:highlight w:val="none"/>
              </w:rPr>
              <w:t>内，其地面已进行防渗处理，可防止泄漏的液体径流至厂房外以及渗入土壤和地下水，对地下水的影响较小。</w:t>
            </w:r>
          </w:p>
        </w:tc>
      </w:tr>
      <w:tr w14:paraId="12AA1D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81" w:type="pct"/>
            <w:tcBorders>
              <w:tl2br w:val="nil"/>
              <w:tr2bl w:val="nil"/>
            </w:tcBorders>
            <w:noWrap w:val="0"/>
            <w:vAlign w:val="center"/>
          </w:tcPr>
          <w:p w14:paraId="160F99C5">
            <w:pPr>
              <w:keepNext w:val="0"/>
              <w:keepLines w:val="0"/>
              <w:pageBreakBefore w:val="0"/>
              <w:widowControl w:val="0"/>
              <w:kinsoku w:val="0"/>
              <w:wordWrap/>
              <w:overflowPunct/>
              <w:topLinePunct w:val="0"/>
              <w:autoSpaceDE w:val="0"/>
              <w:autoSpaceDN w:val="0"/>
              <w:bidi w:val="0"/>
              <w:adjustRightInd w:val="0"/>
              <w:snapToGrid w:val="0"/>
              <w:spacing w:after="0"/>
              <w:jc w:val="center"/>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风险防范措施要求</w:t>
            </w:r>
          </w:p>
        </w:tc>
        <w:tc>
          <w:tcPr>
            <w:tcW w:w="3718" w:type="pct"/>
            <w:gridSpan w:val="4"/>
            <w:tcBorders>
              <w:tl2br w:val="nil"/>
              <w:tr2bl w:val="nil"/>
            </w:tcBorders>
            <w:noWrap w:val="0"/>
            <w:vAlign w:val="center"/>
          </w:tcPr>
          <w:p w14:paraId="2D2C6FBC">
            <w:pPr>
              <w:keepNext w:val="0"/>
              <w:keepLines w:val="0"/>
              <w:pageBreakBefore w:val="0"/>
              <w:widowControl w:val="0"/>
              <w:kinsoku w:val="0"/>
              <w:wordWrap/>
              <w:overflowPunct/>
              <w:topLinePunct w:val="0"/>
              <w:autoSpaceDE w:val="0"/>
              <w:autoSpaceDN w:val="0"/>
              <w:bidi w:val="0"/>
              <w:adjustRightInd w:val="0"/>
              <w:snapToGrid w:val="0"/>
              <w:spacing w:after="0"/>
              <w:jc w:val="left"/>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①组建安全环保管理机构；</w:t>
            </w:r>
          </w:p>
          <w:p w14:paraId="7ABDE954">
            <w:pPr>
              <w:keepNext w:val="0"/>
              <w:keepLines w:val="0"/>
              <w:pageBreakBefore w:val="0"/>
              <w:widowControl w:val="0"/>
              <w:kinsoku w:val="0"/>
              <w:wordWrap/>
              <w:overflowPunct/>
              <w:topLinePunct w:val="0"/>
              <w:autoSpaceDE w:val="0"/>
              <w:autoSpaceDN w:val="0"/>
              <w:bidi w:val="0"/>
              <w:adjustRightInd w:val="0"/>
              <w:snapToGrid w:val="0"/>
              <w:spacing w:after="0"/>
              <w:jc w:val="left"/>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②完善总图布置和建筑安全防范措施；</w:t>
            </w:r>
          </w:p>
          <w:p w14:paraId="3E080313">
            <w:pPr>
              <w:keepNext w:val="0"/>
              <w:keepLines w:val="0"/>
              <w:pageBreakBefore w:val="0"/>
              <w:widowControl w:val="0"/>
              <w:kinsoku w:val="0"/>
              <w:wordWrap/>
              <w:overflowPunct/>
              <w:topLinePunct w:val="0"/>
              <w:autoSpaceDE w:val="0"/>
              <w:autoSpaceDN w:val="0"/>
              <w:bidi w:val="0"/>
              <w:adjustRightInd w:val="0"/>
              <w:snapToGrid w:val="0"/>
              <w:spacing w:after="0"/>
              <w:jc w:val="left"/>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③按规范对化学品储存、运输中防范措施；</w:t>
            </w:r>
          </w:p>
          <w:p w14:paraId="19DEDA7E">
            <w:pPr>
              <w:keepNext w:val="0"/>
              <w:keepLines w:val="0"/>
              <w:pageBreakBefore w:val="0"/>
              <w:widowControl w:val="0"/>
              <w:kinsoku w:val="0"/>
              <w:wordWrap/>
              <w:overflowPunct/>
              <w:topLinePunct w:val="0"/>
              <w:autoSpaceDE w:val="0"/>
              <w:autoSpaceDN w:val="0"/>
              <w:bidi w:val="0"/>
              <w:adjustRightInd w:val="0"/>
              <w:snapToGrid w:val="0"/>
              <w:spacing w:after="0"/>
              <w:jc w:val="left"/>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④加强废气治理设备的维护；</w:t>
            </w:r>
          </w:p>
          <w:p w14:paraId="1D43CE5D">
            <w:pPr>
              <w:keepNext w:val="0"/>
              <w:keepLines w:val="0"/>
              <w:pageBreakBefore w:val="0"/>
              <w:widowControl w:val="0"/>
              <w:kinsoku w:val="0"/>
              <w:wordWrap/>
              <w:overflowPunct/>
              <w:topLinePunct w:val="0"/>
              <w:autoSpaceDE w:val="0"/>
              <w:autoSpaceDN w:val="0"/>
              <w:bidi w:val="0"/>
              <w:adjustRightInd w:val="0"/>
              <w:snapToGrid w:val="0"/>
              <w:spacing w:after="0"/>
              <w:jc w:val="left"/>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⑤规范设置固废堆场；</w:t>
            </w:r>
          </w:p>
          <w:p w14:paraId="0E1EF7CA">
            <w:pPr>
              <w:keepNext w:val="0"/>
              <w:keepLines w:val="0"/>
              <w:pageBreakBefore w:val="0"/>
              <w:widowControl w:val="0"/>
              <w:kinsoku w:val="0"/>
              <w:wordWrap/>
              <w:overflowPunct/>
              <w:topLinePunct w:val="0"/>
              <w:autoSpaceDE w:val="0"/>
              <w:autoSpaceDN w:val="0"/>
              <w:bidi w:val="0"/>
              <w:adjustRightInd w:val="0"/>
              <w:snapToGrid w:val="0"/>
              <w:spacing w:after="0"/>
              <w:jc w:val="left"/>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⑥编制突发环境事件应急预案。</w:t>
            </w:r>
          </w:p>
        </w:tc>
      </w:tr>
      <w:tr w14:paraId="5987AD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5"/>
            <w:tcBorders>
              <w:tl2br w:val="nil"/>
              <w:tr2bl w:val="nil"/>
            </w:tcBorders>
            <w:noWrap w:val="0"/>
            <w:vAlign w:val="center"/>
          </w:tcPr>
          <w:p w14:paraId="35C1C626">
            <w:pPr>
              <w:keepNext w:val="0"/>
              <w:keepLines w:val="0"/>
              <w:pageBreakBefore w:val="0"/>
              <w:widowControl w:val="0"/>
              <w:kinsoku w:val="0"/>
              <w:wordWrap/>
              <w:overflowPunct/>
              <w:topLinePunct w:val="0"/>
              <w:autoSpaceDE w:val="0"/>
              <w:autoSpaceDN w:val="0"/>
              <w:bidi w:val="0"/>
              <w:adjustRightInd w:val="0"/>
              <w:snapToGrid w:val="0"/>
              <w:spacing w:after="0"/>
              <w:jc w:val="left"/>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填表说明（列出项目相关信息及评价说明）：</w:t>
            </w:r>
          </w:p>
          <w:p w14:paraId="1E6BDB42">
            <w:pPr>
              <w:keepNext w:val="0"/>
              <w:keepLines w:val="0"/>
              <w:pageBreakBefore w:val="0"/>
              <w:widowControl w:val="0"/>
              <w:kinsoku w:val="0"/>
              <w:wordWrap/>
              <w:overflowPunct/>
              <w:topLinePunct w:val="0"/>
              <w:autoSpaceDE w:val="0"/>
              <w:autoSpaceDN w:val="0"/>
              <w:bidi w:val="0"/>
              <w:adjustRightInd w:val="0"/>
              <w:snapToGrid w:val="0"/>
              <w:spacing w:after="0"/>
              <w:jc w:val="center"/>
              <w:textAlignment w:val="baseline"/>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由于本项目危险物质Q值＜1时，该项目环境风险潜势为Ⅰ级，可开展简单分析。</w:t>
            </w:r>
          </w:p>
        </w:tc>
      </w:tr>
    </w:tbl>
    <w:p w14:paraId="713DD0D6">
      <w:pPr>
        <w:keepNext w:val="0"/>
        <w:keepLines w:val="0"/>
        <w:pageBreakBefore/>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0"/>
        <w:rPr>
          <w:rFonts w:hint="default" w:ascii="Times New Roman" w:hAnsi="Times New Roman" w:eastAsia="微软雅黑" w:cs="Times New Roman"/>
          <w:b w:val="0"/>
          <w:bCs w:val="0"/>
          <w:color w:val="auto"/>
          <w:spacing w:val="0"/>
          <w:position w:val="0"/>
          <w:sz w:val="36"/>
          <w:szCs w:val="36"/>
        </w:rPr>
      </w:pPr>
      <w:bookmarkStart w:id="65" w:name="bookmark48"/>
      <w:bookmarkEnd w:id="65"/>
      <w:bookmarkStart w:id="66" w:name="_Toc25546"/>
      <w:r>
        <w:rPr>
          <w:rFonts w:hint="eastAsia" w:ascii="Times New Roman" w:hAnsi="Times New Roman" w:eastAsia="微软雅黑" w:cs="Times New Roman"/>
          <w:b w:val="0"/>
          <w:bCs w:val="0"/>
          <w:color w:val="auto"/>
          <w:spacing w:val="0"/>
          <w:position w:val="0"/>
          <w:sz w:val="36"/>
          <w:szCs w:val="36"/>
          <w:lang w:val="en-US" w:eastAsia="zh-CN"/>
        </w:rPr>
        <w:t>6</w:t>
      </w:r>
      <w:r>
        <w:rPr>
          <w:rFonts w:hint="default" w:ascii="Times New Roman" w:hAnsi="Times New Roman" w:eastAsia="微软雅黑" w:cs="Times New Roman"/>
          <w:b w:val="0"/>
          <w:bCs w:val="0"/>
          <w:color w:val="auto"/>
          <w:spacing w:val="0"/>
          <w:position w:val="0"/>
          <w:sz w:val="36"/>
          <w:szCs w:val="36"/>
        </w:rPr>
        <w:t xml:space="preserve"> </w:t>
      </w:r>
      <w:r>
        <w:rPr>
          <w:rFonts w:hint="eastAsia" w:ascii="Times New Roman" w:hAnsi="Times New Roman" w:eastAsia="微软雅黑" w:cs="Times New Roman"/>
          <w:b w:val="0"/>
          <w:bCs w:val="0"/>
          <w:color w:val="auto"/>
          <w:spacing w:val="0"/>
          <w:position w:val="0"/>
          <w:sz w:val="36"/>
          <w:szCs w:val="36"/>
          <w:lang w:val="en-US" w:eastAsia="zh-CN"/>
        </w:rPr>
        <w:t xml:space="preserve"> </w:t>
      </w:r>
      <w:r>
        <w:rPr>
          <w:rFonts w:hint="default" w:ascii="Times New Roman" w:hAnsi="Times New Roman" w:eastAsia="微软雅黑" w:cs="Times New Roman"/>
          <w:b w:val="0"/>
          <w:bCs w:val="0"/>
          <w:color w:val="auto"/>
          <w:spacing w:val="0"/>
          <w:position w:val="0"/>
          <w:sz w:val="36"/>
          <w:szCs w:val="36"/>
        </w:rPr>
        <w:t>环境保护措施及其可行性论证</w:t>
      </w:r>
      <w:bookmarkEnd w:id="66"/>
    </w:p>
    <w:p w14:paraId="4F578620">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6"/>
          <w:sz w:val="32"/>
          <w:szCs w:val="32"/>
          <w:lang w:val="en-US" w:eastAsia="zh-CN"/>
        </w:rPr>
      </w:pPr>
      <w:bookmarkStart w:id="67" w:name="_Toc14511"/>
      <w:r>
        <w:rPr>
          <w:rFonts w:hint="eastAsia" w:ascii="Times New Roman" w:hAnsi="Times New Roman" w:eastAsia="微软雅黑" w:cs="Times New Roman"/>
          <w:color w:val="auto"/>
          <w:spacing w:val="6"/>
          <w:sz w:val="32"/>
          <w:szCs w:val="32"/>
          <w:lang w:val="en-US" w:eastAsia="zh-CN"/>
        </w:rPr>
        <w:t>6</w:t>
      </w:r>
      <w:r>
        <w:rPr>
          <w:rFonts w:hint="default" w:ascii="Times New Roman" w:hAnsi="Times New Roman" w:eastAsia="微软雅黑" w:cs="Times New Roman"/>
          <w:color w:val="auto"/>
          <w:spacing w:val="6"/>
          <w:sz w:val="32"/>
          <w:szCs w:val="32"/>
          <w:lang w:val="en-US" w:eastAsia="zh-CN"/>
        </w:rPr>
        <w:t xml:space="preserve">.1 </w:t>
      </w:r>
      <w:r>
        <w:rPr>
          <w:rFonts w:hint="eastAsia" w:ascii="Times New Roman" w:hAnsi="Times New Roman" w:eastAsia="微软雅黑" w:cs="Times New Roman"/>
          <w:color w:val="auto"/>
          <w:spacing w:val="6"/>
          <w:sz w:val="32"/>
          <w:szCs w:val="32"/>
          <w:lang w:val="en-US" w:eastAsia="zh-CN"/>
        </w:rPr>
        <w:t>施工期</w:t>
      </w:r>
      <w:r>
        <w:rPr>
          <w:rFonts w:hint="default" w:ascii="Times New Roman" w:hAnsi="Times New Roman" w:eastAsia="微软雅黑" w:cs="Times New Roman"/>
          <w:color w:val="auto"/>
          <w:spacing w:val="6"/>
          <w:sz w:val="32"/>
          <w:szCs w:val="32"/>
          <w:lang w:val="en-US" w:eastAsia="zh-CN"/>
        </w:rPr>
        <w:t>环境保护措施及其可行性论证</w:t>
      </w:r>
      <w:bookmarkEnd w:id="67"/>
    </w:p>
    <w:p w14:paraId="606EA9D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6</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.1.1施工期水环境保护措施及其可行性论证</w:t>
      </w:r>
    </w:p>
    <w:p w14:paraId="30947331">
      <w:pPr>
        <w:keepNext w:val="0"/>
        <w:keepLines w:val="0"/>
        <w:pageBreakBefore w:val="0"/>
        <w:widowControl w:val="0"/>
        <w:kinsoku/>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default" w:ascii="Times New Roman" w:hAnsi="Times New Roman" w:eastAsia="宋体" w:cs="Times New Roman"/>
          <w:color w:val="auto"/>
          <w:spacing w:val="-5"/>
          <w:sz w:val="24"/>
          <w:szCs w:val="24"/>
          <w:lang w:val="en-US" w:eastAsia="zh-CN"/>
        </w:rPr>
      </w:pPr>
      <w:r>
        <w:rPr>
          <w:rFonts w:hint="default" w:ascii="Times New Roman" w:hAnsi="Times New Roman" w:eastAsia="宋体" w:cs="Times New Roman"/>
          <w:color w:val="auto"/>
          <w:spacing w:val="-5"/>
          <w:sz w:val="24"/>
          <w:szCs w:val="24"/>
          <w:lang w:val="en-US" w:eastAsia="zh-CN"/>
        </w:rPr>
        <w:t>工程施工期间，严禁污水乱排和污染农田、环境等。同时应做好建筑材料和建筑废料的管理，避免地面水体二次污染。在施工过程中不对机械设备的检修及冲洗，以防止设备漏油现象的发生</w:t>
      </w:r>
      <w:r>
        <w:rPr>
          <w:rFonts w:hint="eastAsia" w:ascii="Times New Roman" w:hAnsi="Times New Roman" w:eastAsia="宋体" w:cs="Times New Roman"/>
          <w:color w:val="auto"/>
          <w:spacing w:val="-5"/>
          <w:sz w:val="24"/>
          <w:szCs w:val="24"/>
          <w:lang w:val="en-US" w:eastAsia="zh-CN"/>
        </w:rPr>
        <w:t>；</w:t>
      </w:r>
      <w:r>
        <w:rPr>
          <w:rFonts w:hint="default" w:ascii="Times New Roman" w:hAnsi="Times New Roman" w:eastAsia="宋体" w:cs="Times New Roman"/>
          <w:color w:val="auto"/>
          <w:spacing w:val="-5"/>
          <w:sz w:val="24"/>
          <w:szCs w:val="24"/>
          <w:lang w:val="en-US" w:eastAsia="zh-CN"/>
        </w:rPr>
        <w:t>施工机械设备的维修应在专业厂家进行，防止施工现场地表油类污染。</w:t>
      </w:r>
    </w:p>
    <w:p w14:paraId="11E65EA0">
      <w:pPr>
        <w:keepNext w:val="0"/>
        <w:keepLines w:val="0"/>
        <w:pageBreakBefore w:val="0"/>
        <w:widowControl w:val="0"/>
        <w:kinsoku/>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default" w:ascii="Times New Roman" w:hAnsi="Times New Roman" w:eastAsia="宋体" w:cs="Times New Roman"/>
          <w:color w:val="auto"/>
          <w:spacing w:val="-5"/>
          <w:sz w:val="24"/>
          <w:szCs w:val="24"/>
          <w:lang w:val="en-US" w:eastAsia="zh-CN"/>
        </w:rPr>
      </w:pPr>
      <w:r>
        <w:rPr>
          <w:rFonts w:hint="default" w:ascii="Times New Roman" w:hAnsi="Times New Roman" w:eastAsia="宋体" w:cs="Times New Roman"/>
          <w:color w:val="auto"/>
          <w:spacing w:val="-5"/>
          <w:sz w:val="24"/>
          <w:szCs w:val="24"/>
          <w:lang w:val="en-US" w:eastAsia="zh-CN"/>
        </w:rPr>
        <w:t>施工期生活污水排入市政管网。施工期无施工废水排放到环境水体。本项目施工内容较少，施工期持续时间短，施工过程中产生的废水对周围环境不会造成影响。</w:t>
      </w:r>
    </w:p>
    <w:p w14:paraId="125F07A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6</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.1.2施工期大气环境保护措施及其可行性论证</w:t>
      </w:r>
    </w:p>
    <w:p w14:paraId="25DE412E">
      <w:pPr>
        <w:keepNext w:val="0"/>
        <w:keepLines w:val="0"/>
        <w:pageBreakBefore w:val="0"/>
        <w:widowControl w:val="0"/>
        <w:kinsoku/>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Times New Roman" w:hAnsi="Times New Roman" w:eastAsia="宋体" w:cs="Times New Roman"/>
          <w:color w:val="auto"/>
          <w:spacing w:val="-5"/>
          <w:sz w:val="24"/>
          <w:szCs w:val="24"/>
          <w:lang w:val="en-US" w:eastAsia="zh-CN"/>
        </w:rPr>
      </w:pPr>
      <w:r>
        <w:rPr>
          <w:rFonts w:hint="eastAsia" w:ascii="Times New Roman" w:hAnsi="Times New Roman" w:eastAsia="宋体" w:cs="Times New Roman"/>
          <w:color w:val="auto"/>
          <w:spacing w:val="-5"/>
          <w:sz w:val="24"/>
          <w:szCs w:val="24"/>
          <w:lang w:val="en-US" w:eastAsia="zh-CN"/>
        </w:rPr>
        <w:t>工程施工期大气污染物主要有施工粉尘，主要来自施工机械运行和车辆运输时产生的扬尘等。根据施工工程调查，施工现场的近地面的粉尘浓度一般为1.5～30mg/m</w:t>
      </w:r>
      <w:r>
        <w:rPr>
          <w:rFonts w:hint="eastAsia" w:ascii="Times New Roman" w:hAnsi="Times New Roman" w:eastAsia="宋体" w:cs="Times New Roman"/>
          <w:color w:val="auto"/>
          <w:spacing w:val="-5"/>
          <w:sz w:val="24"/>
          <w:szCs w:val="24"/>
          <w:vertAlign w:val="superscript"/>
          <w:lang w:val="en-US" w:eastAsia="zh-CN"/>
        </w:rPr>
        <w:t>3</w:t>
      </w:r>
      <w:r>
        <w:rPr>
          <w:rFonts w:hint="eastAsia" w:ascii="Times New Roman" w:hAnsi="Times New Roman" w:eastAsia="宋体" w:cs="Times New Roman"/>
          <w:color w:val="auto"/>
          <w:spacing w:val="-5"/>
          <w:sz w:val="24"/>
          <w:szCs w:val="24"/>
          <w:lang w:val="en-US" w:eastAsia="zh-CN"/>
        </w:rPr>
        <w:t>。通过对施工场地定期洒水的汽车要采用封闭车辆或加盖苫布、加强施工现场管理等措施，施工扬尘的影响会得到有效控制，经扩散后对周围大气环境影响不大。</w:t>
      </w:r>
    </w:p>
    <w:p w14:paraId="4D830935">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6</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.1.</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3</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施工期</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声</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环境保护措施及其可行性论证</w:t>
      </w:r>
    </w:p>
    <w:p w14:paraId="618891B2">
      <w:pPr>
        <w:keepNext w:val="0"/>
        <w:keepLines w:val="0"/>
        <w:pageBreakBefore w:val="0"/>
        <w:widowControl w:val="0"/>
        <w:kinsoku/>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Times New Roman" w:hAnsi="Times New Roman" w:eastAsia="宋体" w:cs="Times New Roman"/>
          <w:color w:val="auto"/>
          <w:spacing w:val="-5"/>
          <w:sz w:val="24"/>
          <w:szCs w:val="24"/>
          <w:lang w:val="en-US" w:eastAsia="zh-CN"/>
        </w:rPr>
      </w:pPr>
      <w:r>
        <w:rPr>
          <w:rFonts w:hint="eastAsia" w:ascii="Times New Roman" w:hAnsi="Times New Roman" w:eastAsia="宋体" w:cs="Times New Roman"/>
          <w:color w:val="auto"/>
          <w:spacing w:val="-5"/>
          <w:sz w:val="24"/>
          <w:szCs w:val="24"/>
          <w:lang w:val="en-US" w:eastAsia="zh-CN"/>
        </w:rPr>
        <w:t>通过选用先进低噪声施工设备、合理布局高噪声设备和控制施工作业时间等措施来降低施工期噪声对区域声环境的影响。</w:t>
      </w:r>
    </w:p>
    <w:p w14:paraId="62E4CD5B">
      <w:pPr>
        <w:keepNext w:val="0"/>
        <w:keepLines w:val="0"/>
        <w:pageBreakBefore w:val="0"/>
        <w:widowControl w:val="0"/>
        <w:kinsoku/>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color w:val="auto"/>
          <w:spacing w:val="-5"/>
          <w:sz w:val="24"/>
          <w:szCs w:val="24"/>
          <w:lang w:val="en-US" w:eastAsia="zh-CN"/>
        </w:rPr>
        <w:t>采取措施后场界噪声符合</w:t>
      </w:r>
      <w:r>
        <w:rPr>
          <w:rFonts w:hint="eastAsia" w:ascii="Times New Roman" w:hAnsi="Times New Roman" w:eastAsia="宋体" w:cs="Times New Roman"/>
          <w:color w:val="auto"/>
          <w:spacing w:val="0"/>
          <w:position w:val="0"/>
          <w:sz w:val="24"/>
          <w:szCs w:val="24"/>
          <w:lang w:val="en-US" w:eastAsia="zh-CN"/>
        </w:rPr>
        <w:t>《建筑施工噪声排放标准》（GB12523-2025）</w:t>
      </w:r>
      <w:r>
        <w:rPr>
          <w:rFonts w:hint="eastAsia" w:ascii="Times New Roman" w:hAnsi="Times New Roman" w:eastAsia="宋体" w:cs="Times New Roman"/>
          <w:color w:val="auto"/>
          <w:spacing w:val="-5"/>
          <w:sz w:val="24"/>
          <w:szCs w:val="24"/>
          <w:lang w:val="en-US" w:eastAsia="zh-CN"/>
        </w:rPr>
        <w:t>要求，施工期声环境保护措施可行。</w:t>
      </w:r>
    </w:p>
    <w:p w14:paraId="558A6F55">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6</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.1.</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4</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施工期</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固体废物处置</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措施及其可行性论证</w:t>
      </w:r>
    </w:p>
    <w:p w14:paraId="0F2FBCCB">
      <w:pPr>
        <w:keepNext w:val="0"/>
        <w:keepLines w:val="0"/>
        <w:pageBreakBefore w:val="0"/>
        <w:widowControl w:val="0"/>
        <w:kinsoku/>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Times New Roman" w:hAnsi="Times New Roman" w:eastAsia="宋体" w:cs="Times New Roman"/>
          <w:color w:val="auto"/>
          <w:spacing w:val="-5"/>
          <w:sz w:val="24"/>
          <w:szCs w:val="24"/>
          <w:lang w:val="en-US" w:eastAsia="zh-CN"/>
        </w:rPr>
      </w:pPr>
      <w:r>
        <w:rPr>
          <w:rFonts w:hint="eastAsia" w:ascii="Times New Roman" w:hAnsi="Times New Roman" w:eastAsia="宋体" w:cs="Times New Roman"/>
          <w:color w:val="auto"/>
          <w:spacing w:val="-5"/>
          <w:sz w:val="24"/>
          <w:szCs w:val="24"/>
          <w:lang w:val="en-US" w:eastAsia="zh-CN"/>
        </w:rPr>
        <w:t>生活垃圾委托环卫部门定期外运处置。建筑垃圾主要为砖头瓦块、水泥块等，委托有关部门定期外运至指定的建筑垃圾处置点堆填。</w:t>
      </w:r>
    </w:p>
    <w:p w14:paraId="7DE280CA">
      <w:pPr>
        <w:keepNext w:val="0"/>
        <w:keepLines w:val="0"/>
        <w:pageBreakBefore w:val="0"/>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6"/>
          <w:sz w:val="32"/>
          <w:szCs w:val="32"/>
          <w:lang w:val="en-US" w:eastAsia="zh-CN"/>
        </w:rPr>
      </w:pPr>
      <w:bookmarkStart w:id="68" w:name="_Toc24149"/>
      <w:r>
        <w:rPr>
          <w:rFonts w:hint="eastAsia" w:ascii="Times New Roman" w:hAnsi="Times New Roman" w:eastAsia="微软雅黑" w:cs="Times New Roman"/>
          <w:color w:val="auto"/>
          <w:spacing w:val="6"/>
          <w:sz w:val="32"/>
          <w:szCs w:val="32"/>
          <w:lang w:val="en-US" w:eastAsia="zh-CN"/>
        </w:rPr>
        <w:t>6</w:t>
      </w:r>
      <w:r>
        <w:rPr>
          <w:rFonts w:hint="default" w:ascii="Times New Roman" w:hAnsi="Times New Roman" w:eastAsia="微软雅黑" w:cs="Times New Roman"/>
          <w:color w:val="auto"/>
          <w:spacing w:val="6"/>
          <w:sz w:val="32"/>
          <w:szCs w:val="32"/>
          <w:lang w:val="en-US" w:eastAsia="zh-CN"/>
        </w:rPr>
        <w:t>.</w:t>
      </w:r>
      <w:r>
        <w:rPr>
          <w:rFonts w:hint="eastAsia" w:ascii="Times New Roman" w:hAnsi="Times New Roman" w:eastAsia="微软雅黑" w:cs="Times New Roman"/>
          <w:color w:val="auto"/>
          <w:spacing w:val="6"/>
          <w:sz w:val="32"/>
          <w:szCs w:val="32"/>
          <w:lang w:val="en-US" w:eastAsia="zh-CN"/>
        </w:rPr>
        <w:t>2</w:t>
      </w:r>
      <w:r>
        <w:rPr>
          <w:rFonts w:hint="default" w:ascii="Times New Roman" w:hAnsi="Times New Roman" w:eastAsia="微软雅黑" w:cs="Times New Roman"/>
          <w:color w:val="auto"/>
          <w:spacing w:val="6"/>
          <w:sz w:val="32"/>
          <w:szCs w:val="32"/>
          <w:lang w:val="en-US" w:eastAsia="zh-CN"/>
        </w:rPr>
        <w:t xml:space="preserve"> </w:t>
      </w:r>
      <w:r>
        <w:rPr>
          <w:rFonts w:hint="eastAsia" w:ascii="Times New Roman" w:hAnsi="Times New Roman" w:eastAsia="微软雅黑" w:cs="Times New Roman"/>
          <w:color w:val="auto"/>
          <w:spacing w:val="6"/>
          <w:sz w:val="32"/>
          <w:szCs w:val="32"/>
          <w:lang w:val="en-US" w:eastAsia="zh-CN"/>
        </w:rPr>
        <w:t>营运期</w:t>
      </w:r>
      <w:r>
        <w:rPr>
          <w:rFonts w:hint="default" w:ascii="Times New Roman" w:hAnsi="Times New Roman" w:eastAsia="微软雅黑" w:cs="Times New Roman"/>
          <w:color w:val="auto"/>
          <w:spacing w:val="6"/>
          <w:sz w:val="32"/>
          <w:szCs w:val="32"/>
          <w:lang w:val="en-US" w:eastAsia="zh-CN"/>
        </w:rPr>
        <w:t>环境保护措施及其可行性论证</w:t>
      </w:r>
      <w:bookmarkEnd w:id="68"/>
    </w:p>
    <w:p w14:paraId="5BAD3835">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6</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.2.</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1大气污染防治措施</w:t>
      </w:r>
    </w:p>
    <w:p w14:paraId="60849B1B">
      <w:pPr>
        <w:keepNext w:val="0"/>
        <w:keepLines w:val="0"/>
        <w:pageBreakBefore w:val="0"/>
        <w:widowControl w:val="0"/>
        <w:kinsoku/>
        <w:wordWrap/>
        <w:overflowPunct/>
        <w:topLinePunct w:val="0"/>
        <w:autoSpaceDE w:val="0"/>
        <w:autoSpaceDN w:val="0"/>
        <w:bidi w:val="0"/>
        <w:adjustRightInd w:val="0"/>
        <w:snapToGrid w:val="0"/>
        <w:spacing w:line="360" w:lineRule="auto"/>
        <w:ind w:left="0" w:right="0" w:firstLine="460" w:firstLineChars="200"/>
        <w:jc w:val="both"/>
        <w:textAlignment w:val="baseline"/>
        <w:rPr>
          <w:rFonts w:hint="eastAsia" w:ascii="Times New Roman" w:hAnsi="Times New Roman" w:eastAsia="宋体" w:cs="Times New Roman"/>
          <w:color w:val="auto"/>
          <w:spacing w:val="-5"/>
          <w:sz w:val="24"/>
          <w:szCs w:val="24"/>
          <w:lang w:val="en-US" w:eastAsia="zh-CN"/>
        </w:rPr>
      </w:pPr>
      <w:r>
        <w:rPr>
          <w:rFonts w:hint="eastAsia" w:ascii="Times New Roman" w:hAnsi="Times New Roman" w:eastAsia="宋体" w:cs="Times New Roman"/>
          <w:color w:val="auto"/>
          <w:spacing w:val="-5"/>
          <w:sz w:val="24"/>
          <w:szCs w:val="24"/>
          <w:lang w:val="en-US" w:eastAsia="zh-CN"/>
        </w:rPr>
        <w:t>本项目产生的废气主要为注塑废气、除尘废气、破碎粉尘、喷涂废气（调漆废气、喷漆废气、流平废气、烘干废气）、管道及喷枪清洗废气、丝印废气、天然气燃烧机废气、打磨及抛光粉尘、配胶、喷胶及烘干废气及焊接废气。</w:t>
      </w:r>
    </w:p>
    <w:p w14:paraId="5854CCCA">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6.2.1.1注塑废气</w:t>
      </w:r>
    </w:p>
    <w:p w14:paraId="5C73FC6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1、治理措施</w:t>
      </w:r>
    </w:p>
    <w:p w14:paraId="5EAFA2ED">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60" w:firstLineChars="200"/>
        <w:jc w:val="both"/>
        <w:textAlignment w:val="center"/>
        <w:rPr>
          <w:rFonts w:hint="eastAsia" w:ascii="Times New Roman" w:hAnsi="Times New Roman" w:cs="Times New Roman"/>
          <w:b/>
          <w:bCs/>
          <w:color w:val="auto"/>
          <w:sz w:val="24"/>
          <w:highlight w:val="none"/>
          <w:lang w:val="en-US" w:eastAsia="zh-CN"/>
        </w:rPr>
      </w:pPr>
      <w:r>
        <w:rPr>
          <w:rFonts w:hint="eastAsia" w:ascii="Times New Roman" w:hAnsi="Times New Roman" w:eastAsia="宋体" w:cs="Times New Roman"/>
          <w:bCs w:val="0"/>
          <w:snapToGrid w:val="0"/>
          <w:color w:val="auto"/>
          <w:spacing w:val="-5"/>
          <w:kern w:val="0"/>
          <w:sz w:val="24"/>
          <w:szCs w:val="24"/>
          <w:lang w:val="en-US" w:eastAsia="zh-CN" w:bidi="ar-SA"/>
        </w:rPr>
        <w:t>注塑生产线共设置27台注塑机，项目在每台注塑机出口设置集气罩对注塑废气进行收集，然后汇入一套“四级活性炭”装置处理后，尾气通过一根15m高排气筒(DA001)排放；集气罩收集效率为90%，风量为30000m</w:t>
      </w:r>
      <w:r>
        <w:rPr>
          <w:rFonts w:hint="eastAsia" w:ascii="Times New Roman" w:hAnsi="Times New Roman" w:eastAsia="宋体" w:cs="Times New Roman"/>
          <w:bCs w:val="0"/>
          <w:snapToGrid w:val="0"/>
          <w:color w:val="auto"/>
          <w:spacing w:val="-5"/>
          <w:kern w:val="0"/>
          <w:sz w:val="24"/>
          <w:szCs w:val="24"/>
          <w:vertAlign w:val="superscript"/>
          <w:lang w:val="en-US" w:eastAsia="zh-CN" w:bidi="ar-SA"/>
        </w:rPr>
        <w:t>3</w:t>
      </w:r>
      <w:r>
        <w:rPr>
          <w:rFonts w:hint="eastAsia" w:ascii="Times New Roman" w:hAnsi="Times New Roman" w:eastAsia="宋体" w:cs="Times New Roman"/>
          <w:bCs w:val="0"/>
          <w:snapToGrid w:val="0"/>
          <w:color w:val="auto"/>
          <w:spacing w:val="-5"/>
          <w:kern w:val="0"/>
          <w:sz w:val="24"/>
          <w:szCs w:val="24"/>
          <w:lang w:val="en-US" w:eastAsia="zh-CN" w:bidi="ar-SA"/>
        </w:rPr>
        <w:t>/h，“四级活性炭”处理有机废气效率为93.75%。处理后有组织非甲烷总烃、苯乙烯、丙烯腈、乙苯、甲苯、1，3-丁二烯、酚类、氯苯类、二氯甲烷、氨排放执行《合成树脂工业污染物排放标准》（GB 31572-2015，含2024年修改单）中表4大气污染物排放限值，臭气浓度执行《恶臭污染物排放标准》（GB14554-93）表2排放标准。</w:t>
      </w:r>
    </w:p>
    <w:p w14:paraId="429FD3C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2、可行性分析</w:t>
      </w:r>
    </w:p>
    <w:p w14:paraId="7401F8DB">
      <w:pPr>
        <w:pStyle w:val="49"/>
        <w:bidi w:val="0"/>
        <w:rPr>
          <w:rFonts w:hint="default"/>
          <w:color w:val="auto"/>
          <w:highlight w:val="none"/>
          <w:lang w:val="en-US" w:eastAsia="zh-CN"/>
        </w:rPr>
      </w:pPr>
      <w:r>
        <w:rPr>
          <w:rFonts w:hint="default"/>
          <w:color w:val="auto"/>
          <w:highlight w:val="none"/>
          <w:lang w:val="en-US" w:eastAsia="zh-CN"/>
        </w:rPr>
        <w:t>参考</w:t>
      </w:r>
      <w:r>
        <w:rPr>
          <w:rFonts w:hint="default"/>
          <w:color w:val="auto"/>
          <w:highlight w:val="none"/>
        </w:rPr>
        <w:t>《排污许可证申请与核发技术规范</w:t>
      </w:r>
      <w:r>
        <w:rPr>
          <w:rFonts w:hint="default"/>
          <w:color w:val="auto"/>
          <w:highlight w:val="none"/>
          <w:lang w:val="en-US" w:eastAsia="zh-CN"/>
        </w:rPr>
        <w:t xml:space="preserve"> </w:t>
      </w:r>
      <w:r>
        <w:rPr>
          <w:rFonts w:hint="eastAsia"/>
          <w:color w:val="auto"/>
          <w:highlight w:val="none"/>
          <w:lang w:val="en-US" w:eastAsia="zh-CN"/>
        </w:rPr>
        <w:t>汽车制造</w:t>
      </w:r>
      <w:r>
        <w:rPr>
          <w:rFonts w:hint="default"/>
          <w:color w:val="auto"/>
          <w:highlight w:val="none"/>
        </w:rPr>
        <w:t>业》（HJ</w:t>
      </w:r>
      <w:r>
        <w:rPr>
          <w:rFonts w:hint="eastAsia"/>
          <w:color w:val="auto"/>
          <w:highlight w:val="none"/>
          <w:lang w:val="en-US" w:eastAsia="zh-CN"/>
        </w:rPr>
        <w:t>971</w:t>
      </w:r>
      <w:r>
        <w:rPr>
          <w:rFonts w:hint="default"/>
          <w:color w:val="auto"/>
          <w:highlight w:val="none"/>
        </w:rPr>
        <w:t>-20</w:t>
      </w:r>
      <w:r>
        <w:rPr>
          <w:rFonts w:hint="eastAsia"/>
          <w:color w:val="auto"/>
          <w:highlight w:val="none"/>
          <w:lang w:val="en-US" w:eastAsia="zh-CN"/>
        </w:rPr>
        <w:t>18</w:t>
      </w:r>
      <w:r>
        <w:rPr>
          <w:rFonts w:hint="default"/>
          <w:color w:val="auto"/>
          <w:highlight w:val="none"/>
        </w:rPr>
        <w:t>）</w:t>
      </w:r>
      <w:r>
        <w:rPr>
          <w:rFonts w:hint="eastAsia"/>
          <w:color w:val="auto"/>
          <w:highlight w:val="none"/>
          <w:lang w:val="en-US" w:eastAsia="zh-CN"/>
        </w:rPr>
        <w:t>中树脂纤维加工产生的挥发性有机物治理可行技术为“活性炭吸附+热力焚烧”</w:t>
      </w:r>
      <w:r>
        <w:rPr>
          <w:rFonts w:hint="eastAsia"/>
          <w:color w:val="auto"/>
          <w:highlight w:val="none"/>
          <w:lang w:eastAsia="zh-CN"/>
        </w:rPr>
        <w:t>。</w:t>
      </w:r>
      <w:r>
        <w:rPr>
          <w:rFonts w:hint="default"/>
          <w:color w:val="auto"/>
          <w:highlight w:val="none"/>
          <w:lang w:val="en-US" w:eastAsia="zh-CN"/>
        </w:rPr>
        <w:t>本项目采用</w:t>
      </w:r>
      <w:r>
        <w:rPr>
          <w:rFonts w:hint="eastAsia"/>
          <w:color w:val="auto"/>
          <w:highlight w:val="none"/>
          <w:lang w:val="en-US" w:eastAsia="zh-CN"/>
        </w:rPr>
        <w:t>四级</w:t>
      </w:r>
      <w:r>
        <w:rPr>
          <w:rFonts w:hint="default"/>
          <w:color w:val="auto"/>
          <w:highlight w:val="none"/>
          <w:lang w:val="en-US" w:eastAsia="zh-CN"/>
        </w:rPr>
        <w:t>活性炭吸附装置</w:t>
      </w:r>
      <w:r>
        <w:rPr>
          <w:rFonts w:hint="default"/>
          <w:color w:val="auto"/>
          <w:highlight w:val="none"/>
        </w:rPr>
        <w:t>去除</w:t>
      </w:r>
      <w:r>
        <w:rPr>
          <w:rFonts w:hint="default"/>
          <w:color w:val="auto"/>
          <w:highlight w:val="none"/>
          <w:lang w:val="en-US" w:eastAsia="zh-CN"/>
        </w:rPr>
        <w:t>注塑</w:t>
      </w:r>
      <w:r>
        <w:rPr>
          <w:rFonts w:hint="default"/>
          <w:color w:val="auto"/>
          <w:highlight w:val="none"/>
        </w:rPr>
        <w:t>有机废气</w:t>
      </w:r>
      <w:r>
        <w:rPr>
          <w:rFonts w:hint="default"/>
          <w:color w:val="auto"/>
          <w:highlight w:val="none"/>
          <w:lang w:eastAsia="zh-CN"/>
        </w:rPr>
        <w:t>，</w:t>
      </w:r>
      <w:r>
        <w:rPr>
          <w:rFonts w:hint="eastAsia"/>
          <w:color w:val="auto"/>
          <w:highlight w:val="none"/>
          <w:lang w:val="en-US" w:eastAsia="zh-CN"/>
        </w:rPr>
        <w:t>不属于</w:t>
      </w:r>
      <w:r>
        <w:rPr>
          <w:rFonts w:hint="default"/>
          <w:color w:val="auto"/>
          <w:highlight w:val="none"/>
          <w:lang w:val="en-US" w:eastAsia="zh-CN"/>
        </w:rPr>
        <w:t>可行技术</w:t>
      </w:r>
      <w:r>
        <w:rPr>
          <w:rFonts w:hint="eastAsia"/>
          <w:color w:val="auto"/>
          <w:highlight w:val="none"/>
          <w:lang w:val="en-US" w:eastAsia="zh-CN"/>
        </w:rPr>
        <w:t>。根据《主要污染物总量减排核算技术指南》(2022年修订)，本项目四级活性炭处理效率以93.75%计，根据</w:t>
      </w:r>
      <w:r>
        <w:rPr>
          <w:rFonts w:hint="default"/>
          <w:color w:val="auto"/>
          <w:highlight w:val="none"/>
        </w:rPr>
        <w:t>《排污许可证申请与核发技术规范</w:t>
      </w:r>
      <w:r>
        <w:rPr>
          <w:rFonts w:hint="default"/>
          <w:color w:val="auto"/>
          <w:highlight w:val="none"/>
          <w:lang w:val="en-US" w:eastAsia="zh-CN"/>
        </w:rPr>
        <w:t xml:space="preserve"> </w:t>
      </w:r>
      <w:r>
        <w:rPr>
          <w:rFonts w:hint="eastAsia"/>
          <w:color w:val="auto"/>
          <w:highlight w:val="none"/>
          <w:lang w:val="en-US" w:eastAsia="zh-CN"/>
        </w:rPr>
        <w:t>汽车制造</w:t>
      </w:r>
      <w:r>
        <w:rPr>
          <w:rFonts w:hint="default"/>
          <w:color w:val="auto"/>
          <w:highlight w:val="none"/>
        </w:rPr>
        <w:t>业》（HJ</w:t>
      </w:r>
      <w:r>
        <w:rPr>
          <w:rFonts w:hint="eastAsia"/>
          <w:color w:val="auto"/>
          <w:highlight w:val="none"/>
          <w:lang w:val="en-US" w:eastAsia="zh-CN"/>
        </w:rPr>
        <w:t>971</w:t>
      </w:r>
      <w:r>
        <w:rPr>
          <w:rFonts w:hint="default"/>
          <w:color w:val="auto"/>
          <w:highlight w:val="none"/>
        </w:rPr>
        <w:t>-20</w:t>
      </w:r>
      <w:r>
        <w:rPr>
          <w:rFonts w:hint="eastAsia"/>
          <w:color w:val="auto"/>
          <w:highlight w:val="none"/>
          <w:lang w:val="en-US" w:eastAsia="zh-CN"/>
        </w:rPr>
        <w:t>18</w:t>
      </w:r>
      <w:r>
        <w:rPr>
          <w:rFonts w:hint="default"/>
          <w:color w:val="auto"/>
          <w:highlight w:val="none"/>
        </w:rPr>
        <w:t>）</w:t>
      </w:r>
      <w:r>
        <w:rPr>
          <w:rFonts w:hint="eastAsia"/>
          <w:color w:val="auto"/>
          <w:highlight w:val="none"/>
          <w:lang w:val="en-US" w:eastAsia="zh-CN"/>
        </w:rPr>
        <w:t>中热力焚烧去除效率为90%，则“活性炭吸附+热力焚烧”处理效率为95%，本项目采取措施处理效率与可行技术处理效率相差不大，项目采取措施可行</w:t>
      </w:r>
      <w:r>
        <w:rPr>
          <w:rFonts w:hint="default"/>
          <w:color w:val="auto"/>
          <w:highlight w:val="none"/>
          <w:lang w:val="en-US" w:eastAsia="zh-CN"/>
        </w:rPr>
        <w:t>。</w:t>
      </w:r>
    </w:p>
    <w:p w14:paraId="442BA035">
      <w:pPr>
        <w:pStyle w:val="49"/>
        <w:bidi w:val="0"/>
        <w:rPr>
          <w:rFonts w:hint="default"/>
          <w:color w:val="auto"/>
          <w:highlight w:val="none"/>
          <w:lang w:val="en-US" w:eastAsia="zh-CN"/>
        </w:rPr>
      </w:pPr>
      <w:r>
        <w:rPr>
          <w:rFonts w:hint="default"/>
          <w:color w:val="auto"/>
          <w:highlight w:val="none"/>
          <w:lang w:val="en-US" w:eastAsia="zh-CN"/>
        </w:rPr>
        <w:t>活性炭吸附原理</w:t>
      </w:r>
      <w:r>
        <w:rPr>
          <w:rFonts w:hint="eastAsia"/>
          <w:color w:val="auto"/>
          <w:highlight w:val="none"/>
          <w:lang w:val="en-US" w:eastAsia="zh-CN"/>
        </w:rPr>
        <w:t>：</w:t>
      </w:r>
      <w:r>
        <w:rPr>
          <w:rFonts w:hint="default"/>
          <w:color w:val="auto"/>
          <w:highlight w:val="none"/>
          <w:lang w:val="en-US" w:eastAsia="zh-CN"/>
        </w:rPr>
        <w:t>活性炭是一种非极性表面、疏水性和亲有机物的吸附剂，能够有效去除废气中的有机溶剂和臭味，与有机废气接触时产生强烈的相互物理作用力--范德华力，在此力作用下，有机废气中的有害成分被截留，使气体得到净化。为达到稳定的工作效率，活性炭需定期更换。</w:t>
      </w:r>
    </w:p>
    <w:p w14:paraId="57168FC7">
      <w:pPr>
        <w:pStyle w:val="49"/>
        <w:bidi w:val="0"/>
        <w:rPr>
          <w:rFonts w:hint="default"/>
          <w:color w:val="auto"/>
          <w:highlight w:val="none"/>
          <w:lang w:val="en-US" w:eastAsia="zh-CN"/>
        </w:rPr>
      </w:pPr>
      <w:r>
        <w:rPr>
          <w:rFonts w:hint="default"/>
          <w:color w:val="auto"/>
          <w:highlight w:val="none"/>
          <w:lang w:eastAsia="zh-CN"/>
        </w:rPr>
        <w:t>本项目</w:t>
      </w:r>
      <w:r>
        <w:rPr>
          <w:rFonts w:hint="default"/>
          <w:color w:val="auto"/>
          <w:highlight w:val="none"/>
          <w:lang w:val="en-US" w:eastAsia="zh-CN"/>
        </w:rPr>
        <w:t>注塑</w:t>
      </w:r>
      <w:r>
        <w:rPr>
          <w:rFonts w:hint="default"/>
          <w:color w:val="auto"/>
          <w:highlight w:val="none"/>
          <w:lang w:eastAsia="zh-CN"/>
        </w:rPr>
        <w:t>有机废气经</w:t>
      </w:r>
      <w:r>
        <w:rPr>
          <w:rFonts w:hint="eastAsia"/>
          <w:color w:val="auto"/>
          <w:highlight w:val="none"/>
          <w:lang w:val="en-US" w:eastAsia="zh-CN"/>
        </w:rPr>
        <w:t>四级</w:t>
      </w:r>
      <w:r>
        <w:rPr>
          <w:rFonts w:hint="default"/>
          <w:color w:val="auto"/>
          <w:highlight w:val="none"/>
          <w:lang w:val="en-US" w:eastAsia="zh-CN"/>
        </w:rPr>
        <w:t>活性炭吸附装置</w:t>
      </w:r>
      <w:r>
        <w:rPr>
          <w:rFonts w:hint="default"/>
          <w:color w:val="auto"/>
          <w:highlight w:val="none"/>
          <w:lang w:eastAsia="zh-CN"/>
        </w:rPr>
        <w:t>处理后</w:t>
      </w:r>
      <w:r>
        <w:rPr>
          <w:rFonts w:hint="eastAsia"/>
          <w:color w:val="auto"/>
          <w:highlight w:val="none"/>
          <w:lang w:val="en-US" w:eastAsia="zh-CN"/>
        </w:rPr>
        <w:t>排放，有机废气排放量为0.3855t/a，</w:t>
      </w:r>
      <w:r>
        <w:rPr>
          <w:rFonts w:hint="default"/>
          <w:color w:val="auto"/>
          <w:highlight w:val="none"/>
          <w:lang w:val="en-US" w:eastAsia="zh-CN"/>
        </w:rPr>
        <w:t>按照年生产</w:t>
      </w:r>
      <w:r>
        <w:rPr>
          <w:rFonts w:hint="eastAsia"/>
          <w:color w:val="auto"/>
          <w:highlight w:val="none"/>
          <w:lang w:val="en-US" w:eastAsia="zh-CN"/>
        </w:rPr>
        <w:t>注塑零件2850</w:t>
      </w:r>
      <w:r>
        <w:rPr>
          <w:rFonts w:hint="default"/>
          <w:color w:val="auto"/>
          <w:highlight w:val="none"/>
          <w:lang w:val="en-US" w:eastAsia="zh-CN"/>
        </w:rPr>
        <w:t>吨</w:t>
      </w:r>
      <w:r>
        <w:rPr>
          <w:rFonts w:hint="eastAsia"/>
          <w:color w:val="auto"/>
          <w:highlight w:val="none"/>
          <w:lang w:val="en-US" w:eastAsia="zh-CN"/>
        </w:rPr>
        <w:t>产品</w:t>
      </w:r>
      <w:r>
        <w:rPr>
          <w:rFonts w:hint="default"/>
          <w:color w:val="auto"/>
          <w:highlight w:val="none"/>
          <w:lang w:val="en-US" w:eastAsia="zh-CN"/>
        </w:rPr>
        <w:t>计算，</w:t>
      </w:r>
      <w:r>
        <w:rPr>
          <w:rFonts w:hint="default"/>
          <w:color w:val="auto"/>
          <w:highlight w:val="none"/>
          <w:lang w:val="zh-CN"/>
        </w:rPr>
        <w:t>单位产品非甲烷总烃排放量</w:t>
      </w:r>
      <w:r>
        <w:rPr>
          <w:rFonts w:hint="eastAsia"/>
          <w:color w:val="auto"/>
          <w:highlight w:val="none"/>
          <w:lang w:val="en-US" w:eastAsia="zh-CN"/>
        </w:rPr>
        <w:t>约</w:t>
      </w:r>
      <w:r>
        <w:rPr>
          <w:rFonts w:hint="default"/>
          <w:color w:val="auto"/>
          <w:highlight w:val="none"/>
          <w:lang w:val="en-US" w:eastAsia="zh-CN"/>
        </w:rPr>
        <w:t>为</w:t>
      </w:r>
      <w:r>
        <w:rPr>
          <w:rFonts w:hint="eastAsia"/>
          <w:color w:val="auto"/>
          <w:highlight w:val="none"/>
          <w:lang w:val="en-US" w:eastAsia="zh-CN"/>
        </w:rPr>
        <w:t>0.135</w:t>
      </w:r>
      <w:r>
        <w:rPr>
          <w:rFonts w:hint="default"/>
          <w:color w:val="auto"/>
          <w:highlight w:val="none"/>
          <w:lang w:val="zh-CN"/>
        </w:rPr>
        <w:t>kg/t</w:t>
      </w:r>
      <w:r>
        <w:rPr>
          <w:rFonts w:hint="default"/>
          <w:color w:val="auto"/>
          <w:highlight w:val="none"/>
          <w:lang w:val="en-US" w:eastAsia="zh-CN"/>
        </w:rPr>
        <w:t>产品，满足</w:t>
      </w:r>
      <w:r>
        <w:rPr>
          <w:rFonts w:hint="eastAsia"/>
          <w:color w:val="auto"/>
          <w:highlight w:val="none"/>
          <w:lang w:eastAsia="zh-CN"/>
        </w:rPr>
        <w:t>《合成树脂工业污染物排放标准》（GB 31572-2015，含2024年修改单）</w:t>
      </w:r>
      <w:r>
        <w:rPr>
          <w:rFonts w:hint="default"/>
          <w:color w:val="auto"/>
          <w:highlight w:val="none"/>
          <w:lang w:val="zh-CN"/>
        </w:rPr>
        <w:t>单位产品非甲烷总烃排放量</w:t>
      </w:r>
      <w:r>
        <w:rPr>
          <w:rFonts w:hint="default"/>
          <w:color w:val="auto"/>
          <w:highlight w:val="none"/>
          <w:lang w:val="en-US" w:eastAsia="zh-CN"/>
        </w:rPr>
        <w:t>标准限值（0.</w:t>
      </w:r>
      <w:r>
        <w:rPr>
          <w:rFonts w:hint="eastAsia"/>
          <w:color w:val="auto"/>
          <w:highlight w:val="none"/>
          <w:lang w:val="en-US" w:eastAsia="zh-CN"/>
        </w:rPr>
        <w:t>5</w:t>
      </w:r>
      <w:r>
        <w:rPr>
          <w:rFonts w:hint="default"/>
          <w:color w:val="auto"/>
          <w:highlight w:val="none"/>
          <w:lang w:val="en-US" w:eastAsia="zh-CN"/>
        </w:rPr>
        <w:t>kg/t产品）。</w:t>
      </w:r>
    </w:p>
    <w:p w14:paraId="7901DC1D">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eastAsia" w:ascii="Times New Roman" w:hAnsi="Times New Roman" w:eastAsia="宋体" w:cs="Times New Roman"/>
          <w:bCs w:val="0"/>
          <w:snapToGrid w:val="0"/>
          <w:color w:val="auto"/>
          <w:kern w:val="2"/>
          <w:sz w:val="24"/>
          <w:szCs w:val="24"/>
          <w:highlight w:val="none"/>
          <w:lang w:val="en-US" w:eastAsia="zh-CN" w:bidi="ar-SA"/>
        </w:rPr>
      </w:pPr>
      <w:r>
        <w:rPr>
          <w:rFonts w:hint="eastAsia" w:ascii="Times New Roman" w:hAnsi="Times New Roman" w:eastAsia="宋体" w:cs="Times New Roman"/>
          <w:bCs w:val="0"/>
          <w:snapToGrid w:val="0"/>
          <w:color w:val="auto"/>
          <w:kern w:val="2"/>
          <w:sz w:val="24"/>
          <w:szCs w:val="24"/>
          <w:highlight w:val="none"/>
          <w:lang w:val="en-US" w:eastAsia="zh-CN" w:bidi="ar-SA"/>
        </w:rPr>
        <w:t>根据《合成树脂工业污染物排放标准》（GB 31572-2015，含2024年修改单）中“合成树脂企业产生大气污染物的生产工艺和装置需设立局部或整体气体收集系统和净化处理装置，达标排放。排气筒高度应按环境影响评价要求确定，且至少不低于15m。”本项目</w:t>
      </w:r>
      <w:r>
        <w:rPr>
          <w:rFonts w:hint="default" w:ascii="Times New Roman" w:hAnsi="Times New Roman" w:eastAsia="宋体" w:cs="Times New Roman"/>
          <w:bCs w:val="0"/>
          <w:snapToGrid w:val="0"/>
          <w:color w:val="auto"/>
          <w:kern w:val="2"/>
          <w:sz w:val="24"/>
          <w:szCs w:val="24"/>
          <w:highlight w:val="none"/>
          <w:lang w:val="en-US" w:eastAsia="zh-CN" w:bidi="ar-SA"/>
        </w:rPr>
        <w:t>注塑</w:t>
      </w:r>
      <w:r>
        <w:rPr>
          <w:rFonts w:hint="eastAsia" w:ascii="Times New Roman" w:hAnsi="Times New Roman" w:eastAsia="宋体" w:cs="Times New Roman"/>
          <w:bCs w:val="0"/>
          <w:snapToGrid w:val="0"/>
          <w:color w:val="auto"/>
          <w:kern w:val="2"/>
          <w:sz w:val="24"/>
          <w:szCs w:val="24"/>
          <w:highlight w:val="none"/>
          <w:lang w:val="en-US" w:eastAsia="zh-CN" w:bidi="ar-SA"/>
        </w:rPr>
        <w:t>车间设置15m高排气筒可行。</w:t>
      </w:r>
    </w:p>
    <w:p w14:paraId="1FB06ED6">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6.2.1.2喷涂废气（调漆废气、喷漆废气、流平废气、烘干废气）、管道及喷枪清洗废气、丝印废气</w:t>
      </w:r>
    </w:p>
    <w:p w14:paraId="5C51F96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1、治理措施</w:t>
      </w:r>
    </w:p>
    <w:p w14:paraId="4F38F77D">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eastAsia" w:ascii="Times New Roman" w:hAnsi="Times New Roman" w:eastAsia="宋体" w:cs="Times New Roman"/>
          <w:bCs w:val="0"/>
          <w:snapToGrid w:val="0"/>
          <w:color w:val="auto"/>
          <w:kern w:val="2"/>
          <w:sz w:val="24"/>
          <w:szCs w:val="24"/>
          <w:highlight w:val="none"/>
          <w:lang w:val="en-US" w:eastAsia="zh-CN" w:bidi="ar-SA"/>
        </w:rPr>
      </w:pPr>
      <w:r>
        <w:rPr>
          <w:rFonts w:hint="eastAsia" w:ascii="Times New Roman" w:hAnsi="Times New Roman" w:eastAsia="宋体" w:cs="Times New Roman"/>
          <w:bCs w:val="0"/>
          <w:snapToGrid w:val="0"/>
          <w:color w:val="auto"/>
          <w:kern w:val="2"/>
          <w:sz w:val="24"/>
          <w:szCs w:val="24"/>
          <w:highlight w:val="none"/>
          <w:lang w:val="en-US" w:eastAsia="zh-CN" w:bidi="ar-SA"/>
        </w:rPr>
        <w:t>本项目喷涂废气（调漆废气、喷漆废气、流平废气、烘干废气）、管路和喷枪清洗废气与丝印废气经水帘式漆雾净化+沸石转轮吸附+RTO焚烧装置处理后经一根22.5m高排气筒（DA002）排放。本项目废气处理后可满足</w:t>
      </w:r>
      <w:r>
        <w:rPr>
          <w:rFonts w:hint="eastAsia" w:ascii="Times New Roman" w:hAnsi="Times New Roman" w:eastAsia="宋体" w:cs="Times New Roman"/>
          <w:color w:val="auto"/>
          <w:spacing w:val="0"/>
          <w:position w:val="0"/>
          <w:sz w:val="24"/>
          <w:szCs w:val="24"/>
          <w:lang w:val="en-US" w:eastAsia="zh-CN"/>
        </w:rPr>
        <w:t>《大气污染物综合排放标准》（GB16297-1996）表2中二级排放限值。</w:t>
      </w:r>
    </w:p>
    <w:p w14:paraId="3AEC9BF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default"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2、可行性分析</w:t>
      </w:r>
    </w:p>
    <w:p w14:paraId="609D866B">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default" w:ascii="Times New Roman" w:hAnsi="Times New Roman" w:eastAsia="宋体" w:cs="Times New Roman"/>
          <w:bCs w:val="0"/>
          <w:snapToGrid w:val="0"/>
          <w:color w:val="auto"/>
          <w:kern w:val="2"/>
          <w:sz w:val="24"/>
          <w:szCs w:val="24"/>
          <w:highlight w:val="none"/>
          <w:lang w:val="en-US" w:eastAsia="zh-CN" w:bidi="ar-SA"/>
        </w:rPr>
      </w:pPr>
      <w:r>
        <w:rPr>
          <w:rFonts w:hint="eastAsia" w:ascii="Times New Roman" w:hAnsi="Times New Roman" w:eastAsia="宋体" w:cs="Times New Roman"/>
          <w:bCs w:val="0"/>
          <w:snapToGrid w:val="0"/>
          <w:color w:val="auto"/>
          <w:kern w:val="2"/>
          <w:sz w:val="24"/>
          <w:szCs w:val="24"/>
          <w:highlight w:val="none"/>
          <w:lang w:val="en-US" w:eastAsia="zh-CN" w:bidi="ar-SA"/>
        </w:rPr>
        <w:t>参考《排污许可证申请与核发技术规范 汽车制造业》（HJ971-2018）中涂装-喷漆产生的颗粒物治理可行技术为“文丘里/水旋/水帘湿式漆雾净化、石灰粉过滤、纸盒过滤、化学纤维过滤”，挥发有机物治理可行技术为“吸附+热力焚烧/催化燃烧等”；涂装-烘干挥发有机物治理可行技术为“吸附+热力焚烧/催化燃烧等”热力焚烧/催化燃烧等。本项目采用喷涂废气（调漆废气、喷漆废气、流平废气、烘干废气）、管路和喷枪清洗废气与丝印废气采用水帘式漆雾净化+沸石转轮吸附+RTO焚烧装置处理，属于可行性技术。</w:t>
      </w:r>
    </w:p>
    <w:p w14:paraId="093595A2">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eastAsia" w:ascii="Times New Roman" w:hAnsi="Times New Roman" w:eastAsia="宋体" w:cs="Times New Roman"/>
          <w:bCs w:val="0"/>
          <w:snapToGrid w:val="0"/>
          <w:color w:val="auto"/>
          <w:kern w:val="2"/>
          <w:sz w:val="24"/>
          <w:szCs w:val="24"/>
          <w:highlight w:val="none"/>
          <w:lang w:val="en-US" w:eastAsia="zh-CN" w:bidi="ar-SA"/>
        </w:rPr>
      </w:pPr>
      <w:r>
        <w:rPr>
          <w:rFonts w:hint="eastAsia" w:ascii="Times New Roman" w:hAnsi="Times New Roman" w:eastAsia="宋体" w:cs="Times New Roman"/>
          <w:bCs w:val="0"/>
          <w:snapToGrid w:val="0"/>
          <w:color w:val="auto"/>
          <w:kern w:val="2"/>
          <w:sz w:val="24"/>
          <w:szCs w:val="24"/>
          <w:highlight w:val="none"/>
          <w:lang w:val="en-US" w:eastAsia="zh-CN" w:bidi="ar-SA"/>
        </w:rPr>
        <w:t>水帘式漆雾净化：通过液体（水）与含尘气流的充分接触，利用惯性碰撞、吸附、凝聚等物理机制将粉尘颗粒从气流中分离，最终随水流收集去除。</w:t>
      </w:r>
    </w:p>
    <w:p w14:paraId="63A89231">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eastAsia" w:ascii="Times New Roman" w:hAnsi="Times New Roman" w:eastAsia="宋体" w:cs="Times New Roman"/>
          <w:bCs w:val="0"/>
          <w:snapToGrid w:val="0"/>
          <w:color w:val="auto"/>
          <w:kern w:val="2"/>
          <w:sz w:val="24"/>
          <w:szCs w:val="24"/>
          <w:highlight w:val="none"/>
          <w:lang w:val="en-US" w:eastAsia="zh-CN" w:bidi="ar-SA"/>
        </w:rPr>
      </w:pPr>
      <w:r>
        <w:rPr>
          <w:rFonts w:hint="eastAsia" w:ascii="Times New Roman" w:hAnsi="Times New Roman" w:eastAsia="宋体" w:cs="Times New Roman"/>
          <w:bCs w:val="0"/>
          <w:snapToGrid w:val="0"/>
          <w:color w:val="auto"/>
          <w:kern w:val="2"/>
          <w:sz w:val="24"/>
          <w:szCs w:val="24"/>
          <w:highlight w:val="none"/>
          <w:lang w:val="en-US" w:eastAsia="zh-CN" w:bidi="ar-SA"/>
        </w:rPr>
        <w:t>沸石转轮吸附：沸石转轮吸附装置是利用吸附一浓缩一脱附三项连续变温的吸、脱附程序使低浓度、大风量有机废气浓缩为高浓度、小风量的浓缩气体。其装置特性适合处理大风量、低浓度、含多种有机成分的废气。</w:t>
      </w:r>
    </w:p>
    <w:p w14:paraId="496515AD">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eastAsia" w:ascii="Times New Roman" w:hAnsi="Times New Roman" w:eastAsia="宋体" w:cs="Times New Roman"/>
          <w:bCs w:val="0"/>
          <w:snapToGrid w:val="0"/>
          <w:color w:val="auto"/>
          <w:kern w:val="2"/>
          <w:sz w:val="24"/>
          <w:szCs w:val="24"/>
          <w:highlight w:val="none"/>
          <w:lang w:val="en-US" w:eastAsia="zh-CN" w:bidi="ar-SA"/>
        </w:rPr>
      </w:pPr>
      <w:r>
        <w:rPr>
          <w:rFonts w:hint="eastAsia" w:ascii="Times New Roman" w:hAnsi="Times New Roman" w:eastAsia="宋体" w:cs="Times New Roman"/>
          <w:bCs w:val="0"/>
          <w:snapToGrid w:val="0"/>
          <w:color w:val="auto"/>
          <w:kern w:val="2"/>
          <w:sz w:val="24"/>
          <w:szCs w:val="24"/>
          <w:highlight w:val="none"/>
          <w:lang w:val="en-US" w:eastAsia="zh-CN" w:bidi="ar-SA"/>
        </w:rPr>
        <w:t>RTO，蓄热式热力焚化炉，是一种高效有机废气治理设备。与传统的化燃烧、直燃式热氧化炉(TO)相比，具有热效率高(≥95%)、运行成本低、能处理大风量中有机废气等特点，有机废气浓度稍高时，还可进行二次余热回收，大大降低生产运营成本。适合处理含有多种有机成分、或有机成分经常发生变化的有机废气。</w:t>
      </w:r>
    </w:p>
    <w:p w14:paraId="56C37FC2">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eastAsia" w:ascii="Times New Roman" w:hAnsi="Times New Roman" w:eastAsia="宋体" w:cs="Times New Roman"/>
          <w:color w:val="auto"/>
          <w:spacing w:val="0"/>
          <w:position w:val="0"/>
          <w:sz w:val="24"/>
          <w:szCs w:val="24"/>
          <w:lang w:val="en-US" w:eastAsia="zh-CN"/>
        </w:rPr>
      </w:pPr>
      <w:r>
        <w:rPr>
          <w:rFonts w:hint="eastAsia" w:ascii="Times New Roman" w:hAnsi="Times New Roman" w:eastAsia="宋体" w:cs="Times New Roman"/>
          <w:color w:val="auto"/>
          <w:spacing w:val="0"/>
          <w:position w:val="0"/>
          <w:sz w:val="24"/>
          <w:szCs w:val="24"/>
          <w:lang w:val="en-US" w:eastAsia="zh-CN"/>
        </w:rPr>
        <w:t>根据《大气污染物综合排放标准》（GB16297-1996）要求，排气筒高度应高出周围200m半径范围的建筑5m以上，不能达到该要求的排气筒，应按其高度对应的表列排放速率标准值严格50%执行。排气筒周围半径200m距离内最高建筑高度为17m，故本项目22.5m排气筒（DA002）高度设置合理。</w:t>
      </w:r>
    </w:p>
    <w:p w14:paraId="467A667B">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eastAsia"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6.2.1.3天然气燃烧机废气</w:t>
      </w:r>
    </w:p>
    <w:p w14:paraId="601FE7DD">
      <w:pPr>
        <w:pStyle w:val="71"/>
        <w:ind w:firstLine="480"/>
        <w:rPr>
          <w:rFonts w:hint="eastAsia" w:ascii="Times New Roman" w:hAnsi="Times New Roman" w:eastAsia="宋体" w:cs="Times New Roman"/>
          <w:b/>
          <w:bCs w:val="0"/>
          <w:snapToGrid w:val="0"/>
          <w:color w:val="auto"/>
          <w:spacing w:val="0"/>
          <w:kern w:val="0"/>
          <w:position w:val="0"/>
          <w:sz w:val="24"/>
          <w:szCs w:val="24"/>
          <w:lang w:val="en-US" w:eastAsia="zh-CN" w:bidi="ar-SA"/>
        </w:rPr>
      </w:pPr>
      <w:r>
        <w:rPr>
          <w:rFonts w:hint="eastAsia" w:ascii="Times New Roman" w:hAnsi="Times New Roman" w:eastAsia="宋体" w:cs="Times New Roman"/>
          <w:b/>
          <w:bCs w:val="0"/>
          <w:snapToGrid w:val="0"/>
          <w:color w:val="auto"/>
          <w:spacing w:val="0"/>
          <w:kern w:val="0"/>
          <w:position w:val="0"/>
          <w:sz w:val="24"/>
          <w:szCs w:val="24"/>
          <w:lang w:val="en-US" w:eastAsia="zh-CN" w:bidi="ar-SA"/>
        </w:rPr>
        <w:t>1、治理措施</w:t>
      </w:r>
    </w:p>
    <w:p w14:paraId="0A7787D0">
      <w:pPr>
        <w:pStyle w:val="71"/>
        <w:ind w:firstLine="480"/>
        <w:rPr>
          <w:rFonts w:hint="default" w:ascii="Times New Roman" w:hAnsi="Times New Roman" w:eastAsia="宋体" w:cs="Times New Roman"/>
          <w:bCs/>
          <w:snapToGrid w:val="0"/>
          <w:color w:val="auto"/>
          <w:spacing w:val="0"/>
          <w:kern w:val="0"/>
          <w:position w:val="0"/>
          <w:sz w:val="24"/>
          <w:szCs w:val="24"/>
          <w:lang w:val="en-US" w:eastAsia="zh-CN" w:bidi="ar-SA"/>
        </w:rPr>
      </w:pPr>
      <w:r>
        <w:rPr>
          <w:rFonts w:hint="default" w:ascii="Times New Roman" w:hAnsi="Times New Roman" w:eastAsia="宋体" w:cs="Times New Roman"/>
          <w:bCs/>
          <w:snapToGrid w:val="0"/>
          <w:color w:val="auto"/>
          <w:spacing w:val="0"/>
          <w:kern w:val="0"/>
          <w:position w:val="0"/>
          <w:sz w:val="24"/>
          <w:szCs w:val="24"/>
          <w:lang w:val="en-US" w:eastAsia="zh-CN" w:bidi="ar-SA"/>
        </w:rPr>
        <w:t>天然气燃烧废气经</w:t>
      </w:r>
      <w:r>
        <w:rPr>
          <w:rFonts w:hint="eastAsia" w:ascii="Times New Roman" w:hAnsi="Times New Roman" w:eastAsia="宋体" w:cs="Times New Roman"/>
          <w:bCs/>
          <w:snapToGrid w:val="0"/>
          <w:color w:val="auto"/>
          <w:spacing w:val="0"/>
          <w:kern w:val="0"/>
          <w:position w:val="0"/>
          <w:sz w:val="24"/>
          <w:szCs w:val="24"/>
          <w:lang w:val="en-US" w:eastAsia="zh-CN" w:bidi="ar-SA"/>
        </w:rPr>
        <w:t>低氮燃烧后经</w:t>
      </w:r>
      <w:r>
        <w:rPr>
          <w:rFonts w:hint="default" w:ascii="Times New Roman" w:hAnsi="Times New Roman" w:eastAsia="宋体" w:cs="Times New Roman"/>
          <w:bCs/>
          <w:snapToGrid w:val="0"/>
          <w:color w:val="auto"/>
          <w:spacing w:val="0"/>
          <w:kern w:val="0"/>
          <w:position w:val="0"/>
          <w:sz w:val="24"/>
          <w:szCs w:val="24"/>
          <w:lang w:val="en-US" w:eastAsia="zh-CN" w:bidi="ar-SA"/>
        </w:rPr>
        <w:t>20.5m高烟囱（DA003）排放，满足《工业窑炉大气污染物排放标准》(GB 9078-1996)二级标准限值要求。</w:t>
      </w:r>
    </w:p>
    <w:p w14:paraId="5F8AE894">
      <w:pPr>
        <w:pStyle w:val="71"/>
        <w:ind w:firstLine="480"/>
        <w:rPr>
          <w:rFonts w:hint="default" w:ascii="Times New Roman" w:hAnsi="Times New Roman" w:eastAsia="宋体" w:cs="Times New Roman"/>
          <w:b/>
          <w:bCs w:val="0"/>
          <w:snapToGrid w:val="0"/>
          <w:color w:val="auto"/>
          <w:spacing w:val="0"/>
          <w:kern w:val="0"/>
          <w:position w:val="0"/>
          <w:sz w:val="24"/>
          <w:szCs w:val="24"/>
          <w:lang w:val="en-US" w:eastAsia="zh-CN" w:bidi="ar-SA"/>
        </w:rPr>
      </w:pPr>
      <w:r>
        <w:rPr>
          <w:rFonts w:hint="eastAsia" w:ascii="Times New Roman" w:hAnsi="Times New Roman" w:eastAsia="宋体" w:cs="Times New Roman"/>
          <w:b/>
          <w:bCs w:val="0"/>
          <w:snapToGrid w:val="0"/>
          <w:color w:val="auto"/>
          <w:spacing w:val="0"/>
          <w:kern w:val="0"/>
          <w:position w:val="0"/>
          <w:sz w:val="24"/>
          <w:szCs w:val="24"/>
          <w:lang w:val="en-US" w:eastAsia="zh-CN" w:bidi="ar-SA"/>
        </w:rPr>
        <w:t>2、可行性分析</w:t>
      </w:r>
    </w:p>
    <w:p w14:paraId="64ACC0FE">
      <w:pPr>
        <w:pStyle w:val="71"/>
        <w:ind w:firstLine="480"/>
        <w:rPr>
          <w:rFonts w:hint="eastAsia" w:ascii="Times New Roman" w:hAnsi="Times New Roman" w:eastAsia="宋体" w:cs="Times New Roman"/>
          <w:bCs w:val="0"/>
          <w:snapToGrid w:val="0"/>
          <w:color w:val="auto"/>
          <w:kern w:val="2"/>
          <w:sz w:val="24"/>
          <w:szCs w:val="24"/>
          <w:highlight w:val="none"/>
          <w:lang w:val="en-US" w:eastAsia="zh-CN" w:bidi="ar-SA"/>
        </w:rPr>
      </w:pPr>
      <w:r>
        <w:rPr>
          <w:rFonts w:hint="eastAsia" w:ascii="Times New Roman" w:hAnsi="Times New Roman" w:eastAsia="宋体" w:cs="Times New Roman"/>
          <w:bCs w:val="0"/>
          <w:snapToGrid w:val="0"/>
          <w:color w:val="auto"/>
          <w:kern w:val="2"/>
          <w:sz w:val="24"/>
          <w:szCs w:val="24"/>
          <w:highlight w:val="none"/>
          <w:lang w:val="en-US" w:eastAsia="zh-CN" w:bidi="ar-SA"/>
        </w:rPr>
        <w:t>参考《排污许可证申请与核发技术规范 汽车制造业》（HJ971-2018）中燃气工业炉窑废气氮氧化物治理措施为“低氮燃烧、低氮燃烧+SCR脱硝技术”。本项目天然气燃烧机采用低氮燃烧，属于可行性技术。</w:t>
      </w:r>
    </w:p>
    <w:p w14:paraId="62FD5431">
      <w:pPr>
        <w:pStyle w:val="71"/>
        <w:ind w:firstLine="480"/>
        <w:rPr>
          <w:rFonts w:hint="default" w:ascii="Times New Roman" w:hAnsi="Times New Roman" w:eastAsia="宋体" w:cs="Times New Roman"/>
          <w:color w:val="auto"/>
          <w:szCs w:val="21"/>
          <w:highlight w:val="none"/>
          <w:lang w:val="en-US"/>
        </w:rPr>
      </w:pPr>
      <w:r>
        <w:rPr>
          <w:rFonts w:hint="default" w:ascii="Times New Roman" w:hAnsi="Times New Roman" w:cs="Times New Roman"/>
          <w:color w:val="auto"/>
          <w:highlight w:val="none"/>
          <w:lang w:val="en-US" w:eastAsia="zh-CN"/>
        </w:rPr>
        <w:t>根据《工业炉窑大气污染物排放标准》（GB9078-1996）中“4.6.1各种工业炉窑烟囱（或排气筒）最低允许高度为15m”、“4.6.3当烟囱（或</w:t>
      </w:r>
      <w:r>
        <w:rPr>
          <w:rFonts w:hint="eastAsia" w:ascii="Times New Roman" w:hAnsi="Times New Roman" w:cs="Times New Roman"/>
          <w:color w:val="auto"/>
          <w:highlight w:val="none"/>
          <w:lang w:val="en-US" w:eastAsia="zh-CN"/>
        </w:rPr>
        <w:t>排气筒</w:t>
      </w:r>
      <w:r>
        <w:rPr>
          <w:rFonts w:hint="default" w:ascii="Times New Roman" w:hAnsi="Times New Roman" w:cs="Times New Roman"/>
          <w:color w:val="auto"/>
          <w:highlight w:val="none"/>
          <w:lang w:val="en-US" w:eastAsia="zh-CN"/>
        </w:rPr>
        <w:t>）周围半径200m距离内有建筑物时，除应执行4.6.1和4.6.2规定外，烟囱(或</w:t>
      </w:r>
      <w:r>
        <w:rPr>
          <w:rFonts w:hint="eastAsia" w:ascii="Times New Roman" w:hAnsi="Times New Roman" w:cs="Times New Roman"/>
          <w:color w:val="auto"/>
          <w:highlight w:val="none"/>
          <w:lang w:val="en-US" w:eastAsia="zh-CN"/>
        </w:rPr>
        <w:t>排气筒</w:t>
      </w:r>
      <w:r>
        <w:rPr>
          <w:rFonts w:hint="default" w:ascii="Times New Roman" w:hAnsi="Times New Roman" w:cs="Times New Roman"/>
          <w:color w:val="auto"/>
          <w:highlight w:val="none"/>
          <w:lang w:val="en-US" w:eastAsia="zh-CN"/>
        </w:rPr>
        <w:t>)还应高出最高建筑物3m以上”</w:t>
      </w:r>
      <w:r>
        <w:rPr>
          <w:rFonts w:hint="eastAsia" w:ascii="Times New Roman" w:hAnsi="Times New Roman" w:cs="Times New Roman"/>
          <w:color w:val="auto"/>
          <w:highlight w:val="none"/>
          <w:lang w:val="en-US" w:eastAsia="zh-CN"/>
        </w:rPr>
        <w:t>。烟囱</w:t>
      </w:r>
      <w:r>
        <w:rPr>
          <w:rFonts w:hint="eastAsia" w:ascii="Times New Roman" w:hAnsi="Times New Roman" w:eastAsia="宋体" w:cs="Times New Roman"/>
          <w:color w:val="auto"/>
          <w:spacing w:val="0"/>
          <w:position w:val="0"/>
          <w:sz w:val="24"/>
          <w:szCs w:val="24"/>
          <w:lang w:val="en-US" w:eastAsia="zh-CN"/>
        </w:rPr>
        <w:t>周围半径200m距离内最高建筑高度为17m，烟囱</w:t>
      </w:r>
      <w:r>
        <w:rPr>
          <w:rFonts w:hint="default" w:ascii="Times New Roman" w:hAnsi="Times New Roman" w:cs="Times New Roman"/>
          <w:color w:val="auto"/>
          <w:highlight w:val="none"/>
          <w:lang w:val="en-US" w:eastAsia="zh-CN"/>
        </w:rPr>
        <w:t>（DA00</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en-US" w:eastAsia="zh-CN"/>
        </w:rPr>
        <w:t>）高度满足要求，</w:t>
      </w:r>
      <w:r>
        <w:rPr>
          <w:rFonts w:hint="default" w:ascii="Times New Roman" w:hAnsi="Times New Roman" w:cs="Times New Roman"/>
          <w:color w:val="auto"/>
          <w:highlight w:val="none"/>
        </w:rPr>
        <w:t>因此本项目</w:t>
      </w:r>
      <w:r>
        <w:rPr>
          <w:rFonts w:hint="eastAsia" w:ascii="Times New Roman" w:hAnsi="Times New Roman" w:eastAsia="宋体" w:cs="Times New Roman"/>
          <w:color w:val="auto"/>
          <w:highlight w:val="none"/>
          <w:lang w:val="en-US" w:eastAsia="zh-CN"/>
        </w:rPr>
        <w:t>20.5m高烟囱</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DA00</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设置合理。</w:t>
      </w:r>
    </w:p>
    <w:p w14:paraId="71E84F96">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eastAsia"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6.2.1.4配胶、喷胶及烘干废气、发泡废气</w:t>
      </w:r>
    </w:p>
    <w:p w14:paraId="21C7FCE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eastAsia"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1、治理措施</w:t>
      </w:r>
    </w:p>
    <w:p w14:paraId="62D48099">
      <w:pPr>
        <w:pStyle w:val="89"/>
        <w:rPr>
          <w:rFonts w:hint="default"/>
          <w:lang w:val="en-US" w:eastAsia="zh-CN"/>
        </w:rPr>
      </w:pPr>
      <w:r>
        <w:rPr>
          <w:rFonts w:hint="eastAsia" w:ascii="Times New Roman" w:hAnsi="Times New Roman" w:cs="Times New Roman"/>
          <w:b w:val="0"/>
          <w:bCs w:val="0"/>
          <w:color w:val="auto"/>
          <w:sz w:val="24"/>
          <w:highlight w:val="none"/>
          <w:lang w:val="en-US" w:eastAsia="zh-CN"/>
        </w:rPr>
        <w:t>本项目配胶、喷胶及烘干废气、发泡</w:t>
      </w:r>
      <w:r>
        <w:rPr>
          <w:rFonts w:hint="default" w:ascii="Times New Roman" w:hAnsi="Times New Roman" w:eastAsia="宋体" w:cs="Times New Roman"/>
          <w:b w:val="0"/>
          <w:bCs w:val="0"/>
          <w:snapToGrid w:val="0"/>
          <w:color w:val="auto"/>
          <w:kern w:val="2"/>
          <w:sz w:val="24"/>
          <w:szCs w:val="24"/>
          <w:lang w:val="en-US" w:eastAsia="zh-CN" w:bidi="ar-SA"/>
        </w:rPr>
        <w:t>废</w:t>
      </w:r>
      <w:r>
        <w:rPr>
          <w:rFonts w:hint="default" w:ascii="Times New Roman" w:hAnsi="Times New Roman" w:eastAsia="宋体" w:cs="Times New Roman"/>
          <w:snapToGrid w:val="0"/>
          <w:color w:val="auto"/>
          <w:kern w:val="2"/>
          <w:sz w:val="24"/>
          <w:szCs w:val="24"/>
          <w:lang w:val="en-US" w:eastAsia="zh-CN" w:bidi="ar-SA"/>
        </w:rPr>
        <w:t>气收集</w:t>
      </w:r>
      <w:r>
        <w:rPr>
          <w:rFonts w:hint="eastAsia" w:ascii="Times New Roman" w:hAnsi="Times New Roman" w:eastAsia="宋体" w:cs="Times New Roman"/>
          <w:snapToGrid w:val="0"/>
          <w:color w:val="auto"/>
          <w:kern w:val="2"/>
          <w:sz w:val="24"/>
          <w:szCs w:val="24"/>
          <w:lang w:val="en-US" w:eastAsia="zh-CN" w:bidi="ar-SA"/>
        </w:rPr>
        <w:t>（</w:t>
      </w:r>
      <w:r>
        <w:rPr>
          <w:rFonts w:hint="default" w:ascii="Times New Roman" w:hAnsi="Times New Roman" w:eastAsia="宋体" w:cs="Times New Roman"/>
          <w:snapToGrid w:val="0"/>
          <w:color w:val="auto"/>
          <w:kern w:val="2"/>
          <w:sz w:val="24"/>
          <w:szCs w:val="24"/>
          <w:lang w:val="en-US" w:eastAsia="zh-CN" w:bidi="ar-SA"/>
        </w:rPr>
        <w:t>收集效率按90%计</w:t>
      </w:r>
      <w:r>
        <w:rPr>
          <w:rFonts w:hint="eastAsia" w:ascii="Times New Roman" w:hAnsi="Times New Roman" w:eastAsia="宋体" w:cs="Times New Roman"/>
          <w:snapToGrid w:val="0"/>
          <w:color w:val="auto"/>
          <w:kern w:val="2"/>
          <w:sz w:val="24"/>
          <w:szCs w:val="24"/>
          <w:lang w:val="en-US" w:eastAsia="zh-CN" w:bidi="ar-SA"/>
        </w:rPr>
        <w:t>）</w:t>
      </w:r>
      <w:r>
        <w:rPr>
          <w:rFonts w:hint="default" w:ascii="Times New Roman" w:hAnsi="Times New Roman" w:eastAsia="宋体" w:cs="Times New Roman"/>
          <w:snapToGrid w:val="0"/>
          <w:color w:val="auto"/>
          <w:kern w:val="2"/>
          <w:sz w:val="24"/>
          <w:szCs w:val="24"/>
          <w:lang w:val="en-US" w:eastAsia="zh-CN" w:bidi="ar-SA"/>
        </w:rPr>
        <w:t>后经</w:t>
      </w:r>
      <w:r>
        <w:rPr>
          <w:rFonts w:hint="eastAsia" w:ascii="Times New Roman" w:hAnsi="Times New Roman" w:eastAsia="宋体" w:cs="Times New Roman"/>
          <w:snapToGrid w:val="0"/>
          <w:color w:val="auto"/>
          <w:kern w:val="2"/>
          <w:sz w:val="24"/>
          <w:szCs w:val="24"/>
          <w:lang w:val="en-US" w:eastAsia="zh-CN" w:bidi="ar-SA"/>
        </w:rPr>
        <w:t>四</w:t>
      </w:r>
      <w:r>
        <w:rPr>
          <w:rFonts w:hint="default" w:ascii="Times New Roman" w:hAnsi="Times New Roman" w:eastAsia="宋体" w:cs="Times New Roman"/>
          <w:snapToGrid w:val="0"/>
          <w:color w:val="auto"/>
          <w:kern w:val="2"/>
          <w:sz w:val="24"/>
          <w:szCs w:val="24"/>
          <w:lang w:val="en-US" w:eastAsia="zh-CN" w:bidi="ar-SA"/>
        </w:rPr>
        <w:t>级活性炭吸附装置处理</w:t>
      </w:r>
      <w:r>
        <w:rPr>
          <w:rFonts w:hint="eastAsia" w:ascii="Times New Roman" w:hAnsi="Times New Roman" w:eastAsia="宋体" w:cs="Times New Roman"/>
          <w:snapToGrid w:val="0"/>
          <w:color w:val="auto"/>
          <w:kern w:val="2"/>
          <w:sz w:val="24"/>
          <w:szCs w:val="24"/>
          <w:lang w:val="en-US" w:eastAsia="zh-CN" w:bidi="ar-SA"/>
        </w:rPr>
        <w:t>（处理效率为</w:t>
      </w:r>
      <w:r>
        <w:rPr>
          <w:rFonts w:hint="eastAsia" w:ascii="Times New Roman" w:hAnsi="Times New Roman" w:cs="Times New Roman"/>
          <w:color w:val="auto"/>
          <w:sz w:val="24"/>
          <w:highlight w:val="none"/>
          <w:lang w:val="en-US" w:eastAsia="zh-CN"/>
        </w:rPr>
        <w:t>93.75%）</w:t>
      </w:r>
      <w:r>
        <w:rPr>
          <w:rFonts w:hint="default" w:ascii="Times New Roman" w:hAnsi="Times New Roman" w:eastAsia="宋体" w:cs="Times New Roman"/>
          <w:snapToGrid w:val="0"/>
          <w:color w:val="auto"/>
          <w:kern w:val="2"/>
          <w:sz w:val="24"/>
          <w:szCs w:val="24"/>
          <w:lang w:val="en-US" w:eastAsia="zh-CN" w:bidi="ar-SA"/>
        </w:rPr>
        <w:t>后于1根15m高排气筒</w:t>
      </w:r>
      <w:r>
        <w:rPr>
          <w:rFonts w:hint="eastAsia" w:ascii="Times New Roman" w:hAnsi="Times New Roman" w:eastAsia="宋体" w:cs="Times New Roman"/>
          <w:snapToGrid w:val="0"/>
          <w:color w:val="auto"/>
          <w:kern w:val="2"/>
          <w:sz w:val="24"/>
          <w:szCs w:val="24"/>
          <w:lang w:val="en-US" w:eastAsia="zh-CN" w:bidi="ar-SA"/>
        </w:rPr>
        <w:t>（DA004）</w:t>
      </w:r>
      <w:r>
        <w:rPr>
          <w:rFonts w:hint="default" w:ascii="Times New Roman" w:hAnsi="Times New Roman" w:eastAsia="宋体" w:cs="Times New Roman"/>
          <w:snapToGrid w:val="0"/>
          <w:color w:val="auto"/>
          <w:kern w:val="2"/>
          <w:sz w:val="24"/>
          <w:szCs w:val="24"/>
          <w:lang w:val="en-US" w:eastAsia="zh-CN" w:bidi="ar-SA"/>
        </w:rPr>
        <w:t>排放</w:t>
      </w:r>
      <w:r>
        <w:rPr>
          <w:rFonts w:hint="eastAsia" w:ascii="Times New Roman" w:hAnsi="Times New Roman" w:eastAsia="宋体" w:cs="Times New Roman"/>
          <w:snapToGrid w:val="0"/>
          <w:color w:val="auto"/>
          <w:kern w:val="2"/>
          <w:sz w:val="24"/>
          <w:szCs w:val="24"/>
          <w:lang w:val="en-US" w:eastAsia="zh-CN" w:bidi="ar-SA"/>
        </w:rPr>
        <w:t>。非甲烷总烃排放可满足《合成树脂工业污染物排放标准》（GB 31572-2015，含2024年修改单）中表4大气污染物排放限值。</w:t>
      </w:r>
    </w:p>
    <w:p w14:paraId="659DA873">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2" w:firstLineChars="200"/>
        <w:jc w:val="both"/>
        <w:textAlignment w:val="center"/>
        <w:rPr>
          <w:rFonts w:hint="default" w:ascii="Times New Roman" w:hAnsi="Times New Roman" w:eastAsia="宋体" w:cs="Times New Roman"/>
          <w:b/>
          <w:bCs/>
          <w:snapToGrid w:val="0"/>
          <w:color w:val="auto"/>
          <w:kern w:val="2"/>
          <w:sz w:val="24"/>
          <w:szCs w:val="24"/>
          <w:highlight w:val="none"/>
          <w:lang w:val="en-US" w:eastAsia="zh-CN" w:bidi="ar-SA"/>
        </w:rPr>
      </w:pPr>
      <w:r>
        <w:rPr>
          <w:rFonts w:hint="eastAsia" w:ascii="Times New Roman" w:hAnsi="Times New Roman" w:eastAsia="宋体" w:cs="Times New Roman"/>
          <w:b/>
          <w:bCs/>
          <w:snapToGrid w:val="0"/>
          <w:color w:val="auto"/>
          <w:kern w:val="2"/>
          <w:sz w:val="24"/>
          <w:szCs w:val="24"/>
          <w:highlight w:val="none"/>
          <w:lang w:val="en-US" w:eastAsia="zh-CN" w:bidi="ar-SA"/>
        </w:rPr>
        <w:t>2、可行性技术</w:t>
      </w:r>
    </w:p>
    <w:p w14:paraId="49602BB9">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eastAsia" w:ascii="Times New Roman" w:hAnsi="Times New Roman" w:eastAsia="宋体" w:cs="Times New Roman"/>
          <w:bCs w:val="0"/>
          <w:snapToGrid w:val="0"/>
          <w:color w:val="auto"/>
          <w:kern w:val="2"/>
          <w:sz w:val="24"/>
          <w:szCs w:val="24"/>
          <w:highlight w:val="none"/>
          <w:lang w:val="en-US" w:eastAsia="zh-CN" w:bidi="ar-SA"/>
        </w:rPr>
      </w:pPr>
      <w:r>
        <w:rPr>
          <w:rFonts w:hint="eastAsia" w:ascii="Times New Roman" w:hAnsi="Times New Roman" w:eastAsia="宋体" w:cs="Times New Roman"/>
          <w:bCs w:val="0"/>
          <w:snapToGrid w:val="0"/>
          <w:color w:val="auto"/>
          <w:kern w:val="2"/>
          <w:sz w:val="24"/>
          <w:szCs w:val="24"/>
          <w:highlight w:val="none"/>
          <w:lang w:val="en-US" w:eastAsia="zh-CN" w:bidi="ar-SA"/>
        </w:rPr>
        <w:t>参考《排污许可证申请与核发技术规范 橡胶和塑料制品工业》（HJ1122-2020）及《排污许可证申请与核发技术规范 汽车制造业》（HJ971-2018），喷胶、发泡废气治理采取的活性炭吸附技术为可行性技术。</w:t>
      </w:r>
    </w:p>
    <w:p w14:paraId="275F79A8">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eastAsia" w:ascii="Times New Roman" w:hAnsi="Times New Roman" w:eastAsia="宋体" w:cs="Times New Roman"/>
          <w:bCs w:val="0"/>
          <w:snapToGrid w:val="0"/>
          <w:color w:val="auto"/>
          <w:kern w:val="2"/>
          <w:sz w:val="24"/>
          <w:szCs w:val="24"/>
          <w:highlight w:val="none"/>
          <w:lang w:val="en-US" w:eastAsia="zh-CN" w:bidi="ar-SA"/>
        </w:rPr>
      </w:pPr>
      <w:r>
        <w:rPr>
          <w:rFonts w:hint="eastAsia" w:ascii="Times New Roman" w:hAnsi="Times New Roman" w:eastAsia="宋体" w:cs="Times New Roman"/>
          <w:bCs w:val="0"/>
          <w:snapToGrid w:val="0"/>
          <w:color w:val="auto"/>
          <w:kern w:val="2"/>
          <w:sz w:val="24"/>
          <w:szCs w:val="24"/>
          <w:highlight w:val="none"/>
          <w:lang w:val="en-US" w:eastAsia="zh-CN" w:bidi="ar-SA"/>
        </w:rPr>
        <w:t>根据《合成树脂工业污染物排放标准》（GB 31572-2015，含2024年修改单）中“合成树脂企业产生大气污染物的生产工艺和装置需设立局部或整体气体收集系统和净化处理装置，达标排放。排气筒高度应按环境影响评价要求确定，且至少不低于15m。”本项目配胶、喷胶及烘干废气、发泡废气设置15m高排气筒可行。</w:t>
      </w:r>
    </w:p>
    <w:p w14:paraId="01858379">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6.2.1.5无组织废气</w:t>
      </w:r>
    </w:p>
    <w:p w14:paraId="3601E469">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eastAsia" w:ascii="Times New Roman" w:hAnsi="Times New Roman" w:eastAsia="宋体" w:cs="Times New Roman"/>
          <w:bCs w:val="0"/>
          <w:snapToGrid w:val="0"/>
          <w:color w:val="auto"/>
          <w:kern w:val="2"/>
          <w:sz w:val="24"/>
          <w:szCs w:val="24"/>
          <w:highlight w:val="none"/>
          <w:lang w:val="en-US" w:eastAsia="zh-CN" w:bidi="ar-SA"/>
        </w:rPr>
      </w:pPr>
      <w:r>
        <w:rPr>
          <w:rFonts w:hint="eastAsia" w:ascii="Times New Roman" w:hAnsi="Times New Roman" w:eastAsia="宋体" w:cs="Times New Roman"/>
          <w:bCs w:val="0"/>
          <w:snapToGrid w:val="0"/>
          <w:color w:val="auto"/>
          <w:kern w:val="2"/>
          <w:sz w:val="24"/>
          <w:szCs w:val="24"/>
          <w:highlight w:val="none"/>
          <w:lang w:val="en-US" w:eastAsia="zh-CN" w:bidi="ar-SA"/>
        </w:rPr>
        <w:t>打磨抛光粉尘自带布袋除尘器，除尘过程废气产生量少，除尘废气在车间内无组织排放；破碎机破碎时是完全密闭的，且设有专门的密闭破碎间，破碎粉尘产生量较少，在车间内无组织排放；危险废物贮存库密闭贮存危险废物，及时转运，挥发出极少量的有机废气，在厂区内无组织排放。</w:t>
      </w:r>
    </w:p>
    <w:p w14:paraId="49DE0C21">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eastAsia" w:ascii="Times New Roman" w:hAnsi="Times New Roman" w:eastAsia="宋体" w:cs="Times New Roman"/>
          <w:bCs w:val="0"/>
          <w:snapToGrid w:val="0"/>
          <w:color w:val="auto"/>
          <w:kern w:val="2"/>
          <w:sz w:val="24"/>
          <w:szCs w:val="24"/>
          <w:highlight w:val="none"/>
          <w:lang w:val="en-US" w:eastAsia="zh-CN" w:bidi="ar-SA"/>
        </w:rPr>
      </w:pPr>
      <w:r>
        <w:rPr>
          <w:rFonts w:hint="eastAsia" w:ascii="Times New Roman" w:hAnsi="Times New Roman" w:eastAsia="宋体" w:cs="Times New Roman"/>
          <w:color w:val="auto"/>
          <w:spacing w:val="0"/>
          <w:position w:val="0"/>
          <w:sz w:val="24"/>
          <w:szCs w:val="24"/>
          <w:lang w:val="en-US" w:eastAsia="zh-CN"/>
        </w:rPr>
        <w:t>厂区内非甲烷总烃无组织排放监控点浓度执行《挥发性有机物无组织排放控制标准》（GB37822-2019）中表A.1规定的限值；厂界无组织丙烯腈、酚类、氯苯类参考《大气污染物综合排放标准》（GB16297-1996）无组织限值要求；厂界苯乙烯、臭气浓度、氨执行《恶臭污染物排放标准》（GB14554-93）表1中二级排放标准；厂界无组织颗粒物、甲苯、非甲烷总烃执行《合成树脂工业污染物排放标准》（GB31572-2015）表9企业边界大气污染物浓度限值。</w:t>
      </w:r>
    </w:p>
    <w:p w14:paraId="691E6057">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default" w:ascii="Times New Roman" w:hAnsi="Times New Roman" w:eastAsia="宋体" w:cs="Times New Roman"/>
          <w:bCs w:val="0"/>
          <w:snapToGrid w:val="0"/>
          <w:color w:val="auto"/>
          <w:kern w:val="2"/>
          <w:sz w:val="24"/>
          <w:szCs w:val="24"/>
          <w:highlight w:val="none"/>
          <w:lang w:val="en-US" w:eastAsia="zh-CN" w:bidi="ar-SA"/>
        </w:rPr>
      </w:pPr>
      <w:r>
        <w:rPr>
          <w:rFonts w:hint="default" w:ascii="Times New Roman" w:hAnsi="Times New Roman" w:eastAsia="宋体" w:cs="Times New Roman"/>
          <w:bCs w:val="0"/>
          <w:snapToGrid w:val="0"/>
          <w:color w:val="auto"/>
          <w:kern w:val="2"/>
          <w:sz w:val="24"/>
          <w:szCs w:val="24"/>
          <w:highlight w:val="none"/>
          <w:lang w:val="en-US" w:eastAsia="zh-CN" w:bidi="ar-SA"/>
        </w:rPr>
        <w:t>同时拟采取以下措施，尽量减少无组织排放带来的不良影响</w:t>
      </w:r>
      <w:r>
        <w:rPr>
          <w:rFonts w:hint="eastAsia" w:ascii="Times New Roman" w:hAnsi="Times New Roman" w:eastAsia="宋体" w:cs="Times New Roman"/>
          <w:bCs w:val="0"/>
          <w:snapToGrid w:val="0"/>
          <w:color w:val="auto"/>
          <w:kern w:val="2"/>
          <w:sz w:val="24"/>
          <w:szCs w:val="24"/>
          <w:highlight w:val="none"/>
          <w:lang w:val="en-US" w:eastAsia="zh-CN" w:bidi="ar-SA"/>
        </w:rPr>
        <w:t>：</w:t>
      </w:r>
    </w:p>
    <w:p w14:paraId="3E78596A">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default" w:ascii="Times New Roman" w:hAnsi="Times New Roman" w:eastAsia="宋体" w:cs="Times New Roman"/>
          <w:bCs w:val="0"/>
          <w:snapToGrid w:val="0"/>
          <w:color w:val="auto"/>
          <w:kern w:val="2"/>
          <w:sz w:val="24"/>
          <w:szCs w:val="24"/>
          <w:highlight w:val="none"/>
          <w:lang w:val="en-US" w:eastAsia="zh-CN" w:bidi="ar-SA"/>
        </w:rPr>
      </w:pPr>
      <w:r>
        <w:rPr>
          <w:rFonts w:hint="default" w:ascii="Times New Roman" w:hAnsi="Times New Roman" w:eastAsia="宋体" w:cs="Times New Roman"/>
          <w:bCs w:val="0"/>
          <w:snapToGrid w:val="0"/>
          <w:color w:val="auto"/>
          <w:kern w:val="2"/>
          <w:sz w:val="24"/>
          <w:szCs w:val="24"/>
          <w:highlight w:val="none"/>
          <w:lang w:val="en-US" w:eastAsia="zh-CN" w:bidi="ar-SA"/>
        </w:rPr>
        <w:t>(1)生产过程中，应加强生产管理，优化设计和操作条件，严格控制工艺参数及物料配比。如生产负责人到现场巡视，在巡视中发现问题及时整改</w:t>
      </w:r>
      <w:r>
        <w:rPr>
          <w:rFonts w:hint="eastAsia" w:ascii="Times New Roman" w:hAnsi="Times New Roman" w:eastAsia="宋体" w:cs="Times New Roman"/>
          <w:bCs w:val="0"/>
          <w:snapToGrid w:val="0"/>
          <w:color w:val="auto"/>
          <w:kern w:val="2"/>
          <w:sz w:val="24"/>
          <w:szCs w:val="24"/>
          <w:highlight w:val="none"/>
          <w:lang w:val="en-US" w:eastAsia="zh-CN" w:bidi="ar-SA"/>
        </w:rPr>
        <w:t>；</w:t>
      </w:r>
      <w:r>
        <w:rPr>
          <w:rFonts w:hint="default" w:ascii="Times New Roman" w:hAnsi="Times New Roman" w:eastAsia="宋体" w:cs="Times New Roman"/>
          <w:bCs w:val="0"/>
          <w:snapToGrid w:val="0"/>
          <w:color w:val="auto"/>
          <w:kern w:val="2"/>
          <w:sz w:val="24"/>
          <w:szCs w:val="24"/>
          <w:highlight w:val="none"/>
          <w:lang w:val="en-US" w:eastAsia="zh-CN" w:bidi="ar-SA"/>
        </w:rPr>
        <w:t>技术总工继续对已有技术进行研究，以期找到更合适的反应条件和设备尺寸、型号，减少因反应、设备上的缺陷而带来的无组织排放等。</w:t>
      </w:r>
    </w:p>
    <w:p w14:paraId="7BE0D6C3">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default" w:ascii="Times New Roman" w:hAnsi="Times New Roman" w:eastAsia="宋体" w:cs="Times New Roman"/>
          <w:bCs w:val="0"/>
          <w:snapToGrid w:val="0"/>
          <w:color w:val="auto"/>
          <w:kern w:val="2"/>
          <w:sz w:val="24"/>
          <w:szCs w:val="24"/>
          <w:highlight w:val="none"/>
          <w:lang w:val="en-US" w:eastAsia="zh-CN" w:bidi="ar-SA"/>
        </w:rPr>
      </w:pPr>
      <w:r>
        <w:rPr>
          <w:rFonts w:hint="default" w:ascii="Times New Roman" w:hAnsi="Times New Roman" w:eastAsia="宋体" w:cs="Times New Roman"/>
          <w:bCs w:val="0"/>
          <w:snapToGrid w:val="0"/>
          <w:color w:val="auto"/>
          <w:kern w:val="2"/>
          <w:sz w:val="24"/>
          <w:szCs w:val="24"/>
          <w:highlight w:val="none"/>
          <w:lang w:val="en-US" w:eastAsia="zh-CN" w:bidi="ar-SA"/>
        </w:rPr>
        <w:t>(2)本项目</w:t>
      </w:r>
      <w:r>
        <w:rPr>
          <w:rFonts w:hint="eastAsia" w:ascii="Times New Roman" w:hAnsi="Times New Roman" w:eastAsia="宋体" w:cs="Times New Roman"/>
          <w:bCs w:val="0"/>
          <w:snapToGrid w:val="0"/>
          <w:color w:val="auto"/>
          <w:kern w:val="2"/>
          <w:sz w:val="24"/>
          <w:szCs w:val="24"/>
          <w:highlight w:val="none"/>
          <w:lang w:val="en-US" w:eastAsia="zh-CN" w:bidi="ar-SA"/>
        </w:rPr>
        <w:t>车间</w:t>
      </w:r>
      <w:r>
        <w:rPr>
          <w:rFonts w:hint="default" w:ascii="Times New Roman" w:hAnsi="Times New Roman" w:eastAsia="宋体" w:cs="Times New Roman"/>
          <w:bCs w:val="0"/>
          <w:snapToGrid w:val="0"/>
          <w:color w:val="auto"/>
          <w:kern w:val="2"/>
          <w:sz w:val="24"/>
          <w:szCs w:val="24"/>
          <w:highlight w:val="none"/>
          <w:lang w:val="en-US" w:eastAsia="zh-CN" w:bidi="ar-SA"/>
        </w:rPr>
        <w:t>均为封闭结构，运行时保持密闭，生产车间采取整体换气措施，并加强油漆及溶剂等贮存、使用过程中的管理</w:t>
      </w:r>
      <w:r>
        <w:rPr>
          <w:rFonts w:hint="eastAsia" w:ascii="Times New Roman" w:hAnsi="Times New Roman" w:eastAsia="宋体" w:cs="Times New Roman"/>
          <w:bCs w:val="0"/>
          <w:snapToGrid w:val="0"/>
          <w:color w:val="auto"/>
          <w:kern w:val="2"/>
          <w:sz w:val="24"/>
          <w:szCs w:val="24"/>
          <w:highlight w:val="none"/>
          <w:lang w:val="en-US" w:eastAsia="zh-CN" w:bidi="ar-SA"/>
        </w:rPr>
        <w:t>；</w:t>
      </w:r>
      <w:r>
        <w:rPr>
          <w:rFonts w:hint="default" w:ascii="Times New Roman" w:hAnsi="Times New Roman" w:eastAsia="宋体" w:cs="Times New Roman"/>
          <w:bCs w:val="0"/>
          <w:snapToGrid w:val="0"/>
          <w:color w:val="auto"/>
          <w:kern w:val="2"/>
          <w:sz w:val="24"/>
          <w:szCs w:val="24"/>
          <w:highlight w:val="none"/>
          <w:lang w:val="en-US" w:eastAsia="zh-CN" w:bidi="ar-SA"/>
        </w:rPr>
        <w:t>项目各喷漆室、烘干室运行时保持密闭，对分散产生的有机废气进行收集和集中处理，生产车间采取整体换气措施</w:t>
      </w:r>
      <w:r>
        <w:rPr>
          <w:rFonts w:hint="eastAsia" w:ascii="Times New Roman" w:hAnsi="Times New Roman" w:eastAsia="宋体" w:cs="Times New Roman"/>
          <w:bCs w:val="0"/>
          <w:snapToGrid w:val="0"/>
          <w:color w:val="auto"/>
          <w:kern w:val="2"/>
          <w:sz w:val="24"/>
          <w:szCs w:val="24"/>
          <w:highlight w:val="none"/>
          <w:lang w:val="en-US" w:eastAsia="zh-CN" w:bidi="ar-SA"/>
        </w:rPr>
        <w:t>；</w:t>
      </w:r>
      <w:r>
        <w:rPr>
          <w:rFonts w:hint="default" w:ascii="Times New Roman" w:hAnsi="Times New Roman" w:eastAsia="宋体" w:cs="Times New Roman"/>
          <w:bCs w:val="0"/>
          <w:snapToGrid w:val="0"/>
          <w:color w:val="auto"/>
          <w:kern w:val="2"/>
          <w:sz w:val="24"/>
          <w:szCs w:val="24"/>
          <w:highlight w:val="none"/>
          <w:lang w:val="en-US" w:eastAsia="zh-CN" w:bidi="ar-SA"/>
        </w:rPr>
        <w:t>加强油漆及溶剂等贮存、使用过程中的管理</w:t>
      </w:r>
      <w:r>
        <w:rPr>
          <w:rFonts w:hint="eastAsia" w:ascii="Times New Roman" w:hAnsi="Times New Roman" w:eastAsia="宋体" w:cs="Times New Roman"/>
          <w:bCs w:val="0"/>
          <w:snapToGrid w:val="0"/>
          <w:color w:val="auto"/>
          <w:kern w:val="2"/>
          <w:sz w:val="24"/>
          <w:szCs w:val="24"/>
          <w:highlight w:val="none"/>
          <w:lang w:val="en-US" w:eastAsia="zh-CN" w:bidi="ar-SA"/>
        </w:rPr>
        <w:t>；</w:t>
      </w:r>
      <w:r>
        <w:rPr>
          <w:rFonts w:hint="default" w:ascii="Times New Roman" w:hAnsi="Times New Roman" w:eastAsia="宋体" w:cs="Times New Roman"/>
          <w:bCs w:val="0"/>
          <w:snapToGrid w:val="0"/>
          <w:color w:val="auto"/>
          <w:kern w:val="2"/>
          <w:sz w:val="24"/>
          <w:szCs w:val="24"/>
          <w:highlight w:val="none"/>
          <w:lang w:val="en-US" w:eastAsia="zh-CN" w:bidi="ar-SA"/>
        </w:rPr>
        <w:t>设计阶段合理设置产生废气的工段，便于废气收集，减少废气吸收通道布点，节约成本，提高废气收集率</w:t>
      </w:r>
      <w:r>
        <w:rPr>
          <w:rFonts w:hint="eastAsia" w:ascii="Times New Roman" w:hAnsi="Times New Roman" w:eastAsia="宋体" w:cs="Times New Roman"/>
          <w:bCs w:val="0"/>
          <w:snapToGrid w:val="0"/>
          <w:color w:val="auto"/>
          <w:kern w:val="2"/>
          <w:sz w:val="24"/>
          <w:szCs w:val="24"/>
          <w:highlight w:val="none"/>
          <w:lang w:val="en-US" w:eastAsia="zh-CN" w:bidi="ar-SA"/>
        </w:rPr>
        <w:t>；</w:t>
      </w:r>
      <w:r>
        <w:rPr>
          <w:rFonts w:hint="default" w:ascii="Times New Roman" w:hAnsi="Times New Roman" w:eastAsia="宋体" w:cs="Times New Roman"/>
          <w:bCs w:val="0"/>
          <w:snapToGrid w:val="0"/>
          <w:color w:val="auto"/>
          <w:kern w:val="2"/>
          <w:sz w:val="24"/>
          <w:szCs w:val="24"/>
          <w:highlight w:val="none"/>
          <w:lang w:val="en-US" w:eastAsia="zh-CN" w:bidi="ar-SA"/>
        </w:rPr>
        <w:t>建立密闭式负压废气收集系统，采取密闭式作业，加强收集系统检测及验收工作，确保收集效果。</w:t>
      </w:r>
    </w:p>
    <w:p w14:paraId="6BB9AF91">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default" w:ascii="Times New Roman" w:hAnsi="Times New Roman" w:eastAsia="宋体" w:cs="Times New Roman"/>
          <w:bCs w:val="0"/>
          <w:snapToGrid w:val="0"/>
          <w:color w:val="auto"/>
          <w:kern w:val="2"/>
          <w:sz w:val="24"/>
          <w:szCs w:val="24"/>
          <w:highlight w:val="none"/>
          <w:lang w:val="en-US" w:eastAsia="zh-CN" w:bidi="ar-SA"/>
        </w:rPr>
      </w:pPr>
      <w:r>
        <w:rPr>
          <w:rFonts w:hint="default" w:ascii="Times New Roman" w:hAnsi="Times New Roman" w:eastAsia="宋体" w:cs="Times New Roman"/>
          <w:bCs w:val="0"/>
          <w:snapToGrid w:val="0"/>
          <w:color w:val="auto"/>
          <w:kern w:val="2"/>
          <w:sz w:val="24"/>
          <w:szCs w:val="24"/>
          <w:highlight w:val="none"/>
          <w:lang w:val="en-US" w:eastAsia="zh-CN" w:bidi="ar-SA"/>
        </w:rPr>
        <w:t>(</w:t>
      </w:r>
      <w:r>
        <w:rPr>
          <w:rFonts w:hint="eastAsia" w:ascii="Times New Roman" w:hAnsi="Times New Roman" w:eastAsia="宋体" w:cs="Times New Roman"/>
          <w:bCs w:val="0"/>
          <w:snapToGrid w:val="0"/>
          <w:color w:val="auto"/>
          <w:kern w:val="2"/>
          <w:sz w:val="24"/>
          <w:szCs w:val="24"/>
          <w:highlight w:val="none"/>
          <w:lang w:val="en-US" w:eastAsia="zh-CN" w:bidi="ar-SA"/>
        </w:rPr>
        <w:t>3</w:t>
      </w:r>
      <w:r>
        <w:rPr>
          <w:rFonts w:hint="default" w:ascii="Times New Roman" w:hAnsi="Times New Roman" w:eastAsia="宋体" w:cs="Times New Roman"/>
          <w:bCs w:val="0"/>
          <w:snapToGrid w:val="0"/>
          <w:color w:val="auto"/>
          <w:kern w:val="2"/>
          <w:sz w:val="24"/>
          <w:szCs w:val="24"/>
          <w:highlight w:val="none"/>
          <w:lang w:val="en-US" w:eastAsia="zh-CN" w:bidi="ar-SA"/>
        </w:rPr>
        <w:t>)建立并落实收集及治理设备的管理及维护制度</w:t>
      </w:r>
      <w:r>
        <w:rPr>
          <w:rFonts w:hint="eastAsia" w:ascii="Times New Roman" w:hAnsi="Times New Roman" w:eastAsia="宋体" w:cs="Times New Roman"/>
          <w:bCs w:val="0"/>
          <w:snapToGrid w:val="0"/>
          <w:color w:val="auto"/>
          <w:kern w:val="2"/>
          <w:sz w:val="24"/>
          <w:szCs w:val="24"/>
          <w:highlight w:val="none"/>
          <w:lang w:val="en-US" w:eastAsia="zh-CN" w:bidi="ar-SA"/>
        </w:rPr>
        <w:t>；</w:t>
      </w:r>
      <w:r>
        <w:rPr>
          <w:rFonts w:hint="default" w:ascii="Times New Roman" w:hAnsi="Times New Roman" w:eastAsia="宋体" w:cs="Times New Roman"/>
          <w:bCs w:val="0"/>
          <w:snapToGrid w:val="0"/>
          <w:color w:val="auto"/>
          <w:kern w:val="2"/>
          <w:sz w:val="24"/>
          <w:szCs w:val="24"/>
          <w:highlight w:val="none"/>
          <w:lang w:val="en-US" w:eastAsia="zh-CN" w:bidi="ar-SA"/>
        </w:rPr>
        <w:t>把废气收集及治理设备正常运行、管理、维护作为企业履行环保、安全责任的基本要求，纳入企业管理。</w:t>
      </w:r>
    </w:p>
    <w:p w14:paraId="30B56D73">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eastAsia" w:ascii="Times New Roman" w:hAnsi="Times New Roman" w:eastAsia="宋体" w:cs="Times New Roman"/>
          <w:b/>
          <w:bCs/>
          <w:snapToGrid w:val="0"/>
          <w:color w:val="FF0000"/>
          <w:spacing w:val="0"/>
          <w:kern w:val="0"/>
          <w:position w:val="0"/>
          <w:sz w:val="24"/>
          <w:szCs w:val="24"/>
          <w:highlight w:val="none"/>
          <w:lang w:val="en-US" w:eastAsia="zh-CN" w:bidi="ar-SA"/>
        </w:rPr>
      </w:pPr>
      <w:r>
        <w:rPr>
          <w:rFonts w:hint="default" w:ascii="Times New Roman" w:hAnsi="Times New Roman" w:eastAsia="宋体" w:cs="Times New Roman"/>
          <w:bCs w:val="0"/>
          <w:snapToGrid w:val="0"/>
          <w:color w:val="auto"/>
          <w:kern w:val="2"/>
          <w:sz w:val="24"/>
          <w:szCs w:val="24"/>
          <w:highlight w:val="none"/>
          <w:lang w:val="en-US" w:eastAsia="zh-CN" w:bidi="ar-SA"/>
        </w:rPr>
        <w:t>采取上述措施后，本项目厂界无组织排放的污染物均能够达标排放，上述治理措施是可行的。</w:t>
      </w:r>
    </w:p>
    <w:p w14:paraId="1731F037">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6</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.2.</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2废水污染防治措施</w:t>
      </w:r>
    </w:p>
    <w:p w14:paraId="70F9E495">
      <w:pPr>
        <w:pStyle w:val="89"/>
        <w:keepNext w:val="0"/>
        <w:keepLines w:val="0"/>
        <w:pageBreakBefore w:val="0"/>
        <w:widowControl/>
        <w:kinsoku w:val="0"/>
        <w:wordWrap/>
        <w:overflowPunct/>
        <w:topLinePunct w:val="0"/>
        <w:autoSpaceDE w:val="0"/>
        <w:autoSpaceDN w:val="0"/>
        <w:bidi w:val="0"/>
        <w:adjustRightInd w:val="0"/>
        <w:snapToGrid w:val="0"/>
        <w:textAlignment w:val="baseline"/>
        <w:rPr>
          <w:rFonts w:hint="eastAsia"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本项目</w:t>
      </w:r>
      <w:r>
        <w:rPr>
          <w:rFonts w:hint="default" w:ascii="Times New Roman" w:hAnsi="Times New Roman" w:eastAsia="宋体" w:cs="Times New Roman"/>
          <w:color w:val="auto"/>
          <w:sz w:val="24"/>
          <w:szCs w:val="24"/>
          <w:lang w:val="en-US" w:eastAsia="zh-CN"/>
        </w:rPr>
        <w:t>生活污水</w:t>
      </w:r>
      <w:r>
        <w:rPr>
          <w:rFonts w:hint="eastAsia" w:eastAsia="宋体" w:cs="Times New Roman"/>
          <w:color w:val="auto"/>
          <w:sz w:val="24"/>
          <w:szCs w:val="24"/>
          <w:lang w:val="en-US" w:eastAsia="zh-CN"/>
        </w:rPr>
        <w:t>与冷却塔循环冷却废水</w:t>
      </w:r>
      <w:r>
        <w:rPr>
          <w:rFonts w:hint="default" w:ascii="Times New Roman" w:hAnsi="Times New Roman" w:eastAsia="宋体" w:cs="Times New Roman"/>
          <w:color w:val="auto"/>
          <w:sz w:val="24"/>
          <w:szCs w:val="24"/>
          <w:lang w:val="en-US" w:eastAsia="zh-CN"/>
        </w:rPr>
        <w:t>达到《污水综合排放标准》（GB8978-1996）三级标准，</w:t>
      </w:r>
      <w:r>
        <w:rPr>
          <w:rFonts w:hint="default" w:ascii="Times New Roman" w:hAnsi="Times New Roman" w:eastAsia="宋体" w:cs="Times New Roman"/>
          <w:color w:val="auto"/>
          <w:sz w:val="24"/>
          <w:szCs w:val="24"/>
        </w:rPr>
        <w:t>一同排入五常市牛家满族镇污水处理厂，经五常市牛家满族镇污水处理厂处理达标后，排入拉林河</w:t>
      </w:r>
      <w:r>
        <w:rPr>
          <w:rFonts w:hint="eastAsia" w:eastAsia="宋体" w:cs="Times New Roman"/>
          <w:color w:val="auto"/>
          <w:sz w:val="24"/>
          <w:szCs w:val="24"/>
          <w:lang w:eastAsia="zh-CN"/>
        </w:rPr>
        <w:t>。</w:t>
      </w:r>
    </w:p>
    <w:p w14:paraId="73319DD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牛家满族镇镇污水处理厂主要收集牛家镇生活污水、牛家经济开发区工业污水，设计处理规模2.0万m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d，采用CWSBR污水处理工艺，配套建设紫外线消毒工艺系统，进水水质达到《污水综合排放标准》（GB8978-1996）三级标准。出水标准为《城镇污水处理厂污染物排放标准》(GB18918-2002)中的一级A标准，经张乡沟汇入拉林河牛头山断面，张乡沟为天然形成的排水沟渠。进水水质达到《污水综合排放标准》（GB8978-1996）三级标准。本项目排放的废水中各项污染物浓度均在接收水质范围内，不包含有毒有害的特征水污染物，且本项目排入牛家满族镇污水处理厂的水量28.6</w:t>
      </w:r>
      <w:r>
        <w:rPr>
          <w:rFonts w:hint="eastAsia" w:ascii="Times New Roman" w:hAnsi="Times New Roman" w:cs="Times New Roman"/>
          <w:color w:val="auto"/>
          <w:spacing w:val="15"/>
          <w:sz w:val="24"/>
          <w:szCs w:val="23"/>
          <w:highlight w:val="none"/>
          <w:lang w:val="en-US" w:eastAsia="zh-CN"/>
        </w:rPr>
        <w:t>m</w:t>
      </w:r>
      <w:r>
        <w:rPr>
          <w:rFonts w:hint="eastAsia" w:ascii="Times New Roman" w:hAnsi="Times New Roman" w:cs="Times New Roman"/>
          <w:color w:val="auto"/>
          <w:spacing w:val="15"/>
          <w:sz w:val="24"/>
          <w:szCs w:val="23"/>
          <w:highlight w:val="none"/>
          <w:vertAlign w:val="superscript"/>
          <w:lang w:val="en-US" w:eastAsia="zh-CN"/>
        </w:rPr>
        <w:t>3</w:t>
      </w:r>
      <w:r>
        <w:rPr>
          <w:rFonts w:hint="eastAsia" w:ascii="Times New Roman" w:hAnsi="Times New Roman" w:cs="Times New Roman"/>
          <w:color w:val="auto"/>
          <w:spacing w:val="15"/>
          <w:sz w:val="24"/>
          <w:szCs w:val="23"/>
          <w:highlight w:val="none"/>
          <w:lang w:val="en-US" w:eastAsia="zh-CN"/>
        </w:rPr>
        <w:t>/d</w:t>
      </w:r>
      <w:r>
        <w:rPr>
          <w:rFonts w:hint="eastAsia" w:ascii="Times New Roman" w:hAnsi="Times New Roman" w:eastAsia="宋体" w:cs="Times New Roman"/>
          <w:color w:val="auto"/>
          <w:sz w:val="24"/>
          <w:szCs w:val="24"/>
          <w:lang w:val="en-US" w:eastAsia="zh-CN"/>
        </w:rPr>
        <w:t>，仅占牛家满族镇污水处理厂污水处理能力的0.143%，因此牛家满族镇污水处理厂在水质和水量方面均能接收本次工程废水，依托可行。</w:t>
      </w:r>
    </w:p>
    <w:p w14:paraId="39D276B1">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6</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2.</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3 声环境保护措施</w:t>
      </w:r>
    </w:p>
    <w:p w14:paraId="744468DF">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本</w:t>
      </w:r>
      <w:r>
        <w:rPr>
          <w:rFonts w:hint="default" w:ascii="Times New Roman" w:hAnsi="Times New Roman" w:eastAsia="宋体" w:cs="Times New Roman"/>
          <w:snapToGrid w:val="0"/>
          <w:color w:val="auto"/>
          <w:kern w:val="0"/>
          <w:sz w:val="24"/>
          <w:szCs w:val="24"/>
          <w:lang w:val="en-US" w:eastAsia="zh-CN" w:bidi="ar-SA"/>
        </w:rPr>
        <w:t>项目产生的噪声主要是生产设备、空压机、风机等作业时产生的机械噪声，噪声源强约</w:t>
      </w:r>
      <w:r>
        <w:rPr>
          <w:rFonts w:hint="eastAsia" w:ascii="Times New Roman" w:hAnsi="Times New Roman" w:eastAsia="宋体" w:cs="Times New Roman"/>
          <w:snapToGrid w:val="0"/>
          <w:color w:val="auto"/>
          <w:kern w:val="0"/>
          <w:sz w:val="24"/>
          <w:szCs w:val="24"/>
          <w:lang w:val="en-US" w:eastAsia="zh-CN" w:bidi="ar-SA"/>
        </w:rPr>
        <w:t>7</w:t>
      </w:r>
      <w:r>
        <w:rPr>
          <w:rFonts w:hint="eastAsia" w:ascii="Times New Roman" w:hAnsi="Times New Roman" w:eastAsia="宋体" w:cs="Times New Roman"/>
          <w:snapToGrid w:val="0"/>
          <w:color w:val="auto"/>
          <w:kern w:val="0"/>
          <w:sz w:val="24"/>
          <w:szCs w:val="24"/>
          <w:highlight w:val="none"/>
          <w:lang w:val="en-US" w:eastAsia="zh-CN" w:bidi="ar-SA"/>
        </w:rPr>
        <w:t>0</w:t>
      </w:r>
      <w:r>
        <w:rPr>
          <w:rFonts w:hint="default" w:ascii="Times New Roman" w:hAnsi="Times New Roman" w:eastAsia="宋体" w:cs="Times New Roman"/>
          <w:snapToGrid w:val="0"/>
          <w:color w:val="auto"/>
          <w:kern w:val="0"/>
          <w:sz w:val="24"/>
          <w:szCs w:val="24"/>
          <w:highlight w:val="none"/>
          <w:lang w:val="en-US" w:eastAsia="zh-CN" w:bidi="ar-SA"/>
        </w:rPr>
        <w:t>-</w:t>
      </w:r>
      <w:r>
        <w:rPr>
          <w:rFonts w:hint="eastAsia" w:ascii="Times New Roman" w:hAnsi="Times New Roman" w:eastAsia="宋体" w:cs="Times New Roman"/>
          <w:snapToGrid w:val="0"/>
          <w:color w:val="auto"/>
          <w:kern w:val="0"/>
          <w:sz w:val="24"/>
          <w:szCs w:val="24"/>
          <w:highlight w:val="none"/>
          <w:lang w:val="en-US" w:eastAsia="zh-CN" w:bidi="ar-SA"/>
        </w:rPr>
        <w:t>90</w:t>
      </w:r>
      <w:r>
        <w:rPr>
          <w:rFonts w:hint="default" w:ascii="Times New Roman" w:hAnsi="Times New Roman" w:eastAsia="宋体" w:cs="Times New Roman"/>
          <w:snapToGrid w:val="0"/>
          <w:color w:val="auto"/>
          <w:kern w:val="0"/>
          <w:sz w:val="24"/>
          <w:szCs w:val="24"/>
          <w:highlight w:val="none"/>
          <w:lang w:val="en-US" w:eastAsia="zh-CN" w:bidi="ar-SA"/>
        </w:rPr>
        <w:t>dB(A)</w:t>
      </w:r>
      <w:r>
        <w:rPr>
          <w:rFonts w:hint="default" w:ascii="Times New Roman" w:hAnsi="Times New Roman" w:eastAsia="宋体" w:cs="Times New Roman"/>
          <w:snapToGrid w:val="0"/>
          <w:color w:val="auto"/>
          <w:kern w:val="0"/>
          <w:sz w:val="24"/>
          <w:szCs w:val="24"/>
          <w:lang w:val="en-US" w:eastAsia="zh-CN" w:bidi="ar-SA"/>
        </w:rPr>
        <w:t>。建设项目应重视噪声的污染控制，从噪声源和噪声传播途径着手，并综合考虑平面布置和绿化的降噪效果，控制噪声对厂界外声环境的影响。</w:t>
      </w:r>
    </w:p>
    <w:p w14:paraId="67E5D4D3">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具体可采取的治理措施如下：</w:t>
      </w:r>
    </w:p>
    <w:p w14:paraId="5F3F0F0A">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1）建设单位应按照工业设备安装的有关规范，对设备进行安装；生产车间设置隔声门窗，设备关键部位设置隔声罩，生产设备底座固定并垫橡胶垫，加强厂区周围绿化，在厂界种植乔木等高树冠常青树种，以起到隔声降噪作用；</w:t>
      </w:r>
    </w:p>
    <w:p w14:paraId="114095CE">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（2）选用低噪声的动力设备，安装局部隔声罩和部分吸声结构，以降低噪声传播的强度。排风处安装消声器</w:t>
      </w:r>
      <w:r>
        <w:rPr>
          <w:rFonts w:hint="eastAsia" w:ascii="Times New Roman" w:hAnsi="Times New Roman" w:eastAsia="宋体" w:cs="Times New Roman"/>
          <w:snapToGrid w:val="0"/>
          <w:color w:val="auto"/>
          <w:kern w:val="0"/>
          <w:sz w:val="24"/>
          <w:szCs w:val="24"/>
          <w:lang w:val="en-US" w:eastAsia="zh-CN" w:bidi="ar-SA"/>
        </w:rPr>
        <w:t>及风机软连接</w:t>
      </w:r>
      <w:r>
        <w:rPr>
          <w:rFonts w:hint="default" w:ascii="Times New Roman" w:hAnsi="Times New Roman" w:eastAsia="宋体" w:cs="Times New Roman"/>
          <w:snapToGrid w:val="0"/>
          <w:color w:val="auto"/>
          <w:kern w:val="0"/>
          <w:sz w:val="24"/>
          <w:szCs w:val="24"/>
          <w:lang w:val="en-US" w:eastAsia="zh-CN" w:bidi="ar-SA"/>
        </w:rPr>
        <w:t>。对集中布置的高噪声设备，采用隔声间。对分散布置的高噪声设备，采用隔声罩。降低风机、空气压缩机等设备传播的空气动力性噪声，在进、排气管路上采取消声措施。</w:t>
      </w:r>
    </w:p>
    <w:p w14:paraId="3E7F30D7">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（3）按照《工业企业噪声控制设计规范》对厂内主要噪声源合理布局。车间工艺设计时，高噪声工段与低噪声工段宜分开布置。高噪声设备宜集中布置。</w:t>
      </w:r>
    </w:p>
    <w:p w14:paraId="12C70983">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（4）确保降噪设施的有效运行，并加强对生产设备的保养、检修与润滑，保证设备处于良好地运转状态。</w:t>
      </w:r>
    </w:p>
    <w:p w14:paraId="480CE322">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综上可知，采取以上降噪措施后，一般降噪量可达25-30dB(A)，建设项目对厂界噪声贡献值较小，噪声经距离衰减后可确保厂界噪声达标排放，采用的噪声污染防治措施可行。</w:t>
      </w:r>
    </w:p>
    <w:p w14:paraId="667A60FE">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magenta"/>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6</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2.4</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固体废物</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污染防治</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措施</w:t>
      </w:r>
    </w:p>
    <w:p w14:paraId="6B3FAC6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项目运营期产生的固体废物主要包括危险废物、一般工业固体废物以及员工生活垃圾。一般工业固体废物主要为废包装材料、注塑工序不合格品、废布料、陶瓷蓄热体</w:t>
      </w:r>
      <w:r>
        <w:rPr>
          <w:rFonts w:hint="eastAsia" w:ascii="Times New Roman" w:hAnsi="Times New Roman" w:cs="Times New Roman"/>
          <w:sz w:val="24"/>
          <w:szCs w:val="24"/>
          <w:lang w:val="en-US" w:eastAsia="zh-CN"/>
        </w:rPr>
        <w:t>、修整检验工序产生的废边角料及不合格品</w:t>
      </w:r>
      <w:r>
        <w:rPr>
          <w:rFonts w:hint="default" w:ascii="Times New Roman" w:hAnsi="Times New Roman" w:cs="Times New Roman"/>
          <w:sz w:val="24"/>
          <w:szCs w:val="24"/>
          <w:lang w:val="en-US" w:eastAsia="zh-CN"/>
        </w:rPr>
        <w:t>；危险废物主要为除尘器收集粉尘、</w:t>
      </w:r>
      <w:r>
        <w:rPr>
          <w:rFonts w:hint="default" w:ascii="Times New Roman" w:hAnsi="Times New Roman" w:eastAsia="宋体" w:cs="Times New Roman"/>
          <w:color w:val="auto"/>
          <w:sz w:val="24"/>
          <w:szCs w:val="24"/>
          <w:lang w:val="en-US" w:eastAsia="zh-CN"/>
        </w:rPr>
        <w:t>废布袋</w:t>
      </w:r>
      <w:r>
        <w:rPr>
          <w:rFonts w:hint="eastAsia" w:ascii="Times New Roman" w:hAnsi="Times New Roman" w:eastAsia="宋体" w:cs="Times New Roman"/>
          <w:color w:val="auto"/>
          <w:sz w:val="24"/>
          <w:szCs w:val="24"/>
          <w:lang w:val="en-US" w:eastAsia="zh-CN"/>
        </w:rPr>
        <w:t>、</w:t>
      </w:r>
      <w:r>
        <w:rPr>
          <w:rFonts w:hint="default" w:ascii="Times New Roman" w:hAnsi="Times New Roman" w:cs="Times New Roman"/>
          <w:sz w:val="24"/>
          <w:szCs w:val="24"/>
          <w:lang w:val="en-US" w:eastAsia="zh-CN"/>
        </w:rPr>
        <w:t>废包装桶、漆渣、废清洗溶剂、</w:t>
      </w:r>
      <w:r>
        <w:rPr>
          <w:rFonts w:hint="default" w:ascii="Times New Roman" w:hAnsi="Times New Roman" w:cs="Times New Roman"/>
          <w:sz w:val="24"/>
          <w:szCs w:val="24"/>
          <w:highlight w:val="none"/>
          <w:lang w:val="en-US" w:eastAsia="zh-CN"/>
        </w:rPr>
        <w:t>水帘废水、废</w:t>
      </w:r>
      <w:r>
        <w:rPr>
          <w:rFonts w:hint="eastAsia" w:ascii="Times New Roman" w:hAnsi="Times New Roman" w:cs="Times New Roman"/>
          <w:sz w:val="24"/>
          <w:szCs w:val="24"/>
          <w:highlight w:val="none"/>
          <w:lang w:val="en-US" w:eastAsia="zh-CN"/>
        </w:rPr>
        <w:t>UV</w:t>
      </w:r>
      <w:r>
        <w:rPr>
          <w:rFonts w:hint="default" w:ascii="Times New Roman" w:hAnsi="Times New Roman" w:cs="Times New Roman"/>
          <w:sz w:val="24"/>
          <w:szCs w:val="24"/>
          <w:lang w:val="en-US" w:eastAsia="zh-CN"/>
        </w:rPr>
        <w:t>灯管、废活性炭、废润滑油</w:t>
      </w:r>
      <w:r>
        <w:rPr>
          <w:rFonts w:hint="eastAsia" w:ascii="Times New Roman" w:hAnsi="Times New Roman" w:cs="Times New Roman"/>
          <w:sz w:val="24"/>
          <w:szCs w:val="24"/>
          <w:lang w:val="en-US" w:eastAsia="zh-CN"/>
        </w:rPr>
        <w:t>及</w:t>
      </w:r>
      <w:r>
        <w:rPr>
          <w:rFonts w:hint="default" w:ascii="Times New Roman" w:hAnsi="Times New Roman" w:cs="Times New Roman"/>
          <w:sz w:val="24"/>
          <w:szCs w:val="24"/>
          <w:lang w:val="en-US" w:eastAsia="zh-CN"/>
        </w:rPr>
        <w:t>废润滑油桶、含油抹布、含油手套。</w:t>
      </w:r>
    </w:p>
    <w:p w14:paraId="5D2C03B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注塑工序不合格品破碎后回用于注塑工序。废包装材料、废布袋、陶瓷蓄热体外售综合利用。水帘废水中含有涂漆废气中有害物质，因此按照危险废物处理，不暂存，由有资质单位上门清运。其余危险废物暂存于厂内危险废物贮存库，定期交有危险废物处置资质的单位处理处置。</w:t>
      </w:r>
    </w:p>
    <w:p w14:paraId="761A201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危险废物贮存库的建设应满足《危险废物贮存污染控制标准》（GB18597-2023）。</w:t>
      </w:r>
    </w:p>
    <w:p w14:paraId="5F8C9DC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本环评对危险废物暂存、转移和处置提出如下措施：</w:t>
      </w:r>
    </w:p>
    <w:p w14:paraId="65DD28C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①遵守危险废物申报登记制度，建立并严格落实危险废物管理台账制度，转移过程应遵从《危险废物转移联单管理办法》及其他有关规定的要求，办理转移联单，固废接收单位应持有固废处置的资质，确保该固废的有效处置，避免二次污染产生。</w:t>
      </w:r>
    </w:p>
    <w:p w14:paraId="70C5D40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②危险废物产生者和危险废物贮存设施经营者均须作好危险废物情况的记录，记录上须注明危险废物的名称、来源、数量、特性和包装容器的类别、入库日期、存放库位、废物出库日期及接收单位名称。危险废物的记录和货单在危险废物回取后应继续保留三年。设置专职管理人员进行规范化管理。</w:t>
      </w:r>
    </w:p>
    <w:p w14:paraId="5690106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由以上分析可知，工程产生的固体废物均能够得到妥善处置，不会对环境产生不利影响。</w:t>
      </w:r>
    </w:p>
    <w:p w14:paraId="023584B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6</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2.5地下水污染防治</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措施</w:t>
      </w:r>
    </w:p>
    <w:p w14:paraId="3F7FE23A">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针对项目可能发生的地下水污染，地下水污染防治措施按“源头控制、末端防治、污染监控、应急响应”相结合的原则，从污染物的产生、入渗、扩散、应急响应全阶段进行控制。本项目以主动防渗漏措施为主，被动防渗漏措施为辅。人工防渗措施和自然防渗条件保护项目结合，防止地下水受到污染。</w:t>
      </w:r>
    </w:p>
    <w:p w14:paraId="203FF4D1">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6.2.5.1</w:t>
      </w:r>
      <w:r>
        <w:rPr>
          <w:rFonts w:hint="default" w:ascii="Times New Roman" w:hAnsi="Times New Roman" w:eastAsia="宋体" w:cs="Times New Roman"/>
          <w:b/>
          <w:bCs/>
          <w:color w:val="auto"/>
          <w:sz w:val="28"/>
          <w:szCs w:val="28"/>
          <w:lang w:val="en-US" w:eastAsia="zh-CN"/>
        </w:rPr>
        <w:t>源头控制</w:t>
      </w:r>
    </w:p>
    <w:p w14:paraId="3AE1332A">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选择先进、成熟、可靠的工艺技术，对产生的废物进行合理的回用和治理，尽可能从源头上减少污染物排放；严格按照国家相关规范要求，对工艺、管道、设备、污水储存及处理构筑物采用相应的措施，以防止和降低污染物的跑、冒、滴、漏，将污染物泄漏的环境风险事故降低到最低程度。管线敷设应尽量采用“可视化”原则，即管道尽可能地上敷设，做到污染物“早发现、早处理”，减少由于埋地管道泄漏而造成的地下水污染。</w:t>
      </w:r>
    </w:p>
    <w:p w14:paraId="002DE418">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FF0000"/>
          <w:sz w:val="24"/>
          <w:szCs w:val="24"/>
        </w:rPr>
      </w:pPr>
      <w:r>
        <w:rPr>
          <w:rFonts w:hint="default" w:ascii="Times New Roman" w:hAnsi="Times New Roman" w:cs="Times New Roman"/>
          <w:color w:val="auto"/>
          <w:sz w:val="24"/>
          <w:szCs w:val="24"/>
        </w:rPr>
        <w:t>进行质量体系认证，实现“质量、安全、环境”三位一体的全面质量管理目标。设立地下水动态监测小组，负责对地下水环境监测和管理，或者委托专业的机构完成。建立有关规章制度和岗位责任制。制定风险预警方案，设立应急设施减少环境污染影响。</w:t>
      </w:r>
    </w:p>
    <w:p w14:paraId="61ECFBC6">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6.2.5.2分区防控措施</w:t>
      </w:r>
    </w:p>
    <w:p w14:paraId="39468EEE">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根据《环境影响评价技术导则</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地下水环境》（HJ610-2016）中相关要求，已颁布污染控制国家标准或防渗技术规范的行业，水平防渗技术要求按照相应标准或规范执行，本项目危险废物贮存库防渗措施执行《危险废物贮存污染控制标准》（GB18597-2023）中相关要求。</w:t>
      </w:r>
    </w:p>
    <w:p w14:paraId="3653DA16">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t>其他区域参照《环境影响评价技术导则</w:t>
      </w: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地下水环境》（HJ610-2016）中的有关要求，将本项目功能单元划分为重点</w:t>
      </w:r>
      <w:r>
        <w:rPr>
          <w:rFonts w:hint="default" w:ascii="Times New Roman" w:hAnsi="Times New Roman" w:cs="Times New Roman"/>
          <w:color w:val="auto"/>
          <w:sz w:val="24"/>
          <w:szCs w:val="24"/>
          <w:lang w:val="en-US" w:eastAsia="zh-CN"/>
        </w:rPr>
        <w:t>防渗区</w:t>
      </w:r>
      <w:r>
        <w:rPr>
          <w:rFonts w:hint="default" w:ascii="Times New Roman" w:hAnsi="Times New Roman" w:cs="Times New Roman"/>
          <w:color w:val="auto"/>
          <w:sz w:val="24"/>
          <w:szCs w:val="24"/>
        </w:rPr>
        <w:t>、一般</w:t>
      </w:r>
      <w:r>
        <w:rPr>
          <w:rFonts w:hint="default" w:ascii="Times New Roman" w:hAnsi="Times New Roman" w:cs="Times New Roman"/>
          <w:color w:val="auto"/>
          <w:sz w:val="24"/>
          <w:szCs w:val="24"/>
          <w:lang w:val="en-US" w:eastAsia="zh-CN"/>
        </w:rPr>
        <w:t>防渗区</w:t>
      </w:r>
      <w:r>
        <w:rPr>
          <w:rFonts w:hint="default" w:ascii="Times New Roman" w:hAnsi="Times New Roman" w:cs="Times New Roman"/>
          <w:color w:val="auto"/>
          <w:sz w:val="24"/>
          <w:szCs w:val="24"/>
        </w:rPr>
        <w:t>和简单</w:t>
      </w:r>
      <w:r>
        <w:rPr>
          <w:rFonts w:hint="default" w:ascii="Times New Roman" w:hAnsi="Times New Roman" w:cs="Times New Roman"/>
          <w:color w:val="auto"/>
          <w:sz w:val="24"/>
          <w:szCs w:val="24"/>
          <w:lang w:val="en-US" w:eastAsia="zh-CN"/>
        </w:rPr>
        <w:t>防渗区</w:t>
      </w:r>
      <w:r>
        <w:rPr>
          <w:rFonts w:hint="default" w:ascii="Times New Roman" w:hAnsi="Times New Roman" w:cs="Times New Roman"/>
          <w:color w:val="auto"/>
          <w:sz w:val="24"/>
          <w:szCs w:val="24"/>
        </w:rPr>
        <w:t>，并按要求进行地下水防渗</w:t>
      </w:r>
      <w:r>
        <w:rPr>
          <w:rFonts w:hint="eastAsia" w:ascii="Times New Roman" w:hAnsi="Times New Roman" w:eastAsia="宋体" w:cs="Times New Roman"/>
          <w:color w:val="auto"/>
          <w:sz w:val="24"/>
          <w:szCs w:val="24"/>
          <w:lang w:eastAsia="zh-CN"/>
        </w:rPr>
        <w:t>。</w:t>
      </w:r>
    </w:p>
    <w:p w14:paraId="13955CA7">
      <w:pPr>
        <w:pStyle w:val="44"/>
        <w:bidi w:val="0"/>
        <w:rPr>
          <w:color w:val="auto"/>
          <w:highlight w:val="none"/>
        </w:rPr>
      </w:pPr>
      <w:r>
        <w:rPr>
          <w:color w:val="auto"/>
          <w:highlight w:val="none"/>
        </w:rPr>
        <w:t>表6.</w:t>
      </w:r>
      <w:r>
        <w:rPr>
          <w:rFonts w:hint="eastAsia"/>
          <w:color w:val="auto"/>
          <w:highlight w:val="none"/>
          <w:lang w:val="en-US" w:eastAsia="zh-CN"/>
        </w:rPr>
        <w:t>2</w:t>
      </w:r>
      <w:r>
        <w:rPr>
          <w:color w:val="auto"/>
          <w:highlight w:val="none"/>
        </w:rPr>
        <w:t>-</w:t>
      </w:r>
      <w:r>
        <w:rPr>
          <w:rFonts w:hint="eastAsia"/>
          <w:color w:val="auto"/>
          <w:highlight w:val="none"/>
          <w:lang w:val="en-US" w:eastAsia="zh-CN"/>
        </w:rPr>
        <w:t>1</w:t>
      </w:r>
      <w:r>
        <w:rPr>
          <w:color w:val="auto"/>
          <w:highlight w:val="none"/>
        </w:rPr>
        <w:t xml:space="preserve">  污染控制难易程度分级参照表</w:t>
      </w:r>
    </w:p>
    <w:tbl>
      <w:tblPr>
        <w:tblStyle w:val="41"/>
        <w:tblW w:w="4999" w:type="pct"/>
        <w:tblInd w:w="0" w:type="dxa"/>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910"/>
        <w:gridCol w:w="7160"/>
      </w:tblGrid>
      <w:tr w14:paraId="65EE81EB">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053" w:type="pct"/>
            <w:tcBorders>
              <w:left w:val="nil"/>
            </w:tcBorders>
            <w:vAlign w:val="center"/>
          </w:tcPr>
          <w:p w14:paraId="01DA31E5">
            <w:pPr>
              <w:pStyle w:val="37"/>
              <w:bidi w:val="0"/>
              <w:rPr>
                <w:color w:val="auto"/>
                <w:highlight w:val="none"/>
              </w:rPr>
            </w:pPr>
            <w:r>
              <w:rPr>
                <w:color w:val="auto"/>
                <w:highlight w:val="none"/>
              </w:rPr>
              <w:t>污染控制难易程度</w:t>
            </w:r>
          </w:p>
        </w:tc>
        <w:tc>
          <w:tcPr>
            <w:tcW w:w="3946" w:type="pct"/>
            <w:tcBorders>
              <w:right w:val="nil"/>
            </w:tcBorders>
            <w:vAlign w:val="center"/>
          </w:tcPr>
          <w:p w14:paraId="21BF247B">
            <w:pPr>
              <w:pStyle w:val="37"/>
              <w:bidi w:val="0"/>
              <w:rPr>
                <w:color w:val="auto"/>
                <w:highlight w:val="none"/>
              </w:rPr>
            </w:pPr>
            <w:r>
              <w:rPr>
                <w:color w:val="auto"/>
                <w:highlight w:val="none"/>
              </w:rPr>
              <w:t>主要特征</w:t>
            </w:r>
          </w:p>
        </w:tc>
      </w:tr>
      <w:tr w14:paraId="6F23F321">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053" w:type="pct"/>
            <w:tcBorders>
              <w:left w:val="nil"/>
            </w:tcBorders>
            <w:vAlign w:val="center"/>
          </w:tcPr>
          <w:p w14:paraId="0847CC40">
            <w:pPr>
              <w:pStyle w:val="37"/>
              <w:bidi w:val="0"/>
              <w:rPr>
                <w:color w:val="auto"/>
                <w:highlight w:val="none"/>
              </w:rPr>
            </w:pPr>
            <w:r>
              <w:rPr>
                <w:color w:val="auto"/>
                <w:highlight w:val="none"/>
              </w:rPr>
              <w:t>难</w:t>
            </w:r>
          </w:p>
        </w:tc>
        <w:tc>
          <w:tcPr>
            <w:tcW w:w="3946" w:type="pct"/>
            <w:tcBorders>
              <w:right w:val="nil"/>
            </w:tcBorders>
            <w:vAlign w:val="center"/>
          </w:tcPr>
          <w:p w14:paraId="661752E4">
            <w:pPr>
              <w:pStyle w:val="37"/>
              <w:bidi w:val="0"/>
              <w:rPr>
                <w:color w:val="auto"/>
                <w:highlight w:val="none"/>
              </w:rPr>
            </w:pPr>
            <w:r>
              <w:rPr>
                <w:color w:val="auto"/>
                <w:highlight w:val="none"/>
              </w:rPr>
              <w:t>对地下水环境有污染的物料或污染物</w:t>
            </w:r>
            <w:r>
              <w:rPr>
                <w:rFonts w:hint="eastAsia"/>
                <w:color w:val="auto"/>
                <w:highlight w:val="none"/>
                <w:lang w:eastAsia="zh-CN"/>
              </w:rPr>
              <w:t>泄漏</w:t>
            </w:r>
            <w:r>
              <w:rPr>
                <w:color w:val="auto"/>
                <w:highlight w:val="none"/>
              </w:rPr>
              <w:t>后，不能及时发现和处理。</w:t>
            </w:r>
          </w:p>
        </w:tc>
      </w:tr>
      <w:tr w14:paraId="05047DC1">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053" w:type="pct"/>
            <w:tcBorders>
              <w:left w:val="nil"/>
            </w:tcBorders>
            <w:vAlign w:val="center"/>
          </w:tcPr>
          <w:p w14:paraId="7DA01EC1">
            <w:pPr>
              <w:pStyle w:val="37"/>
              <w:bidi w:val="0"/>
              <w:rPr>
                <w:color w:val="auto"/>
                <w:highlight w:val="none"/>
              </w:rPr>
            </w:pPr>
            <w:r>
              <w:rPr>
                <w:color w:val="auto"/>
                <w:highlight w:val="none"/>
              </w:rPr>
              <w:t>易</w:t>
            </w:r>
          </w:p>
        </w:tc>
        <w:tc>
          <w:tcPr>
            <w:tcW w:w="3946" w:type="pct"/>
            <w:tcBorders>
              <w:right w:val="nil"/>
            </w:tcBorders>
            <w:vAlign w:val="center"/>
          </w:tcPr>
          <w:p w14:paraId="14C5B7F4">
            <w:pPr>
              <w:pStyle w:val="37"/>
              <w:bidi w:val="0"/>
              <w:rPr>
                <w:color w:val="auto"/>
                <w:highlight w:val="none"/>
              </w:rPr>
            </w:pPr>
            <w:r>
              <w:rPr>
                <w:color w:val="auto"/>
                <w:highlight w:val="none"/>
              </w:rPr>
              <w:t>对地下水环境有污染的物料或污染物</w:t>
            </w:r>
            <w:r>
              <w:rPr>
                <w:rFonts w:hint="eastAsia"/>
                <w:color w:val="auto"/>
                <w:highlight w:val="none"/>
                <w:lang w:eastAsia="zh-CN"/>
              </w:rPr>
              <w:t>泄漏</w:t>
            </w:r>
            <w:r>
              <w:rPr>
                <w:color w:val="auto"/>
                <w:highlight w:val="none"/>
              </w:rPr>
              <w:t>后，可及时发现和处理</w:t>
            </w:r>
          </w:p>
        </w:tc>
      </w:tr>
    </w:tbl>
    <w:p w14:paraId="38D25E5E">
      <w:pPr>
        <w:pStyle w:val="44"/>
        <w:bidi w:val="0"/>
        <w:rPr>
          <w:color w:val="auto"/>
          <w:highlight w:val="none"/>
        </w:rPr>
      </w:pPr>
      <w:r>
        <w:rPr>
          <w:color w:val="auto"/>
          <w:highlight w:val="none"/>
        </w:rPr>
        <w:t>表6.</w:t>
      </w:r>
      <w:r>
        <w:rPr>
          <w:rFonts w:hint="eastAsia"/>
          <w:color w:val="auto"/>
          <w:highlight w:val="none"/>
          <w:lang w:val="en-US" w:eastAsia="zh-CN"/>
        </w:rPr>
        <w:t>2</w:t>
      </w:r>
      <w:r>
        <w:rPr>
          <w:color w:val="auto"/>
          <w:highlight w:val="none"/>
        </w:rPr>
        <w:t>-</w:t>
      </w:r>
      <w:r>
        <w:rPr>
          <w:rFonts w:hint="eastAsia"/>
          <w:color w:val="auto"/>
          <w:highlight w:val="none"/>
          <w:lang w:val="en-US" w:eastAsia="zh-CN"/>
        </w:rPr>
        <w:t>2</w:t>
      </w:r>
      <w:r>
        <w:rPr>
          <w:color w:val="auto"/>
          <w:highlight w:val="none"/>
        </w:rPr>
        <w:t xml:space="preserve">  天然包气带防污性能分级参照表</w:t>
      </w:r>
    </w:p>
    <w:tbl>
      <w:tblPr>
        <w:tblStyle w:val="41"/>
        <w:tblW w:w="5000" w:type="pct"/>
        <w:tblInd w:w="0" w:type="dxa"/>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33"/>
        <w:gridCol w:w="8139"/>
      </w:tblGrid>
      <w:tr w14:paraId="2E81C205">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14" w:type="pct"/>
            <w:tcBorders>
              <w:left w:val="nil"/>
            </w:tcBorders>
            <w:vAlign w:val="center"/>
          </w:tcPr>
          <w:p w14:paraId="36DD353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分级</w:t>
            </w:r>
          </w:p>
        </w:tc>
        <w:tc>
          <w:tcPr>
            <w:tcW w:w="4485" w:type="pct"/>
            <w:tcBorders>
              <w:right w:val="nil"/>
            </w:tcBorders>
            <w:vAlign w:val="center"/>
          </w:tcPr>
          <w:p w14:paraId="0E197800">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包气带岩土的渗透性能</w:t>
            </w:r>
          </w:p>
        </w:tc>
      </w:tr>
      <w:tr w14:paraId="5ED5C752">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14" w:type="pct"/>
            <w:tcBorders>
              <w:left w:val="nil"/>
            </w:tcBorders>
            <w:vAlign w:val="center"/>
          </w:tcPr>
          <w:p w14:paraId="738B3304">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强</w:t>
            </w:r>
          </w:p>
        </w:tc>
        <w:tc>
          <w:tcPr>
            <w:tcW w:w="4485" w:type="pct"/>
            <w:tcBorders>
              <w:right w:val="nil"/>
            </w:tcBorders>
            <w:vAlign w:val="center"/>
          </w:tcPr>
          <w:p w14:paraId="1FEF451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岩（土）层单层厚度Mb≥1.0m，渗透系数K≤1×10</w:t>
            </w:r>
            <w:r>
              <w:rPr>
                <w:rFonts w:hint="default" w:ascii="Times New Roman" w:hAnsi="Times New Roman" w:cs="Times New Roman"/>
                <w:color w:val="auto"/>
                <w:highlight w:val="none"/>
                <w:vertAlign w:val="superscript"/>
              </w:rPr>
              <w:t>-6</w:t>
            </w:r>
            <w:r>
              <w:rPr>
                <w:rFonts w:hint="default" w:ascii="Times New Roman" w:hAnsi="Times New Roman" w:cs="Times New Roman"/>
                <w:color w:val="auto"/>
                <w:highlight w:val="none"/>
              </w:rPr>
              <w:t>cm/s，且分布连续、稳定。</w:t>
            </w:r>
          </w:p>
        </w:tc>
      </w:tr>
      <w:tr w14:paraId="6DD8DDE1">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14" w:type="pct"/>
            <w:tcBorders>
              <w:left w:val="nil"/>
            </w:tcBorders>
            <w:vAlign w:val="center"/>
          </w:tcPr>
          <w:p w14:paraId="59554F3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中</w:t>
            </w:r>
          </w:p>
        </w:tc>
        <w:tc>
          <w:tcPr>
            <w:tcW w:w="4485" w:type="pct"/>
            <w:tcBorders>
              <w:right w:val="nil"/>
            </w:tcBorders>
            <w:vAlign w:val="center"/>
          </w:tcPr>
          <w:p w14:paraId="1E72B53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岩（土）层单层厚度0.5m≤Mb≤1.0m，渗透系数K≤1×10</w:t>
            </w:r>
            <w:r>
              <w:rPr>
                <w:rFonts w:hint="default" w:ascii="Times New Roman" w:hAnsi="Times New Roman" w:cs="Times New Roman"/>
                <w:color w:val="auto"/>
                <w:highlight w:val="none"/>
                <w:vertAlign w:val="superscript"/>
              </w:rPr>
              <w:t>-6</w:t>
            </w:r>
            <w:r>
              <w:rPr>
                <w:rFonts w:hint="default" w:ascii="Times New Roman" w:hAnsi="Times New Roman" w:cs="Times New Roman"/>
                <w:color w:val="auto"/>
                <w:highlight w:val="none"/>
              </w:rPr>
              <w:t>cm/s，且分布连续、稳定。</w:t>
            </w:r>
          </w:p>
          <w:p w14:paraId="71E0024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岩（土）层单层厚度Mb≥1.0m，渗透系数1×10</w:t>
            </w:r>
            <w:r>
              <w:rPr>
                <w:rFonts w:hint="default" w:ascii="Times New Roman" w:hAnsi="Times New Roman" w:cs="Times New Roman"/>
                <w:color w:val="auto"/>
                <w:highlight w:val="none"/>
                <w:vertAlign w:val="superscript"/>
              </w:rPr>
              <w:t>-6</w:t>
            </w:r>
            <w:r>
              <w:rPr>
                <w:rFonts w:hint="default" w:ascii="Times New Roman" w:hAnsi="Times New Roman" w:cs="Times New Roman"/>
                <w:color w:val="auto"/>
                <w:highlight w:val="none"/>
              </w:rPr>
              <w:t>cm/s＜K≤1×10</w:t>
            </w:r>
            <w:r>
              <w:rPr>
                <w:rFonts w:hint="default" w:ascii="Times New Roman" w:hAnsi="Times New Roman" w:cs="Times New Roman"/>
                <w:color w:val="auto"/>
                <w:highlight w:val="none"/>
                <w:vertAlign w:val="superscript"/>
              </w:rPr>
              <w:t>-4</w:t>
            </w:r>
            <w:r>
              <w:rPr>
                <w:rFonts w:hint="default" w:ascii="Times New Roman" w:hAnsi="Times New Roman" w:cs="Times New Roman"/>
                <w:color w:val="auto"/>
                <w:highlight w:val="none"/>
              </w:rPr>
              <w:t>cm/s，且分布连续、稳定。</w:t>
            </w:r>
          </w:p>
        </w:tc>
      </w:tr>
      <w:tr w14:paraId="2D955659">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14" w:type="pct"/>
            <w:tcBorders>
              <w:left w:val="nil"/>
            </w:tcBorders>
            <w:vAlign w:val="center"/>
          </w:tcPr>
          <w:p w14:paraId="112B53C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弱</w:t>
            </w:r>
          </w:p>
        </w:tc>
        <w:tc>
          <w:tcPr>
            <w:tcW w:w="4485" w:type="pct"/>
            <w:tcBorders>
              <w:right w:val="nil"/>
            </w:tcBorders>
            <w:vAlign w:val="center"/>
          </w:tcPr>
          <w:p w14:paraId="409E105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岩（土）层不满足上述“强”和“中”条件</w:t>
            </w:r>
          </w:p>
        </w:tc>
      </w:tr>
    </w:tbl>
    <w:p w14:paraId="53671318">
      <w:pPr>
        <w:pStyle w:val="44"/>
        <w:bidi w:val="0"/>
        <w:rPr>
          <w:color w:val="auto"/>
          <w:highlight w:val="none"/>
        </w:rPr>
      </w:pPr>
      <w:r>
        <w:rPr>
          <w:color w:val="auto"/>
          <w:highlight w:val="none"/>
        </w:rPr>
        <w:t>表6.</w:t>
      </w:r>
      <w:r>
        <w:rPr>
          <w:rFonts w:hint="eastAsia"/>
          <w:color w:val="auto"/>
          <w:highlight w:val="none"/>
          <w:lang w:val="en-US" w:eastAsia="zh-CN"/>
        </w:rPr>
        <w:t>2</w:t>
      </w:r>
      <w:r>
        <w:rPr>
          <w:color w:val="auto"/>
          <w:highlight w:val="none"/>
        </w:rPr>
        <w:t>-3  地下污染防渗分区参照表</w:t>
      </w:r>
    </w:p>
    <w:tbl>
      <w:tblPr>
        <w:tblStyle w:val="41"/>
        <w:tblW w:w="5000" w:type="pct"/>
        <w:tblInd w:w="0" w:type="dxa"/>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296"/>
        <w:gridCol w:w="1358"/>
        <w:gridCol w:w="1389"/>
        <w:gridCol w:w="1839"/>
        <w:gridCol w:w="3190"/>
      </w:tblGrid>
      <w:tr w14:paraId="21089025">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714" w:type="pct"/>
            <w:tcBorders>
              <w:left w:val="nil"/>
            </w:tcBorders>
            <w:vAlign w:val="center"/>
          </w:tcPr>
          <w:p w14:paraId="5A54135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防渗分区</w:t>
            </w:r>
          </w:p>
        </w:tc>
        <w:tc>
          <w:tcPr>
            <w:tcW w:w="748" w:type="pct"/>
            <w:vAlign w:val="center"/>
          </w:tcPr>
          <w:p w14:paraId="09BFB21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天然包气带防污性能</w:t>
            </w:r>
          </w:p>
        </w:tc>
        <w:tc>
          <w:tcPr>
            <w:tcW w:w="765" w:type="pct"/>
            <w:vAlign w:val="center"/>
          </w:tcPr>
          <w:p w14:paraId="0673FF1B">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污染物控制难易程度</w:t>
            </w:r>
          </w:p>
        </w:tc>
        <w:tc>
          <w:tcPr>
            <w:tcW w:w="1013" w:type="pct"/>
            <w:vAlign w:val="center"/>
          </w:tcPr>
          <w:p w14:paraId="059CEE70">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污染物类型</w:t>
            </w:r>
          </w:p>
        </w:tc>
        <w:tc>
          <w:tcPr>
            <w:tcW w:w="1757" w:type="pct"/>
            <w:tcBorders>
              <w:right w:val="nil"/>
            </w:tcBorders>
            <w:vAlign w:val="center"/>
          </w:tcPr>
          <w:p w14:paraId="76579B8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防渗技术要求</w:t>
            </w:r>
          </w:p>
        </w:tc>
      </w:tr>
      <w:tr w14:paraId="4F0D7FE4">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714" w:type="pct"/>
            <w:vMerge w:val="restart"/>
            <w:tcBorders>
              <w:left w:val="nil"/>
              <w:bottom w:val="nil"/>
            </w:tcBorders>
            <w:vAlign w:val="center"/>
          </w:tcPr>
          <w:p w14:paraId="1713CD1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重点</w:t>
            </w:r>
            <w:r>
              <w:rPr>
                <w:rFonts w:hint="default" w:ascii="Times New Roman" w:hAnsi="Times New Roman" w:cs="Times New Roman"/>
                <w:color w:val="auto"/>
                <w:highlight w:val="none"/>
                <w:lang w:val="en-US" w:eastAsia="zh-CN"/>
              </w:rPr>
              <w:t>防渗区</w:t>
            </w:r>
          </w:p>
        </w:tc>
        <w:tc>
          <w:tcPr>
            <w:tcW w:w="748" w:type="pct"/>
            <w:vAlign w:val="center"/>
          </w:tcPr>
          <w:p w14:paraId="2EB7E97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弱</w:t>
            </w:r>
          </w:p>
        </w:tc>
        <w:tc>
          <w:tcPr>
            <w:tcW w:w="765" w:type="pct"/>
            <w:vAlign w:val="center"/>
          </w:tcPr>
          <w:p w14:paraId="69C3EC1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难</w:t>
            </w:r>
          </w:p>
        </w:tc>
        <w:tc>
          <w:tcPr>
            <w:tcW w:w="1013" w:type="pct"/>
            <w:vMerge w:val="restart"/>
            <w:tcBorders>
              <w:bottom w:val="nil"/>
            </w:tcBorders>
            <w:vAlign w:val="center"/>
          </w:tcPr>
          <w:p w14:paraId="60DE09A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重金属、持久性有机污染物</w:t>
            </w:r>
          </w:p>
        </w:tc>
        <w:tc>
          <w:tcPr>
            <w:tcW w:w="1757" w:type="pct"/>
            <w:vMerge w:val="restart"/>
            <w:tcBorders>
              <w:bottom w:val="nil"/>
              <w:right w:val="nil"/>
            </w:tcBorders>
            <w:vAlign w:val="center"/>
          </w:tcPr>
          <w:p w14:paraId="26E7864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等效黏土防渗层Mb≥6.0m，K≤1×10</w:t>
            </w:r>
            <w:r>
              <w:rPr>
                <w:rFonts w:hint="default" w:ascii="Times New Roman" w:hAnsi="Times New Roman" w:cs="Times New Roman"/>
                <w:color w:val="auto"/>
                <w:highlight w:val="none"/>
                <w:vertAlign w:val="superscript"/>
              </w:rPr>
              <w:t>-7</w:t>
            </w:r>
            <w:r>
              <w:rPr>
                <w:rFonts w:hint="default" w:ascii="Times New Roman" w:hAnsi="Times New Roman" w:cs="Times New Roman"/>
                <w:color w:val="auto"/>
                <w:highlight w:val="none"/>
              </w:rPr>
              <w:t>cm/s；或参照GB18598执行</w:t>
            </w:r>
          </w:p>
        </w:tc>
      </w:tr>
      <w:tr w14:paraId="13E51F97">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714" w:type="pct"/>
            <w:vMerge w:val="continue"/>
            <w:tcBorders>
              <w:top w:val="nil"/>
              <w:left w:val="nil"/>
              <w:bottom w:val="nil"/>
            </w:tcBorders>
            <w:vAlign w:val="center"/>
          </w:tcPr>
          <w:p w14:paraId="48FC2686">
            <w:pPr>
              <w:rPr>
                <w:rFonts w:hint="default" w:ascii="Times New Roman" w:hAnsi="Times New Roman" w:cs="Times New Roman"/>
                <w:color w:val="auto"/>
                <w:sz w:val="21"/>
                <w:highlight w:val="none"/>
              </w:rPr>
            </w:pPr>
          </w:p>
        </w:tc>
        <w:tc>
          <w:tcPr>
            <w:tcW w:w="748" w:type="pct"/>
            <w:vAlign w:val="center"/>
          </w:tcPr>
          <w:p w14:paraId="14629AF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中-强</w:t>
            </w:r>
          </w:p>
        </w:tc>
        <w:tc>
          <w:tcPr>
            <w:tcW w:w="765" w:type="pct"/>
            <w:vAlign w:val="center"/>
          </w:tcPr>
          <w:p w14:paraId="30337C5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难</w:t>
            </w:r>
          </w:p>
        </w:tc>
        <w:tc>
          <w:tcPr>
            <w:tcW w:w="1013" w:type="pct"/>
            <w:vMerge w:val="continue"/>
            <w:tcBorders>
              <w:top w:val="nil"/>
              <w:bottom w:val="nil"/>
            </w:tcBorders>
            <w:vAlign w:val="center"/>
          </w:tcPr>
          <w:p w14:paraId="6255C5FC">
            <w:pPr>
              <w:rPr>
                <w:rFonts w:hint="default" w:ascii="Times New Roman" w:hAnsi="Times New Roman" w:cs="Times New Roman"/>
                <w:color w:val="auto"/>
                <w:sz w:val="21"/>
                <w:highlight w:val="none"/>
              </w:rPr>
            </w:pPr>
          </w:p>
        </w:tc>
        <w:tc>
          <w:tcPr>
            <w:tcW w:w="1757" w:type="pct"/>
            <w:vMerge w:val="continue"/>
            <w:tcBorders>
              <w:top w:val="nil"/>
              <w:bottom w:val="nil"/>
              <w:right w:val="nil"/>
            </w:tcBorders>
            <w:vAlign w:val="center"/>
          </w:tcPr>
          <w:p w14:paraId="7A339EB8">
            <w:pPr>
              <w:rPr>
                <w:rFonts w:hint="default" w:ascii="Times New Roman" w:hAnsi="Times New Roman" w:cs="Times New Roman"/>
                <w:color w:val="auto"/>
                <w:sz w:val="21"/>
                <w:highlight w:val="none"/>
              </w:rPr>
            </w:pPr>
          </w:p>
        </w:tc>
      </w:tr>
      <w:tr w14:paraId="080C3F54">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714" w:type="pct"/>
            <w:vMerge w:val="continue"/>
            <w:tcBorders>
              <w:top w:val="nil"/>
              <w:left w:val="nil"/>
            </w:tcBorders>
            <w:vAlign w:val="center"/>
          </w:tcPr>
          <w:p w14:paraId="62A602BA">
            <w:pPr>
              <w:rPr>
                <w:rFonts w:hint="default" w:ascii="Times New Roman" w:hAnsi="Times New Roman" w:cs="Times New Roman"/>
                <w:color w:val="auto"/>
                <w:sz w:val="21"/>
                <w:highlight w:val="none"/>
              </w:rPr>
            </w:pPr>
          </w:p>
        </w:tc>
        <w:tc>
          <w:tcPr>
            <w:tcW w:w="748" w:type="pct"/>
            <w:vAlign w:val="center"/>
          </w:tcPr>
          <w:p w14:paraId="1C731DD8">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弱</w:t>
            </w:r>
          </w:p>
        </w:tc>
        <w:tc>
          <w:tcPr>
            <w:tcW w:w="765" w:type="pct"/>
            <w:vAlign w:val="center"/>
          </w:tcPr>
          <w:p w14:paraId="569F597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易</w:t>
            </w:r>
          </w:p>
        </w:tc>
        <w:tc>
          <w:tcPr>
            <w:tcW w:w="1013" w:type="pct"/>
            <w:vMerge w:val="continue"/>
            <w:tcBorders>
              <w:top w:val="nil"/>
            </w:tcBorders>
            <w:vAlign w:val="center"/>
          </w:tcPr>
          <w:p w14:paraId="04588A3D">
            <w:pPr>
              <w:rPr>
                <w:rFonts w:hint="default" w:ascii="Times New Roman" w:hAnsi="Times New Roman" w:cs="Times New Roman"/>
                <w:color w:val="auto"/>
                <w:sz w:val="21"/>
                <w:highlight w:val="none"/>
              </w:rPr>
            </w:pPr>
          </w:p>
        </w:tc>
        <w:tc>
          <w:tcPr>
            <w:tcW w:w="1757" w:type="pct"/>
            <w:vMerge w:val="continue"/>
            <w:tcBorders>
              <w:top w:val="nil"/>
              <w:right w:val="nil"/>
            </w:tcBorders>
            <w:vAlign w:val="center"/>
          </w:tcPr>
          <w:p w14:paraId="36ACB8CE">
            <w:pPr>
              <w:rPr>
                <w:rFonts w:hint="default" w:ascii="Times New Roman" w:hAnsi="Times New Roman" w:cs="Times New Roman"/>
                <w:color w:val="auto"/>
                <w:sz w:val="21"/>
                <w:highlight w:val="none"/>
              </w:rPr>
            </w:pPr>
          </w:p>
        </w:tc>
      </w:tr>
      <w:tr w14:paraId="36E563CC">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714" w:type="pct"/>
            <w:vMerge w:val="restart"/>
            <w:tcBorders>
              <w:left w:val="nil"/>
              <w:bottom w:val="nil"/>
            </w:tcBorders>
            <w:vAlign w:val="center"/>
          </w:tcPr>
          <w:p w14:paraId="48E6A79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一般</w:t>
            </w:r>
            <w:r>
              <w:rPr>
                <w:rFonts w:hint="default" w:ascii="Times New Roman" w:hAnsi="Times New Roman" w:cs="Times New Roman"/>
                <w:color w:val="auto"/>
                <w:highlight w:val="none"/>
                <w:lang w:val="en-US" w:eastAsia="zh-CN"/>
              </w:rPr>
              <w:t>防渗区</w:t>
            </w:r>
          </w:p>
        </w:tc>
        <w:tc>
          <w:tcPr>
            <w:tcW w:w="748" w:type="pct"/>
            <w:vAlign w:val="center"/>
          </w:tcPr>
          <w:p w14:paraId="28B2A23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弱</w:t>
            </w:r>
          </w:p>
        </w:tc>
        <w:tc>
          <w:tcPr>
            <w:tcW w:w="765" w:type="pct"/>
            <w:vAlign w:val="center"/>
          </w:tcPr>
          <w:p w14:paraId="7B1DE9C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易-难</w:t>
            </w:r>
          </w:p>
        </w:tc>
        <w:tc>
          <w:tcPr>
            <w:tcW w:w="1013" w:type="pct"/>
            <w:vMerge w:val="restart"/>
            <w:tcBorders>
              <w:bottom w:val="nil"/>
            </w:tcBorders>
            <w:vAlign w:val="center"/>
          </w:tcPr>
          <w:p w14:paraId="6524828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其他类型</w:t>
            </w:r>
          </w:p>
        </w:tc>
        <w:tc>
          <w:tcPr>
            <w:tcW w:w="1757" w:type="pct"/>
            <w:vMerge w:val="restart"/>
            <w:tcBorders>
              <w:bottom w:val="nil"/>
              <w:right w:val="nil"/>
            </w:tcBorders>
            <w:vAlign w:val="center"/>
          </w:tcPr>
          <w:p w14:paraId="61BC882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等效黏土防渗层Mb≥1.5m，K≤1×10</w:t>
            </w:r>
            <w:r>
              <w:rPr>
                <w:rFonts w:hint="default" w:ascii="Times New Roman" w:hAnsi="Times New Roman" w:cs="Times New Roman"/>
                <w:color w:val="auto"/>
                <w:highlight w:val="none"/>
                <w:vertAlign w:val="superscript"/>
              </w:rPr>
              <w:t>-7</w:t>
            </w:r>
            <w:r>
              <w:rPr>
                <w:rFonts w:hint="default" w:ascii="Times New Roman" w:hAnsi="Times New Roman" w:cs="Times New Roman"/>
                <w:color w:val="auto"/>
                <w:highlight w:val="none"/>
              </w:rPr>
              <w:t>cm/s；或参照GB168898执行</w:t>
            </w:r>
          </w:p>
        </w:tc>
      </w:tr>
      <w:tr w14:paraId="30CA5846">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714" w:type="pct"/>
            <w:vMerge w:val="continue"/>
            <w:tcBorders>
              <w:top w:val="nil"/>
              <w:left w:val="nil"/>
              <w:bottom w:val="nil"/>
            </w:tcBorders>
            <w:vAlign w:val="center"/>
          </w:tcPr>
          <w:p w14:paraId="223BB4AC">
            <w:pPr>
              <w:rPr>
                <w:rFonts w:hint="default" w:ascii="Times New Roman" w:hAnsi="Times New Roman" w:cs="Times New Roman"/>
                <w:color w:val="auto"/>
                <w:sz w:val="21"/>
                <w:highlight w:val="none"/>
              </w:rPr>
            </w:pPr>
          </w:p>
        </w:tc>
        <w:tc>
          <w:tcPr>
            <w:tcW w:w="748" w:type="pct"/>
            <w:vAlign w:val="center"/>
          </w:tcPr>
          <w:p w14:paraId="0BBE874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中-强</w:t>
            </w:r>
          </w:p>
        </w:tc>
        <w:tc>
          <w:tcPr>
            <w:tcW w:w="765" w:type="pct"/>
            <w:vAlign w:val="center"/>
          </w:tcPr>
          <w:p w14:paraId="6A085EC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难</w:t>
            </w:r>
          </w:p>
        </w:tc>
        <w:tc>
          <w:tcPr>
            <w:tcW w:w="1013" w:type="pct"/>
            <w:vMerge w:val="continue"/>
            <w:tcBorders>
              <w:top w:val="nil"/>
            </w:tcBorders>
            <w:vAlign w:val="center"/>
          </w:tcPr>
          <w:p w14:paraId="0E5C585B">
            <w:pPr>
              <w:rPr>
                <w:rFonts w:hint="default" w:ascii="Times New Roman" w:hAnsi="Times New Roman" w:cs="Times New Roman"/>
                <w:color w:val="auto"/>
                <w:sz w:val="21"/>
                <w:highlight w:val="none"/>
              </w:rPr>
            </w:pPr>
          </w:p>
        </w:tc>
        <w:tc>
          <w:tcPr>
            <w:tcW w:w="1757" w:type="pct"/>
            <w:vMerge w:val="continue"/>
            <w:tcBorders>
              <w:top w:val="nil"/>
              <w:bottom w:val="nil"/>
              <w:right w:val="nil"/>
            </w:tcBorders>
            <w:vAlign w:val="center"/>
          </w:tcPr>
          <w:p w14:paraId="48FD4D62">
            <w:pPr>
              <w:rPr>
                <w:rFonts w:hint="default" w:ascii="Times New Roman" w:hAnsi="Times New Roman" w:cs="Times New Roman"/>
                <w:color w:val="auto"/>
                <w:sz w:val="21"/>
                <w:highlight w:val="none"/>
              </w:rPr>
            </w:pPr>
          </w:p>
        </w:tc>
      </w:tr>
      <w:tr w14:paraId="7BD124DA">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714" w:type="pct"/>
            <w:vMerge w:val="continue"/>
            <w:tcBorders>
              <w:top w:val="nil"/>
              <w:left w:val="nil"/>
              <w:bottom w:val="nil"/>
            </w:tcBorders>
            <w:vAlign w:val="center"/>
          </w:tcPr>
          <w:p w14:paraId="7BD9039F">
            <w:pPr>
              <w:rPr>
                <w:rFonts w:hint="default" w:ascii="Times New Roman" w:hAnsi="Times New Roman" w:cs="Times New Roman"/>
                <w:color w:val="auto"/>
                <w:sz w:val="21"/>
                <w:highlight w:val="none"/>
              </w:rPr>
            </w:pPr>
          </w:p>
        </w:tc>
        <w:tc>
          <w:tcPr>
            <w:tcW w:w="748" w:type="pct"/>
            <w:vAlign w:val="center"/>
          </w:tcPr>
          <w:p w14:paraId="696BD75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中</w:t>
            </w:r>
          </w:p>
        </w:tc>
        <w:tc>
          <w:tcPr>
            <w:tcW w:w="765" w:type="pct"/>
            <w:vAlign w:val="center"/>
          </w:tcPr>
          <w:p w14:paraId="7604F04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易</w:t>
            </w:r>
          </w:p>
        </w:tc>
        <w:tc>
          <w:tcPr>
            <w:tcW w:w="1013" w:type="pct"/>
            <w:vMerge w:val="restart"/>
            <w:tcBorders>
              <w:bottom w:val="nil"/>
            </w:tcBorders>
            <w:vAlign w:val="center"/>
          </w:tcPr>
          <w:p w14:paraId="1A95F43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重金属、持久性有机污染物</w:t>
            </w:r>
          </w:p>
        </w:tc>
        <w:tc>
          <w:tcPr>
            <w:tcW w:w="1757" w:type="pct"/>
            <w:vMerge w:val="continue"/>
            <w:tcBorders>
              <w:top w:val="nil"/>
              <w:bottom w:val="nil"/>
              <w:right w:val="nil"/>
            </w:tcBorders>
            <w:vAlign w:val="center"/>
          </w:tcPr>
          <w:p w14:paraId="58AFEDBD">
            <w:pPr>
              <w:rPr>
                <w:rFonts w:hint="default" w:ascii="Times New Roman" w:hAnsi="Times New Roman" w:cs="Times New Roman"/>
                <w:color w:val="auto"/>
                <w:sz w:val="21"/>
                <w:highlight w:val="none"/>
              </w:rPr>
            </w:pPr>
          </w:p>
        </w:tc>
      </w:tr>
      <w:tr w14:paraId="3450097A">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PrEx>
        <w:trPr>
          <w:trHeight w:val="397" w:hRule="atLeast"/>
        </w:trPr>
        <w:tc>
          <w:tcPr>
            <w:tcW w:w="714" w:type="pct"/>
            <w:vMerge w:val="continue"/>
            <w:tcBorders>
              <w:top w:val="nil"/>
              <w:left w:val="nil"/>
            </w:tcBorders>
            <w:vAlign w:val="center"/>
          </w:tcPr>
          <w:p w14:paraId="0723A4CE">
            <w:pPr>
              <w:rPr>
                <w:rFonts w:hint="default" w:ascii="Times New Roman" w:hAnsi="Times New Roman" w:cs="Times New Roman"/>
                <w:color w:val="auto"/>
                <w:sz w:val="21"/>
                <w:highlight w:val="none"/>
              </w:rPr>
            </w:pPr>
          </w:p>
        </w:tc>
        <w:tc>
          <w:tcPr>
            <w:tcW w:w="748" w:type="pct"/>
            <w:vAlign w:val="center"/>
          </w:tcPr>
          <w:p w14:paraId="17B8E62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强</w:t>
            </w:r>
          </w:p>
        </w:tc>
        <w:tc>
          <w:tcPr>
            <w:tcW w:w="765" w:type="pct"/>
            <w:vAlign w:val="center"/>
          </w:tcPr>
          <w:p w14:paraId="20ABB0B3">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易</w:t>
            </w:r>
          </w:p>
        </w:tc>
        <w:tc>
          <w:tcPr>
            <w:tcW w:w="1013" w:type="pct"/>
            <w:vMerge w:val="continue"/>
            <w:tcBorders>
              <w:top w:val="nil"/>
            </w:tcBorders>
            <w:vAlign w:val="center"/>
          </w:tcPr>
          <w:p w14:paraId="5C260FCB">
            <w:pPr>
              <w:rPr>
                <w:rFonts w:hint="default" w:ascii="Times New Roman" w:hAnsi="Times New Roman" w:cs="Times New Roman"/>
                <w:color w:val="auto"/>
                <w:sz w:val="21"/>
                <w:highlight w:val="none"/>
              </w:rPr>
            </w:pPr>
          </w:p>
        </w:tc>
        <w:tc>
          <w:tcPr>
            <w:tcW w:w="1757" w:type="pct"/>
            <w:vMerge w:val="continue"/>
            <w:tcBorders>
              <w:top w:val="nil"/>
              <w:right w:val="nil"/>
            </w:tcBorders>
            <w:vAlign w:val="center"/>
          </w:tcPr>
          <w:p w14:paraId="18916FCF">
            <w:pPr>
              <w:rPr>
                <w:rFonts w:hint="default" w:ascii="Times New Roman" w:hAnsi="Times New Roman" w:cs="Times New Roman"/>
                <w:color w:val="auto"/>
                <w:sz w:val="21"/>
                <w:highlight w:val="none"/>
              </w:rPr>
            </w:pPr>
          </w:p>
        </w:tc>
      </w:tr>
      <w:tr w14:paraId="798FA009">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714" w:type="pct"/>
            <w:tcBorders>
              <w:left w:val="nil"/>
            </w:tcBorders>
            <w:vAlign w:val="center"/>
          </w:tcPr>
          <w:p w14:paraId="70BF7C8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简单</w:t>
            </w:r>
            <w:r>
              <w:rPr>
                <w:rFonts w:hint="default" w:ascii="Times New Roman" w:hAnsi="Times New Roman" w:cs="Times New Roman"/>
                <w:color w:val="auto"/>
                <w:highlight w:val="none"/>
                <w:lang w:val="en-US" w:eastAsia="zh-CN"/>
              </w:rPr>
              <w:t>防渗区</w:t>
            </w:r>
          </w:p>
        </w:tc>
        <w:tc>
          <w:tcPr>
            <w:tcW w:w="748" w:type="pct"/>
            <w:vAlign w:val="center"/>
          </w:tcPr>
          <w:p w14:paraId="43FE11A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中-强</w:t>
            </w:r>
          </w:p>
        </w:tc>
        <w:tc>
          <w:tcPr>
            <w:tcW w:w="765" w:type="pct"/>
            <w:vAlign w:val="center"/>
          </w:tcPr>
          <w:p w14:paraId="035A1FEA">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易</w:t>
            </w:r>
          </w:p>
        </w:tc>
        <w:tc>
          <w:tcPr>
            <w:tcW w:w="1013" w:type="pct"/>
            <w:vAlign w:val="center"/>
          </w:tcPr>
          <w:p w14:paraId="35EE1274">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其他类型</w:t>
            </w:r>
          </w:p>
        </w:tc>
        <w:tc>
          <w:tcPr>
            <w:tcW w:w="1757" w:type="pct"/>
            <w:tcBorders>
              <w:right w:val="nil"/>
            </w:tcBorders>
            <w:vAlign w:val="center"/>
          </w:tcPr>
          <w:p w14:paraId="2EFD5AB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一般地面硬化</w:t>
            </w:r>
          </w:p>
        </w:tc>
      </w:tr>
    </w:tbl>
    <w:p w14:paraId="779D252A">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eastAsia" w:ascii="Times New Roman" w:hAnsi="Times New Roman" w:eastAsia="宋体" w:cs="Times New Roman"/>
          <w:color w:val="auto"/>
          <w:sz w:val="24"/>
          <w:szCs w:val="24"/>
          <w:lang w:val="en-US" w:eastAsia="zh-CN"/>
        </w:rPr>
        <w:t>本项目油品储存区、油漆库、调漆室、喷涂区、水帘喷漆循环水池、危险废物贮存库为重点防渗区，厂房内其余区域为一般防渗区，办公楼、门卫室、宿舍楼</w:t>
      </w:r>
      <w:r>
        <w:rPr>
          <w:rFonts w:hint="default" w:ascii="Times New Roman" w:hAnsi="Times New Roman" w:cs="Times New Roman"/>
          <w:color w:val="auto"/>
          <w:sz w:val="24"/>
          <w:szCs w:val="24"/>
        </w:rPr>
        <w:t>及厂内道路</w:t>
      </w:r>
      <w:r>
        <w:rPr>
          <w:rFonts w:hint="default" w:ascii="Times New Roman" w:hAnsi="Times New Roman" w:cs="Times New Roman"/>
          <w:color w:val="auto"/>
          <w:sz w:val="24"/>
          <w:szCs w:val="24"/>
          <w:lang w:eastAsia="zh-CN"/>
        </w:rPr>
        <w:t>为</w:t>
      </w:r>
      <w:r>
        <w:rPr>
          <w:rFonts w:hint="default" w:ascii="Times New Roman" w:hAnsi="Times New Roman" w:cs="Times New Roman"/>
          <w:color w:val="auto"/>
          <w:sz w:val="24"/>
          <w:szCs w:val="24"/>
        </w:rPr>
        <w:t>简单防渗区</w:t>
      </w:r>
      <w:r>
        <w:rPr>
          <w:rFonts w:hint="eastAsia"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rPr>
        <w:t>具体地下水防渗分区及防渗设计要求详见表6.</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w:t>
      </w:r>
      <w:r>
        <w:rPr>
          <w:rFonts w:hint="eastAsia" w:ascii="Times New Roman" w:hAnsi="Times New Roman" w:eastAsia="宋体" w:cs="Times New Roman"/>
          <w:color w:val="auto"/>
          <w:sz w:val="24"/>
          <w:szCs w:val="24"/>
          <w:lang w:val="en-US" w:eastAsia="zh-CN"/>
        </w:rPr>
        <w:t>4</w:t>
      </w:r>
      <w:r>
        <w:rPr>
          <w:rFonts w:hint="default" w:ascii="Times New Roman" w:hAnsi="Times New Roman" w:cs="Times New Roman"/>
          <w:color w:val="auto"/>
          <w:sz w:val="24"/>
          <w:szCs w:val="24"/>
        </w:rPr>
        <w:t>，防渗分区分布情况详见附图6.</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w:t>
      </w:r>
      <w:r>
        <w:rPr>
          <w:rFonts w:hint="eastAsia" w:ascii="Times New Roman" w:hAnsi="Times New Roman" w:eastAsia="宋体" w:cs="Times New Roman"/>
          <w:color w:val="auto"/>
          <w:sz w:val="24"/>
          <w:szCs w:val="24"/>
          <w:lang w:val="en-US" w:eastAsia="zh-CN"/>
        </w:rPr>
        <w:t>1</w:t>
      </w:r>
      <w:r>
        <w:rPr>
          <w:rFonts w:hint="default" w:ascii="Times New Roman" w:hAnsi="Times New Roman" w:cs="Times New Roman"/>
          <w:color w:val="auto"/>
          <w:sz w:val="24"/>
          <w:szCs w:val="24"/>
        </w:rPr>
        <w:t>。</w:t>
      </w:r>
    </w:p>
    <w:p w14:paraId="2C42B954">
      <w:pPr>
        <w:pStyle w:val="44"/>
        <w:bidi w:val="0"/>
        <w:rPr>
          <w:color w:val="auto"/>
          <w:highlight w:val="none"/>
        </w:rPr>
      </w:pPr>
      <w:r>
        <w:rPr>
          <w:color w:val="auto"/>
          <w:highlight w:val="none"/>
        </w:rPr>
        <w:t>表6.</w:t>
      </w:r>
      <w:r>
        <w:rPr>
          <w:rFonts w:hint="eastAsia"/>
          <w:color w:val="auto"/>
          <w:highlight w:val="none"/>
          <w:lang w:val="en-US" w:eastAsia="zh-CN"/>
        </w:rPr>
        <w:t>2</w:t>
      </w:r>
      <w:r>
        <w:rPr>
          <w:color w:val="auto"/>
          <w:highlight w:val="none"/>
        </w:rPr>
        <w:t>-</w:t>
      </w:r>
      <w:r>
        <w:rPr>
          <w:rFonts w:hint="eastAsia"/>
          <w:color w:val="auto"/>
          <w:highlight w:val="none"/>
          <w:lang w:val="en-US" w:eastAsia="zh-CN"/>
        </w:rPr>
        <w:t>4</w:t>
      </w:r>
      <w:r>
        <w:rPr>
          <w:color w:val="auto"/>
          <w:highlight w:val="none"/>
        </w:rPr>
        <w:t xml:space="preserve">  本项目地下水污染防治措施分区一览表</w:t>
      </w:r>
    </w:p>
    <w:tbl>
      <w:tblPr>
        <w:tblStyle w:val="41"/>
        <w:tblW w:w="5000" w:type="pct"/>
        <w:tblInd w:w="0" w:type="dxa"/>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77"/>
        <w:gridCol w:w="2083"/>
        <w:gridCol w:w="2820"/>
        <w:gridCol w:w="3492"/>
      </w:tblGrid>
      <w:tr w14:paraId="3DE25058">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373" w:type="pct"/>
            <w:tcBorders>
              <w:left w:val="nil"/>
            </w:tcBorders>
            <w:vAlign w:val="center"/>
          </w:tcPr>
          <w:p w14:paraId="2988FD08">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防渗</w:t>
            </w:r>
            <w:r>
              <w:rPr>
                <w:rFonts w:hint="default" w:ascii="Times New Roman" w:hAnsi="Times New Roman" w:cs="Times New Roman"/>
                <w:color w:val="auto"/>
                <w:sz w:val="21"/>
                <w:szCs w:val="21"/>
                <w:highlight w:val="none"/>
              </w:rPr>
              <w:t>分区</w:t>
            </w:r>
          </w:p>
        </w:tc>
        <w:tc>
          <w:tcPr>
            <w:tcW w:w="1148" w:type="pct"/>
            <w:vAlign w:val="center"/>
          </w:tcPr>
          <w:p w14:paraId="4BC92ED9">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防治部位</w:t>
            </w:r>
          </w:p>
        </w:tc>
        <w:tc>
          <w:tcPr>
            <w:tcW w:w="1554" w:type="pct"/>
            <w:vAlign w:val="center"/>
          </w:tcPr>
          <w:p w14:paraId="16328913">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防渗要求</w:t>
            </w:r>
          </w:p>
        </w:tc>
        <w:tc>
          <w:tcPr>
            <w:tcW w:w="1924" w:type="pct"/>
            <w:tcBorders>
              <w:right w:val="nil"/>
            </w:tcBorders>
            <w:vAlign w:val="center"/>
          </w:tcPr>
          <w:p w14:paraId="40368E21">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建设项目防渗设计</w:t>
            </w:r>
          </w:p>
        </w:tc>
      </w:tr>
      <w:tr w14:paraId="394BF9BB">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373" w:type="pct"/>
            <w:vMerge w:val="restart"/>
            <w:tcBorders>
              <w:left w:val="nil"/>
            </w:tcBorders>
            <w:vAlign w:val="center"/>
          </w:tcPr>
          <w:p w14:paraId="0A60C9A0">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重点</w:t>
            </w:r>
            <w:r>
              <w:rPr>
                <w:rFonts w:hint="default" w:ascii="Times New Roman" w:hAnsi="Times New Roman" w:cs="Times New Roman"/>
                <w:color w:val="auto"/>
                <w:sz w:val="21"/>
                <w:szCs w:val="21"/>
                <w:highlight w:val="none"/>
                <w:lang w:val="en-US" w:eastAsia="zh-CN"/>
              </w:rPr>
              <w:t>防渗</w:t>
            </w:r>
            <w:r>
              <w:rPr>
                <w:rFonts w:hint="default" w:ascii="Times New Roman" w:hAnsi="Times New Roman" w:cs="Times New Roman"/>
                <w:color w:val="auto"/>
                <w:sz w:val="21"/>
                <w:szCs w:val="21"/>
                <w:highlight w:val="none"/>
              </w:rPr>
              <w:t>区</w:t>
            </w:r>
          </w:p>
        </w:tc>
        <w:tc>
          <w:tcPr>
            <w:tcW w:w="1148" w:type="pct"/>
            <w:vAlign w:val="center"/>
          </w:tcPr>
          <w:p w14:paraId="1FEC36AB">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油品储存区、油漆库、调漆室、喷涂区、</w:t>
            </w:r>
            <w:r>
              <w:rPr>
                <w:rFonts w:hint="eastAsia" w:ascii="Times New Roman" w:hAnsi="Times New Roman" w:cs="Times New Roman"/>
                <w:color w:val="auto"/>
                <w:sz w:val="21"/>
                <w:szCs w:val="21"/>
                <w:highlight w:val="none"/>
                <w:lang w:val="en-US" w:eastAsia="zh-CN"/>
              </w:rPr>
              <w:t>水帘喷漆循环水池</w:t>
            </w:r>
          </w:p>
        </w:tc>
        <w:tc>
          <w:tcPr>
            <w:tcW w:w="1554" w:type="pct"/>
            <w:vAlign w:val="center"/>
          </w:tcPr>
          <w:p w14:paraId="2FAFF97D">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等效黏土防渗层Mb≥6.0m，K≤1.0×10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cm/s；或参照</w:t>
            </w:r>
          </w:p>
          <w:p w14:paraId="51D8D80C">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GB18598执行</w:t>
            </w:r>
          </w:p>
        </w:tc>
        <w:tc>
          <w:tcPr>
            <w:tcW w:w="1924" w:type="pct"/>
            <w:tcBorders>
              <w:right w:val="nil"/>
            </w:tcBorders>
            <w:vAlign w:val="center"/>
          </w:tcPr>
          <w:p w14:paraId="00D33196">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采用天然或人工材料构筑防渗层进行防渗处理，抗渗混凝土抗渗等级不低于P8，强度等级不低于C25，防渗层的防渗性能不应低于6.0m厚渗透系数为10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cm/s的黏土层的防渗性能</w:t>
            </w:r>
          </w:p>
        </w:tc>
      </w:tr>
      <w:tr w14:paraId="3ED47045">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373" w:type="pct"/>
            <w:vMerge w:val="continue"/>
            <w:tcBorders>
              <w:left w:val="nil"/>
            </w:tcBorders>
            <w:vAlign w:val="center"/>
          </w:tcPr>
          <w:p w14:paraId="0F9933B9">
            <w:pPr>
              <w:pStyle w:val="37"/>
              <w:bidi w:val="0"/>
              <w:rPr>
                <w:rFonts w:hint="default" w:ascii="Times New Roman" w:hAnsi="Times New Roman" w:cs="Times New Roman"/>
                <w:color w:val="auto"/>
                <w:sz w:val="21"/>
                <w:szCs w:val="21"/>
                <w:highlight w:val="none"/>
              </w:rPr>
            </w:pPr>
          </w:p>
        </w:tc>
        <w:tc>
          <w:tcPr>
            <w:tcW w:w="1148" w:type="pct"/>
            <w:vAlign w:val="center"/>
          </w:tcPr>
          <w:p w14:paraId="3A791591">
            <w:pPr>
              <w:pStyle w:val="37"/>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危险废物贮存库</w:t>
            </w:r>
          </w:p>
        </w:tc>
        <w:tc>
          <w:tcPr>
            <w:tcW w:w="1554" w:type="pct"/>
            <w:vAlign w:val="center"/>
          </w:tcPr>
          <w:p w14:paraId="47302E94">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防渗层为至少1m厚黏土层（渗透系数不大于10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cm/s），或至少2mm厚高密度聚乙烯膜等人工防渗材料（渗透系数不大于10</w:t>
            </w:r>
            <w:r>
              <w:rPr>
                <w:rFonts w:hint="default" w:ascii="Times New Roman" w:hAnsi="Times New Roman" w:cs="Times New Roman"/>
                <w:color w:val="auto"/>
                <w:sz w:val="21"/>
                <w:szCs w:val="21"/>
                <w:highlight w:val="none"/>
                <w:vertAlign w:val="superscript"/>
              </w:rPr>
              <w:t>-10</w:t>
            </w:r>
            <w:r>
              <w:rPr>
                <w:rFonts w:hint="default" w:ascii="Times New Roman" w:hAnsi="Times New Roman" w:cs="Times New Roman"/>
                <w:color w:val="auto"/>
                <w:sz w:val="21"/>
                <w:szCs w:val="21"/>
                <w:highlight w:val="none"/>
              </w:rPr>
              <w:t>cm/s），或其他防渗性能等效的材料</w:t>
            </w:r>
          </w:p>
        </w:tc>
        <w:tc>
          <w:tcPr>
            <w:tcW w:w="1924" w:type="pct"/>
            <w:tcBorders>
              <w:right w:val="nil"/>
            </w:tcBorders>
            <w:vAlign w:val="center"/>
          </w:tcPr>
          <w:p w14:paraId="0F17419C">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防渗层为至少1m厚黏土层（渗透系数不大于10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cm/s），或至少2mm厚高密度聚乙烯膜等人工防渗材料（渗透系数不大于10</w:t>
            </w:r>
            <w:r>
              <w:rPr>
                <w:rFonts w:hint="default" w:ascii="Times New Roman" w:hAnsi="Times New Roman" w:cs="Times New Roman"/>
                <w:color w:val="auto"/>
                <w:sz w:val="21"/>
                <w:szCs w:val="21"/>
                <w:highlight w:val="none"/>
                <w:vertAlign w:val="superscript"/>
              </w:rPr>
              <w:t>-10</w:t>
            </w:r>
            <w:r>
              <w:rPr>
                <w:rFonts w:hint="default" w:ascii="Times New Roman" w:hAnsi="Times New Roman" w:cs="Times New Roman"/>
                <w:color w:val="auto"/>
                <w:sz w:val="21"/>
                <w:szCs w:val="21"/>
                <w:highlight w:val="none"/>
              </w:rPr>
              <w:t>cm/s），或其他防渗性能等效的材料</w:t>
            </w:r>
          </w:p>
        </w:tc>
      </w:tr>
      <w:tr w14:paraId="09048635">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373" w:type="pct"/>
            <w:tcBorders>
              <w:left w:val="nil"/>
            </w:tcBorders>
            <w:vAlign w:val="center"/>
          </w:tcPr>
          <w:p w14:paraId="44519286">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w:t>
            </w:r>
            <w:r>
              <w:rPr>
                <w:rFonts w:hint="default" w:ascii="Times New Roman" w:hAnsi="Times New Roman" w:cs="Times New Roman"/>
                <w:color w:val="auto"/>
                <w:sz w:val="21"/>
                <w:szCs w:val="21"/>
                <w:highlight w:val="none"/>
                <w:lang w:val="en-US" w:eastAsia="zh-CN"/>
              </w:rPr>
              <w:t>防渗</w:t>
            </w:r>
            <w:r>
              <w:rPr>
                <w:rFonts w:hint="default" w:ascii="Times New Roman" w:hAnsi="Times New Roman" w:cs="Times New Roman"/>
                <w:color w:val="auto"/>
                <w:sz w:val="21"/>
                <w:szCs w:val="21"/>
                <w:highlight w:val="none"/>
              </w:rPr>
              <w:t>区</w:t>
            </w:r>
          </w:p>
        </w:tc>
        <w:tc>
          <w:tcPr>
            <w:tcW w:w="1148" w:type="pct"/>
            <w:vAlign w:val="center"/>
          </w:tcPr>
          <w:p w14:paraId="2393E21B">
            <w:pPr>
              <w:pStyle w:val="37"/>
              <w:bidi w:val="0"/>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lang w:val="en-US" w:eastAsia="zh-CN"/>
              </w:rPr>
              <w:t>厂房内其余区域</w:t>
            </w:r>
          </w:p>
        </w:tc>
        <w:tc>
          <w:tcPr>
            <w:tcW w:w="1554" w:type="pct"/>
            <w:vAlign w:val="center"/>
          </w:tcPr>
          <w:p w14:paraId="29590BCE">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等效黏土防渗层Mb≥1.5m，K≤1.0×10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cm/s；或参照GB16889执行</w:t>
            </w:r>
          </w:p>
        </w:tc>
        <w:tc>
          <w:tcPr>
            <w:tcW w:w="1924" w:type="pct"/>
            <w:tcBorders>
              <w:right w:val="nil"/>
            </w:tcBorders>
            <w:vAlign w:val="center"/>
          </w:tcPr>
          <w:p w14:paraId="6BC24F8A">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厚度不小于1.5m抗渗混凝土，抗渗等级不低于P8，强度等级不低于C25，渗透系数≤10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w:t>
            </w:r>
          </w:p>
        </w:tc>
      </w:tr>
      <w:tr w14:paraId="4D31CECB">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373" w:type="pct"/>
            <w:tcBorders>
              <w:left w:val="nil"/>
            </w:tcBorders>
            <w:vAlign w:val="center"/>
          </w:tcPr>
          <w:p w14:paraId="3A9A5906">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简单</w:t>
            </w:r>
            <w:r>
              <w:rPr>
                <w:rFonts w:hint="default" w:ascii="Times New Roman" w:hAnsi="Times New Roman" w:cs="Times New Roman"/>
                <w:color w:val="auto"/>
                <w:sz w:val="21"/>
                <w:szCs w:val="21"/>
                <w:highlight w:val="none"/>
                <w:lang w:val="en-US" w:eastAsia="zh-CN"/>
              </w:rPr>
              <w:t>防渗</w:t>
            </w:r>
            <w:r>
              <w:rPr>
                <w:rFonts w:hint="default" w:ascii="Times New Roman" w:hAnsi="Times New Roman" w:cs="Times New Roman"/>
                <w:color w:val="auto"/>
                <w:sz w:val="21"/>
                <w:szCs w:val="21"/>
                <w:highlight w:val="none"/>
              </w:rPr>
              <w:t>区</w:t>
            </w:r>
          </w:p>
        </w:tc>
        <w:tc>
          <w:tcPr>
            <w:tcW w:w="1148" w:type="pct"/>
            <w:vAlign w:val="center"/>
          </w:tcPr>
          <w:p w14:paraId="746E19F0">
            <w:pPr>
              <w:pStyle w:val="37"/>
              <w:bidi w:val="0"/>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办公楼、门卫室、宿舍楼</w:t>
            </w:r>
            <w:r>
              <w:rPr>
                <w:rFonts w:hint="default" w:ascii="Times New Roman" w:hAnsi="Times New Roman" w:cs="Times New Roman"/>
                <w:color w:val="auto"/>
                <w:sz w:val="21"/>
                <w:szCs w:val="21"/>
                <w:highlight w:val="none"/>
                <w:lang w:val="en-US"/>
              </w:rPr>
              <w:t>及厂内道路</w:t>
            </w:r>
          </w:p>
        </w:tc>
        <w:tc>
          <w:tcPr>
            <w:tcW w:w="1554" w:type="pct"/>
            <w:vAlign w:val="center"/>
          </w:tcPr>
          <w:p w14:paraId="4B440AAE">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一般地面硬化</w:t>
            </w:r>
          </w:p>
        </w:tc>
        <w:tc>
          <w:tcPr>
            <w:tcW w:w="1924" w:type="pct"/>
            <w:tcBorders>
              <w:right w:val="nil"/>
            </w:tcBorders>
            <w:vAlign w:val="center"/>
          </w:tcPr>
          <w:p w14:paraId="2A362812">
            <w:pPr>
              <w:pStyle w:val="37"/>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混凝土进行地面硬化</w:t>
            </w:r>
          </w:p>
        </w:tc>
      </w:tr>
    </w:tbl>
    <w:p w14:paraId="302F115C">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0" w:firstLineChars="0"/>
        <w:jc w:val="both"/>
        <w:textAlignment w:val="baseline"/>
        <w:rPr>
          <w:rFonts w:hint="eastAsia"/>
          <w:color w:val="000000" w:themeColor="text1"/>
          <w:highlight w:val="none"/>
          <w:lang w:eastAsia="zh-CN"/>
          <w14:textFill>
            <w14:solidFill>
              <w14:schemeClr w14:val="tx1"/>
            </w14:solidFill>
          </w14:textFill>
        </w:rPr>
      </w:pPr>
      <w:r>
        <w:rPr>
          <w:sz w:val="21"/>
        </w:rPr>
        <mc:AlternateContent>
          <mc:Choice Requires="wps">
            <w:drawing>
              <wp:anchor distT="0" distB="0" distL="114300" distR="114300" simplePos="0" relativeHeight="251705344" behindDoc="0" locked="0" layoutInCell="1" allowOverlap="1">
                <wp:simplePos x="0" y="0"/>
                <wp:positionH relativeFrom="column">
                  <wp:posOffset>2314575</wp:posOffset>
                </wp:positionH>
                <wp:positionV relativeFrom="paragraph">
                  <wp:posOffset>4300855</wp:posOffset>
                </wp:positionV>
                <wp:extent cx="110490" cy="99695"/>
                <wp:effectExtent l="6350" t="6350" r="16510" b="8255"/>
                <wp:wrapNone/>
                <wp:docPr id="133" name="椭圆 133"/>
                <wp:cNvGraphicFramePr/>
                <a:graphic xmlns:a="http://schemas.openxmlformats.org/drawingml/2006/main">
                  <a:graphicData uri="http://schemas.microsoft.com/office/word/2010/wordprocessingShape">
                    <wps:wsp>
                      <wps:cNvSpPr/>
                      <wps:spPr>
                        <a:xfrm>
                          <a:off x="0" y="0"/>
                          <a:ext cx="110490" cy="99695"/>
                        </a:xfrm>
                        <a:prstGeom prst="ellipse">
                          <a:avLst/>
                        </a:prstGeom>
                        <a:solidFill>
                          <a:srgbClr val="92D050"/>
                        </a:solidFill>
                        <a:ln>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2.25pt;margin-top:338.65pt;height:7.85pt;width:8.7pt;z-index:251705344;v-text-anchor:middle;mso-width-relative:page;mso-height-relative:page;" fillcolor="#92D050" filled="t" stroked="t" coordsize="21600,21600" o:gfxdata="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ESS4YtsAAAALAQAADwAAAAAAAAABACAAAAAiAAAAZHJzL2Rv&#10;d25yZXYueG1sUEsBAhQAFAAAAAgAh07iQHHhDYBwAgAA+QQAAA4AAAAAAAAAAQAgAAAAKgEAAGRy&#10;cy9lMm9Eb2MueG1sUEsFBgAAAAAGAAYAWQEAAAwGAAAAAA==&#10;">
                <v:fill on="t" focussize="0,0"/>
                <v:stroke weight="1pt" color="#92D050 [2404]" miterlimit="8" joinstyle="miter"/>
                <v:imagedata o:title=""/>
                <o:lock v:ext="edit" aspectratio="f"/>
              </v:shape>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4076065</wp:posOffset>
                </wp:positionH>
                <wp:positionV relativeFrom="paragraph">
                  <wp:posOffset>4124960</wp:posOffset>
                </wp:positionV>
                <wp:extent cx="317500" cy="111125"/>
                <wp:effectExtent l="6350" t="6350" r="19050" b="15875"/>
                <wp:wrapNone/>
                <wp:docPr id="130" name="矩形 130"/>
                <wp:cNvGraphicFramePr/>
                <a:graphic xmlns:a="http://schemas.openxmlformats.org/drawingml/2006/main">
                  <a:graphicData uri="http://schemas.microsoft.com/office/word/2010/wordprocessingShape">
                    <wps:wsp>
                      <wps:cNvSpPr/>
                      <wps:spPr>
                        <a:xfrm>
                          <a:off x="0" y="0"/>
                          <a:ext cx="317500" cy="111125"/>
                        </a:xfrm>
                        <a:prstGeom prst="rect">
                          <a:avLst/>
                        </a:prstGeom>
                        <a:solidFill>
                          <a:schemeClr val="accent1">
                            <a:lumMod val="60000"/>
                            <a:lumOff val="40000"/>
                          </a:schemeClr>
                        </a:solidFill>
                        <a:ln>
                          <a:solidFill>
                            <a:schemeClr val="accent1">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0.95pt;margin-top:324.8pt;height:8.75pt;width:25pt;z-index:251704320;v-text-anchor:middle;mso-width-relative:page;mso-height-relative:page;" fillcolor="#91ACE0 [1940]" filled="t" stroked="t" coordsize="21600,21600" o:gfxdata="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Tm+DIdoAAAALAQAA&#10;DwAAAAAAAAABACAAAAAiAAAAZHJzL2Rvd25yZXYueG1sUEsBAhQAFAAAAAgAh07iQNpCMDuJAgAA&#10;aQUAAA4AAAAAAAAAAQAgAAAAKQEAAGRycy9lMm9Eb2MueG1sUEsFBgAAAAAGAAYAWQEAACQGAAAA&#10;AA==&#10;">
                <v:fill on="t" focussize="0,0"/>
                <v:stroke weight="1pt" color="#91ACE0 [1940]" miterlimit="8" joinstyle="miter"/>
                <v:imagedata o:title=""/>
                <o:lock v:ext="edit" aspectratio="f"/>
              </v:rect>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4157345</wp:posOffset>
                </wp:positionH>
                <wp:positionV relativeFrom="paragraph">
                  <wp:posOffset>4338955</wp:posOffset>
                </wp:positionV>
                <wp:extent cx="110490" cy="99695"/>
                <wp:effectExtent l="6350" t="6350" r="16510" b="8255"/>
                <wp:wrapNone/>
                <wp:docPr id="129" name="椭圆 129"/>
                <wp:cNvGraphicFramePr/>
                <a:graphic xmlns:a="http://schemas.openxmlformats.org/drawingml/2006/main">
                  <a:graphicData uri="http://schemas.microsoft.com/office/word/2010/wordprocessingShape">
                    <wps:wsp>
                      <wps:cNvSpPr/>
                      <wps:spPr>
                        <a:xfrm>
                          <a:off x="5057140" y="6644005"/>
                          <a:ext cx="110490" cy="99695"/>
                        </a:xfrm>
                        <a:prstGeom prst="ellipse">
                          <a:avLst/>
                        </a:prstGeom>
                        <a:solidFill>
                          <a:srgbClr val="92D050"/>
                        </a:solidFill>
                        <a:ln>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27.35pt;margin-top:341.65pt;height:7.85pt;width:8.7pt;z-index:251703296;v-text-anchor:middle;mso-width-relative:page;mso-height-relative:page;" fillcolor="#92D050" filled="t" stroked="t" coordsize="21600,21600" o:gfxdata="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B/5pM9sAAAALAQAADwAAAAAAAAABACAA&#10;AAAiAAAAZHJzL2Rvd25yZXYueG1sUEsBAhQAFAAAAAgAh07iQAoWmJp8AgAABQUAAA4AAAAAAAAA&#10;AQAgAAAAKgEAAGRycy9lMm9Eb2MueG1sUEsFBgAAAAAGAAYAWQEAABgGAAAAAA==&#10;">
                <v:fill on="t" focussize="0,0"/>
                <v:stroke weight="1pt" color="#92D050 [2404]" miterlimit="8" joinstyle="miter"/>
                <v:imagedata o:title=""/>
                <o:lock v:ext="edit" aspectratio="f"/>
              </v:shape>
            </w:pict>
          </mc:Fallback>
        </mc:AlternateContent>
      </w:r>
      <w:r>
        <w:rPr>
          <w:sz w:val="21"/>
        </w:rPr>
        <mc:AlternateContent>
          <mc:Choice Requires="wps">
            <w:drawing>
              <wp:anchor distT="0" distB="0" distL="114300" distR="114300" simplePos="0" relativeHeight="251702272" behindDoc="0" locked="0" layoutInCell="1" allowOverlap="1">
                <wp:simplePos x="0" y="0"/>
                <wp:positionH relativeFrom="column">
                  <wp:posOffset>317500</wp:posOffset>
                </wp:positionH>
                <wp:positionV relativeFrom="paragraph">
                  <wp:posOffset>617855</wp:posOffset>
                </wp:positionV>
                <wp:extent cx="3919855" cy="3884295"/>
                <wp:effectExtent l="8890" t="8890" r="14605" b="31115"/>
                <wp:wrapNone/>
                <wp:docPr id="127" name="任意多边形 127"/>
                <wp:cNvGraphicFramePr/>
                <a:graphic xmlns:a="http://schemas.openxmlformats.org/drawingml/2006/main">
                  <a:graphicData uri="http://schemas.microsoft.com/office/word/2010/wordprocessingShape">
                    <wps:wsp>
                      <wps:cNvSpPr/>
                      <wps:spPr>
                        <a:xfrm>
                          <a:off x="1217295" y="2922905"/>
                          <a:ext cx="3919855" cy="3884295"/>
                        </a:xfrm>
                        <a:custGeom>
                          <a:avLst/>
                          <a:gdLst>
                            <a:gd name="connisteX0" fmla="*/ 0 w 3919855"/>
                            <a:gd name="connsiteY0" fmla="*/ 1814195 h 3884295"/>
                            <a:gd name="connisteX1" fmla="*/ 1859280 w 3919855"/>
                            <a:gd name="connsiteY1" fmla="*/ 0 h 3884295"/>
                            <a:gd name="connisteX2" fmla="*/ 1974850 w 3919855"/>
                            <a:gd name="connsiteY2" fmla="*/ 99695 h 3884295"/>
                            <a:gd name="connisteX3" fmla="*/ 1804670 w 3919855"/>
                            <a:gd name="connsiteY3" fmla="*/ 255270 h 3884295"/>
                            <a:gd name="connisteX4" fmla="*/ 2065020 w 3919855"/>
                            <a:gd name="connsiteY4" fmla="*/ 515620 h 3884295"/>
                            <a:gd name="connisteX5" fmla="*/ 2205355 w 3919855"/>
                            <a:gd name="connsiteY5" fmla="*/ 346075 h 3884295"/>
                            <a:gd name="connisteX6" fmla="*/ 3919855 w 3919855"/>
                            <a:gd name="connsiteY6" fmla="*/ 1994535 h 3884295"/>
                            <a:gd name="connisteX7" fmla="*/ 1990090 w 3919855"/>
                            <a:gd name="connsiteY7" fmla="*/ 3884295 h 3884295"/>
                            <a:gd name="connisteX8" fmla="*/ 1969770 w 3919855"/>
                            <a:gd name="connsiteY8" fmla="*/ 3664585 h 3884295"/>
                            <a:gd name="connisteX9" fmla="*/ 2616835 w 3919855"/>
                            <a:gd name="connsiteY9" fmla="*/ 3022600 h 3884295"/>
                            <a:gd name="connisteX10" fmla="*/ 876935 w 3919855"/>
                            <a:gd name="connsiteY10" fmla="*/ 1238250 h 3884295"/>
                            <a:gd name="connisteX11" fmla="*/ 947420 w 3919855"/>
                            <a:gd name="connsiteY11" fmla="*/ 1167765 h 3884295"/>
                            <a:gd name="connisteX12" fmla="*/ 2019935 w 3919855"/>
                            <a:gd name="connsiteY12" fmla="*/ 2245360 h 3884295"/>
                            <a:gd name="connisteX13" fmla="*/ 2626360 w 3919855"/>
                            <a:gd name="connsiteY13" fmla="*/ 1613535 h 3884295"/>
                            <a:gd name="connisteX14" fmla="*/ 1553845 w 3919855"/>
                            <a:gd name="connsiteY14" fmla="*/ 505460 h 3884295"/>
                            <a:gd name="connisteX15" fmla="*/ 235585 w 3919855"/>
                            <a:gd name="connsiteY15" fmla="*/ 1864360 h 3884295"/>
                            <a:gd name="connisteX16" fmla="*/ 1974850 w 3919855"/>
                            <a:gd name="connsiteY16" fmla="*/ 3664585 h 3884295"/>
                            <a:gd name="connisteX17" fmla="*/ 1979930 w 3919855"/>
                            <a:gd name="connsiteY17" fmla="*/ 3884295 h 3884295"/>
                            <a:gd name="connisteX18" fmla="*/ 0 w 3919855"/>
                            <a:gd name="connsiteY18" fmla="*/ 1814195 h 38842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Lst>
                          <a:rect l="l" t="t" r="r" b="b"/>
                          <a:pathLst>
                            <a:path w="3919855" h="3884295">
                              <a:moveTo>
                                <a:pt x="0" y="1814195"/>
                              </a:moveTo>
                              <a:lnTo>
                                <a:pt x="1859280" y="0"/>
                              </a:lnTo>
                              <a:lnTo>
                                <a:pt x="1974850" y="99695"/>
                              </a:lnTo>
                              <a:lnTo>
                                <a:pt x="1804670" y="255270"/>
                              </a:lnTo>
                              <a:lnTo>
                                <a:pt x="2065020" y="515620"/>
                              </a:lnTo>
                              <a:lnTo>
                                <a:pt x="2205355" y="346075"/>
                              </a:lnTo>
                              <a:lnTo>
                                <a:pt x="3919855" y="1994535"/>
                              </a:lnTo>
                              <a:lnTo>
                                <a:pt x="1990090" y="3884295"/>
                              </a:lnTo>
                              <a:lnTo>
                                <a:pt x="1969770" y="3664585"/>
                              </a:lnTo>
                              <a:lnTo>
                                <a:pt x="2616835" y="3022600"/>
                              </a:lnTo>
                              <a:lnTo>
                                <a:pt x="876935" y="1238250"/>
                              </a:lnTo>
                              <a:lnTo>
                                <a:pt x="947420" y="1167765"/>
                              </a:lnTo>
                              <a:lnTo>
                                <a:pt x="2019935" y="2245360"/>
                              </a:lnTo>
                              <a:lnTo>
                                <a:pt x="2626360" y="1613535"/>
                              </a:lnTo>
                              <a:lnTo>
                                <a:pt x="1553845" y="505460"/>
                              </a:lnTo>
                              <a:lnTo>
                                <a:pt x="235585" y="1864360"/>
                              </a:lnTo>
                              <a:lnTo>
                                <a:pt x="1974850" y="3664585"/>
                              </a:lnTo>
                              <a:lnTo>
                                <a:pt x="1979930" y="3884295"/>
                              </a:lnTo>
                              <a:lnTo>
                                <a:pt x="0" y="1814195"/>
                              </a:lnTo>
                              <a:close/>
                            </a:path>
                          </a:pathLst>
                        </a:custGeom>
                        <a:solidFill>
                          <a:schemeClr val="accent1">
                            <a:alpha val="50000"/>
                          </a:schemeClr>
                        </a:solid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5pt;margin-top:48.65pt;height:305.85pt;width:308.65pt;z-index:251702272;mso-width-relative:page;mso-height-relative:page;" fillcolor="#4874CB [3204]" filled="t" stroked="t" coordsize="3919855,3884295" o:gfxdata="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" path="m0,1814195l1859280,0,1974850,99695,1804670,255270,2065020,515620,2205355,346075,3919855,1994535,1990090,3884295,1969770,3664585,2616835,3022600,876935,1238250,947420,1167765,2019935,2245360,2626360,1613535,1553845,505460,235585,1864360,1974850,3664585,1979930,3884295,0,1814195xe">
                <v:path o:connectlocs="0,1814195;1859280,0;1974850,99695;1804670,255270;2065020,515620;2205355,346075;3919855,1994535;1990090,3884295;1969770,3664585;2616835,3022600;876935,1238250;947420,1167765;2019935,2245360;2626360,1613535;1553845,505460;235585,1864360;1974850,3664585;1979930,3884295;0,1814195" o:connectangles="0,0,0,0,0,0,0,0,0,0,0,0,0,0,0,0,0,0,0"/>
                <v:fill on="t" opacity="32768f" focussize="0,0"/>
                <v:stroke weight="1pt" color="#2E54A1 [2404]" miterlimit="8" joinstyle="miter"/>
                <v:imagedata o:title=""/>
                <o:lock v:ext="edit" aspectratio="f"/>
              </v:shape>
            </w:pict>
          </mc:Fallback>
        </mc:AlternateContent>
      </w:r>
      <w:r>
        <w:rPr>
          <w:sz w:val="21"/>
        </w:rPr>
        <mc:AlternateContent>
          <mc:Choice Requires="wps">
            <w:drawing>
              <wp:anchor distT="0" distB="0" distL="114300" distR="114300" simplePos="0" relativeHeight="251701248" behindDoc="0" locked="0" layoutInCell="1" allowOverlap="1">
                <wp:simplePos x="0" y="0"/>
                <wp:positionH relativeFrom="column">
                  <wp:posOffset>1689735</wp:posOffset>
                </wp:positionH>
                <wp:positionV relativeFrom="paragraph">
                  <wp:posOffset>1172210</wp:posOffset>
                </wp:positionV>
                <wp:extent cx="195580" cy="425450"/>
                <wp:effectExtent l="133985" t="21590" r="146685" b="29210"/>
                <wp:wrapNone/>
                <wp:docPr id="126" name="矩形 126"/>
                <wp:cNvGraphicFramePr/>
                <a:graphic xmlns:a="http://schemas.openxmlformats.org/drawingml/2006/main">
                  <a:graphicData uri="http://schemas.microsoft.com/office/word/2010/wordprocessingShape">
                    <wps:wsp>
                      <wps:cNvSpPr/>
                      <wps:spPr>
                        <a:xfrm rot="2640000">
                          <a:off x="0" y="0"/>
                          <a:ext cx="195580" cy="425450"/>
                        </a:xfrm>
                        <a:prstGeom prst="rect">
                          <a:avLst/>
                        </a:prstGeom>
                        <a:noFill/>
                        <a:ln w="19050">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3.05pt;margin-top:92.3pt;height:33.5pt;width:15.4pt;rotation:2883584f;z-index:251701248;v-text-anchor:middle;mso-width-relative:page;mso-height-relative:page;" filled="f" stroked="t" coordsize="21600,21600" o:gfxdata="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CfJDO2AAAAAsBAAAPAAAAAAAAAAEAIAAAACIAAABkcnMv&#10;ZG93bnJldi54bWxQSwECFAAUAAAACACHTuJAFTTcIXUCAADcBAAADgAAAAAAAAABACAAAAAnAQAA&#10;ZHJzL2Uyb0RvYy54bWxQSwUGAAAAAAYABgBZAQAADgYAAAAA&#10;">
                <v:fill on="f" focussize="0,0"/>
                <v:stroke weight="1.5pt" color="#E54C5E [3209]" miterlimit="8" joinstyle="miter"/>
                <v:imagedata o:title=""/>
                <o:lock v:ext="edit" aspectratio="f"/>
              </v:rect>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1513840</wp:posOffset>
                </wp:positionH>
                <wp:positionV relativeFrom="paragraph">
                  <wp:posOffset>1614805</wp:posOffset>
                </wp:positionV>
                <wp:extent cx="195580" cy="425450"/>
                <wp:effectExtent l="133985" t="21590" r="146685" b="29210"/>
                <wp:wrapNone/>
                <wp:docPr id="125" name="矩形 125"/>
                <wp:cNvGraphicFramePr/>
                <a:graphic xmlns:a="http://schemas.openxmlformats.org/drawingml/2006/main">
                  <a:graphicData uri="http://schemas.microsoft.com/office/word/2010/wordprocessingShape">
                    <wps:wsp>
                      <wps:cNvSpPr/>
                      <wps:spPr>
                        <a:xfrm rot="2640000">
                          <a:off x="0" y="0"/>
                          <a:ext cx="195580" cy="425450"/>
                        </a:xfrm>
                        <a:prstGeom prst="rect">
                          <a:avLst/>
                        </a:prstGeom>
                        <a:noFill/>
                        <a:ln w="19050">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9.2pt;margin-top:127.15pt;height:33.5pt;width:15.4pt;rotation:2883584f;z-index:251700224;v-text-anchor:middle;mso-width-relative:page;mso-height-relative:page;" filled="f" stroked="t" coordsize="21600,21600" o:gfxdata="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hxPfj2QAAAAsBAAAPAAAAAAAAAAEAIAAAACIAAABkcnMv&#10;ZG93bnJldi54bWxQSwECFAAUAAAACACHTuJA5Xlxy3QCAADcBAAADgAAAAAAAAABACAAAAAoAQAA&#10;ZHJzL2Uyb0RvYy54bWxQSwUGAAAAAAYABgBZAQAADgYAAAAA&#10;">
                <v:fill on="f" focussize="0,0"/>
                <v:stroke weight="1.5pt" color="#E54C5E [3209]" miterlimit="8" joinstyle="miter"/>
                <v:imagedata o:title=""/>
                <o:lock v:ext="edit" aspectratio="f"/>
              </v:rect>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2369820</wp:posOffset>
                </wp:positionH>
                <wp:positionV relativeFrom="paragraph">
                  <wp:posOffset>1990725</wp:posOffset>
                </wp:positionV>
                <wp:extent cx="324485" cy="884555"/>
                <wp:effectExtent l="1905" t="274955" r="8890" b="276860"/>
                <wp:wrapNone/>
                <wp:docPr id="123" name="矩形 123"/>
                <wp:cNvGraphicFramePr/>
                <a:graphic xmlns:a="http://schemas.openxmlformats.org/drawingml/2006/main">
                  <a:graphicData uri="http://schemas.microsoft.com/office/word/2010/wordprocessingShape">
                    <wps:wsp>
                      <wps:cNvSpPr/>
                      <wps:spPr>
                        <a:xfrm rot="2640000">
                          <a:off x="0" y="0"/>
                          <a:ext cx="324485" cy="884555"/>
                        </a:xfrm>
                        <a:prstGeom prst="rect">
                          <a:avLst/>
                        </a:prstGeom>
                        <a:noFill/>
                        <a:ln w="19050">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6.6pt;margin-top:156.75pt;height:69.65pt;width:25.55pt;rotation:2883584f;z-index:251699200;v-text-anchor:middle;mso-width-relative:page;mso-height-relative:page;" filled="f" stroked="t" coordsize="21600,21600" o:gfxdata="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&#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QZzWu2AAAAAsBAAAPAAAAAAAAAAEAIAAAACIAAABk&#10;cnMvZG93bnJldi54bWxQSwECFAAUAAAACACHTuJAn2Y/z3gCAADcBAAADgAAAAAAAAABACAAAAAn&#10;AQAAZHJzL2Uyb0RvYy54bWxQSwUGAAAAAAYABgBZAQAAEQYAAAAA&#10;">
                <v:fill on="f" focussize="0,0"/>
                <v:stroke weight="1.5pt" color="#E54C5E [3209]" miterlimit="8" joinstyle="miter"/>
                <v:imagedata o:title=""/>
                <o:lock v:ext="edit" aspectratio="f"/>
              </v:rect>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502285</wp:posOffset>
                </wp:positionH>
                <wp:positionV relativeFrom="paragraph">
                  <wp:posOffset>2620645</wp:posOffset>
                </wp:positionV>
                <wp:extent cx="2486025" cy="884555"/>
                <wp:effectExtent l="753110" t="0" r="762635" b="0"/>
                <wp:wrapNone/>
                <wp:docPr id="122" name="矩形 122"/>
                <wp:cNvGraphicFramePr/>
                <a:graphic xmlns:a="http://schemas.openxmlformats.org/drawingml/2006/main">
                  <a:graphicData uri="http://schemas.microsoft.com/office/word/2010/wordprocessingShape">
                    <wps:wsp>
                      <wps:cNvSpPr/>
                      <wps:spPr>
                        <a:xfrm rot="2760000">
                          <a:off x="0" y="0"/>
                          <a:ext cx="2486025" cy="884555"/>
                        </a:xfrm>
                        <a:prstGeom prst="rect">
                          <a:avLst/>
                        </a:prstGeom>
                        <a:noFill/>
                        <a:ln w="19050">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55pt;margin-top:206.35pt;height:69.65pt;width:195.75pt;rotation:3014656f;z-index:251698176;v-text-anchor:middle;mso-width-relative:page;mso-height-relative:page;" filled="f" stroked="t" coordsize="21600,21600" o:gfxdata="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M/rZvdkAAAAKAQAADwAAAAAAAAABACAAAAAiAAAA&#10;ZHJzL2Rvd25yZXYueG1sUEsBAhQAFAAAAAgAh07iQNBGxqZ4AgAA3QQAAA4AAAAAAAAAAQAgAAAA&#10;KAEAAGRycy9lMm9Eb2MueG1sUEsFBgAAAAAGAAYAWQEAABIGAAAAAA==&#10;">
                <v:fill on="f" focussize="0,0"/>
                <v:stroke weight="1.5pt" color="#E54C5E [3209]" miterlimit="8" joinstyle="miter"/>
                <v:imagedata o:title=""/>
                <o:lock v:ext="edit" aspectratio="f"/>
              </v:rect>
            </w:pict>
          </mc:Fallback>
        </mc:AlternateContent>
      </w:r>
      <w:r>
        <w:rPr>
          <w:sz w:val="21"/>
        </w:rPr>
        <mc:AlternateContent>
          <mc:Choice Requires="wps">
            <w:drawing>
              <wp:anchor distT="0" distB="0" distL="114300" distR="114300" simplePos="0" relativeHeight="251697152" behindDoc="0" locked="0" layoutInCell="1" allowOverlap="1">
                <wp:simplePos x="0" y="0"/>
                <wp:positionH relativeFrom="column">
                  <wp:posOffset>4064000</wp:posOffset>
                </wp:positionH>
                <wp:positionV relativeFrom="paragraph">
                  <wp:posOffset>3897630</wp:posOffset>
                </wp:positionV>
                <wp:extent cx="340995" cy="142875"/>
                <wp:effectExtent l="6350" t="6350" r="14605" b="22225"/>
                <wp:wrapNone/>
                <wp:docPr id="120" name="矩形 120"/>
                <wp:cNvGraphicFramePr/>
                <a:graphic xmlns:a="http://schemas.openxmlformats.org/drawingml/2006/main">
                  <a:graphicData uri="http://schemas.microsoft.com/office/word/2010/wordprocessingShape">
                    <wps:wsp>
                      <wps:cNvSpPr/>
                      <wps:spPr>
                        <a:xfrm>
                          <a:off x="4963795" y="6202680"/>
                          <a:ext cx="340995" cy="142875"/>
                        </a:xfrm>
                        <a:prstGeom prst="rect">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0pt;margin-top:306.9pt;height:11.25pt;width:26.85pt;z-index:251697152;v-text-anchor:middle;mso-width-relative:page;mso-height-relative:page;" filled="f" stroked="t" coordsize="21600,21600" o:gfxdata="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PyaIvPbAAAACwEAAA8AAAAAAAAAAQAgAAAA&#10;IgAAAGRycy9kb3ducmV2LnhtbFBLAQIUABQAAAAIAIdO4kCmmSoMegIAANoEAAAOAAAAAAAAAAEA&#10;IAAAACoBAABkcnMvZTJvRG9jLnhtbFBLBQYAAAAABgAGAFkBAAAWBgAAAAA=&#10;">
                <v:fill on="f" focussize="0,0"/>
                <v:stroke weight="1pt" color="#E54C5E [3209]" miterlimit="8" joinstyle="miter"/>
                <v:imagedata o:title=""/>
                <o:lock v:ext="edit" aspectratio="f"/>
              </v:rect>
            </w:pict>
          </mc:Fallback>
        </mc:AlternateContent>
      </w:r>
      <w:r>
        <w:rPr>
          <w:sz w:val="21"/>
        </w:rPr>
        <mc:AlternateContent>
          <mc:Choice Requires="wps">
            <w:drawing>
              <wp:anchor distT="0" distB="0" distL="114300" distR="114300" simplePos="0" relativeHeight="251696128" behindDoc="0" locked="0" layoutInCell="1" allowOverlap="1">
                <wp:simplePos x="0" y="0"/>
                <wp:positionH relativeFrom="column">
                  <wp:posOffset>1837690</wp:posOffset>
                </wp:positionH>
                <wp:positionV relativeFrom="paragraph">
                  <wp:posOffset>1316355</wp:posOffset>
                </wp:positionV>
                <wp:extent cx="166370" cy="404495"/>
                <wp:effectExtent l="126365" t="10160" r="126365" b="23495"/>
                <wp:wrapNone/>
                <wp:docPr id="119" name="矩形 119"/>
                <wp:cNvGraphicFramePr/>
                <a:graphic xmlns:a="http://schemas.openxmlformats.org/drawingml/2006/main">
                  <a:graphicData uri="http://schemas.microsoft.com/office/word/2010/wordprocessingShape">
                    <wps:wsp>
                      <wps:cNvSpPr/>
                      <wps:spPr>
                        <a:xfrm rot="2640000">
                          <a:off x="0" y="0"/>
                          <a:ext cx="166370" cy="404495"/>
                        </a:xfrm>
                        <a:prstGeom prst="rect">
                          <a:avLst/>
                        </a:prstGeom>
                        <a:no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4.7pt;margin-top:103.65pt;height:31.85pt;width:13.1pt;rotation:2883584f;z-index:251696128;v-text-anchor:middle;mso-width-relative:page;mso-height-relative:page;" filled="f" stroked="t" coordsize="21600,21600" o:gfxdata="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KetoJfXAAAACwEAAA8AAAAAAAAAAQAgAAAAIgAAAGRycy9k&#10;b3ducmV2LnhtbFBLAQIUABQAAAAIAIdO4kB6Piw0dQIAANwEAAAOAAAAAAAAAAEAIAAAACYBAABk&#10;cnMvZTJvRG9jLnhtbFBLBQYAAAAABgAGAFkBAAANBgAAAAA=&#10;">
                <v:fill on="f" focussize="0,0"/>
                <v:stroke weight="1pt" color="#FFC000 [2404]" miterlimit="8" joinstyle="miter"/>
                <v:imagedata o:title=""/>
                <o:lock v:ext="edit" aspectratio="f"/>
              </v:rect>
            </w:pict>
          </mc:Fallback>
        </mc:AlternateContent>
      </w:r>
      <w:r>
        <w:rPr>
          <w:sz w:val="21"/>
        </w:rPr>
        <mc:AlternateContent>
          <mc:Choice Requires="wps">
            <w:drawing>
              <wp:anchor distT="0" distB="0" distL="114300" distR="114300" simplePos="0" relativeHeight="251695104" behindDoc="0" locked="0" layoutInCell="1" allowOverlap="1">
                <wp:simplePos x="0" y="0"/>
                <wp:positionH relativeFrom="column">
                  <wp:posOffset>1718310</wp:posOffset>
                </wp:positionH>
                <wp:positionV relativeFrom="paragraph">
                  <wp:posOffset>1603375</wp:posOffset>
                </wp:positionV>
                <wp:extent cx="774065" cy="855345"/>
                <wp:effectExtent l="197485" t="158115" r="209550" b="167640"/>
                <wp:wrapNone/>
                <wp:docPr id="118" name="矩形 118"/>
                <wp:cNvGraphicFramePr/>
                <a:graphic xmlns:a="http://schemas.openxmlformats.org/drawingml/2006/main">
                  <a:graphicData uri="http://schemas.microsoft.com/office/word/2010/wordprocessingShape">
                    <wps:wsp>
                      <wps:cNvSpPr/>
                      <wps:spPr>
                        <a:xfrm rot="2640000">
                          <a:off x="0" y="0"/>
                          <a:ext cx="774065" cy="855345"/>
                        </a:xfrm>
                        <a:prstGeom prst="rect">
                          <a:avLst/>
                        </a:prstGeom>
                        <a:no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5.3pt;margin-top:126.25pt;height:67.35pt;width:60.95pt;rotation:2883584f;z-index:251695104;v-text-anchor:middle;mso-width-relative:page;mso-height-relative:page;" filled="f" stroked="t" coordsize="21600,21600" o:gfxdata="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PHcnU1gAAAAsBAAAPAAAAAAAAAAEAIAAAACIAAABkcnMvZG93&#10;bnJldi54bWxQSwECFAAUAAAACACHTuJATsodiXQCAADcBAAADgAAAAAAAAABACAAAAAlAQAAZHJz&#10;L2Uyb0RvYy54bWxQSwUGAAAAAAYABgBZAQAACwYAAAAA&#10;">
                <v:fill on="f" focussize="0,0"/>
                <v:stroke weight="1pt" color="#FFC000 [2404]" miterlimit="8" joinstyle="miter"/>
                <v:imagedata o:title=""/>
                <o:lock v:ext="edit" aspectratio="f"/>
              </v:rect>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1386840</wp:posOffset>
                </wp:positionH>
                <wp:positionV relativeFrom="paragraph">
                  <wp:posOffset>1487805</wp:posOffset>
                </wp:positionV>
                <wp:extent cx="166370" cy="404495"/>
                <wp:effectExtent l="126365" t="10160" r="126365" b="23495"/>
                <wp:wrapNone/>
                <wp:docPr id="117" name="矩形 117"/>
                <wp:cNvGraphicFramePr/>
                <a:graphic xmlns:a="http://schemas.openxmlformats.org/drawingml/2006/main">
                  <a:graphicData uri="http://schemas.microsoft.com/office/word/2010/wordprocessingShape">
                    <wps:wsp>
                      <wps:cNvSpPr/>
                      <wps:spPr>
                        <a:xfrm rot="2640000">
                          <a:off x="0" y="0"/>
                          <a:ext cx="166370" cy="404495"/>
                        </a:xfrm>
                        <a:prstGeom prst="rect">
                          <a:avLst/>
                        </a:prstGeom>
                        <a:no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9.2pt;margin-top:117.15pt;height:31.85pt;width:13.1pt;rotation:2883584f;z-index:251694080;v-text-anchor:middle;mso-width-relative:page;mso-height-relative:page;" filled="f" stroked="t" coordsize="21600,21600" o:gfxdata="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LqJleDXAAAACwEAAA8AAAAAAAAAAQAgAAAAIgAAAGRycy9k&#10;b3ducmV2LnhtbFBLAQIUABQAAAAIAIdO4kCYc02bdQIAANwEAAAOAAAAAAAAAAEAIAAAACYBAABk&#10;cnMvZTJvRG9jLnhtbFBLBQYAAAAABgAGAFkBAAANBgAAAAA=&#10;">
                <v:fill on="f" focussize="0,0"/>
                <v:stroke weight="1pt" color="#FFC000 [2404]" miterlimit="8" joinstyle="miter"/>
                <v:imagedata o:title=""/>
                <o:lock v:ext="edit" aspectratio="f"/>
              </v:rect>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4074795</wp:posOffset>
                </wp:positionH>
                <wp:positionV relativeFrom="paragraph">
                  <wp:posOffset>3692525</wp:posOffset>
                </wp:positionV>
                <wp:extent cx="330200" cy="133350"/>
                <wp:effectExtent l="6350" t="6350" r="6350" b="12700"/>
                <wp:wrapNone/>
                <wp:docPr id="116" name="矩形 116"/>
                <wp:cNvGraphicFramePr/>
                <a:graphic xmlns:a="http://schemas.openxmlformats.org/drawingml/2006/main">
                  <a:graphicData uri="http://schemas.microsoft.com/office/word/2010/wordprocessingShape">
                    <wps:wsp>
                      <wps:cNvSpPr/>
                      <wps:spPr>
                        <a:xfrm>
                          <a:off x="0" y="0"/>
                          <a:ext cx="330200" cy="133350"/>
                        </a:xfrm>
                        <a:prstGeom prst="rect">
                          <a:avLst/>
                        </a:prstGeom>
                        <a:no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0.85pt;margin-top:290.75pt;height:10.5pt;width:26pt;z-index:251693056;v-text-anchor:middle;mso-width-relative:page;mso-height-relative:page;" filled="f" stroked="t" coordsize="21600,21600" o:gfxdata="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zQrTR2wAAAAsBAAAPAAAAAAAAAAEAIAAAACIAAABkcnMvZG93bnJldi54&#10;bWxQSwECFAAUAAAACACHTuJAPriSi2kCAADOBAAADgAAAAAAAAABACAAAAAqAQAAZHJzL2Uyb0Rv&#10;Yy54bWxQSwUGAAAAAAYABgBZAQAABQYAAAAA&#10;">
                <v:fill on="f" focussize="0,0"/>
                <v:stroke weight="1pt" color="#FFC000 [2404]" miterlimit="8" joinstyle="miter"/>
                <v:imagedata o:title=""/>
                <o:lock v:ext="edit" aspectratio="f"/>
              </v:rect>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2155190</wp:posOffset>
                </wp:positionH>
                <wp:positionV relativeFrom="paragraph">
                  <wp:posOffset>832485</wp:posOffset>
                </wp:positionV>
                <wp:extent cx="332105" cy="190500"/>
                <wp:effectExtent l="28575" t="97790" r="39370" b="111760"/>
                <wp:wrapNone/>
                <wp:docPr id="114" name="矩形 114"/>
                <wp:cNvGraphicFramePr/>
                <a:graphic xmlns:a="http://schemas.openxmlformats.org/drawingml/2006/main">
                  <a:graphicData uri="http://schemas.microsoft.com/office/word/2010/wordprocessingShape">
                    <wps:wsp>
                      <wps:cNvSpPr/>
                      <wps:spPr>
                        <a:xfrm rot="2640000">
                          <a:off x="3100705" y="3137535"/>
                          <a:ext cx="332105" cy="190500"/>
                        </a:xfrm>
                        <a:prstGeom prst="rect">
                          <a:avLst/>
                        </a:prstGeom>
                        <a:no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9.7pt;margin-top:65.55pt;height:15pt;width:26.15pt;rotation:2883584f;z-index:251692032;v-text-anchor:middle;mso-width-relative:page;mso-height-relative:page;" filled="f" stroked="t" coordsize="21600,21600" o:gfxdata="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4fF/P1gAAAAsBAAAPAAAAAAAAAAEAIAAAACIA&#10;AABkcnMvZG93bnJldi54bWxQSwECFAAUAAAACACHTuJAMm3SuH0CAADoBAAADgAAAAAAAAABACAA&#10;AAAlAQAAZHJzL2Uyb0RvYy54bWxQSwUGAAAAAAYABgBZAQAAFAYAAAAA&#10;">
                <v:fill on="f" focussize="0,0"/>
                <v:stroke weight="1pt" color="#FFC000 [2404]" miterlimit="8" joinstyle="miter"/>
                <v:imagedata o:title=""/>
                <o:lock v:ext="edit" aspectratio="f"/>
              </v:rect>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4074795</wp:posOffset>
                </wp:positionH>
                <wp:positionV relativeFrom="paragraph">
                  <wp:posOffset>3457575</wp:posOffset>
                </wp:positionV>
                <wp:extent cx="330200" cy="133350"/>
                <wp:effectExtent l="6350" t="6350" r="6350" b="12700"/>
                <wp:wrapNone/>
                <wp:docPr id="110" name="矩形 110"/>
                <wp:cNvGraphicFramePr/>
                <a:graphic xmlns:a="http://schemas.openxmlformats.org/drawingml/2006/main">
                  <a:graphicData uri="http://schemas.microsoft.com/office/word/2010/wordprocessingShape">
                    <wps:wsp>
                      <wps:cNvSpPr/>
                      <wps:spPr>
                        <a:xfrm>
                          <a:off x="4955540" y="5826125"/>
                          <a:ext cx="330200" cy="13335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0.85pt;margin-top:272.25pt;height:10.5pt;width:26pt;z-index:251691008;v-text-anchor:middle;mso-width-relative:page;mso-height-relative:page;" filled="f" stroked="t" coordsize="21600,21600" o:gfxdata="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ACVGltcAAAALAQAADwAAAAAAAAABACAAAAAiAAAAZHJz&#10;L2Rvd25yZXYueG1sUEsBAhQAFAAAAAgAh07iQFyAEBx3AgAA2gQAAA4AAAAAAAAAAQAgAAAAJgEA&#10;AGRycy9lMm9Eb2MueG1sUEsFBgAAAAAGAAYAWQEAAA8GAAAAAA==&#10;">
                <v:fill on="f" focussize="0,0"/>
                <v:stroke weight="1pt" color="#FF0000 [2404]" miterlimit="8" joinstyle="miter"/>
                <v:imagedata o:title=""/>
                <o:lock v:ext="edit" aspectratio="f"/>
              </v:rect>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3976370</wp:posOffset>
                </wp:positionH>
                <wp:positionV relativeFrom="paragraph">
                  <wp:posOffset>3198495</wp:posOffset>
                </wp:positionV>
                <wp:extent cx="1752600" cy="1362075"/>
                <wp:effectExtent l="4445" t="4445" r="14605" b="5080"/>
                <wp:wrapNone/>
                <wp:docPr id="108" name="文本框 108"/>
                <wp:cNvGraphicFramePr/>
                <a:graphic xmlns:a="http://schemas.openxmlformats.org/drawingml/2006/main">
                  <a:graphicData uri="http://schemas.microsoft.com/office/word/2010/wordprocessingShape">
                    <wps:wsp>
                      <wps:cNvSpPr txBox="1"/>
                      <wps:spPr>
                        <a:xfrm>
                          <a:off x="4876165" y="5285105"/>
                          <a:ext cx="1752600" cy="13620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D53C90E">
                            <w:pPr>
                              <w:keepNext w:val="0"/>
                              <w:keepLines w:val="0"/>
                              <w:pageBreakBefore w:val="0"/>
                              <w:widowControl/>
                              <w:kinsoku w:val="0"/>
                              <w:wordWrap/>
                              <w:overflowPunct/>
                              <w:topLinePunct w:val="0"/>
                              <w:bidi w:val="0"/>
                              <w:adjustRightInd w:val="0"/>
                              <w:snapToGrid w:val="0"/>
                              <w:spacing w:line="288" w:lineRule="auto"/>
                              <w:jc w:val="center"/>
                              <w:textAlignment w:val="baseline"/>
                              <w:rPr>
                                <w:rFonts w:hint="eastAsia" w:eastAsia="宋体"/>
                                <w:lang w:val="en-US" w:eastAsia="zh-CN"/>
                              </w:rPr>
                            </w:pPr>
                            <w:r>
                              <w:rPr>
                                <w:rFonts w:hint="eastAsia" w:eastAsia="宋体"/>
                                <w:lang w:val="en-US" w:eastAsia="zh-CN"/>
                              </w:rPr>
                              <w:t>图例</w:t>
                            </w:r>
                          </w:p>
                          <w:p w14:paraId="0F58D4B3">
                            <w:pPr>
                              <w:pStyle w:val="8"/>
                              <w:keepNext w:val="0"/>
                              <w:keepLines w:val="0"/>
                              <w:pageBreakBefore w:val="0"/>
                              <w:widowControl/>
                              <w:kinsoku w:val="0"/>
                              <w:wordWrap/>
                              <w:overflowPunct/>
                              <w:topLinePunct w:val="0"/>
                              <w:bidi w:val="0"/>
                              <w:adjustRightInd w:val="0"/>
                              <w:snapToGrid w:val="0"/>
                              <w:spacing w:before="0" w:line="288" w:lineRule="auto"/>
                              <w:jc w:val="center"/>
                              <w:textAlignment w:val="baseline"/>
                              <w:rPr>
                                <w:rFonts w:hint="eastAsia" w:eastAsia="宋体"/>
                                <w:lang w:val="en-US" w:eastAsia="zh-CN"/>
                              </w:rPr>
                            </w:pPr>
                            <w:r>
                              <w:rPr>
                                <w:rFonts w:hint="eastAsia" w:eastAsia="宋体"/>
                                <w:lang w:val="en-US" w:eastAsia="zh-CN"/>
                              </w:rPr>
                              <w:t>项目范围</w:t>
                            </w:r>
                          </w:p>
                          <w:p w14:paraId="019B2A54">
                            <w:pPr>
                              <w:keepNext w:val="0"/>
                              <w:keepLines w:val="0"/>
                              <w:pageBreakBefore w:val="0"/>
                              <w:widowControl/>
                              <w:kinsoku w:val="0"/>
                              <w:wordWrap/>
                              <w:overflowPunct/>
                              <w:topLinePunct w:val="0"/>
                              <w:bidi w:val="0"/>
                              <w:adjustRightInd w:val="0"/>
                              <w:snapToGrid w:val="0"/>
                              <w:spacing w:line="288" w:lineRule="auto"/>
                              <w:jc w:val="center"/>
                              <w:textAlignment w:val="baseline"/>
                              <w:rPr>
                                <w:rFonts w:hint="eastAsia"/>
                                <w:lang w:val="en-US" w:eastAsia="zh-CN"/>
                              </w:rPr>
                            </w:pPr>
                            <w:r>
                              <w:rPr>
                                <w:rFonts w:hint="eastAsia"/>
                                <w:lang w:val="en-US" w:eastAsia="zh-CN"/>
                              </w:rPr>
                              <w:t>重点防渗区</w:t>
                            </w:r>
                          </w:p>
                          <w:p w14:paraId="62F6870A">
                            <w:pPr>
                              <w:pStyle w:val="8"/>
                              <w:keepNext w:val="0"/>
                              <w:keepLines w:val="0"/>
                              <w:pageBreakBefore w:val="0"/>
                              <w:widowControl/>
                              <w:kinsoku w:val="0"/>
                              <w:wordWrap/>
                              <w:overflowPunct/>
                              <w:topLinePunct w:val="0"/>
                              <w:bidi w:val="0"/>
                              <w:adjustRightInd w:val="0"/>
                              <w:snapToGrid w:val="0"/>
                              <w:spacing w:before="0" w:line="288" w:lineRule="auto"/>
                              <w:jc w:val="center"/>
                              <w:textAlignment w:val="baseline"/>
                              <w:rPr>
                                <w:rFonts w:hint="eastAsia"/>
                                <w:lang w:val="en-US" w:eastAsia="zh-CN"/>
                              </w:rPr>
                            </w:pPr>
                            <w:r>
                              <w:rPr>
                                <w:rFonts w:hint="eastAsia"/>
                                <w:lang w:val="en-US" w:eastAsia="zh-CN"/>
                              </w:rPr>
                              <w:t>一般防渗区</w:t>
                            </w:r>
                          </w:p>
                          <w:p w14:paraId="78725AC7">
                            <w:pPr>
                              <w:keepNext w:val="0"/>
                              <w:keepLines w:val="0"/>
                              <w:pageBreakBefore w:val="0"/>
                              <w:widowControl/>
                              <w:kinsoku w:val="0"/>
                              <w:wordWrap/>
                              <w:overflowPunct/>
                              <w:topLinePunct w:val="0"/>
                              <w:bidi w:val="0"/>
                              <w:adjustRightInd w:val="0"/>
                              <w:snapToGrid w:val="0"/>
                              <w:spacing w:line="288" w:lineRule="auto"/>
                              <w:jc w:val="center"/>
                              <w:textAlignment w:val="baseline"/>
                              <w:rPr>
                                <w:rFonts w:hint="eastAsia"/>
                                <w:lang w:val="en-US" w:eastAsia="zh-CN"/>
                              </w:rPr>
                            </w:pPr>
                            <w:r>
                              <w:rPr>
                                <w:rFonts w:hint="eastAsia"/>
                                <w:lang w:val="en-US" w:eastAsia="zh-CN"/>
                              </w:rPr>
                              <w:t>简单防渗区</w:t>
                            </w:r>
                          </w:p>
                          <w:p w14:paraId="15662C8D">
                            <w:pPr>
                              <w:pStyle w:val="8"/>
                              <w:keepNext w:val="0"/>
                              <w:keepLines w:val="0"/>
                              <w:pageBreakBefore w:val="0"/>
                              <w:widowControl/>
                              <w:kinsoku w:val="0"/>
                              <w:wordWrap/>
                              <w:overflowPunct/>
                              <w:topLinePunct w:val="0"/>
                              <w:bidi w:val="0"/>
                              <w:adjustRightInd w:val="0"/>
                              <w:snapToGrid w:val="0"/>
                              <w:spacing w:before="0" w:line="288" w:lineRule="auto"/>
                              <w:jc w:val="center"/>
                              <w:textAlignment w:val="baseline"/>
                              <w:rPr>
                                <w:rFonts w:hint="default"/>
                                <w:lang w:val="en-US" w:eastAsia="zh-CN"/>
                              </w:rPr>
                            </w:pPr>
                            <w:r>
                              <w:rPr>
                                <w:rFonts w:hint="eastAsia"/>
                                <w:lang w:val="en-US" w:eastAsia="zh-CN"/>
                              </w:rPr>
                              <w:t>地下水监测井</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3.1pt;margin-top:251.85pt;height:107.25pt;width:138pt;z-index:251689984;mso-width-relative:page;mso-height-relative:page;" fillcolor="#FFFFFF [3201]" filled="t" stroked="t" coordsize="21600,21600" o:gfxdata="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MuRJk2AAAAAsBAAAPAAAAAAAAAAEAIAAAACIAAABkcnMvZG93bnJldi54bWxQ&#10;SwECFAAUAAAACACHTuJAvPO6lWkCAADIBAAADgAAAAAAAAABACAAAAAnAQAAZHJzL2Uyb0RvYy54&#10;bWxQSwUGAAAAAAYABgBZAQAAAgYAAAAA&#10;">
                <v:fill on="t" focussize="0,0"/>
                <v:stroke weight="0.5pt" color="#000000 [3204]" joinstyle="round"/>
                <v:imagedata o:title=""/>
                <o:lock v:ext="edit" aspectratio="f"/>
                <v:textbox>
                  <w:txbxContent>
                    <w:p w14:paraId="1D53C90E">
                      <w:pPr>
                        <w:keepNext w:val="0"/>
                        <w:keepLines w:val="0"/>
                        <w:pageBreakBefore w:val="0"/>
                        <w:widowControl/>
                        <w:kinsoku w:val="0"/>
                        <w:wordWrap/>
                        <w:overflowPunct/>
                        <w:topLinePunct w:val="0"/>
                        <w:bidi w:val="0"/>
                        <w:adjustRightInd w:val="0"/>
                        <w:snapToGrid w:val="0"/>
                        <w:spacing w:line="288" w:lineRule="auto"/>
                        <w:jc w:val="center"/>
                        <w:textAlignment w:val="baseline"/>
                        <w:rPr>
                          <w:rFonts w:hint="eastAsia" w:eastAsia="宋体"/>
                          <w:lang w:val="en-US" w:eastAsia="zh-CN"/>
                        </w:rPr>
                      </w:pPr>
                      <w:r>
                        <w:rPr>
                          <w:rFonts w:hint="eastAsia" w:eastAsia="宋体"/>
                          <w:lang w:val="en-US" w:eastAsia="zh-CN"/>
                        </w:rPr>
                        <w:t>图例</w:t>
                      </w:r>
                    </w:p>
                    <w:p w14:paraId="0F58D4B3">
                      <w:pPr>
                        <w:pStyle w:val="8"/>
                        <w:keepNext w:val="0"/>
                        <w:keepLines w:val="0"/>
                        <w:pageBreakBefore w:val="0"/>
                        <w:widowControl/>
                        <w:kinsoku w:val="0"/>
                        <w:wordWrap/>
                        <w:overflowPunct/>
                        <w:topLinePunct w:val="0"/>
                        <w:bidi w:val="0"/>
                        <w:adjustRightInd w:val="0"/>
                        <w:snapToGrid w:val="0"/>
                        <w:spacing w:before="0" w:line="288" w:lineRule="auto"/>
                        <w:jc w:val="center"/>
                        <w:textAlignment w:val="baseline"/>
                        <w:rPr>
                          <w:rFonts w:hint="eastAsia" w:eastAsia="宋体"/>
                          <w:lang w:val="en-US" w:eastAsia="zh-CN"/>
                        </w:rPr>
                      </w:pPr>
                      <w:r>
                        <w:rPr>
                          <w:rFonts w:hint="eastAsia" w:eastAsia="宋体"/>
                          <w:lang w:val="en-US" w:eastAsia="zh-CN"/>
                        </w:rPr>
                        <w:t>项目范围</w:t>
                      </w:r>
                    </w:p>
                    <w:p w14:paraId="019B2A54">
                      <w:pPr>
                        <w:keepNext w:val="0"/>
                        <w:keepLines w:val="0"/>
                        <w:pageBreakBefore w:val="0"/>
                        <w:widowControl/>
                        <w:kinsoku w:val="0"/>
                        <w:wordWrap/>
                        <w:overflowPunct/>
                        <w:topLinePunct w:val="0"/>
                        <w:bidi w:val="0"/>
                        <w:adjustRightInd w:val="0"/>
                        <w:snapToGrid w:val="0"/>
                        <w:spacing w:line="288" w:lineRule="auto"/>
                        <w:jc w:val="center"/>
                        <w:textAlignment w:val="baseline"/>
                        <w:rPr>
                          <w:rFonts w:hint="eastAsia"/>
                          <w:lang w:val="en-US" w:eastAsia="zh-CN"/>
                        </w:rPr>
                      </w:pPr>
                      <w:r>
                        <w:rPr>
                          <w:rFonts w:hint="eastAsia"/>
                          <w:lang w:val="en-US" w:eastAsia="zh-CN"/>
                        </w:rPr>
                        <w:t>重点防渗区</w:t>
                      </w:r>
                    </w:p>
                    <w:p w14:paraId="62F6870A">
                      <w:pPr>
                        <w:pStyle w:val="8"/>
                        <w:keepNext w:val="0"/>
                        <w:keepLines w:val="0"/>
                        <w:pageBreakBefore w:val="0"/>
                        <w:widowControl/>
                        <w:kinsoku w:val="0"/>
                        <w:wordWrap/>
                        <w:overflowPunct/>
                        <w:topLinePunct w:val="0"/>
                        <w:bidi w:val="0"/>
                        <w:adjustRightInd w:val="0"/>
                        <w:snapToGrid w:val="0"/>
                        <w:spacing w:before="0" w:line="288" w:lineRule="auto"/>
                        <w:jc w:val="center"/>
                        <w:textAlignment w:val="baseline"/>
                        <w:rPr>
                          <w:rFonts w:hint="eastAsia"/>
                          <w:lang w:val="en-US" w:eastAsia="zh-CN"/>
                        </w:rPr>
                      </w:pPr>
                      <w:r>
                        <w:rPr>
                          <w:rFonts w:hint="eastAsia"/>
                          <w:lang w:val="en-US" w:eastAsia="zh-CN"/>
                        </w:rPr>
                        <w:t>一般防渗区</w:t>
                      </w:r>
                    </w:p>
                    <w:p w14:paraId="78725AC7">
                      <w:pPr>
                        <w:keepNext w:val="0"/>
                        <w:keepLines w:val="0"/>
                        <w:pageBreakBefore w:val="0"/>
                        <w:widowControl/>
                        <w:kinsoku w:val="0"/>
                        <w:wordWrap/>
                        <w:overflowPunct/>
                        <w:topLinePunct w:val="0"/>
                        <w:bidi w:val="0"/>
                        <w:adjustRightInd w:val="0"/>
                        <w:snapToGrid w:val="0"/>
                        <w:spacing w:line="288" w:lineRule="auto"/>
                        <w:jc w:val="center"/>
                        <w:textAlignment w:val="baseline"/>
                        <w:rPr>
                          <w:rFonts w:hint="eastAsia"/>
                          <w:lang w:val="en-US" w:eastAsia="zh-CN"/>
                        </w:rPr>
                      </w:pPr>
                      <w:r>
                        <w:rPr>
                          <w:rFonts w:hint="eastAsia"/>
                          <w:lang w:val="en-US" w:eastAsia="zh-CN"/>
                        </w:rPr>
                        <w:t>简单防渗区</w:t>
                      </w:r>
                    </w:p>
                    <w:p w14:paraId="15662C8D">
                      <w:pPr>
                        <w:pStyle w:val="8"/>
                        <w:keepNext w:val="0"/>
                        <w:keepLines w:val="0"/>
                        <w:pageBreakBefore w:val="0"/>
                        <w:widowControl/>
                        <w:kinsoku w:val="0"/>
                        <w:wordWrap/>
                        <w:overflowPunct/>
                        <w:topLinePunct w:val="0"/>
                        <w:bidi w:val="0"/>
                        <w:adjustRightInd w:val="0"/>
                        <w:snapToGrid w:val="0"/>
                        <w:spacing w:before="0" w:line="288" w:lineRule="auto"/>
                        <w:jc w:val="center"/>
                        <w:textAlignment w:val="baseline"/>
                        <w:rPr>
                          <w:rFonts w:hint="default"/>
                          <w:lang w:val="en-US" w:eastAsia="zh-CN"/>
                        </w:rPr>
                      </w:pPr>
                      <w:r>
                        <w:rPr>
                          <w:rFonts w:hint="eastAsia"/>
                          <w:lang w:val="en-US" w:eastAsia="zh-CN"/>
                        </w:rPr>
                        <w:t>地下水监测井</w:t>
                      </w:r>
                    </w:p>
                  </w:txbxContent>
                </v:textbox>
              </v:shape>
            </w:pict>
          </mc:Fallback>
        </mc:AlternateContent>
      </w:r>
      <w:r>
        <w:rPr>
          <w:sz w:val="21"/>
        </w:rPr>
        <mc:AlternateContent>
          <mc:Choice Requires="wps">
            <w:drawing>
              <wp:anchor distT="0" distB="0" distL="114300" distR="114300" simplePos="0" relativeHeight="251688960" behindDoc="0" locked="0" layoutInCell="1" allowOverlap="1">
                <wp:simplePos x="0" y="0"/>
                <wp:positionH relativeFrom="column">
                  <wp:posOffset>4800600</wp:posOffset>
                </wp:positionH>
                <wp:positionV relativeFrom="paragraph">
                  <wp:posOffset>15240</wp:posOffset>
                </wp:positionV>
                <wp:extent cx="933450" cy="829310"/>
                <wp:effectExtent l="0" t="0" r="0" b="8890"/>
                <wp:wrapNone/>
                <wp:docPr id="107" name="文本框 107"/>
                <wp:cNvGraphicFramePr/>
                <a:graphic xmlns:a="http://schemas.openxmlformats.org/drawingml/2006/main">
                  <a:graphicData uri="http://schemas.microsoft.com/office/word/2010/wordprocessingShape">
                    <wps:wsp>
                      <wps:cNvSpPr txBox="1"/>
                      <wps:spPr>
                        <a:xfrm>
                          <a:off x="5205095" y="2472690"/>
                          <a:ext cx="933450" cy="8293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7CDEF87">
                            <w:r>
                              <w:rPr>
                                <w:rFonts w:hint="default" w:ascii="Times New Roman" w:hAnsi="Times New Roman" w:eastAsia="宋体" w:cs="Times New Roman"/>
                                <w:color w:val="auto"/>
                                <w:spacing w:val="0"/>
                                <w:w w:val="100"/>
                                <w:position w:val="0"/>
                                <w:sz w:val="30"/>
                                <w:szCs w:val="30"/>
                                <w:highlight w:val="none"/>
                                <w:lang w:eastAsia="zh-CN"/>
                              </w:rPr>
                              <w:drawing>
                                <wp:inline distT="0" distB="0" distL="114300" distR="114300">
                                  <wp:extent cx="704215" cy="688340"/>
                                  <wp:effectExtent l="0" t="0" r="635" b="1651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14"/>
                                          <a:stretch>
                                            <a:fillRect/>
                                          </a:stretch>
                                        </pic:blipFill>
                                        <pic:spPr>
                                          <a:xfrm>
                                            <a:off x="0" y="0"/>
                                            <a:ext cx="704215" cy="6883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8pt;margin-top:1.2pt;height:65.3pt;width:73.5pt;z-index:251688960;mso-width-relative:page;mso-height-relative:page;" fillcolor="#FFFFFF [3201]" filled="t" stroked="f" coordsize="21600,21600" o:gfxdata="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qlsKc&#10;1AAAAAkBAAAPAAAAAAAAAAEAIAAAACIAAABkcnMvZG93bnJldi54bWxQSwECFAAUAAAACACHTuJA&#10;PUMXJ14CAACeBAAADgAAAAAAAAABACAAAAAjAQAAZHJzL2Uyb0RvYy54bWxQSwUGAAAAAAYABgBZ&#10;AQAA8wUAAAAA&#10;">
                <v:fill on="t" focussize="0,0"/>
                <v:stroke on="f" weight="0.5pt"/>
                <v:imagedata o:title=""/>
                <o:lock v:ext="edit" aspectratio="f"/>
                <v:textbox>
                  <w:txbxContent>
                    <w:p w14:paraId="37CDEF87">
                      <w:r>
                        <w:rPr>
                          <w:rFonts w:hint="default" w:ascii="Times New Roman" w:hAnsi="Times New Roman" w:eastAsia="宋体" w:cs="Times New Roman"/>
                          <w:color w:val="auto"/>
                          <w:spacing w:val="0"/>
                          <w:w w:val="100"/>
                          <w:position w:val="0"/>
                          <w:sz w:val="30"/>
                          <w:szCs w:val="30"/>
                          <w:highlight w:val="none"/>
                          <w:lang w:eastAsia="zh-CN"/>
                        </w:rPr>
                        <w:drawing>
                          <wp:inline distT="0" distB="0" distL="114300" distR="114300">
                            <wp:extent cx="704215" cy="688340"/>
                            <wp:effectExtent l="0" t="0" r="635" b="1651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14"/>
                                    <a:stretch>
                                      <a:fillRect/>
                                    </a:stretch>
                                  </pic:blipFill>
                                  <pic:spPr>
                                    <a:xfrm>
                                      <a:off x="0" y="0"/>
                                      <a:ext cx="704215" cy="688340"/>
                                    </a:xfrm>
                                    <a:prstGeom prst="rect">
                                      <a:avLst/>
                                    </a:prstGeom>
                                    <a:noFill/>
                                    <a:ln>
                                      <a:noFill/>
                                    </a:ln>
                                  </pic:spPr>
                                </pic:pic>
                              </a:graphicData>
                            </a:graphic>
                          </wp:inline>
                        </w:drawing>
                      </w:r>
                    </w:p>
                  </w:txbxContent>
                </v:textbox>
              </v:shape>
            </w:pict>
          </mc:Fallback>
        </mc:AlternateContent>
      </w:r>
      <w:r>
        <w:drawing>
          <wp:inline distT="0" distB="0" distL="114300" distR="114300">
            <wp:extent cx="5753735" cy="4587875"/>
            <wp:effectExtent l="0" t="0" r="18415" b="3175"/>
            <wp:docPr id="10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1"/>
                    <pic:cNvPicPr>
                      <a:picLocks noChangeAspect="1"/>
                    </pic:cNvPicPr>
                  </pic:nvPicPr>
                  <pic:blipFill>
                    <a:blip r:embed="rId115"/>
                    <a:stretch>
                      <a:fillRect/>
                    </a:stretch>
                  </pic:blipFill>
                  <pic:spPr>
                    <a:xfrm>
                      <a:off x="0" y="0"/>
                      <a:ext cx="5753735" cy="4587875"/>
                    </a:xfrm>
                    <a:prstGeom prst="rect">
                      <a:avLst/>
                    </a:prstGeom>
                    <a:noFill/>
                    <a:ln>
                      <a:noFill/>
                    </a:ln>
                  </pic:spPr>
                </pic:pic>
              </a:graphicData>
            </a:graphic>
          </wp:inline>
        </w:drawing>
      </w:r>
    </w:p>
    <w:p w14:paraId="507ACE83">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0" w:firstLineChars="0"/>
        <w:jc w:val="center"/>
        <w:textAlignment w:val="baseline"/>
        <w:rPr>
          <w:rFonts w:hint="default" w:ascii="Times New Roman" w:hAnsi="Times New Roman" w:eastAsia="宋体" w:cs="Times New Roman"/>
          <w:b/>
          <w:snapToGrid w:val="0"/>
          <w:color w:val="auto"/>
          <w:kern w:val="2"/>
          <w:sz w:val="24"/>
          <w:szCs w:val="24"/>
          <w:highlight w:val="none"/>
          <w:lang w:val="en-US" w:eastAsia="zh-CN" w:bidi="ar-SA"/>
        </w:rPr>
      </w:pPr>
      <w:r>
        <w:rPr>
          <w:rFonts w:hint="default" w:ascii="Times New Roman" w:hAnsi="Times New Roman" w:eastAsia="宋体" w:cs="Times New Roman"/>
          <w:b/>
          <w:snapToGrid w:val="0"/>
          <w:color w:val="auto"/>
          <w:kern w:val="2"/>
          <w:sz w:val="24"/>
          <w:szCs w:val="24"/>
          <w:highlight w:val="none"/>
          <w:lang w:val="en-US" w:eastAsia="zh-CN" w:bidi="ar-SA"/>
        </w:rPr>
        <w:t>图6.2-1  分区防渗及跟踪监测井位置图</w:t>
      </w:r>
    </w:p>
    <w:p w14:paraId="2CACFB02">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6.2.5.3地下水应急响应</w:t>
      </w:r>
    </w:p>
    <w:p w14:paraId="16984328">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针对应急工作需要，参照相关技术导则，结合地下水污染治理的技术特点，制定地下水污染应急治理程序，制定防止事故液体污染物向环境转移防范措施，防止事故伴生/次生污染物向地下水环境转移防范措施，事故液体污染物进入环境后的消除措施。</w:t>
      </w:r>
    </w:p>
    <w:p w14:paraId="10497742">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地下水污染具有不易发现和一旦污染很难治理的特点，因此，防止地下水污染应遵循预防为主、防止渗漏、污染监测及事故应急处理的主动及被动防渗相结合的原则。</w:t>
      </w:r>
    </w:p>
    <w:p w14:paraId="2B26E898">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地下水污染情况勘察和治理是一项专业性很强的工作，一旦发生污染事故，应委托具有水文地质勘察资质的单位查明地下水污染情况，并委托具有专业资质的单位进行治理。</w:t>
      </w:r>
    </w:p>
    <w:p w14:paraId="1B4056AF">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严格遵照污废水的处理和排放方案，严密监控地下水位水质，以便出现问题及时采取应急措施，防止对地下水环境造成不利影响。</w:t>
      </w:r>
    </w:p>
    <w:p w14:paraId="0CA4C38F">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6.2.5.4地下水污染监控体系</w:t>
      </w:r>
    </w:p>
    <w:p w14:paraId="72DA1FF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实施覆盖项目区的地下水污染监控系统。建议生产车间落实每年例行检查及检修（检修时间间隔不得大于365d），及时对防渗措施进行修补。根据《环境影响评价技术导则 地下水环境》（HJ610-2016）中“11.3.2.1跟踪监测点数量要求b）三级评价的建设项目，一般不少于1个，应至少在建设项目场地下游布置1个”，本项目在建设项目下游设置1个跟踪监测井。如发现异常或发生事故，加密监测频次，改为每周监测一次，并分析污染原因，确定泄漏污染源，及时采取应急措施。</w:t>
      </w:r>
    </w:p>
    <w:p w14:paraId="1E39D70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明确地下水环境跟踪监测报告的内容，包括：①建设项目所在场地及其影响区地下水环境跟踪监测数据，排放污染物的种类、数量、浓度；②生产设备、防渗设施运行情况、跑冒滴漏记录、维护记录。另外，建设单位需制定信息公开计划，应至少包括建设项目特征因子的地下水环境监测值。按照《地下水环境监测技术规范》（HJ164-2020）要求，及时上报监测数据和有关表格。</w:t>
      </w:r>
    </w:p>
    <w:p w14:paraId="4FF9341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地下水跟踪监测计划：</w:t>
      </w:r>
    </w:p>
    <w:p w14:paraId="2FE9488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监测地点：根据地下水流向，厂区所在地下游设置1个地下水环境跟踪监测井</w:t>
      </w:r>
    </w:p>
    <w:p w14:paraId="2626E9E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监测因子：</w:t>
      </w:r>
      <w:r>
        <w:rPr>
          <w:rFonts w:hint="default" w:ascii="Times New Roman" w:hAnsi="Times New Roman" w:cs="Times New Roman"/>
          <w:color w:val="auto"/>
          <w:sz w:val="24"/>
          <w:szCs w:val="24"/>
          <w:highlight w:val="none"/>
          <w:lang w:val="en-US" w:eastAsia="zh-CN"/>
        </w:rPr>
        <w:t>pH值、总硬度、溶解性总固体、硫酸盐、氯化物、石油类、砷、汞、铬（六价）、铅、氟、镉、铁、锰、挥发性酚、耗氧量（COD）、硝酸盐氮、亚硝酸盐氮、氨氮、氰化物</w:t>
      </w:r>
    </w:p>
    <w:p w14:paraId="2D78A9C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执行标准：《地下水质量标准》（GB/T14848-2017）中Ⅲ类标准</w:t>
      </w:r>
    </w:p>
    <w:p w14:paraId="7DDACBF7">
      <w:pPr>
        <w:pStyle w:val="44"/>
        <w:bidi w:val="0"/>
        <w:rPr>
          <w:color w:val="auto"/>
          <w:highlight w:val="none"/>
        </w:rPr>
      </w:pPr>
      <w:r>
        <w:rPr>
          <w:color w:val="auto"/>
          <w:highlight w:val="none"/>
        </w:rPr>
        <w:t>表6.2-</w:t>
      </w:r>
      <w:r>
        <w:rPr>
          <w:rFonts w:hint="eastAsia"/>
          <w:color w:val="auto"/>
          <w:highlight w:val="none"/>
          <w:lang w:val="en-US" w:eastAsia="zh-CN"/>
        </w:rPr>
        <w:t>5</w:t>
      </w:r>
      <w:r>
        <w:rPr>
          <w:color w:val="auto"/>
          <w:highlight w:val="none"/>
        </w:rPr>
        <w:t xml:space="preserve">   监测计划一览表</w:t>
      </w:r>
    </w:p>
    <w:tbl>
      <w:tblPr>
        <w:tblStyle w:val="22"/>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72"/>
        <w:gridCol w:w="6314"/>
      </w:tblGrid>
      <w:tr w14:paraId="2B6FC1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00" w:type="pct"/>
            <w:noWrap w:val="0"/>
            <w:vAlign w:val="center"/>
          </w:tcPr>
          <w:p w14:paraId="0D63AD4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监测项目</w:t>
            </w:r>
          </w:p>
        </w:tc>
        <w:tc>
          <w:tcPr>
            <w:tcW w:w="3399" w:type="pct"/>
            <w:noWrap w:val="0"/>
            <w:vAlign w:val="center"/>
          </w:tcPr>
          <w:p w14:paraId="298FC316">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pH值、总硬度、溶解性总固体、硫酸盐、氯化物、石油类、砷、汞、铬（六价）、铅、氟、镉、铁、锰、挥发性酚、耗氧量（COD）、硝酸盐氮、亚硝酸盐氮、氨氮、氰化物</w:t>
            </w:r>
          </w:p>
        </w:tc>
      </w:tr>
      <w:tr w14:paraId="22B526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00" w:type="pct"/>
            <w:noWrap w:val="0"/>
            <w:vAlign w:val="center"/>
          </w:tcPr>
          <w:p w14:paraId="5963BB0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监测频率</w:t>
            </w:r>
          </w:p>
        </w:tc>
        <w:tc>
          <w:tcPr>
            <w:tcW w:w="3399" w:type="pct"/>
            <w:noWrap w:val="0"/>
            <w:vAlign w:val="center"/>
          </w:tcPr>
          <w:p w14:paraId="47DA0368">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1次/年</w:t>
            </w:r>
          </w:p>
        </w:tc>
      </w:tr>
      <w:tr w14:paraId="7D8F6F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00" w:type="pct"/>
            <w:noWrap w:val="0"/>
            <w:vAlign w:val="center"/>
          </w:tcPr>
          <w:p w14:paraId="3E67D63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监测方式</w:t>
            </w:r>
          </w:p>
        </w:tc>
        <w:tc>
          <w:tcPr>
            <w:tcW w:w="3399" w:type="pct"/>
            <w:noWrap w:val="0"/>
            <w:vAlign w:val="center"/>
          </w:tcPr>
          <w:p w14:paraId="57BF7C68">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委托监测</w:t>
            </w:r>
          </w:p>
        </w:tc>
      </w:tr>
      <w:tr w14:paraId="230D4B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00" w:type="pct"/>
            <w:noWrap w:val="0"/>
            <w:vAlign w:val="center"/>
          </w:tcPr>
          <w:p w14:paraId="20C1930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监测点位</w:t>
            </w:r>
          </w:p>
        </w:tc>
        <w:tc>
          <w:tcPr>
            <w:tcW w:w="3399" w:type="pct"/>
            <w:noWrap w:val="0"/>
            <w:vAlign w:val="center"/>
          </w:tcPr>
          <w:p w14:paraId="0D9EEC9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西侧</w:t>
            </w:r>
            <w:r>
              <w:rPr>
                <w:rFonts w:hint="default" w:ascii="Times New Roman" w:hAnsi="Times New Roman" w:cs="Times New Roman"/>
                <w:color w:val="auto"/>
                <w:highlight w:val="none"/>
              </w:rPr>
              <w:t>厂界内（地下水下游）</w:t>
            </w:r>
          </w:p>
        </w:tc>
      </w:tr>
      <w:tr w14:paraId="1296F8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00" w:type="pct"/>
            <w:noWrap w:val="0"/>
            <w:vAlign w:val="center"/>
          </w:tcPr>
          <w:p w14:paraId="5C9EAFD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监测井深</w:t>
            </w:r>
          </w:p>
        </w:tc>
        <w:tc>
          <w:tcPr>
            <w:tcW w:w="3399" w:type="pct"/>
            <w:noWrap w:val="0"/>
            <w:vAlign w:val="center"/>
          </w:tcPr>
          <w:p w14:paraId="6065ABE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15</w:t>
            </w:r>
            <w:r>
              <w:rPr>
                <w:rFonts w:hint="default" w:ascii="Times New Roman" w:hAnsi="Times New Roman" w:cs="Times New Roman"/>
                <w:color w:val="auto"/>
                <w:highlight w:val="none"/>
              </w:rPr>
              <w:t>m</w:t>
            </w:r>
          </w:p>
        </w:tc>
      </w:tr>
      <w:tr w14:paraId="0BAC58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00" w:type="pct"/>
            <w:noWrap w:val="0"/>
            <w:vAlign w:val="center"/>
          </w:tcPr>
          <w:p w14:paraId="58E3EB0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监测层位</w:t>
            </w:r>
          </w:p>
        </w:tc>
        <w:tc>
          <w:tcPr>
            <w:tcW w:w="3399" w:type="pct"/>
            <w:noWrap w:val="0"/>
            <w:vAlign w:val="center"/>
          </w:tcPr>
          <w:p w14:paraId="1874C6A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潜水含水层</w:t>
            </w:r>
          </w:p>
        </w:tc>
      </w:tr>
    </w:tbl>
    <w:p w14:paraId="3BFFA87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建设单位可根据《工业企业土壤和地下水自行监测技术指南》（HJ1209-2021）中相关要求制定自行监测方案。要求如下：</w:t>
      </w:r>
    </w:p>
    <w:p w14:paraId="7E6FDC2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（1）制定监测方案</w:t>
      </w:r>
    </w:p>
    <w:p w14:paraId="1E1370C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企业应通过资料收集、现场踏勘及人员访谈等工作，排查企业内所有可能导致土壤或地下水污染的场所及设施设备，将其识别为重点监测单元并对其进行分类，制定自行监测方案。监测方案内容至少包括：监测点位及布置图，监测指标与频次，拟选取的样品采集、保存、流转、制备与分析方法，质量保证与质量控制等。</w:t>
      </w:r>
    </w:p>
    <w:p w14:paraId="44B2A5B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（2）建设与管理监测设施</w:t>
      </w:r>
    </w:p>
    <w:p w14:paraId="2AF6654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企业应根据监测方案确定的监测点位与监测指标，按照HJ164的要求建设并管理地下水监测井。地下水监测井应建成长期监测井。</w:t>
      </w:r>
    </w:p>
    <w:p w14:paraId="0728415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（3）实施监测方案</w:t>
      </w:r>
    </w:p>
    <w:p w14:paraId="200A64C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企业应按照监测方案，根据自身条件和能力自行或委托相关机构定期开展监测活动，并将相关内容纳入企业自行监测年度报告，及排污许可证年度执行报告（仅限已核发排污许可证的企业）。</w:t>
      </w:r>
    </w:p>
    <w:p w14:paraId="1CB668C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（4）做好监测质量保证与质量控制</w:t>
      </w:r>
    </w:p>
    <w:p w14:paraId="19562E0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企业应建立自行监测质量体系，按照本标准及相关技术规范要求做好各环节质量保证与质量控制。</w:t>
      </w:r>
    </w:p>
    <w:p w14:paraId="10CA70E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（5）报送和公开监测数据</w:t>
      </w:r>
    </w:p>
    <w:p w14:paraId="761CD08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FF0000"/>
        </w:rPr>
      </w:pPr>
      <w:r>
        <w:rPr>
          <w:rFonts w:hint="default" w:ascii="Times New Roman" w:hAnsi="Times New Roman" w:cs="Times New Roman"/>
          <w:color w:val="auto"/>
          <w:sz w:val="24"/>
          <w:szCs w:val="24"/>
          <w:highlight w:val="none"/>
        </w:rPr>
        <w:t>企业应按照相关法规的要求，将监测数据报生态环境主管部门并向社会公开监测结果。</w:t>
      </w:r>
    </w:p>
    <w:p w14:paraId="17E3A4E8">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6</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2.6土壤污染防治</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措施</w:t>
      </w:r>
    </w:p>
    <w:p w14:paraId="4181B271">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eastAsia"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6.2.6.1源头控制措施</w:t>
      </w:r>
    </w:p>
    <w:p w14:paraId="625AC14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控制原材料的污染物物质组分，严格控制废气污染物排放，定期检查废气污染防治措施，将废气污染物排放量降到最低。</w:t>
      </w:r>
    </w:p>
    <w:p w14:paraId="2508D71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落实废气处理设施日常管理和维护工作</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确保各类废气均可达标排放；危险废物分类收集，利用专用容器送至危废</w:t>
      </w:r>
      <w:r>
        <w:rPr>
          <w:rFonts w:hint="default" w:ascii="Times New Roman" w:hAnsi="Times New Roman" w:cs="Times New Roman"/>
          <w:color w:val="auto"/>
          <w:sz w:val="24"/>
          <w:szCs w:val="24"/>
          <w:highlight w:val="none"/>
          <w:lang w:val="en-US" w:eastAsia="zh-CN"/>
        </w:rPr>
        <w:t>贮存库</w:t>
      </w:r>
      <w:r>
        <w:rPr>
          <w:rFonts w:hint="default" w:ascii="Times New Roman" w:hAnsi="Times New Roman" w:cs="Times New Roman"/>
          <w:color w:val="auto"/>
          <w:sz w:val="24"/>
          <w:szCs w:val="24"/>
          <w:highlight w:val="none"/>
        </w:rPr>
        <w:t>，并落实危废</w:t>
      </w:r>
      <w:r>
        <w:rPr>
          <w:rFonts w:hint="default" w:ascii="Times New Roman" w:hAnsi="Times New Roman" w:cs="Times New Roman"/>
          <w:color w:val="auto"/>
          <w:sz w:val="24"/>
          <w:szCs w:val="24"/>
          <w:highlight w:val="none"/>
          <w:lang w:val="en-US" w:eastAsia="zh-CN"/>
        </w:rPr>
        <w:t>贮存</w:t>
      </w:r>
      <w:r>
        <w:rPr>
          <w:rFonts w:hint="default" w:ascii="Times New Roman" w:hAnsi="Times New Roman" w:cs="Times New Roman"/>
          <w:color w:val="auto"/>
          <w:sz w:val="24"/>
          <w:szCs w:val="24"/>
          <w:highlight w:val="none"/>
        </w:rPr>
        <w:t>和委托处理处置工作，确保固废能够得以妥善处置。应严格把关企业污染物排放达标情况，定期安排监测；禁止在建设厂区内任意设置排污水口，对污水管道进行全封闭，防止流入环境中。</w:t>
      </w:r>
    </w:p>
    <w:p w14:paraId="526AE25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color w:val="auto"/>
          <w:highlight w:val="none"/>
        </w:rPr>
      </w:pPr>
      <w:r>
        <w:rPr>
          <w:rFonts w:hint="default" w:ascii="Times New Roman" w:hAnsi="Times New Roman" w:cs="Times New Roman"/>
          <w:color w:val="auto"/>
          <w:sz w:val="24"/>
          <w:szCs w:val="24"/>
          <w:highlight w:val="none"/>
        </w:rPr>
        <w:t>建设项目工艺、管道、设备、污染防治措施采取相应控制措施，防止污染物的跑、冒、滴、漏，将污染物泄漏的环境风险事故降到最低限度。</w:t>
      </w:r>
    </w:p>
    <w:p w14:paraId="30561A56">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eastAsia"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6.2.6.2过程防控措施</w:t>
      </w:r>
    </w:p>
    <w:p w14:paraId="041C555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用于储存项目原辅料、生产车间、贮存产品的构筑物，若运行过程中出现事故，导致构筑物防雨、防渗、防腐等措施破坏，或废气污染防治措施失效，可能会污染周围土壤环境。为了防止此种污染的出现，项目采用分区防渗措施，严格按照防渗要求建设，设置导流渠、围堰等应急措施，可以降低事故发生的概率和影响。</w:t>
      </w:r>
    </w:p>
    <w:p w14:paraId="2818A44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制定处理设施和设备的大修计划、定期检修计划。根据设备实际使用和生产需求情况，结合设备维护保养和巡检制度，灵活安排故障维修和小修。大修期间根据生产特殊性，采用部分停产倒换维修的方式进行，定期检修在充分利用备用设备的情况下应不影响正常生产。</w:t>
      </w:r>
    </w:p>
    <w:p w14:paraId="7CD58ED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通过以上措施，建设项目采取过程阻断和分区防控等措施，可以将项目对土壤环境造成的影响降到最低。</w:t>
      </w:r>
    </w:p>
    <w:p w14:paraId="2B7BC277">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eastAsia"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6.2.6.3污染控制措施</w:t>
      </w:r>
    </w:p>
    <w:p w14:paraId="76B197F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本项目油品储存区、油漆库、调漆室、喷涂区、水帘喷漆循环水池按照《环境影响评价技术导则  地下水环境》（HJ610-2016）要求采取</w:t>
      </w:r>
      <w:r>
        <w:rPr>
          <w:rFonts w:hint="eastAsia" w:ascii="Times New Roman" w:hAnsi="Times New Roman" w:cs="Times New Roman"/>
          <w:color w:val="auto"/>
          <w:sz w:val="24"/>
          <w:szCs w:val="24"/>
          <w:lang w:val="en-US" w:eastAsia="zh-CN"/>
        </w:rPr>
        <w:t>重点</w:t>
      </w:r>
      <w:r>
        <w:rPr>
          <w:rFonts w:hint="default" w:ascii="Times New Roman" w:hAnsi="Times New Roman" w:cs="Times New Roman"/>
          <w:color w:val="auto"/>
          <w:sz w:val="24"/>
          <w:szCs w:val="24"/>
          <w:lang w:val="en-US" w:eastAsia="zh-CN"/>
        </w:rPr>
        <w:t>防渗措施，</w:t>
      </w:r>
      <w:r>
        <w:rPr>
          <w:rFonts w:hint="default" w:ascii="Times New Roman" w:hAnsi="Times New Roman" w:cs="Times New Roman"/>
          <w:color w:val="auto"/>
          <w:sz w:val="24"/>
          <w:szCs w:val="24"/>
        </w:rPr>
        <w:t>危险废物严格按照《危险废物贮存污染控制》(GB18597-2023)要求进行设置和管理，满足重点防渗区要求。正常运营工况下，不会对土壤环境造成显著影响。</w:t>
      </w:r>
    </w:p>
    <w:p w14:paraId="1F6F66E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通过对土壤环境影响预测结果分析可知，本项目对土壤环境的影响主要来自大气污染物沉降，可采取增加绿化、监测及土壤污染防控的应急措施。对于大气污染物沉积影响，在占地范围内应采取绿化措施，以种植具有较强吸附能力的植物为主。</w:t>
      </w:r>
    </w:p>
    <w:p w14:paraId="45ABB400">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eastAsia"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6.2.6.4跟踪监测</w:t>
      </w:r>
    </w:p>
    <w:p w14:paraId="3681A32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为了及时发现建设项目运营期对周围土壤产生的影响，预防突发性事故对环境的危害，有必要开展运营期土壤环境跟踪监测工作，为运营期环境污染控制、工程环境管理以及区域环境保护工作提供科学依据。同时定期向社会公开土壤跟踪监测结果。建设单位应对项目区设置土壤监测点，组织专业人员定期对土壤进行监测，以掌握项目区土壤污染情况，为及时应对土壤污染提供依据。</w:t>
      </w:r>
    </w:p>
    <w:p w14:paraId="57078B8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监测点位：区域主导风向下风向东北侧。</w:t>
      </w:r>
    </w:p>
    <w:p w14:paraId="28EDA7F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监测因子：</w:t>
      </w:r>
      <w:r>
        <w:rPr>
          <w:rFonts w:hint="default" w:ascii="Times New Roman" w:hAnsi="Times New Roman" w:cs="Times New Roman"/>
          <w:color w:val="auto"/>
          <w:sz w:val="24"/>
          <w:szCs w:val="24"/>
          <w:highlight w:val="none"/>
          <w:lang w:val="en-US" w:eastAsia="zh-CN"/>
        </w:rPr>
        <w:t>砷、镉、铬（六价）、铜、铅、汞、镍、石油烃</w:t>
      </w:r>
      <w:r>
        <w:rPr>
          <w:rFonts w:hint="default" w:ascii="Times New Roman" w:hAnsi="Times New Roman" w:cs="Times New Roman"/>
          <w:color w:val="auto"/>
          <w:sz w:val="24"/>
          <w:szCs w:val="24"/>
          <w:highlight w:val="none"/>
        </w:rPr>
        <w:t>；</w:t>
      </w:r>
    </w:p>
    <w:p w14:paraId="7A4D1E5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监测频次：1次/年；</w:t>
      </w:r>
    </w:p>
    <w:p w14:paraId="653DB3D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执行标准：《土壤环境质量标准 建设用地土壤污染风险管控标准（试行）》（GB36600-2018）筛选值标准。</w:t>
      </w:r>
    </w:p>
    <w:p w14:paraId="3615E54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建设单位可根据《工业企业土壤和地下水自行监测技术指南》（HJ1209-2021）中相关要求制定自行监测方案。要求如下：</w:t>
      </w:r>
    </w:p>
    <w:p w14:paraId="6093A9D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（1）制定监测方案</w:t>
      </w:r>
    </w:p>
    <w:p w14:paraId="5E1DC5A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企业应通过资料收集、现场踏勘及人员访谈等工作，排查企业内所有可能导致土壤或地下水污染的场所及设施设备，将其识别为重点监测单元并对其进行分类，制定自行监测方案。监测方案内容至少包括：监测点位及布置图，监测指标与频次，拟选取的样品采集、保存、流转、制备与分析方法，质量保证与质量控制等。</w:t>
      </w:r>
    </w:p>
    <w:p w14:paraId="21CEB45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（2）建设与管理监测设施</w:t>
      </w:r>
    </w:p>
    <w:p w14:paraId="793C426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企业应根据监测方案确定的监测点位与监测指标。</w:t>
      </w:r>
    </w:p>
    <w:p w14:paraId="0CF5897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（3）实施监测方案</w:t>
      </w:r>
    </w:p>
    <w:p w14:paraId="1E43393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企业应按照监测方案，根据自身条件和能力自行或委托相关机构定期开展监测活动，并将相关内容纳入企业自行监测年度报告，及排污许可证年度执行报告。</w:t>
      </w:r>
    </w:p>
    <w:p w14:paraId="2FCBCF8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（4）做好监测质量保证与质量控制</w:t>
      </w:r>
    </w:p>
    <w:p w14:paraId="378C096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企业应建立自行监测质量体系，按照本标准及相关技术规范要求做好各环节质量保证与质量控制。</w:t>
      </w:r>
    </w:p>
    <w:p w14:paraId="4B04DC2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（5）报送和公开监测数据</w:t>
      </w:r>
    </w:p>
    <w:p w14:paraId="1D1BC46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企业应按照相关法规的要求，将监测数据报生态环境主管部门并向社会公开监测结果。</w:t>
      </w:r>
    </w:p>
    <w:p w14:paraId="2594F9CF">
      <w:pPr>
        <w:keepNext w:val="0"/>
        <w:keepLines w:val="0"/>
        <w:pageBreakBefore w:val="0"/>
        <w:widowControl/>
        <w:kinsoku w:val="0"/>
        <w:wordWrap/>
        <w:overflowPunct/>
        <w:topLinePunct w:val="0"/>
        <w:autoSpaceDE w:val="0"/>
        <w:autoSpaceDN w:val="0"/>
        <w:bidi w:val="0"/>
        <w:adjustRightInd w:val="0"/>
        <w:snapToGrid w:val="0"/>
        <w:spacing w:line="360" w:lineRule="auto"/>
        <w:ind w:firstLine="420" w:firstLineChars="200"/>
        <w:jc w:val="center"/>
        <w:textAlignment w:val="baseline"/>
      </w:pPr>
      <w:r>
        <w:rPr>
          <w:sz w:val="21"/>
        </w:rPr>
        <mc:AlternateContent>
          <mc:Choice Requires="wps">
            <w:drawing>
              <wp:anchor distT="0" distB="0" distL="114300" distR="114300" simplePos="0" relativeHeight="251734016" behindDoc="0" locked="0" layoutInCell="1" allowOverlap="1">
                <wp:simplePos x="0" y="0"/>
                <wp:positionH relativeFrom="column">
                  <wp:posOffset>2964815</wp:posOffset>
                </wp:positionH>
                <wp:positionV relativeFrom="paragraph">
                  <wp:posOffset>2702560</wp:posOffset>
                </wp:positionV>
                <wp:extent cx="127635" cy="95885"/>
                <wp:effectExtent l="12065" t="11430" r="12700" b="6985"/>
                <wp:wrapNone/>
                <wp:docPr id="171" name="等腰三角形 171"/>
                <wp:cNvGraphicFramePr/>
                <a:graphic xmlns:a="http://schemas.openxmlformats.org/drawingml/2006/main">
                  <a:graphicData uri="http://schemas.microsoft.com/office/word/2010/wordprocessingShape">
                    <wps:wsp>
                      <wps:cNvSpPr/>
                      <wps:spPr>
                        <a:xfrm>
                          <a:off x="0" y="0"/>
                          <a:ext cx="127635" cy="95885"/>
                        </a:xfrm>
                        <a:prstGeom prst="triangl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33.45pt;margin-top:212.8pt;height:7.55pt;width:10.05pt;z-index:251734016;v-text-anchor:middle;mso-width-relative:page;mso-height-relative:page;" fillcolor="#4874CB [3204]" filled="t" stroked="t" coordsize="21600,21600" o:gfxdata="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AsT5472gAAAAsBAAAPAAAAAAAAAAEAIAAAACIAAABkcnMvZG93bnJldi54bWxQSwECFAAU&#10;AAAACACHTuJAR+u9v5oCAAAlBQAADgAAAAAAAAABACAAAAApAQAAZHJzL2Uyb0RvYy54bWxQSwUG&#10;AAAAAAYABgBZAQAANQYAAAAA&#10;" adj="10800">
                <v:fill on="t" focussize="0,0"/>
                <v:stroke weight="1pt" color="#2E54A1 [2404]" miterlimit="8" joinstyle="miter"/>
                <v:imagedata o:title=""/>
                <o:lock v:ext="edit" aspectratio="f"/>
              </v:shape>
            </w:pict>
          </mc:Fallback>
        </mc:AlternateContent>
      </w:r>
      <w:r>
        <w:rPr>
          <w:sz w:val="21"/>
        </w:rPr>
        <mc:AlternateContent>
          <mc:Choice Requires="wps">
            <w:drawing>
              <wp:anchor distT="0" distB="0" distL="114300" distR="114300" simplePos="0" relativeHeight="251732992" behindDoc="0" locked="0" layoutInCell="1" allowOverlap="1">
                <wp:simplePos x="0" y="0"/>
                <wp:positionH relativeFrom="column">
                  <wp:posOffset>3690620</wp:posOffset>
                </wp:positionH>
                <wp:positionV relativeFrom="paragraph">
                  <wp:posOffset>3248660</wp:posOffset>
                </wp:positionV>
                <wp:extent cx="180340" cy="147955"/>
                <wp:effectExtent l="11430" t="12065" r="17780" b="11430"/>
                <wp:wrapNone/>
                <wp:docPr id="170" name="等腰三角形 170"/>
                <wp:cNvGraphicFramePr/>
                <a:graphic xmlns:a="http://schemas.openxmlformats.org/drawingml/2006/main">
                  <a:graphicData uri="http://schemas.microsoft.com/office/word/2010/wordprocessingShape">
                    <wps:wsp>
                      <wps:cNvSpPr/>
                      <wps:spPr>
                        <a:xfrm>
                          <a:off x="4590415" y="9304655"/>
                          <a:ext cx="180340" cy="147955"/>
                        </a:xfrm>
                        <a:prstGeom prst="triangl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90.6pt;margin-top:255.8pt;height:11.65pt;width:14.2pt;z-index:251732992;v-text-anchor:middle;mso-width-relative:page;mso-height-relative:page;" fillcolor="#4874CB [3204]" filled="t" stroked="t" coordsize="21600,21600" o:gfxdata="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9Zj+ntkAAAALAQAADwAAAAAAAAABACAAAAAiAAAAZHJzL2Rvd25y&#10;ZXYueG1sUEsBAhQAFAAAAAgAh07iQMw6JLyoAgAAMgUAAA4AAAAAAAAAAQAgAAAAKAEAAGRycy9l&#10;Mm9Eb2MueG1sUEsFBgAAAAAGAAYAWQEAAEIGAAAAAA==&#10;" adj="10800">
                <v:fill on="t" focussize="0,0"/>
                <v:stroke weight="1pt" color="#2E54A1 [2404]" miterlimit="8" joinstyle="miter"/>
                <v:imagedata o:title=""/>
                <o:lock v:ext="edit" aspectratio="f"/>
              </v:shape>
            </w:pict>
          </mc:Fallback>
        </mc:AlternateContent>
      </w:r>
      <w:r>
        <w:rPr>
          <w:sz w:val="21"/>
        </w:rPr>
        <mc:AlternateContent>
          <mc:Choice Requires="wps">
            <w:drawing>
              <wp:anchor distT="0" distB="0" distL="114300" distR="114300" simplePos="0" relativeHeight="251731968" behindDoc="0" locked="0" layoutInCell="1" allowOverlap="1">
                <wp:simplePos x="0" y="0"/>
                <wp:positionH relativeFrom="column">
                  <wp:posOffset>3658870</wp:posOffset>
                </wp:positionH>
                <wp:positionV relativeFrom="paragraph">
                  <wp:posOffset>2983865</wp:posOffset>
                </wp:positionV>
                <wp:extent cx="307340" cy="147955"/>
                <wp:effectExtent l="6350" t="6350" r="10160" b="17145"/>
                <wp:wrapNone/>
                <wp:docPr id="168" name="矩形 168"/>
                <wp:cNvGraphicFramePr/>
                <a:graphic xmlns:a="http://schemas.openxmlformats.org/drawingml/2006/main">
                  <a:graphicData uri="http://schemas.microsoft.com/office/word/2010/wordprocessingShape">
                    <wps:wsp>
                      <wps:cNvSpPr/>
                      <wps:spPr>
                        <a:xfrm>
                          <a:off x="4558665" y="9039860"/>
                          <a:ext cx="307340" cy="14795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1pt;margin-top:234.95pt;height:11.65pt;width:24.2pt;z-index:251731968;v-text-anchor:middle;mso-width-relative:page;mso-height-relative:page;" filled="f" stroked="t" coordsize="21600,21600" o:gfxdata="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WFFP/2AAAAAsBAAAPAAAAAAAAAAEAIAAAACIAAABk&#10;cnMvZG93bnJldi54bWxQSwECFAAUAAAACACHTuJArMWN93gCAADaBAAADgAAAAAAAAABACAAAAAn&#10;AQAAZHJzL2Uyb0RvYy54bWxQSwUGAAAAAAYABgBZAQAAEQYAAAAA&#10;">
                <v:fill on="f" focussize="0,0"/>
                <v:stroke weight="1pt" color="#FF0000 [2404]" miterlimit="8" joinstyle="miter"/>
                <v:imagedata o:title=""/>
                <o:lock v:ext="edit" aspectratio="f"/>
              </v:rect>
            </w:pict>
          </mc:Fallback>
        </mc:AlternateContent>
      </w:r>
      <w:r>
        <w:rPr>
          <w:sz w:val="21"/>
        </w:rPr>
        <mc:AlternateContent>
          <mc:Choice Requires="wps">
            <w:drawing>
              <wp:anchor distT="0" distB="0" distL="114300" distR="114300" simplePos="0" relativeHeight="251730944" behindDoc="0" locked="0" layoutInCell="1" allowOverlap="1">
                <wp:simplePos x="0" y="0"/>
                <wp:positionH relativeFrom="column">
                  <wp:posOffset>3594735</wp:posOffset>
                </wp:positionH>
                <wp:positionV relativeFrom="paragraph">
                  <wp:posOffset>2740025</wp:posOffset>
                </wp:positionV>
                <wp:extent cx="1562735" cy="737870"/>
                <wp:effectExtent l="4445" t="4445" r="13970" b="19685"/>
                <wp:wrapNone/>
                <wp:docPr id="165" name="文本框 165"/>
                <wp:cNvGraphicFramePr/>
                <a:graphic xmlns:a="http://schemas.openxmlformats.org/drawingml/2006/main">
                  <a:graphicData uri="http://schemas.microsoft.com/office/word/2010/wordprocessingShape">
                    <wps:wsp>
                      <wps:cNvSpPr txBox="1"/>
                      <wps:spPr>
                        <a:xfrm>
                          <a:off x="0" y="0"/>
                          <a:ext cx="1562735" cy="7378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476CB51">
                            <w:pPr>
                              <w:keepNext w:val="0"/>
                              <w:keepLines w:val="0"/>
                              <w:pageBreakBefore w:val="0"/>
                              <w:widowControl/>
                              <w:kinsoku w:val="0"/>
                              <w:wordWrap/>
                              <w:overflowPunct/>
                              <w:topLinePunct w:val="0"/>
                              <w:bidi w:val="0"/>
                              <w:adjustRightInd w:val="0"/>
                              <w:snapToGrid w:val="0"/>
                              <w:spacing w:line="288" w:lineRule="auto"/>
                              <w:jc w:val="center"/>
                              <w:textAlignment w:val="baseline"/>
                              <w:rPr>
                                <w:rFonts w:hint="eastAsia" w:eastAsia="宋体"/>
                                <w:lang w:val="en-US" w:eastAsia="zh-CN"/>
                              </w:rPr>
                            </w:pPr>
                            <w:r>
                              <w:rPr>
                                <w:rFonts w:hint="eastAsia" w:eastAsia="宋体"/>
                                <w:lang w:val="en-US" w:eastAsia="zh-CN"/>
                              </w:rPr>
                              <w:t>图例</w:t>
                            </w:r>
                          </w:p>
                          <w:p w14:paraId="30948DDE">
                            <w:pPr>
                              <w:pStyle w:val="8"/>
                              <w:keepNext w:val="0"/>
                              <w:keepLines w:val="0"/>
                              <w:pageBreakBefore w:val="0"/>
                              <w:widowControl/>
                              <w:kinsoku w:val="0"/>
                              <w:wordWrap/>
                              <w:overflowPunct/>
                              <w:topLinePunct w:val="0"/>
                              <w:bidi w:val="0"/>
                              <w:adjustRightInd w:val="0"/>
                              <w:snapToGrid w:val="0"/>
                              <w:spacing w:before="0" w:line="288" w:lineRule="auto"/>
                              <w:jc w:val="center"/>
                              <w:textAlignment w:val="baseline"/>
                              <w:rPr>
                                <w:rFonts w:hint="eastAsia" w:eastAsia="宋体"/>
                                <w:lang w:val="en-US" w:eastAsia="zh-CN"/>
                              </w:rPr>
                            </w:pPr>
                            <w:r>
                              <w:rPr>
                                <w:rFonts w:hint="eastAsia" w:eastAsia="宋体"/>
                                <w:lang w:val="en-US" w:eastAsia="zh-CN"/>
                              </w:rPr>
                              <w:t>项目范围</w:t>
                            </w:r>
                          </w:p>
                          <w:p w14:paraId="7D64F495">
                            <w:pPr>
                              <w:pStyle w:val="8"/>
                              <w:keepNext w:val="0"/>
                              <w:keepLines w:val="0"/>
                              <w:pageBreakBefore w:val="0"/>
                              <w:widowControl/>
                              <w:kinsoku w:val="0"/>
                              <w:wordWrap/>
                              <w:overflowPunct/>
                              <w:topLinePunct w:val="0"/>
                              <w:bidi w:val="0"/>
                              <w:adjustRightInd w:val="0"/>
                              <w:snapToGrid w:val="0"/>
                              <w:spacing w:before="0" w:line="288" w:lineRule="auto"/>
                              <w:jc w:val="center"/>
                              <w:textAlignment w:val="baseline"/>
                              <w:rPr>
                                <w:rFonts w:hint="default"/>
                                <w:lang w:val="en-US" w:eastAsia="zh-CN"/>
                              </w:rPr>
                            </w:pPr>
                            <w:r>
                              <w:rPr>
                                <w:rFonts w:hint="eastAsia"/>
                                <w:lang w:val="en-US" w:eastAsia="zh-CN"/>
                              </w:rPr>
                              <w:t>土壤监测点位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3.05pt;margin-top:215.75pt;height:58.1pt;width:123.05pt;z-index:251730944;mso-width-relative:page;mso-height-relative:page;" fillcolor="#FFFFFF [3201]" filled="t" stroked="t" coordsize="21600,21600" o:gfxdata="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HDLZ&#10;7dgAAAALAQAADwAAAAAAAAABACAAAAAiAAAAZHJzL2Rvd25yZXYueG1sUEsBAhQAFAAAAAgAh07i&#10;QNbc6BNbAgAAuwQAAA4AAAAAAAAAAQAgAAAAJwEAAGRycy9lMm9Eb2MueG1sUEsFBgAAAAAGAAYA&#10;WQEAAPQFAAAAAA==&#10;">
                <v:fill on="t" focussize="0,0"/>
                <v:stroke weight="0.5pt" color="#000000 [3204]" joinstyle="round"/>
                <v:imagedata o:title=""/>
                <o:lock v:ext="edit" aspectratio="f"/>
                <v:textbox>
                  <w:txbxContent>
                    <w:p w14:paraId="1476CB51">
                      <w:pPr>
                        <w:keepNext w:val="0"/>
                        <w:keepLines w:val="0"/>
                        <w:pageBreakBefore w:val="0"/>
                        <w:widowControl/>
                        <w:kinsoku w:val="0"/>
                        <w:wordWrap/>
                        <w:overflowPunct/>
                        <w:topLinePunct w:val="0"/>
                        <w:bidi w:val="0"/>
                        <w:adjustRightInd w:val="0"/>
                        <w:snapToGrid w:val="0"/>
                        <w:spacing w:line="288" w:lineRule="auto"/>
                        <w:jc w:val="center"/>
                        <w:textAlignment w:val="baseline"/>
                        <w:rPr>
                          <w:rFonts w:hint="eastAsia" w:eastAsia="宋体"/>
                          <w:lang w:val="en-US" w:eastAsia="zh-CN"/>
                        </w:rPr>
                      </w:pPr>
                      <w:r>
                        <w:rPr>
                          <w:rFonts w:hint="eastAsia" w:eastAsia="宋体"/>
                          <w:lang w:val="en-US" w:eastAsia="zh-CN"/>
                        </w:rPr>
                        <w:t>图例</w:t>
                      </w:r>
                    </w:p>
                    <w:p w14:paraId="30948DDE">
                      <w:pPr>
                        <w:pStyle w:val="8"/>
                        <w:keepNext w:val="0"/>
                        <w:keepLines w:val="0"/>
                        <w:pageBreakBefore w:val="0"/>
                        <w:widowControl/>
                        <w:kinsoku w:val="0"/>
                        <w:wordWrap/>
                        <w:overflowPunct/>
                        <w:topLinePunct w:val="0"/>
                        <w:bidi w:val="0"/>
                        <w:adjustRightInd w:val="0"/>
                        <w:snapToGrid w:val="0"/>
                        <w:spacing w:before="0" w:line="288" w:lineRule="auto"/>
                        <w:jc w:val="center"/>
                        <w:textAlignment w:val="baseline"/>
                        <w:rPr>
                          <w:rFonts w:hint="eastAsia" w:eastAsia="宋体"/>
                          <w:lang w:val="en-US" w:eastAsia="zh-CN"/>
                        </w:rPr>
                      </w:pPr>
                      <w:r>
                        <w:rPr>
                          <w:rFonts w:hint="eastAsia" w:eastAsia="宋体"/>
                          <w:lang w:val="en-US" w:eastAsia="zh-CN"/>
                        </w:rPr>
                        <w:t>项目范围</w:t>
                      </w:r>
                    </w:p>
                    <w:p w14:paraId="7D64F495">
                      <w:pPr>
                        <w:pStyle w:val="8"/>
                        <w:keepNext w:val="0"/>
                        <w:keepLines w:val="0"/>
                        <w:pageBreakBefore w:val="0"/>
                        <w:widowControl/>
                        <w:kinsoku w:val="0"/>
                        <w:wordWrap/>
                        <w:overflowPunct/>
                        <w:topLinePunct w:val="0"/>
                        <w:bidi w:val="0"/>
                        <w:adjustRightInd w:val="0"/>
                        <w:snapToGrid w:val="0"/>
                        <w:spacing w:before="0" w:line="288" w:lineRule="auto"/>
                        <w:jc w:val="center"/>
                        <w:textAlignment w:val="baseline"/>
                        <w:rPr>
                          <w:rFonts w:hint="default"/>
                          <w:lang w:val="en-US" w:eastAsia="zh-CN"/>
                        </w:rPr>
                      </w:pPr>
                      <w:r>
                        <w:rPr>
                          <w:rFonts w:hint="eastAsia"/>
                          <w:lang w:val="en-US" w:eastAsia="zh-CN"/>
                        </w:rPr>
                        <w:t>土壤监测点位</w:t>
                      </w:r>
                    </w:p>
                  </w:txbxContent>
                </v:textbox>
              </v:shape>
            </w:pict>
          </mc:Fallback>
        </mc:AlternateContent>
      </w:r>
      <w:r>
        <w:drawing>
          <wp:inline distT="0" distB="0" distL="114300" distR="114300">
            <wp:extent cx="4390390" cy="3500755"/>
            <wp:effectExtent l="0" t="0" r="10160" b="4445"/>
            <wp:docPr id="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1"/>
                    <pic:cNvPicPr>
                      <a:picLocks noChangeAspect="1"/>
                    </pic:cNvPicPr>
                  </pic:nvPicPr>
                  <pic:blipFill>
                    <a:blip r:embed="rId115"/>
                    <a:stretch>
                      <a:fillRect/>
                    </a:stretch>
                  </pic:blipFill>
                  <pic:spPr>
                    <a:xfrm>
                      <a:off x="0" y="0"/>
                      <a:ext cx="4390390" cy="3500755"/>
                    </a:xfrm>
                    <a:prstGeom prst="rect">
                      <a:avLst/>
                    </a:prstGeom>
                    <a:noFill/>
                    <a:ln>
                      <a:noFill/>
                    </a:ln>
                  </pic:spPr>
                </pic:pic>
              </a:graphicData>
            </a:graphic>
          </wp:inline>
        </w:drawing>
      </w:r>
      <w:r>
        <w:rPr>
          <w:sz w:val="21"/>
        </w:rPr>
        <mc:AlternateContent>
          <mc:Choice Requires="wps">
            <w:drawing>
              <wp:anchor distT="0" distB="0" distL="114300" distR="114300" simplePos="0" relativeHeight="251729920" behindDoc="0" locked="0" layoutInCell="1" allowOverlap="1">
                <wp:simplePos x="0" y="0"/>
                <wp:positionH relativeFrom="column">
                  <wp:posOffset>4106545</wp:posOffset>
                </wp:positionH>
                <wp:positionV relativeFrom="paragraph">
                  <wp:posOffset>15875</wp:posOffset>
                </wp:positionV>
                <wp:extent cx="933450" cy="829310"/>
                <wp:effectExtent l="0" t="0" r="0" b="8890"/>
                <wp:wrapNone/>
                <wp:docPr id="163" name="文本框 163"/>
                <wp:cNvGraphicFramePr/>
                <a:graphic xmlns:a="http://schemas.openxmlformats.org/drawingml/2006/main">
                  <a:graphicData uri="http://schemas.microsoft.com/office/word/2010/wordprocessingShape">
                    <wps:wsp>
                      <wps:cNvSpPr txBox="1"/>
                      <wps:spPr>
                        <a:xfrm>
                          <a:off x="0" y="0"/>
                          <a:ext cx="933450" cy="8293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BBD645C">
                            <w:r>
                              <w:rPr>
                                <w:rFonts w:hint="default" w:ascii="Times New Roman" w:hAnsi="Times New Roman" w:eastAsia="宋体" w:cs="Times New Roman"/>
                                <w:color w:val="auto"/>
                                <w:spacing w:val="0"/>
                                <w:w w:val="100"/>
                                <w:position w:val="0"/>
                                <w:sz w:val="30"/>
                                <w:szCs w:val="30"/>
                                <w:highlight w:val="none"/>
                                <w:lang w:eastAsia="zh-CN"/>
                              </w:rPr>
                              <w:drawing>
                                <wp:inline distT="0" distB="0" distL="114300" distR="114300">
                                  <wp:extent cx="704215" cy="688340"/>
                                  <wp:effectExtent l="0" t="0" r="635" b="1651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14"/>
                                          <a:stretch>
                                            <a:fillRect/>
                                          </a:stretch>
                                        </pic:blipFill>
                                        <pic:spPr>
                                          <a:xfrm>
                                            <a:off x="0" y="0"/>
                                            <a:ext cx="704215" cy="6883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3.35pt;margin-top:1.25pt;height:65.3pt;width:73.5pt;z-index:251729920;mso-width-relative:page;mso-height-relative:page;" fillcolor="#FFFFFF [3201]" filled="t" stroked="f" coordsize="21600,21600" o:gfxdata="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AQLIWtQAAAAJAQAADwAAAAAA&#10;AAABACAAAAAiAAAAZHJzL2Rvd25yZXYueG1sUEsBAhQAFAAAAAgAh07iQG/0X5VQAgAAkgQAAA4A&#10;AAAAAAAAAQAgAAAAIwEAAGRycy9lMm9Eb2MueG1sUEsFBgAAAAAGAAYAWQEAAOUFAAAAAA==&#10;">
                <v:fill on="t" focussize="0,0"/>
                <v:stroke on="f" weight="0.5pt"/>
                <v:imagedata o:title=""/>
                <o:lock v:ext="edit" aspectratio="f"/>
                <v:textbox>
                  <w:txbxContent>
                    <w:p w14:paraId="5BBD645C">
                      <w:r>
                        <w:rPr>
                          <w:rFonts w:hint="default" w:ascii="Times New Roman" w:hAnsi="Times New Roman" w:eastAsia="宋体" w:cs="Times New Roman"/>
                          <w:color w:val="auto"/>
                          <w:spacing w:val="0"/>
                          <w:w w:val="100"/>
                          <w:position w:val="0"/>
                          <w:sz w:val="30"/>
                          <w:szCs w:val="30"/>
                          <w:highlight w:val="none"/>
                          <w:lang w:eastAsia="zh-CN"/>
                        </w:rPr>
                        <w:drawing>
                          <wp:inline distT="0" distB="0" distL="114300" distR="114300">
                            <wp:extent cx="704215" cy="688340"/>
                            <wp:effectExtent l="0" t="0" r="635" b="1651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14"/>
                                    <a:stretch>
                                      <a:fillRect/>
                                    </a:stretch>
                                  </pic:blipFill>
                                  <pic:spPr>
                                    <a:xfrm>
                                      <a:off x="0" y="0"/>
                                      <a:ext cx="704215" cy="688340"/>
                                    </a:xfrm>
                                    <a:prstGeom prst="rect">
                                      <a:avLst/>
                                    </a:prstGeom>
                                    <a:noFill/>
                                    <a:ln>
                                      <a:noFill/>
                                    </a:ln>
                                  </pic:spPr>
                                </pic:pic>
                              </a:graphicData>
                            </a:graphic>
                          </wp:inline>
                        </w:drawing>
                      </w:r>
                    </w:p>
                  </w:txbxContent>
                </v:textbox>
              </v:shape>
            </w:pict>
          </mc:Fallback>
        </mc:AlternateContent>
      </w:r>
    </w:p>
    <w:p w14:paraId="098AC4F5">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0" w:firstLineChars="0"/>
        <w:jc w:val="center"/>
        <w:textAlignment w:val="baseline"/>
        <w:rPr>
          <w:rFonts w:hint="default"/>
          <w:lang w:val="en-US" w:eastAsia="zh-CN"/>
        </w:rPr>
      </w:pPr>
      <w:r>
        <w:rPr>
          <w:rFonts w:hint="default" w:ascii="Times New Roman" w:hAnsi="Times New Roman" w:eastAsia="宋体" w:cs="Times New Roman"/>
          <w:b/>
          <w:snapToGrid w:val="0"/>
          <w:color w:val="auto"/>
          <w:kern w:val="2"/>
          <w:sz w:val="24"/>
          <w:szCs w:val="24"/>
          <w:highlight w:val="none"/>
          <w:lang w:val="en-US" w:eastAsia="zh-CN" w:bidi="ar-SA"/>
        </w:rPr>
        <w:t>图6.2-</w:t>
      </w:r>
      <w:r>
        <w:rPr>
          <w:rFonts w:hint="eastAsia" w:ascii="Times New Roman" w:hAnsi="Times New Roman" w:eastAsia="宋体" w:cs="Times New Roman"/>
          <w:b/>
          <w:snapToGrid w:val="0"/>
          <w:color w:val="auto"/>
          <w:kern w:val="2"/>
          <w:sz w:val="24"/>
          <w:szCs w:val="24"/>
          <w:highlight w:val="none"/>
          <w:lang w:val="en-US" w:eastAsia="zh-CN" w:bidi="ar-SA"/>
        </w:rPr>
        <w:t>2</w:t>
      </w:r>
      <w:r>
        <w:rPr>
          <w:rFonts w:hint="default" w:ascii="Times New Roman" w:hAnsi="Times New Roman" w:eastAsia="宋体" w:cs="Times New Roman"/>
          <w:b/>
          <w:snapToGrid w:val="0"/>
          <w:color w:val="auto"/>
          <w:kern w:val="2"/>
          <w:sz w:val="24"/>
          <w:szCs w:val="24"/>
          <w:highlight w:val="none"/>
          <w:lang w:val="en-US" w:eastAsia="zh-CN" w:bidi="ar-SA"/>
        </w:rPr>
        <w:t xml:space="preserve">  </w:t>
      </w:r>
      <w:r>
        <w:rPr>
          <w:rFonts w:hint="eastAsia" w:ascii="Times New Roman" w:hAnsi="Times New Roman" w:eastAsia="宋体" w:cs="Times New Roman"/>
          <w:b/>
          <w:snapToGrid w:val="0"/>
          <w:color w:val="auto"/>
          <w:kern w:val="2"/>
          <w:sz w:val="24"/>
          <w:szCs w:val="24"/>
          <w:highlight w:val="none"/>
          <w:lang w:val="en-US" w:eastAsia="zh-CN" w:bidi="ar-SA"/>
        </w:rPr>
        <w:t>土壤监测点位</w:t>
      </w:r>
      <w:r>
        <w:rPr>
          <w:rFonts w:hint="default" w:ascii="Times New Roman" w:hAnsi="Times New Roman" w:eastAsia="宋体" w:cs="Times New Roman"/>
          <w:b/>
          <w:snapToGrid w:val="0"/>
          <w:color w:val="auto"/>
          <w:kern w:val="2"/>
          <w:sz w:val="24"/>
          <w:szCs w:val="24"/>
          <w:highlight w:val="none"/>
          <w:lang w:val="en-US" w:eastAsia="zh-CN" w:bidi="ar-SA"/>
        </w:rPr>
        <w:t>图</w:t>
      </w:r>
    </w:p>
    <w:p w14:paraId="1DDCCBDA">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jc w:val="left"/>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6</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2.7</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 xml:space="preserve"> </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环境风险管理</w:t>
      </w:r>
    </w:p>
    <w:p w14:paraId="17586AE8">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eastAsia"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6.2.7.1环境风险防范措施</w:t>
      </w:r>
    </w:p>
    <w:p w14:paraId="74A68A8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为使环境风险减小到最低限度，必须加强劳动安全卫生管理，制定完善、有效的安全防范措施，尽可能降低本项目环境风险事故发生的概率。</w:t>
      </w:r>
    </w:p>
    <w:p w14:paraId="2779B8A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1、选址和总图布置安全防范措施</w:t>
      </w:r>
    </w:p>
    <w:p w14:paraId="364F550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（1）选址合理性分析</w:t>
      </w:r>
    </w:p>
    <w:p w14:paraId="5275366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rPr>
        <w:t>从用地现状来看，项目所在地为工业用地，</w:t>
      </w:r>
      <w:r>
        <w:rPr>
          <w:rFonts w:hint="eastAsia" w:ascii="Times New Roman" w:hAnsi="Times New Roman" w:cs="Times New Roman"/>
          <w:color w:val="auto"/>
          <w:sz w:val="24"/>
          <w:szCs w:val="24"/>
          <w:highlight w:val="none"/>
          <w:lang w:val="en-US" w:eastAsia="zh-CN"/>
        </w:rPr>
        <w:t>项目符合用地规划。</w:t>
      </w:r>
    </w:p>
    <w:p w14:paraId="2B28294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（2）总图布置</w:t>
      </w:r>
    </w:p>
    <w:p w14:paraId="31049A5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本项目总平面布置严格遵守国家颁布的有关防火和安全等方面规范和规定，综合考虑各建、构筑物的防火间距，安全疏散以及自然条件等方面的问题，在危险源布置方面，充分考虑厂内职工和厂外敏感目标的安全，一旦出现突发性事件时，对人员造成的伤害最小。采取主要贮存区与生产装置区分离设置；在装置区内，控制室与生产设备保持适当距离。</w:t>
      </w:r>
    </w:p>
    <w:p w14:paraId="7FBB3C1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（3）生产区布置</w:t>
      </w:r>
    </w:p>
    <w:p w14:paraId="6663A4B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生产车间遵守防火、防爆等安全规范、标准的规定，建筑物按《建筑防火设计规范》的规定进行设计。厂房内设紧急通道和外面相连，利于事故状态下人员疏散和抢救。厂房内设有安全防护措施，并设置救护箱。工作人员配备必要的个人防护用品。</w:t>
      </w:r>
    </w:p>
    <w:p w14:paraId="4D0E356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2、对主要危害因素的防范原则</w:t>
      </w:r>
    </w:p>
    <w:p w14:paraId="0A69CC6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（1）选择先进的工艺及设备，消除或减少有害源；</w:t>
      </w:r>
    </w:p>
    <w:p w14:paraId="7040295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（2）采取自动报警等预防性措施；</w:t>
      </w:r>
    </w:p>
    <w:p w14:paraId="5BC9CCA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（3）采取遥控及隔离等措施防止危害蔓延；</w:t>
      </w:r>
    </w:p>
    <w:p w14:paraId="4F30448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（4）配备必要的救护、消防设施，以减少伤害；</w:t>
      </w:r>
    </w:p>
    <w:p w14:paraId="04DD09A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（5）提高机械化自动化水平，改善劳动条件；</w:t>
      </w:r>
    </w:p>
    <w:p w14:paraId="7ED66D6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（6）科学合理地进行平面布置，避免或减少危害的发生。</w:t>
      </w:r>
    </w:p>
    <w:p w14:paraId="2C900D0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（7）凡易发生事故或危及生命安全的场所和设备，以及需要提醒操作人员注意的地点，均设置安全标志；凡需要迅速发现并引起注意以防止发生事故的场所、部位均涂安全色。</w:t>
      </w:r>
    </w:p>
    <w:p w14:paraId="6B559EE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color w:val="FF0000"/>
          <w:highlight w:val="none"/>
        </w:rPr>
      </w:pPr>
      <w:r>
        <w:rPr>
          <w:rFonts w:hint="eastAsia" w:ascii="Times New Roman" w:hAnsi="Times New Roman" w:cs="Times New Roman"/>
          <w:color w:val="auto"/>
          <w:sz w:val="24"/>
          <w:szCs w:val="24"/>
          <w:highlight w:val="none"/>
          <w:lang w:val="en-US" w:eastAsia="zh-CN"/>
        </w:rPr>
        <w:t>（8）有毒有害物质防护原则：采用密闭装置，合理选用法兰和垫片，定期检修，防止跑冒、滴、漏；检修时，应选用长管式防毒面具或送风式防毒面具，并做好现场监护工作；输送设备及管道严格按压力容器和压力管道的有关规定进行设计、施工。定期检修，防止跑冒、滴、漏在装置必要部位设置消防沙箱、泡沫喷洒设施等，以备急需时启用。</w:t>
      </w:r>
    </w:p>
    <w:p w14:paraId="6151C26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3、工艺技术设计安全防范措施</w:t>
      </w:r>
    </w:p>
    <w:p w14:paraId="6F788ED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采用的工艺技术成熟、先进、可靠和环境友好。装置设计考虑必要的裕度及操作弹性，以适应加工负荷上下波动的需要。采用先进的设备技术提高装置的安全生产水平，使得装置在适应性、可操作性和长周期运转等方面均达到较高水平。对生产过程中的重要参数均有超限报警系统，自调系统在紧急状态下均应可以手动操作。</w:t>
      </w:r>
    </w:p>
    <w:p w14:paraId="1E1F4ED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设备选型中选择质量好，信誉高，并通过ISO9000质量认证的企业的产品，严把质量关。设备到货后，要按照有关规程进行严格的检查验收，确系合格产品后方可使用。设备安装施工必须委托持有相应资格证书的单位进行施工。设备安装完毕后，应按照有关规程进行验收。验收合格后方可进行下一道工序。对设备管道及附件要定期进行维护、检修，努力消除生产中的跑、冒、滴、漏，使他们始终处于完好状态，做到安全运行。</w:t>
      </w:r>
    </w:p>
    <w:p w14:paraId="2757F7A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加工、储存、输送的设备、容器、管道采取安全设计，各项设备、管线等慎选最适当的材质及型式，采取防火、防爆措施，对危险物质或污染物采取防泄漏、溢出措施。加强生产过程中设备与管道系统的管理与维修，使生产系统始终处于密闭状态，严格防止跑、冒、滴、漏现象的发生。</w:t>
      </w:r>
    </w:p>
    <w:p w14:paraId="4CE6E36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设置必要的报警设施。在装置内设相应气体的检测报警仪表，在容易累积有毒气体的场所，按照有关规范的要求设置有毒气体浓度报警器。</w:t>
      </w:r>
    </w:p>
    <w:p w14:paraId="1495F9C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设置中心控制室，对全流程工艺设备监控。系统集仪控电控于一体。所有工艺过程在控制室进行监控，对生产中的一般工艺和设备状态参数设置必要的联锁回路。</w:t>
      </w:r>
    </w:p>
    <w:p w14:paraId="694D056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装置内的传动设备，要设置防护设施，在必要的地方设有平台，围栏和护栏等。</w:t>
      </w:r>
    </w:p>
    <w:p w14:paraId="410F236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4、大气污染物非正常排放风险防范措施</w:t>
      </w:r>
    </w:p>
    <w:p w14:paraId="6FE0F09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本项目大气污染物非正常排放主要指废气处理系统发生故障，导致废气排入大气环境中，对大气环境和土壤造成污染，废气中含有的有毒有害气体对人体健康和生态环境有严重危害，一旦发生故障，废气处理效率降低，就可能会导致预处理废气的超标排放，直接危害到项目周边的环境和人群健康。因此，为了减少大气污染物非正常排放的环境风险，企业应采取相应的风险防范措施和应急处理措施。</w:t>
      </w:r>
    </w:p>
    <w:p w14:paraId="760F07B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（1）制定科学的工作程序和管理制度，安排专人定期对废气污染产生设备和废气收集和净化设施进行巡查，及时发现隐患及时解决。</w:t>
      </w:r>
    </w:p>
    <w:p w14:paraId="145BFA5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（2）定期设备维护和检修，妥善有效地处理隐患，做好安全维护和设备维修记录；</w:t>
      </w:r>
    </w:p>
    <w:p w14:paraId="476A8EA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color w:val="FF0000"/>
          <w:szCs w:val="28"/>
          <w:highlight w:val="none"/>
        </w:rPr>
      </w:pPr>
      <w:r>
        <w:rPr>
          <w:rFonts w:hint="eastAsia" w:ascii="Times New Roman" w:hAnsi="Times New Roman" w:cs="Times New Roman"/>
          <w:color w:val="auto"/>
          <w:sz w:val="24"/>
          <w:szCs w:val="24"/>
          <w:highlight w:val="none"/>
          <w:lang w:val="en-US" w:eastAsia="zh-CN"/>
        </w:rPr>
        <w:t>（3）制定废气净化设施故障的应急预案，若发生故障应按照应急预案内容进行科学合理的应对措施</w:t>
      </w:r>
      <w:r>
        <w:rPr>
          <w:rFonts w:hint="eastAsia"/>
          <w:color w:val="auto"/>
          <w:szCs w:val="28"/>
          <w:highlight w:val="none"/>
        </w:rPr>
        <w:t>。</w:t>
      </w:r>
    </w:p>
    <w:p w14:paraId="48C4B63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5、土壤、地下水污染风险防范措施</w:t>
      </w:r>
    </w:p>
    <w:p w14:paraId="2180A63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本项目排放的污染物进入土壤、地下水环境的途径主要为化学品和危险废物包装破损、污水管网破损、车间地面防渗措施破损等情况，导致风险物质泄漏，进入地下水和土壤，污染环境。因此，土壤、地下水防范措施主要有：</w:t>
      </w:r>
    </w:p>
    <w:p w14:paraId="50CFB10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（1）定期检查、维护原料储存区和危险废物暂存区包装，确保密闭贮存，避免发生泄漏。</w:t>
      </w:r>
    </w:p>
    <w:p w14:paraId="30A61FB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（2）定期检查污水管线及其连接处，避免发生泄漏等现象，维护各工序正常运转，避免发生泄漏。</w:t>
      </w:r>
    </w:p>
    <w:p w14:paraId="142B498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（3）定期检查生产车间、原料和危险废物贮存区地面防渗情况，围堰等事故收集设施运行情况，如果发现防渗层破裂或事故收集设施损坏及时汇报修复。</w:t>
      </w:r>
    </w:p>
    <w:p w14:paraId="4FF43B3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6、危险废物贮存过程风险防范措施</w:t>
      </w:r>
    </w:p>
    <w:p w14:paraId="1B216FC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本项目危险废物存放于密闭容器及专用包装袋中，暂存于危险废物贮存库，泄漏是本项目环境风险的主要事故源。</w:t>
      </w:r>
    </w:p>
    <w:p w14:paraId="5AF4858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（1）危险废物贮存库严格按照《危险废物贮存污染控制标准》（GB18597-2023）《危险废物收集 贮存 运输技术规范》（HJ2025-2012）等相关要求进行建设。</w:t>
      </w:r>
    </w:p>
    <w:p w14:paraId="400AF70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（2）危险废物贮存库地面进行防渗处理，基础防渗，采用防渗混凝土硬化，在此基础上铺设2mm防腐环氧地坪防渗，使其防渗系数不大于1.0×10</w:t>
      </w:r>
      <w:r>
        <w:rPr>
          <w:rFonts w:hint="eastAsia" w:ascii="Times New Roman" w:hAnsi="Times New Roman" w:cs="Times New Roman"/>
          <w:color w:val="auto"/>
          <w:sz w:val="24"/>
          <w:szCs w:val="24"/>
          <w:highlight w:val="none"/>
          <w:vertAlign w:val="superscript"/>
          <w:lang w:val="en-US" w:eastAsia="zh-CN"/>
        </w:rPr>
        <w:t>-10</w:t>
      </w:r>
      <w:r>
        <w:rPr>
          <w:rFonts w:hint="eastAsia" w:ascii="Times New Roman" w:hAnsi="Times New Roman" w:cs="Times New Roman"/>
          <w:color w:val="auto"/>
          <w:sz w:val="24"/>
          <w:szCs w:val="24"/>
          <w:highlight w:val="none"/>
          <w:lang w:val="en-US" w:eastAsia="zh-CN"/>
        </w:rPr>
        <w:t>cm/s，同时在门口设置10~15cm高围堰及反斜坡设计，周围设置导流渠及集液池，防止贮存区内液体泄漏外溢。导流渠、集液池均按照GB18597中防渗要求建设。</w:t>
      </w:r>
    </w:p>
    <w:p w14:paraId="75FD6DA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（3）严格按照相关设计规范和要求落实防护设施，制定安全操作规章制度，加强安全意识教育，加强监督管理，消除事故隐患。加强作业时巡视检查。建立系统规范的评估、审批、作业、监护、救援。</w:t>
      </w:r>
    </w:p>
    <w:p w14:paraId="50AAD43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（4）贮存设施需通过消防、安全验收，严格防火，设立明显的禁火和禁烟标志，设置灭火器等消防器材，同时配备必要的个人防护用品。安装防爆的电气照明设备。</w:t>
      </w:r>
    </w:p>
    <w:p w14:paraId="3B287C6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（5）危险废物应包装完好无损，分类存放，禁止混合存放。易燃物与毒害物应分隔储存，根据需求设置不同的消防措施。配备多余置换桶，以防液体危险物质发生泄漏时可以安全转移。</w:t>
      </w:r>
    </w:p>
    <w:p w14:paraId="074526B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（6）尽量减少危险废物的储存量，加强流通，以降低事故发生的强度，减少事故排放源强。</w:t>
      </w:r>
    </w:p>
    <w:p w14:paraId="46C64C9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（7）泄漏事故应急对策</w:t>
      </w:r>
    </w:p>
    <w:p w14:paraId="6C7AC4C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①泄漏应对总体原则</w:t>
      </w:r>
    </w:p>
    <w:p w14:paraId="75234EC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泄漏实行封堵优先原则。即发生事故时第一时间控制泄漏源，减少泄漏量。覆盖、收集优先原则。即尽可能控制泄漏污染范围，减少受污面积。</w:t>
      </w:r>
    </w:p>
    <w:p w14:paraId="695F35E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②少量泄漏应急对策</w:t>
      </w:r>
    </w:p>
    <w:p w14:paraId="4B3465A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事故状态下危险废物储存过程中若出现破损泄漏，泄漏量较少时，用砂土、蛭石或其他惰性材料吸附，砂土等吸附材料收集后作为危废处理。</w:t>
      </w:r>
    </w:p>
    <w:p w14:paraId="17D66E3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③大量泄漏应急对策</w:t>
      </w:r>
    </w:p>
    <w:p w14:paraId="7A9AD68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事故状态下危险废物发生大量泄漏时，可收容在围堰以及地下防渗集液池内，用泡沫覆盖，降低蒸气灾害，用防爆泵转移至新包装容器内，暂存于危险废物贮存库。</w:t>
      </w:r>
    </w:p>
    <w:p w14:paraId="1056F97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7、风险应急物资</w:t>
      </w:r>
    </w:p>
    <w:p w14:paraId="01B2747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项目建成后，应按照要求配备足够数量的应急物资和防护用品，如灭火器、消防沙、吸油毡、安全帽、防毒面具、急救箱等物资。</w:t>
      </w:r>
    </w:p>
    <w:p w14:paraId="1C52336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8、建立环境风险监测系统</w:t>
      </w:r>
    </w:p>
    <w:p w14:paraId="3A870CA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color w:val="auto"/>
          <w:sz w:val="24"/>
          <w:szCs w:val="24"/>
          <w:highlight w:val="none"/>
        </w:rPr>
      </w:pPr>
      <w:r>
        <w:rPr>
          <w:rFonts w:hint="eastAsia" w:ascii="Times New Roman" w:hAnsi="Times New Roman" w:cs="Times New Roman"/>
          <w:color w:val="auto"/>
          <w:sz w:val="24"/>
          <w:szCs w:val="24"/>
          <w:highlight w:val="none"/>
          <w:lang w:val="en-US" w:eastAsia="zh-CN"/>
        </w:rPr>
        <w:t>本项目风险事故监测系统主要依赖于当地环境监测站或者第三方监测机构，监测内容包括常规监测和应急监测。常规监测包括大气监测和水质监测，在常规监测项目中，已包含本工程的常规污染因子，在事故发生后，要对全厂的事故污染物进行监测</w:t>
      </w:r>
      <w:r>
        <w:rPr>
          <w:rFonts w:hint="eastAsia"/>
          <w:color w:val="auto"/>
          <w:sz w:val="24"/>
          <w:szCs w:val="24"/>
          <w:highlight w:val="none"/>
        </w:rPr>
        <w:t>。</w:t>
      </w:r>
    </w:p>
    <w:p w14:paraId="466BC36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9、突发环境事件隐患排查</w:t>
      </w:r>
    </w:p>
    <w:p w14:paraId="5352572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从环境应急管理和突发环境事件风险防控措施两大方面排查可能直接导致或次生突发环境事件的隐患。</w:t>
      </w:r>
    </w:p>
    <w:p w14:paraId="6E8E8C7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根据排查频次、排查规模、排查项目不同，排查可分为综合排查、日常排查、专项排查及抽查等方式。综合排查是指企业以厂区为单位开展全面排查，本项目应不少于一年一次。日常排查是指以班组、工段、车间为单位，组织对单个或几个项目采取日常的、巡视性的排查工作，本项目应不少于一月一次。专项排查是在特定时间或对特定区域、设备、措施进行的专门性排查，本项目根据生产周期对贮存库、危险废物贮存库等风险源开展专项排查。</w:t>
      </w:r>
    </w:p>
    <w:p w14:paraId="59763DA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10、突发环境事件应急管理</w:t>
      </w:r>
    </w:p>
    <w:p w14:paraId="34B3214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按照《突发环境事件应急管理办法》（部令第34号，2015）开展突发环境事件风险控制、应急准备、应急处置、事后恢复等工作。</w:t>
      </w:r>
    </w:p>
    <w:p w14:paraId="7C81F58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（1）风险控制</w:t>
      </w:r>
    </w:p>
    <w:p w14:paraId="6A09A77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按照国务院生态环境主管部门的有关规定开展突发环境事件风险评估，确定环境风险防范和环境安全隐患排查治理措施。</w:t>
      </w:r>
    </w:p>
    <w:p w14:paraId="1B7C167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按照生态环境主管部门的有关要求和技术规范，完善突发环境事件风险防控措施。包括有效防止泄漏物质、消防水、污染雨水等扩散至外环境的收集、导流、拦截、降污等措施。</w:t>
      </w:r>
    </w:p>
    <w:p w14:paraId="5ED6B4A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建立健全环境安全隐患排查治理制度，建立隐患排查治理档案，及时发现并消除环境安全隐患。对于发现后能够立即治理的环境安全隐患，立即采取措施，消除环境安全隐患。对于情况复杂、短期内难以完成治理，可能产生较大环境危害的环境安全隐患，制定隐患治理方案，落实整改措施、责任、资金、时限和现场应急预案，及时消除隐患。</w:t>
      </w:r>
    </w:p>
    <w:p w14:paraId="719DE09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（2）应急准备</w:t>
      </w:r>
    </w:p>
    <w:p w14:paraId="0392A10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按照国务院生态环境主管部门的规定，在开展突发环境事件风险评估和应急资源调查的基础上制定突发环境事件应急预案，报生态环境主管部门备案。</w:t>
      </w:r>
    </w:p>
    <w:p w14:paraId="415AB2C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定期开展应急演练，撰写演练评估报告，分析存在问题，并根据演练情况及时修改完善应急预案。</w:t>
      </w:r>
    </w:p>
    <w:p w14:paraId="471A6BD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将突发环境事件应急培训纳入单位工作计划，对员工定期进行突发环境事件应急知识和技能培训，并建立培训档案，如实记录培训的时间、内容、参加人员等信息。</w:t>
      </w:r>
    </w:p>
    <w:p w14:paraId="2673474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储备必要的环境应急装备和物资，并建立、完善相关管理制度，加强环境应急处置救援能力建设。</w:t>
      </w:r>
    </w:p>
    <w:p w14:paraId="2967ADA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（3）应急处置</w:t>
      </w:r>
    </w:p>
    <w:p w14:paraId="3D5C6C7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发生或者可能发生突发环境事件时，立即启动突发环境事件应急预案，采取切断或者控制污染源以及其他防止危害扩大的必要措施，及时通报可能受到危害的单位和居民，并向事发地县级以上生态环境主管部门报告，接受调查处理。应急处置期间，服从统一指挥，全面、准确地提供本单位与应急处置相关的技术资料，协助维护应急现场秩序，保护与突发环境事件相关的各项证据。</w:t>
      </w:r>
    </w:p>
    <w:p w14:paraId="2C434B6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（4）信息公开</w:t>
      </w:r>
    </w:p>
    <w:p w14:paraId="15F0E10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按照有关规定，采取便于公众知晓和查询的方式公开本单位环境风险防范工作开展情况、突发环境事件应急预案及演练情况、突发环境事件发生及处置情况，以及落实整改要求情况等环境信息。</w:t>
      </w:r>
    </w:p>
    <w:p w14:paraId="54172649">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eastAsia"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6.2.7.2环境风险应急预案</w:t>
      </w:r>
    </w:p>
    <w:p w14:paraId="5061459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建设单位应按照《建设项目环境风险评价技术导则》（HJ169-2018）《突发环境事件应急预案管理暂行办法》（环发〔2010〕113号）《关于进一步加强环境影响评价管理防范环境风险的通知》（环发〔2012〕77号）《企业事业单位突发环境事件应急预案备案管理办法（试行）》（环发〔2015〕4号）等要求，制定突发环境事件应急预案。制定的突发环境事件应急预案应向哈尔滨市五常生态环境局备案，并定期组织开展培训和演练。应急预案应与哈尔滨市、五常、</w:t>
      </w:r>
      <w:r>
        <w:rPr>
          <w:rFonts w:hint="eastAsia" w:ascii="Times New Roman" w:hAnsi="Times New Roman" w:eastAsia="宋体" w:cs="Times New Roman"/>
          <w:color w:val="auto"/>
          <w:spacing w:val="0"/>
          <w:position w:val="0"/>
          <w:sz w:val="24"/>
          <w:szCs w:val="24"/>
          <w:lang w:val="en-US" w:eastAsia="zh-CN"/>
        </w:rPr>
        <w:t>黑龙江五常经济开发区</w:t>
      </w:r>
      <w:r>
        <w:rPr>
          <w:rFonts w:hint="eastAsia" w:ascii="Times New Roman" w:hAnsi="Times New Roman" w:cs="Times New Roman"/>
          <w:color w:val="auto"/>
          <w:sz w:val="24"/>
          <w:szCs w:val="24"/>
          <w:highlight w:val="none"/>
          <w:lang w:val="en-US" w:eastAsia="zh-CN"/>
        </w:rPr>
        <w:t>突发环境事故应急预案相衔接，形成分级响应和区域联动。</w:t>
      </w:r>
    </w:p>
    <w:p w14:paraId="3CA11A0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本次评价要求在本项目建成后，编制应急预案。应急预案包括以下内容，具体详见表6.2-6。</w:t>
      </w:r>
    </w:p>
    <w:p w14:paraId="66068714">
      <w:pPr>
        <w:pStyle w:val="44"/>
        <w:bidi w:val="0"/>
        <w:rPr>
          <w:color w:val="auto"/>
          <w:highlight w:val="none"/>
        </w:rPr>
      </w:pPr>
      <w:r>
        <w:rPr>
          <w:rFonts w:hint="eastAsia"/>
          <w:color w:val="auto"/>
          <w:highlight w:val="none"/>
        </w:rPr>
        <w:t>表</w:t>
      </w:r>
      <w:r>
        <w:rPr>
          <w:rFonts w:hint="eastAsia"/>
          <w:color w:val="auto"/>
          <w:highlight w:val="none"/>
          <w:lang w:val="en-US" w:eastAsia="zh-CN"/>
        </w:rPr>
        <w:t>6.2-6</w:t>
      </w:r>
      <w:r>
        <w:rPr>
          <w:rFonts w:hint="eastAsia"/>
          <w:color w:val="auto"/>
          <w:highlight w:val="none"/>
        </w:rPr>
        <w:t xml:space="preserve">  企业环境风险应急预案内容一览表</w:t>
      </w:r>
    </w:p>
    <w:tbl>
      <w:tblPr>
        <w:tblStyle w:val="41"/>
        <w:tblW w:w="5000" w:type="pct"/>
        <w:tblInd w:w="0" w:type="dxa"/>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02"/>
        <w:gridCol w:w="1142"/>
        <w:gridCol w:w="7628"/>
      </w:tblGrid>
      <w:tr w14:paraId="5C881F65">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67" w:type="pct"/>
            <w:tcBorders>
              <w:left w:val="nil"/>
            </w:tcBorders>
            <w:vAlign w:val="center"/>
          </w:tcPr>
          <w:p w14:paraId="63F9E2C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629" w:type="pct"/>
            <w:vAlign w:val="center"/>
          </w:tcPr>
          <w:p w14:paraId="14C0964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p>
        </w:tc>
        <w:tc>
          <w:tcPr>
            <w:tcW w:w="4203" w:type="pct"/>
            <w:tcBorders>
              <w:right w:val="nil"/>
            </w:tcBorders>
            <w:vAlign w:val="center"/>
          </w:tcPr>
          <w:p w14:paraId="4C28373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主要内容</w:t>
            </w:r>
          </w:p>
        </w:tc>
      </w:tr>
      <w:tr w14:paraId="2296EB7E">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67" w:type="pct"/>
            <w:tcBorders>
              <w:left w:val="nil"/>
            </w:tcBorders>
            <w:vAlign w:val="center"/>
          </w:tcPr>
          <w:p w14:paraId="206C331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629" w:type="pct"/>
            <w:vAlign w:val="center"/>
          </w:tcPr>
          <w:p w14:paraId="0593A52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应急计划区</w:t>
            </w:r>
          </w:p>
        </w:tc>
        <w:tc>
          <w:tcPr>
            <w:tcW w:w="4203" w:type="pct"/>
            <w:tcBorders>
              <w:right w:val="nil"/>
            </w:tcBorders>
            <w:vAlign w:val="center"/>
          </w:tcPr>
          <w:p w14:paraId="48B504A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明确主要危险源、明确环境保护目标：附近企业和居民点等敏感目标</w:t>
            </w:r>
          </w:p>
        </w:tc>
      </w:tr>
      <w:tr w14:paraId="313F93F3">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67" w:type="pct"/>
            <w:tcBorders>
              <w:left w:val="nil"/>
            </w:tcBorders>
            <w:vAlign w:val="center"/>
          </w:tcPr>
          <w:p w14:paraId="79D31AD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629" w:type="pct"/>
            <w:vAlign w:val="center"/>
          </w:tcPr>
          <w:p w14:paraId="5186CC90">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应急组织结构</w:t>
            </w:r>
          </w:p>
        </w:tc>
        <w:tc>
          <w:tcPr>
            <w:tcW w:w="4203" w:type="pct"/>
            <w:tcBorders>
              <w:right w:val="nil"/>
            </w:tcBorders>
            <w:vAlign w:val="center"/>
          </w:tcPr>
          <w:p w14:paraId="7D0BED1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实施三级应急组织机构（车间班组、公司级、社会联动级），各级别主要负责人为应急计划、协调第一人，应急人员必须为培训上岗熟练工；区域应急组织结构由当地政府、相关行业专家、卫生安全相关单位组成，并由当地政府进行统一调度。</w:t>
            </w:r>
          </w:p>
        </w:tc>
      </w:tr>
      <w:tr w14:paraId="38E521C5">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67" w:type="pct"/>
            <w:tcBorders>
              <w:left w:val="nil"/>
            </w:tcBorders>
            <w:vAlign w:val="center"/>
          </w:tcPr>
          <w:p w14:paraId="3D38437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629" w:type="pct"/>
            <w:vAlign w:val="center"/>
          </w:tcPr>
          <w:p w14:paraId="7D49303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预案分级响应条件</w:t>
            </w:r>
          </w:p>
        </w:tc>
        <w:tc>
          <w:tcPr>
            <w:tcW w:w="4203" w:type="pct"/>
            <w:tcBorders>
              <w:right w:val="nil"/>
            </w:tcBorders>
            <w:vAlign w:val="center"/>
          </w:tcPr>
          <w:p w14:paraId="0A6E5348">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根据事故的严重程度制定相应级别的应急预案，以及适合相应情况的处理措施。</w:t>
            </w:r>
          </w:p>
        </w:tc>
      </w:tr>
      <w:tr w14:paraId="41BDFFCE">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67" w:type="pct"/>
            <w:tcBorders>
              <w:left w:val="nil"/>
            </w:tcBorders>
            <w:vAlign w:val="center"/>
          </w:tcPr>
          <w:p w14:paraId="7C035AAB">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629" w:type="pct"/>
            <w:vAlign w:val="center"/>
          </w:tcPr>
          <w:p w14:paraId="63552703">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报警、通讯联络方式</w:t>
            </w:r>
          </w:p>
        </w:tc>
        <w:tc>
          <w:tcPr>
            <w:tcW w:w="4203" w:type="pct"/>
            <w:tcBorders>
              <w:right w:val="nil"/>
            </w:tcBorders>
            <w:vAlign w:val="center"/>
          </w:tcPr>
          <w:p w14:paraId="4B86EA38">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公布企业应急状态下各主要负责单位的报警通信方式、地点、电话号码以及相关配套的交通保障、管制、消防联络方法，涉及跨区域的还应与相关区域生态环境部门和上级生态环境部门保持联系，及时通报事故处理情况，以获得区域性支援。</w:t>
            </w:r>
          </w:p>
        </w:tc>
      </w:tr>
      <w:tr w14:paraId="385574D1">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67" w:type="pct"/>
            <w:tcBorders>
              <w:left w:val="nil"/>
            </w:tcBorders>
            <w:vAlign w:val="center"/>
          </w:tcPr>
          <w:p w14:paraId="5A909238">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629" w:type="pct"/>
            <w:vAlign w:val="center"/>
          </w:tcPr>
          <w:p w14:paraId="45EEA95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应急救援保障</w:t>
            </w:r>
          </w:p>
        </w:tc>
        <w:tc>
          <w:tcPr>
            <w:tcW w:w="4203" w:type="pct"/>
            <w:tcBorders>
              <w:right w:val="nil"/>
            </w:tcBorders>
            <w:vAlign w:val="center"/>
          </w:tcPr>
          <w:p w14:paraId="66B1187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应急救援保障包括企业内准备的应急救援</w:t>
            </w:r>
            <w:r>
              <w:rPr>
                <w:rFonts w:hint="default" w:ascii="Times New Roman" w:hAnsi="Times New Roman" w:cs="Times New Roman"/>
                <w:color w:val="auto"/>
                <w:highlight w:val="none"/>
                <w:lang w:eastAsia="zh-CN"/>
              </w:rPr>
              <w:t>物资</w:t>
            </w:r>
            <w:r>
              <w:rPr>
                <w:rFonts w:hint="default" w:ascii="Times New Roman" w:hAnsi="Times New Roman" w:cs="Times New Roman"/>
                <w:color w:val="auto"/>
                <w:highlight w:val="none"/>
              </w:rPr>
              <w:t>和设施，以及与企业风险事故发生后相关其他部门所能提供的救援保障措施。如当地医疗系统所能提供的周围受感染人群治疗的能力等。</w:t>
            </w:r>
          </w:p>
        </w:tc>
      </w:tr>
      <w:tr w14:paraId="09DB41BD">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67" w:type="pct"/>
            <w:vMerge w:val="restart"/>
            <w:tcBorders>
              <w:left w:val="nil"/>
              <w:bottom w:val="nil"/>
            </w:tcBorders>
            <w:vAlign w:val="center"/>
          </w:tcPr>
          <w:p w14:paraId="4BB0213B">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629" w:type="pct"/>
            <w:vAlign w:val="center"/>
          </w:tcPr>
          <w:p w14:paraId="0294C210">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应急环境监测</w:t>
            </w:r>
          </w:p>
        </w:tc>
        <w:tc>
          <w:tcPr>
            <w:tcW w:w="4203" w:type="pct"/>
            <w:tcBorders>
              <w:right w:val="nil"/>
            </w:tcBorders>
            <w:vAlign w:val="center"/>
          </w:tcPr>
          <w:p w14:paraId="581A9300">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设立常年风向标，明确事故信号，组织企业人员配合生态环境部门对事故现场进行侦察监测，对事故性质、参数与后果进行评估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为指挥部门提供决策依据。</w:t>
            </w:r>
          </w:p>
        </w:tc>
      </w:tr>
      <w:tr w14:paraId="5C04BD3C">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67" w:type="pct"/>
            <w:vMerge w:val="continue"/>
            <w:tcBorders>
              <w:top w:val="nil"/>
              <w:left w:val="nil"/>
            </w:tcBorders>
            <w:vAlign w:val="center"/>
          </w:tcPr>
          <w:p w14:paraId="6825586E">
            <w:pPr>
              <w:pStyle w:val="37"/>
              <w:bidi w:val="0"/>
              <w:rPr>
                <w:rFonts w:hint="default" w:ascii="Times New Roman" w:hAnsi="Times New Roman" w:cs="Times New Roman"/>
                <w:color w:val="auto"/>
                <w:highlight w:val="none"/>
              </w:rPr>
            </w:pPr>
          </w:p>
        </w:tc>
        <w:tc>
          <w:tcPr>
            <w:tcW w:w="629" w:type="pct"/>
            <w:vAlign w:val="center"/>
          </w:tcPr>
          <w:p w14:paraId="42E586EA">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抢险、救援控制措施</w:t>
            </w:r>
          </w:p>
        </w:tc>
        <w:tc>
          <w:tcPr>
            <w:tcW w:w="4203" w:type="pct"/>
            <w:tcBorders>
              <w:right w:val="nil"/>
            </w:tcBorders>
            <w:vAlign w:val="center"/>
          </w:tcPr>
          <w:p w14:paraId="7342C3D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严格规定事故多发区、事故现场、邻近区域、控制事故区域设置和清除污染措施及相应设备的数量、使用方法、使用人员。</w:t>
            </w:r>
          </w:p>
        </w:tc>
      </w:tr>
      <w:tr w14:paraId="72810CB3">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67" w:type="pct"/>
            <w:tcBorders>
              <w:left w:val="nil"/>
            </w:tcBorders>
            <w:vAlign w:val="center"/>
          </w:tcPr>
          <w:p w14:paraId="2D932A4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629" w:type="pct"/>
            <w:vAlign w:val="center"/>
          </w:tcPr>
          <w:p w14:paraId="5B60469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人员紧急撤离、疏散计划</w:t>
            </w:r>
          </w:p>
        </w:tc>
        <w:tc>
          <w:tcPr>
            <w:tcW w:w="4203" w:type="pct"/>
            <w:tcBorders>
              <w:right w:val="nil"/>
            </w:tcBorders>
            <w:vAlign w:val="center"/>
          </w:tcPr>
          <w:p w14:paraId="6152BBB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事故现场、邻近</w:t>
            </w:r>
            <w:r>
              <w:rPr>
                <w:rFonts w:hint="default" w:ascii="Times New Roman" w:hAnsi="Times New Roman" w:cs="Times New Roman"/>
                <w:color w:val="auto"/>
                <w:highlight w:val="none"/>
                <w:lang w:eastAsia="zh-CN"/>
              </w:rPr>
              <w:t>区域</w:t>
            </w:r>
            <w:r>
              <w:rPr>
                <w:rFonts w:hint="default" w:ascii="Times New Roman" w:hAnsi="Times New Roman" w:cs="Times New Roman"/>
                <w:color w:val="auto"/>
                <w:highlight w:val="none"/>
              </w:rPr>
              <w:t>、受事故影响的区域人员及公众对有毒有害物质应急剂量控制规定，制定紧急撤离组织计划和救护，医疗救护与公众健康。</w:t>
            </w:r>
          </w:p>
        </w:tc>
      </w:tr>
      <w:tr w14:paraId="6EEC6258">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67" w:type="pct"/>
            <w:tcBorders>
              <w:left w:val="nil"/>
            </w:tcBorders>
            <w:vAlign w:val="center"/>
          </w:tcPr>
          <w:p w14:paraId="33DF79F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629" w:type="pct"/>
            <w:vAlign w:val="center"/>
          </w:tcPr>
          <w:p w14:paraId="04FC147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事故应急救援关闭程序事故恢复措施</w:t>
            </w:r>
          </w:p>
        </w:tc>
        <w:tc>
          <w:tcPr>
            <w:tcW w:w="4203" w:type="pct"/>
            <w:tcBorders>
              <w:right w:val="nil"/>
            </w:tcBorders>
            <w:vAlign w:val="center"/>
          </w:tcPr>
          <w:p w14:paraId="2CF1B0A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制定相关应急状态终止程序，事故现场、受影响范围内的善后处理恢复措施，邻近区域解除事故警戒及善后恢复措施。</w:t>
            </w:r>
          </w:p>
          <w:p w14:paraId="1FFE006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制定有关的环境恢复措施（包括生态环境、地表水体），组织专业人员对事故后周围环境和人群健康进行监测和调查，对事故应急措施的环境可行性进行后影响评价。</w:t>
            </w:r>
          </w:p>
        </w:tc>
      </w:tr>
      <w:tr w14:paraId="7C1EC4B4">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67" w:type="pct"/>
            <w:tcBorders>
              <w:left w:val="nil"/>
            </w:tcBorders>
            <w:vAlign w:val="center"/>
          </w:tcPr>
          <w:p w14:paraId="6094CA4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629" w:type="pct"/>
            <w:vAlign w:val="center"/>
          </w:tcPr>
          <w:p w14:paraId="022DBFD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应急培训计划</w:t>
            </w:r>
          </w:p>
        </w:tc>
        <w:tc>
          <w:tcPr>
            <w:tcW w:w="4203" w:type="pct"/>
            <w:tcBorders>
              <w:right w:val="nil"/>
            </w:tcBorders>
            <w:vAlign w:val="center"/>
          </w:tcPr>
          <w:p w14:paraId="776B7118">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定期安排有关人员进行培训与演练。</w:t>
            </w:r>
          </w:p>
        </w:tc>
      </w:tr>
      <w:tr w14:paraId="6AE9232C">
        <w:tblPrEx>
          <w:tblBorders>
            <w:top w:val="single" w:color="auto" w:sz="12" w:space="0"/>
            <w:left w:val="single" w:color="000000" w:sz="2" w:space="0"/>
            <w:bottom w:val="single" w:color="auto"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67" w:type="pct"/>
            <w:tcBorders>
              <w:left w:val="nil"/>
            </w:tcBorders>
            <w:vAlign w:val="center"/>
          </w:tcPr>
          <w:p w14:paraId="4B5D950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629" w:type="pct"/>
            <w:vAlign w:val="center"/>
          </w:tcPr>
          <w:p w14:paraId="53A557A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公众教育和信息</w:t>
            </w:r>
          </w:p>
        </w:tc>
        <w:tc>
          <w:tcPr>
            <w:tcW w:w="4203" w:type="pct"/>
            <w:tcBorders>
              <w:right w:val="nil"/>
            </w:tcBorders>
            <w:vAlign w:val="center"/>
          </w:tcPr>
          <w:p w14:paraId="77A32DC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依据企业自身特点，对企业邻近区域内人群开展公众教育、培训和发布相关信息，提供公众的自身防护能力。</w:t>
            </w:r>
          </w:p>
        </w:tc>
      </w:tr>
    </w:tbl>
    <w:p w14:paraId="5339C61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对于本项目可能造成环境风险的突发性事故，应制定相应的事故应急预案，有针对性地提出突发事件情况下的应急措施并进行相应的演习。事故应急救援预案由外部预案和内部预案两级构成。</w:t>
      </w:r>
    </w:p>
    <w:p w14:paraId="2127F25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1、外部预案</w:t>
      </w:r>
    </w:p>
    <w:p w14:paraId="7FFD36F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外部预案，由当地政府制定，对所辖区域内危险特点和危险性高的企业、公共场所、要害设施都应制定事故应急救援预案。外部预案与内部预案相互补充，特别是中小型企业内部应急救援能力不足更需要外部应急救助。</w:t>
      </w:r>
    </w:p>
    <w:p w14:paraId="512E06D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外部预案内容包括：</w:t>
      </w:r>
    </w:p>
    <w:p w14:paraId="70EB6D0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①组织系统。指挥机构、应急协调人（姓名、电话）、应急控制中心、报警系统、应急救援程序等。</w:t>
      </w:r>
    </w:p>
    <w:p w14:paraId="7D11CC0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②应急通讯。通讯中心、求救信号、电话或呼叫通讯网、求救组织系统等。</w:t>
      </w:r>
    </w:p>
    <w:p w14:paraId="33E280F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③专业救援设施。救火车、救护车、提升设备、推土机等。</w:t>
      </w:r>
    </w:p>
    <w:p w14:paraId="6CA7B9A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④专业和志愿救援组织。专业救援组织为消防队、志愿救援组织为义务消防员或相关经培训人员。</w:t>
      </w:r>
    </w:p>
    <w:p w14:paraId="67941EE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⑤救援中心。提供事故救援、危险物质信息库、事故技术咨询等。</w:t>
      </w:r>
    </w:p>
    <w:p w14:paraId="1EF699A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⑥气象与地理信息。收集事故当日的气候条件、天气预报、水文和地理资料等。</w:t>
      </w:r>
    </w:p>
    <w:p w14:paraId="1C0395B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⑦预案评审。收集同类事故、救援训练和演习、检查和评价预案落实状况、检查本地区外部预案与内部预案的接口、调整外部预案等。</w:t>
      </w:r>
    </w:p>
    <w:p w14:paraId="1887409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2、与其他单位应急预案的联络和联动</w:t>
      </w:r>
    </w:p>
    <w:p w14:paraId="2F24A0A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根据应急类型、发生时间和严重程度，向五常市黑龙江五常经济开发区通报事故情况，及时启动与五常市及黑龙江五常经济开发区应急预案的联动。</w:t>
      </w:r>
    </w:p>
    <w:p w14:paraId="6FA0A09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3、内部预案</w:t>
      </w:r>
    </w:p>
    <w:p w14:paraId="7BF72B6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本项目设置环境风险应急体系，为了降低或避免突发环境事件发生时所造成的损失，确保有组织、有计划、快速地应对突发环境事件，及时地进行抢险和救援工作，根据实际情况设立了应急指挥中心、通讯联络组、工程抢险组、污染监测组、警戒疏散组、医疗救护组、后勤保障组和善后处理组共8个应急小组。</w:t>
      </w:r>
    </w:p>
    <w:p w14:paraId="6B54A34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（1）各应急小组职责</w:t>
      </w:r>
    </w:p>
    <w:p w14:paraId="3B04DDD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①应急指挥中心</w:t>
      </w:r>
    </w:p>
    <w:p w14:paraId="69F7B7B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a.贯彻国家、当地政府、上级有关部门关于环境安全的方针、政策和规定；</w:t>
      </w:r>
    </w:p>
    <w:p w14:paraId="33C4950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b.决定和宣布启动应急预案，负责组建各应急小组；</w:t>
      </w:r>
    </w:p>
    <w:p w14:paraId="5D8E753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c.负责突发环境事件的应急决策和部署，负责指挥、协调应急准备、应急响应、应急救援和决定应急结束等工作；</w:t>
      </w:r>
    </w:p>
    <w:p w14:paraId="141E10B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d.负责统一调配施救人员、物资、器材和设备设施等有效资源；</w:t>
      </w:r>
    </w:p>
    <w:p w14:paraId="5A672EB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e.接受上级应急救援指挥机构的指令和调动，协助突发环境事件的处理；</w:t>
      </w:r>
    </w:p>
    <w:p w14:paraId="0B9C325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f.配合政府及上级有关部门对环境进行修复、事件调查、经验教训总结。</w:t>
      </w:r>
    </w:p>
    <w:p w14:paraId="4C23B5D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②通讯联络组</w:t>
      </w:r>
    </w:p>
    <w:p w14:paraId="6B2DB57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a.听从应急指挥中心的调动，加强通信设施的日常检测和维修，保证现场救援通讯的畅通，负责应急救援整个联络工作；</w:t>
      </w:r>
    </w:p>
    <w:p w14:paraId="43BF909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b.保证所传达的应急事故信息的真实性和实效性。</w:t>
      </w:r>
    </w:p>
    <w:p w14:paraId="4B51453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③工程抢险组</w:t>
      </w:r>
    </w:p>
    <w:p w14:paraId="1CE7DDF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加强日常抢险技能和个人防护的训练，事故发生时负责被困人员的紧急救援、疏散；被困物资的抢救，抢修人员防护用品的使用；抢险、抢修人员的自身安全；灾情中生产设备运行方式的审查；保证设备运行的安全性和可靠性；抢修抢险工作中的技术支持；确保应急物资的质量和数量，为应急抢险提供物资保障。</w:t>
      </w:r>
    </w:p>
    <w:p w14:paraId="0B6CC36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④污染监测组</w:t>
      </w:r>
    </w:p>
    <w:p w14:paraId="0DA2943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听从应急指挥中心的调度，配合专业环境监测技术人员和政府相关人员，对事故现场的环境进行监测分析，并将监测结果提供给警戒疏散组，协助警戒线的设置和疏散场所的调整。同时记录和向上级汇报事故周边环境状况，做好突发环境事件结束后的环境修复和防护工作，以防止次生环境事件的发生。</w:t>
      </w:r>
    </w:p>
    <w:p w14:paraId="0AEA68D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⑤警戒疏散组</w:t>
      </w:r>
    </w:p>
    <w:p w14:paraId="255900D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a.听从应急指挥中心的调动，维持现场救援秩序，设置警戒线划分事故现场的隔离区域和疏散区域，使用警戒带设置警戒区（点）、布置岗哨、巡逻检查；</w:t>
      </w:r>
    </w:p>
    <w:p w14:paraId="686B163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b.保障应急救援车辆的运输通道畅通，确保应急救援工作的顺利进行；</w:t>
      </w:r>
    </w:p>
    <w:p w14:paraId="65448B4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c.根据设置的隔离区域和疏散区域对事故现场人员和企业单位人员进行防护、疏散、疏导和撤离。</w:t>
      </w:r>
    </w:p>
    <w:p w14:paraId="661D0E9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⑥医疗救护组</w:t>
      </w:r>
    </w:p>
    <w:p w14:paraId="3F87958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a.听从应急指挥中心的调度，负责对受伤人员进行现场急救、护理和初步治疗；</w:t>
      </w:r>
    </w:p>
    <w:p w14:paraId="2A873F7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b.根据事故的严重程度，判断是否需要专业救援队伍增援，与地方医院联系，护送受伤严重人员至医院接受治疗。</w:t>
      </w:r>
    </w:p>
    <w:p w14:paraId="32A33D0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⑦后勤保障组</w:t>
      </w:r>
    </w:p>
    <w:p w14:paraId="61E9D58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a.听从应急指挥中心的调动，负责日常应急物资的管理和配备，保障救援现场应急装备、安全防护品等各类物资的齐全和及时供应；</w:t>
      </w:r>
    </w:p>
    <w:p w14:paraId="1168975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b.负责现场人员的食宿安排和生活用品的供给</w:t>
      </w:r>
    </w:p>
    <w:p w14:paraId="2278D7A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⑧善后处理组</w:t>
      </w:r>
    </w:p>
    <w:p w14:paraId="3F1FC58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a.协助应急指挥中心及污染监测组，做好事故发生后的污染处置工作，以防止其他事故或二次污染的发生；</w:t>
      </w:r>
    </w:p>
    <w:p w14:paraId="1212556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b.对受到惊吓的人员进行安抚，负责受害人员及家属的善后处理和赔偿工作；</w:t>
      </w:r>
    </w:p>
    <w:p w14:paraId="10CA717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c.协助企业财务部门联系保险公司，进行理赔等相关事宜；及时向上一级汇报善后的相关工作并及时编制恢复重建计划。</w:t>
      </w:r>
    </w:p>
    <w:p w14:paraId="3DB94B0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（2）应急保障</w:t>
      </w:r>
    </w:p>
    <w:p w14:paraId="0863947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①内部保障</w:t>
      </w:r>
    </w:p>
    <w:p w14:paraId="2F8DA8F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a.确定应急小组、办公室及应急小组人员专用电话；</w:t>
      </w:r>
    </w:p>
    <w:p w14:paraId="5F1DA28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b.各生产装置和岗位配备防爆应急灯；</w:t>
      </w:r>
    </w:p>
    <w:p w14:paraId="5A6919C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c.配备应急设备、器材、物资等；</w:t>
      </w:r>
    </w:p>
    <w:p w14:paraId="43E3474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d.制定保障制度。</w:t>
      </w:r>
    </w:p>
    <w:p w14:paraId="752F3D7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②外部保障</w:t>
      </w:r>
    </w:p>
    <w:p w14:paraId="3D402D3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a.请求上级或政府协调应急救援力量的方式；</w:t>
      </w:r>
    </w:p>
    <w:p w14:paraId="4652E1A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b.设定应急救援信息咨询单位和咨询电话、咨询网络等。</w:t>
      </w:r>
    </w:p>
    <w:p w14:paraId="1FE0294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（3）应急通讯</w:t>
      </w:r>
    </w:p>
    <w:p w14:paraId="295095B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调度室必须将110、l19、120、调度室应急领导小组成员的手机号码、企业应急领导组织成员手机号码、当地安全监督部门电话号码，明示于管理区显要位置。</w:t>
      </w:r>
    </w:p>
    <w:p w14:paraId="3D322BA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（4）应急环境监测、抢险、救援及控制措施</w:t>
      </w:r>
    </w:p>
    <w:p w14:paraId="580CE81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应急环境监测委托有资质的单位进行监测。应急抢险、救援工作以事故应急救护队为主，必要时配合相关的电力、医疗等部门协同进行。本项目在易发生事故的生产场所设置相应的事故应急照明设施，并建议设置必备的防尘防毒口罩、防护手套、防护服、防毒面具、呼吸器、急救药品与器械等事故应急器具。在工艺设计中重要设备均设置相应的备品、备件或备用系统。主要生产厂房均设置两个以上的安全出口。在通向室外主通道处设事故排风的启动按钮。</w:t>
      </w:r>
    </w:p>
    <w:p w14:paraId="69A7DD2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（5）信息公布与公众教育</w:t>
      </w:r>
    </w:p>
    <w:p w14:paraId="428D93E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①媒体及公众发言人：由应急总负责人担任发言人。</w:t>
      </w:r>
    </w:p>
    <w:p w14:paraId="5605351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②发布事故应急信息的决定方法：由事故应急指挥领导小组视事故严重程度及危害程度及时向媒体和公众发布事故应急信息</w:t>
      </w:r>
    </w:p>
    <w:p w14:paraId="113893A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③公众宣传措施：每年分两次向岗位人员及附近企业、学校、行政单位及消防队通告相关安全知识，使所有相关人员了解其危害性及在事故时如何配合事故处理，掌握疏散方式、方法。</w:t>
      </w:r>
    </w:p>
    <w:p w14:paraId="394049E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（6）培训与演练</w:t>
      </w:r>
    </w:p>
    <w:p w14:paraId="4CB865C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①对应急人员（新入厂工人、辅助及单位人员）就应急预案内容进行培训，使其了解企业生产运行状况，掌握事故处理、抢险及报警、自救等应急知识及技能，做到临危不乱，合理处置、疏散并自救，必须做到所有人员合格上岗。</w:t>
      </w:r>
    </w:p>
    <w:p w14:paraId="4C34770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③培训及演练计划：每年六月份组织全体相关人员进行1次应急预案的培训，以提高救援人员的技术水平和救援队伍的整体能力，以便在事故的救援行动中达到快速、有序、有效的效果。</w:t>
      </w:r>
    </w:p>
    <w:p w14:paraId="1909245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④定期检查：每年模拟事故状态，定时检查应急预案的有效实施性。</w:t>
      </w:r>
    </w:p>
    <w:p w14:paraId="14C3C55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⑤通讯系统检测：对全厂通讯系统应视情况结合生产实际，进行有效检测，保证全厂上下通讯系统的畅通无阻。</w:t>
      </w:r>
    </w:p>
    <w:p w14:paraId="5F7F843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⑥加强对现场人员的培训，提高应急队伍的实战水平。培训前必须制订详细的培训计划，培训后组织考核、验收和评比，以保证培训效果。</w:t>
      </w:r>
    </w:p>
    <w:p w14:paraId="02EB7F4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（7）本项目建设完成后应编制突发环境事件应急预案，最终以应急预案为主。</w:t>
      </w:r>
    </w:p>
    <w:p w14:paraId="56AE2DAC">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6.2.7.3环境风险评价结论与建议</w:t>
      </w:r>
    </w:p>
    <w:p w14:paraId="7473A69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
          <w:color w:val="auto"/>
          <w:sz w:val="24"/>
          <w:szCs w:val="24"/>
        </w:rPr>
      </w:pPr>
      <w:r>
        <w:rPr>
          <w:rFonts w:hint="eastAsia" w:ascii="Times New Roman" w:hAnsi="Times New Roman" w:cs="Times New Roman"/>
          <w:color w:val="auto"/>
          <w:sz w:val="24"/>
          <w:szCs w:val="24"/>
          <w:highlight w:val="none"/>
          <w:lang w:val="en-US" w:eastAsia="zh-CN"/>
        </w:rPr>
        <w:t>建设单位应认真落实环评提出的各项环境风险防范对策措施，生产过程中加强环境风险管控，编制环境风险应急预案，定期进行应急演练。在做好以上各项安全和环境风险防范措施的前提下，项目的环境风险可接受。</w:t>
      </w:r>
    </w:p>
    <w:p w14:paraId="56A8C5F8">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6"/>
          <w:sz w:val="32"/>
          <w:szCs w:val="32"/>
          <w:highlight w:val="none"/>
          <w:lang w:val="en-US" w:eastAsia="zh-CN"/>
        </w:rPr>
      </w:pPr>
      <w:bookmarkStart w:id="69" w:name="_Toc5261"/>
      <w:r>
        <w:rPr>
          <w:rFonts w:hint="default" w:ascii="Times New Roman" w:hAnsi="Times New Roman" w:eastAsia="微软雅黑" w:cs="Times New Roman"/>
          <w:color w:val="auto"/>
          <w:spacing w:val="6"/>
          <w:sz w:val="32"/>
          <w:szCs w:val="32"/>
          <w:highlight w:val="none"/>
          <w:lang w:val="en-US" w:eastAsia="zh-CN"/>
        </w:rPr>
        <w:t>6.3 环保投资</w:t>
      </w:r>
      <w:bookmarkEnd w:id="69"/>
    </w:p>
    <w:p w14:paraId="426761D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60" w:firstLineChars="200"/>
        <w:jc w:val="both"/>
        <w:textAlignment w:val="baseline"/>
        <w:rPr>
          <w:rFonts w:hint="default" w:ascii="Times New Roman" w:hAnsi="Times New Roman" w:eastAsia="宋体" w:cs="Times New Roman"/>
          <w:color w:val="auto"/>
          <w:spacing w:val="-5"/>
          <w:sz w:val="24"/>
          <w:szCs w:val="24"/>
          <w:lang w:val="en-US" w:eastAsia="zh-CN"/>
        </w:rPr>
      </w:pPr>
      <w:r>
        <w:rPr>
          <w:rFonts w:hint="default" w:ascii="Times New Roman" w:hAnsi="Times New Roman" w:eastAsia="宋体" w:cs="Times New Roman"/>
          <w:color w:val="auto"/>
          <w:spacing w:val="-5"/>
          <w:sz w:val="24"/>
          <w:szCs w:val="24"/>
          <w:lang w:val="en-US" w:eastAsia="zh-CN"/>
        </w:rPr>
        <w:t>本项目总投资20000万元，环保投资115万元，项目环保投资包括环保措施和设施的建设费用及相应的运行维护、环境管理与监测等费用，环保投资比例为0.5</w:t>
      </w:r>
      <w:r>
        <w:rPr>
          <w:rFonts w:hint="eastAsia" w:ascii="Times New Roman" w:hAnsi="Times New Roman" w:eastAsia="宋体" w:cs="Times New Roman"/>
          <w:color w:val="auto"/>
          <w:spacing w:val="-5"/>
          <w:sz w:val="24"/>
          <w:szCs w:val="24"/>
          <w:lang w:val="en-US" w:eastAsia="zh-CN"/>
        </w:rPr>
        <w:t>8</w:t>
      </w:r>
      <w:r>
        <w:rPr>
          <w:rFonts w:hint="default" w:ascii="Times New Roman" w:hAnsi="Times New Roman" w:eastAsia="宋体" w:cs="Times New Roman"/>
          <w:color w:val="auto"/>
          <w:spacing w:val="-5"/>
          <w:sz w:val="24"/>
          <w:szCs w:val="24"/>
          <w:lang w:val="en-US" w:eastAsia="zh-CN"/>
        </w:rPr>
        <w:t>%。环保投资估算费用见表6.3-1。</w:t>
      </w:r>
    </w:p>
    <w:p w14:paraId="54DD247C">
      <w:pPr>
        <w:spacing w:line="500" w:lineRule="exact"/>
        <w:ind w:firstLine="0" w:firstLineChars="0"/>
        <w:jc w:val="center"/>
        <w:rPr>
          <w:rFonts w:hint="default" w:ascii="Times New Roman" w:hAnsi="Times New Roman" w:eastAsia="宋体" w:cs="Times New Roman"/>
          <w:color w:val="auto"/>
          <w:spacing w:val="-5"/>
          <w:sz w:val="24"/>
          <w:szCs w:val="24"/>
          <w:lang w:val="en-US" w:eastAsia="zh-CN"/>
        </w:rPr>
      </w:pPr>
      <w:r>
        <w:rPr>
          <w:rFonts w:hint="default" w:ascii="Times New Roman" w:hAnsi="Times New Roman" w:cs="Times New Roman"/>
          <w:b/>
          <w:color w:val="auto"/>
          <w:sz w:val="24"/>
          <w:szCs w:val="24"/>
        </w:rPr>
        <w:t>表</w:t>
      </w:r>
      <w:r>
        <w:rPr>
          <w:rFonts w:hint="default" w:ascii="Times New Roman" w:hAnsi="Times New Roman" w:eastAsia="宋体" w:cs="Times New Roman"/>
          <w:b/>
          <w:color w:val="auto"/>
          <w:sz w:val="24"/>
          <w:szCs w:val="24"/>
          <w:lang w:val="en-US" w:eastAsia="zh-CN"/>
        </w:rPr>
        <w:t>6.3-1</w:t>
      </w:r>
      <w:r>
        <w:rPr>
          <w:rFonts w:hint="default" w:ascii="Times New Roman" w:hAnsi="Times New Roman" w:cs="Times New Roman"/>
          <w:b/>
          <w:color w:val="auto"/>
          <w:sz w:val="24"/>
          <w:szCs w:val="24"/>
        </w:rPr>
        <w:t xml:space="preserve">  环保投资估算费用</w:t>
      </w:r>
    </w:p>
    <w:tbl>
      <w:tblPr>
        <w:tblStyle w:val="41"/>
        <w:tblW w:w="5000" w:type="pct"/>
        <w:tblInd w:w="0" w:type="dxa"/>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Layout w:type="autofit"/>
        <w:tblCellMar>
          <w:top w:w="0" w:type="dxa"/>
          <w:left w:w="0" w:type="dxa"/>
          <w:bottom w:w="0" w:type="dxa"/>
          <w:right w:w="0" w:type="dxa"/>
        </w:tblCellMar>
      </w:tblPr>
      <w:tblGrid>
        <w:gridCol w:w="522"/>
        <w:gridCol w:w="2548"/>
        <w:gridCol w:w="4775"/>
        <w:gridCol w:w="1227"/>
      </w:tblGrid>
      <w:tr w14:paraId="581A4C38">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92" w:type="pct"/>
            <w:gridSpan w:val="2"/>
            <w:tcBorders>
              <w:left w:val="nil"/>
            </w:tcBorders>
            <w:vAlign w:val="center"/>
          </w:tcPr>
          <w:p w14:paraId="432C5A0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p>
        </w:tc>
        <w:tc>
          <w:tcPr>
            <w:tcW w:w="2631" w:type="pct"/>
            <w:vAlign w:val="center"/>
          </w:tcPr>
          <w:p w14:paraId="33FF985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治理措施</w:t>
            </w:r>
          </w:p>
        </w:tc>
        <w:tc>
          <w:tcPr>
            <w:tcW w:w="676" w:type="pct"/>
            <w:tcBorders>
              <w:right w:val="nil"/>
            </w:tcBorders>
            <w:vAlign w:val="center"/>
          </w:tcPr>
          <w:p w14:paraId="3D368344">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投资估算</w:t>
            </w:r>
          </w:p>
        </w:tc>
      </w:tr>
      <w:tr w14:paraId="1C7C304A">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88" w:type="pct"/>
            <w:vMerge w:val="restart"/>
            <w:tcBorders>
              <w:left w:val="nil"/>
            </w:tcBorders>
            <w:vAlign w:val="center"/>
          </w:tcPr>
          <w:p w14:paraId="3A19EF2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tc>
        <w:tc>
          <w:tcPr>
            <w:tcW w:w="1403" w:type="pct"/>
            <w:vAlign w:val="center"/>
          </w:tcPr>
          <w:p w14:paraId="2A6405D0">
            <w:pPr>
              <w:pStyle w:val="37"/>
              <w:bidi w:val="0"/>
              <w:ind w:firstLine="0" w:firstLineChars="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注塑废气</w:t>
            </w:r>
          </w:p>
        </w:tc>
        <w:tc>
          <w:tcPr>
            <w:tcW w:w="2631" w:type="pct"/>
            <w:vAlign w:val="center"/>
          </w:tcPr>
          <w:p w14:paraId="49E8C402">
            <w:pPr>
              <w:pStyle w:val="37"/>
              <w:bidi w:val="0"/>
              <w:ind w:firstLine="0" w:firstLineChars="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集气罩</w:t>
            </w:r>
            <w:r>
              <w:rPr>
                <w:rFonts w:hint="default" w:ascii="Times New Roman" w:hAnsi="Times New Roman" w:cs="Times New Roman"/>
                <w:color w:val="auto"/>
                <w:highlight w:val="none"/>
              </w:rPr>
              <w:t>+</w:t>
            </w:r>
            <w:r>
              <w:rPr>
                <w:rFonts w:hint="default" w:ascii="Times New Roman" w:hAnsi="Times New Roman" w:eastAsia="宋体" w:cs="Times New Roman"/>
                <w:color w:val="auto"/>
                <w:highlight w:val="none"/>
                <w:lang w:val="en-US" w:eastAsia="zh-CN"/>
              </w:rPr>
              <w:t>四级活性炭</w:t>
            </w:r>
            <w:r>
              <w:rPr>
                <w:rFonts w:hint="default" w:ascii="Times New Roman" w:hAnsi="Times New Roman" w:cs="Times New Roman"/>
                <w:color w:val="auto"/>
                <w:highlight w:val="none"/>
              </w:rPr>
              <w:t>吸附装置+15m高排气筒</w:t>
            </w:r>
          </w:p>
        </w:tc>
        <w:tc>
          <w:tcPr>
            <w:tcW w:w="676" w:type="pct"/>
            <w:tcBorders>
              <w:right w:val="nil"/>
            </w:tcBorders>
            <w:vAlign w:val="center"/>
          </w:tcPr>
          <w:p w14:paraId="5E2AC468">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w:t>
            </w:r>
          </w:p>
        </w:tc>
      </w:tr>
      <w:tr w14:paraId="660AB74D">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88" w:type="pct"/>
            <w:vMerge w:val="continue"/>
            <w:tcBorders>
              <w:left w:val="nil"/>
            </w:tcBorders>
            <w:vAlign w:val="center"/>
          </w:tcPr>
          <w:p w14:paraId="26B38EC8">
            <w:pPr>
              <w:pStyle w:val="37"/>
              <w:bidi w:val="0"/>
              <w:rPr>
                <w:rFonts w:hint="default" w:ascii="Times New Roman" w:hAnsi="Times New Roman" w:cs="Times New Roman"/>
                <w:color w:val="auto"/>
                <w:highlight w:val="none"/>
              </w:rPr>
            </w:pPr>
          </w:p>
        </w:tc>
        <w:tc>
          <w:tcPr>
            <w:tcW w:w="1403" w:type="pct"/>
            <w:vAlign w:val="center"/>
          </w:tcPr>
          <w:p w14:paraId="534BA461">
            <w:pPr>
              <w:pStyle w:val="37"/>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喷涂废气（调漆废气、喷漆废气、流平废气、烘干废气）、管路和喷枪清洗废气与丝印废气</w:t>
            </w:r>
          </w:p>
        </w:tc>
        <w:tc>
          <w:tcPr>
            <w:tcW w:w="2631" w:type="pct"/>
            <w:vAlign w:val="center"/>
          </w:tcPr>
          <w:p w14:paraId="3A0C8E38">
            <w:pPr>
              <w:pStyle w:val="37"/>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水帘式漆雾净化+沸石转轮吸附+RTO焚烧装置</w:t>
            </w:r>
            <w:r>
              <w:rPr>
                <w:rFonts w:hint="default" w:ascii="Times New Roman" w:hAnsi="Times New Roman" w:cs="Times New Roman"/>
                <w:color w:val="auto"/>
                <w:highlight w:val="none"/>
              </w:rPr>
              <w:t>+</w:t>
            </w:r>
            <w:r>
              <w:rPr>
                <w:rFonts w:hint="default" w:ascii="Times New Roman" w:hAnsi="Times New Roman" w:eastAsia="宋体" w:cs="Times New Roman"/>
                <w:color w:val="auto"/>
                <w:highlight w:val="none"/>
                <w:lang w:val="en-US" w:eastAsia="zh-CN"/>
              </w:rPr>
              <w:t>22.5</w:t>
            </w:r>
            <w:r>
              <w:rPr>
                <w:rFonts w:hint="default" w:ascii="Times New Roman" w:hAnsi="Times New Roman" w:cs="Times New Roman"/>
                <w:color w:val="auto"/>
                <w:highlight w:val="none"/>
              </w:rPr>
              <w:t>m高排气筒</w:t>
            </w:r>
          </w:p>
        </w:tc>
        <w:tc>
          <w:tcPr>
            <w:tcW w:w="676" w:type="pct"/>
            <w:tcBorders>
              <w:right w:val="nil"/>
            </w:tcBorders>
            <w:vAlign w:val="center"/>
          </w:tcPr>
          <w:p w14:paraId="6BFA85CC">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50</w:t>
            </w:r>
          </w:p>
        </w:tc>
      </w:tr>
      <w:tr w14:paraId="4178D389">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88" w:type="pct"/>
            <w:vMerge w:val="continue"/>
            <w:tcBorders>
              <w:left w:val="nil"/>
            </w:tcBorders>
            <w:vAlign w:val="center"/>
          </w:tcPr>
          <w:p w14:paraId="3DA06B17">
            <w:pPr>
              <w:pStyle w:val="37"/>
              <w:bidi w:val="0"/>
              <w:rPr>
                <w:rFonts w:hint="default" w:ascii="Times New Roman" w:hAnsi="Times New Roman" w:cs="Times New Roman"/>
                <w:color w:val="auto"/>
                <w:highlight w:val="none"/>
              </w:rPr>
            </w:pPr>
          </w:p>
        </w:tc>
        <w:tc>
          <w:tcPr>
            <w:tcW w:w="1403" w:type="pct"/>
            <w:vAlign w:val="center"/>
          </w:tcPr>
          <w:p w14:paraId="329B9D0E">
            <w:pPr>
              <w:pStyle w:val="37"/>
              <w:bidi w:val="0"/>
              <w:ind w:firstLine="0" w:firstLineChars="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天然气燃烧废气</w:t>
            </w:r>
          </w:p>
        </w:tc>
        <w:tc>
          <w:tcPr>
            <w:tcW w:w="2631" w:type="pct"/>
            <w:vAlign w:val="center"/>
          </w:tcPr>
          <w:p w14:paraId="65A92B3C">
            <w:pPr>
              <w:pStyle w:val="37"/>
              <w:bidi w:val="0"/>
              <w:ind w:firstLine="0" w:firstLineChars="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低氮燃烧</w:t>
            </w:r>
            <w:r>
              <w:rPr>
                <w:rFonts w:hint="default" w:ascii="Times New Roman" w:hAnsi="Times New Roman" w:cs="Times New Roman"/>
                <w:color w:val="auto"/>
                <w:highlight w:val="none"/>
              </w:rPr>
              <w:t>+</w:t>
            </w:r>
            <w:r>
              <w:rPr>
                <w:rFonts w:hint="default" w:ascii="Times New Roman" w:hAnsi="Times New Roman" w:eastAsia="宋体" w:cs="Times New Roman"/>
                <w:color w:val="auto"/>
                <w:highlight w:val="none"/>
                <w:lang w:val="en-US" w:eastAsia="zh-CN"/>
              </w:rPr>
              <w:t>20.5</w:t>
            </w:r>
            <w:r>
              <w:rPr>
                <w:rFonts w:hint="default" w:ascii="Times New Roman" w:hAnsi="Times New Roman" w:cs="Times New Roman"/>
                <w:color w:val="auto"/>
                <w:highlight w:val="none"/>
              </w:rPr>
              <w:t>m高排气筒</w:t>
            </w:r>
          </w:p>
        </w:tc>
        <w:tc>
          <w:tcPr>
            <w:tcW w:w="676" w:type="pct"/>
            <w:tcBorders>
              <w:right w:val="nil"/>
            </w:tcBorders>
            <w:vAlign w:val="center"/>
          </w:tcPr>
          <w:p w14:paraId="2AD18BFA">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r>
      <w:tr w14:paraId="24885CAB">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88" w:type="pct"/>
            <w:vMerge w:val="continue"/>
            <w:tcBorders>
              <w:left w:val="nil"/>
            </w:tcBorders>
            <w:vAlign w:val="center"/>
          </w:tcPr>
          <w:p w14:paraId="75FDEE80">
            <w:pPr>
              <w:pStyle w:val="37"/>
              <w:bidi w:val="0"/>
              <w:rPr>
                <w:rFonts w:hint="default" w:ascii="Times New Roman" w:hAnsi="Times New Roman" w:cs="Times New Roman"/>
                <w:color w:val="auto"/>
                <w:highlight w:val="none"/>
              </w:rPr>
            </w:pPr>
          </w:p>
        </w:tc>
        <w:tc>
          <w:tcPr>
            <w:tcW w:w="1403" w:type="pct"/>
            <w:vAlign w:val="center"/>
          </w:tcPr>
          <w:p w14:paraId="33C758D2">
            <w:pPr>
              <w:pStyle w:val="37"/>
              <w:bidi w:val="0"/>
              <w:ind w:firstLine="0" w:firstLineChars="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配胶、喷胶及烘干</w:t>
            </w:r>
            <w:r>
              <w:rPr>
                <w:rFonts w:hint="default" w:ascii="Times New Roman" w:hAnsi="Times New Roman" w:cs="Times New Roman"/>
                <w:color w:val="auto"/>
                <w:highlight w:val="none"/>
                <w:lang w:val="en-US" w:eastAsia="zh-CN"/>
              </w:rPr>
              <w:t>废气、发泡废气</w:t>
            </w:r>
          </w:p>
        </w:tc>
        <w:tc>
          <w:tcPr>
            <w:tcW w:w="2631" w:type="pct"/>
            <w:vAlign w:val="center"/>
          </w:tcPr>
          <w:p w14:paraId="7A47DE11">
            <w:pPr>
              <w:pStyle w:val="37"/>
              <w:bidi w:val="0"/>
              <w:ind w:firstLine="0" w:firstLineChars="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集气罩</w:t>
            </w:r>
            <w:r>
              <w:rPr>
                <w:rFonts w:hint="default" w:ascii="Times New Roman" w:hAnsi="Times New Roman" w:cs="Times New Roman"/>
                <w:color w:val="auto"/>
                <w:highlight w:val="none"/>
              </w:rPr>
              <w:t>+</w:t>
            </w:r>
            <w:r>
              <w:rPr>
                <w:rFonts w:hint="default" w:ascii="Times New Roman" w:hAnsi="Times New Roman" w:eastAsia="宋体" w:cs="Times New Roman"/>
                <w:color w:val="auto"/>
                <w:highlight w:val="none"/>
                <w:lang w:val="en-US" w:eastAsia="zh-CN"/>
              </w:rPr>
              <w:t>四级活性炭</w:t>
            </w:r>
            <w:r>
              <w:rPr>
                <w:rFonts w:hint="default" w:ascii="Times New Roman" w:hAnsi="Times New Roman" w:cs="Times New Roman"/>
                <w:color w:val="auto"/>
                <w:highlight w:val="none"/>
              </w:rPr>
              <w:t>吸附装置+15m高排气筒</w:t>
            </w:r>
          </w:p>
        </w:tc>
        <w:tc>
          <w:tcPr>
            <w:tcW w:w="676" w:type="pct"/>
            <w:tcBorders>
              <w:right w:val="nil"/>
            </w:tcBorders>
            <w:vAlign w:val="center"/>
          </w:tcPr>
          <w:p w14:paraId="52A2FC5D">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w:t>
            </w:r>
          </w:p>
        </w:tc>
      </w:tr>
      <w:tr w14:paraId="13D8225B">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92" w:type="pct"/>
            <w:gridSpan w:val="2"/>
            <w:tcBorders>
              <w:left w:val="nil"/>
            </w:tcBorders>
            <w:vAlign w:val="center"/>
          </w:tcPr>
          <w:p w14:paraId="0E8ED8A5">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噪声治理</w:t>
            </w:r>
          </w:p>
        </w:tc>
        <w:tc>
          <w:tcPr>
            <w:tcW w:w="2631" w:type="pct"/>
            <w:vAlign w:val="center"/>
          </w:tcPr>
          <w:p w14:paraId="3B243E7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选用低噪声设备，</w:t>
            </w:r>
            <w:r>
              <w:rPr>
                <w:rFonts w:hint="default" w:ascii="Times New Roman" w:hAnsi="Times New Roman" w:cs="Times New Roman"/>
                <w:color w:val="auto"/>
                <w:highlight w:val="none"/>
                <w:lang w:val="en-US" w:eastAsia="zh-CN"/>
              </w:rPr>
              <w:t>风机软连接、</w:t>
            </w:r>
            <w:r>
              <w:rPr>
                <w:rFonts w:hint="default" w:ascii="Times New Roman" w:hAnsi="Times New Roman" w:cs="Times New Roman"/>
                <w:color w:val="auto"/>
                <w:highlight w:val="none"/>
              </w:rPr>
              <w:t>基础减震、隔声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消声</w:t>
            </w:r>
          </w:p>
        </w:tc>
        <w:tc>
          <w:tcPr>
            <w:tcW w:w="676" w:type="pct"/>
            <w:tcBorders>
              <w:right w:val="nil"/>
            </w:tcBorders>
            <w:vAlign w:val="center"/>
          </w:tcPr>
          <w:p w14:paraId="68F05640">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p>
        </w:tc>
      </w:tr>
      <w:tr w14:paraId="16CBDE62">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88" w:type="pct"/>
            <w:vMerge w:val="restart"/>
            <w:tcBorders>
              <w:left w:val="nil"/>
            </w:tcBorders>
            <w:vAlign w:val="center"/>
          </w:tcPr>
          <w:p w14:paraId="67357C9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固体</w:t>
            </w:r>
          </w:p>
          <w:p w14:paraId="533ED48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废物</w:t>
            </w:r>
          </w:p>
        </w:tc>
        <w:tc>
          <w:tcPr>
            <w:tcW w:w="1403" w:type="pct"/>
            <w:vAlign w:val="center"/>
          </w:tcPr>
          <w:p w14:paraId="0D624C9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w:t>
            </w:r>
          </w:p>
        </w:tc>
        <w:tc>
          <w:tcPr>
            <w:tcW w:w="2631" w:type="pct"/>
            <w:vAlign w:val="center"/>
          </w:tcPr>
          <w:p w14:paraId="0DE9C88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贮存在危险废物贮存库，定期委托有资质单位进行运输处置</w:t>
            </w:r>
          </w:p>
        </w:tc>
        <w:tc>
          <w:tcPr>
            <w:tcW w:w="676" w:type="pct"/>
            <w:tcBorders>
              <w:right w:val="nil"/>
            </w:tcBorders>
            <w:vAlign w:val="center"/>
          </w:tcPr>
          <w:p w14:paraId="51430CD5">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2.5</w:t>
            </w:r>
          </w:p>
        </w:tc>
      </w:tr>
      <w:tr w14:paraId="283322DB">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88" w:type="pct"/>
            <w:vMerge w:val="continue"/>
            <w:tcBorders>
              <w:left w:val="nil"/>
            </w:tcBorders>
            <w:vAlign w:val="center"/>
          </w:tcPr>
          <w:p w14:paraId="53302E14">
            <w:pPr>
              <w:pStyle w:val="37"/>
              <w:bidi w:val="0"/>
              <w:rPr>
                <w:rFonts w:hint="default" w:ascii="Times New Roman" w:hAnsi="Times New Roman" w:cs="Times New Roman"/>
                <w:color w:val="auto"/>
                <w:highlight w:val="none"/>
              </w:rPr>
            </w:pPr>
          </w:p>
        </w:tc>
        <w:tc>
          <w:tcPr>
            <w:tcW w:w="1403" w:type="pct"/>
            <w:vAlign w:val="center"/>
          </w:tcPr>
          <w:p w14:paraId="18061A0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其他</w:t>
            </w:r>
            <w:r>
              <w:rPr>
                <w:rFonts w:hint="default" w:ascii="Times New Roman" w:hAnsi="Times New Roman" w:cs="Times New Roman"/>
                <w:color w:val="auto"/>
                <w:highlight w:val="none"/>
              </w:rPr>
              <w:t>固体废物</w:t>
            </w:r>
          </w:p>
        </w:tc>
        <w:tc>
          <w:tcPr>
            <w:tcW w:w="2631" w:type="pct"/>
            <w:vAlign w:val="center"/>
          </w:tcPr>
          <w:p w14:paraId="62C704EB">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定期</w:t>
            </w:r>
            <w:r>
              <w:rPr>
                <w:rFonts w:hint="default" w:ascii="Times New Roman" w:hAnsi="Times New Roman" w:cs="Times New Roman"/>
                <w:color w:val="auto"/>
                <w:highlight w:val="none"/>
                <w:lang w:val="en-US" w:eastAsia="zh-CN"/>
              </w:rPr>
              <w:t>外售</w:t>
            </w:r>
            <w:r>
              <w:rPr>
                <w:rFonts w:hint="default" w:ascii="Times New Roman" w:hAnsi="Times New Roman" w:cs="Times New Roman"/>
                <w:color w:val="auto"/>
                <w:highlight w:val="none"/>
              </w:rPr>
              <w:t>综合利用</w:t>
            </w:r>
          </w:p>
        </w:tc>
        <w:tc>
          <w:tcPr>
            <w:tcW w:w="676" w:type="pct"/>
            <w:tcBorders>
              <w:right w:val="nil"/>
            </w:tcBorders>
            <w:vAlign w:val="center"/>
          </w:tcPr>
          <w:p w14:paraId="28BB5472">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0.5</w:t>
            </w:r>
          </w:p>
        </w:tc>
      </w:tr>
      <w:tr w14:paraId="645D00C7">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92" w:type="pct"/>
            <w:gridSpan w:val="2"/>
            <w:tcBorders>
              <w:left w:val="nil"/>
            </w:tcBorders>
            <w:vAlign w:val="center"/>
          </w:tcPr>
          <w:p w14:paraId="54D563A8">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地下水、土壤防治</w:t>
            </w:r>
          </w:p>
        </w:tc>
        <w:tc>
          <w:tcPr>
            <w:tcW w:w="2631" w:type="pct"/>
            <w:vAlign w:val="center"/>
          </w:tcPr>
          <w:p w14:paraId="2A4C6EDF">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源头控制、分区防渗措施</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地下水监测井</w:t>
            </w:r>
          </w:p>
        </w:tc>
        <w:tc>
          <w:tcPr>
            <w:tcW w:w="676" w:type="pct"/>
            <w:tcBorders>
              <w:right w:val="nil"/>
            </w:tcBorders>
            <w:vAlign w:val="center"/>
          </w:tcPr>
          <w:p w14:paraId="21BB69C9">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w:t>
            </w:r>
          </w:p>
        </w:tc>
      </w:tr>
      <w:tr w14:paraId="357E9FDB">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92" w:type="pct"/>
            <w:gridSpan w:val="2"/>
            <w:tcBorders>
              <w:left w:val="nil"/>
            </w:tcBorders>
            <w:vAlign w:val="center"/>
          </w:tcPr>
          <w:p w14:paraId="21B303F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风险防范措施</w:t>
            </w:r>
          </w:p>
        </w:tc>
        <w:tc>
          <w:tcPr>
            <w:tcW w:w="2631" w:type="pct"/>
            <w:vAlign w:val="center"/>
          </w:tcPr>
          <w:p w14:paraId="6C77834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围堰、导流渠、集液池等风险防范措施；突发环境事件应急预案</w:t>
            </w:r>
          </w:p>
        </w:tc>
        <w:tc>
          <w:tcPr>
            <w:tcW w:w="676" w:type="pct"/>
            <w:tcBorders>
              <w:right w:val="nil"/>
            </w:tcBorders>
            <w:vAlign w:val="center"/>
          </w:tcPr>
          <w:p w14:paraId="3693431D">
            <w:pPr>
              <w:pStyle w:val="37"/>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4</w:t>
            </w:r>
          </w:p>
        </w:tc>
      </w:tr>
      <w:tr w14:paraId="4702BCBD">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92" w:type="pct"/>
            <w:gridSpan w:val="2"/>
            <w:vMerge w:val="restart"/>
            <w:tcBorders>
              <w:left w:val="nil"/>
            </w:tcBorders>
            <w:vAlign w:val="center"/>
          </w:tcPr>
          <w:p w14:paraId="4B4964A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环境管理</w:t>
            </w:r>
          </w:p>
        </w:tc>
        <w:tc>
          <w:tcPr>
            <w:tcW w:w="2631" w:type="pct"/>
            <w:vAlign w:val="center"/>
          </w:tcPr>
          <w:p w14:paraId="1E958EC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运行期环保设施维护及管理费用</w:t>
            </w:r>
          </w:p>
        </w:tc>
        <w:tc>
          <w:tcPr>
            <w:tcW w:w="676" w:type="pct"/>
            <w:tcBorders>
              <w:right w:val="nil"/>
            </w:tcBorders>
            <w:vAlign w:val="center"/>
          </w:tcPr>
          <w:p w14:paraId="24663543">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p>
        </w:tc>
      </w:tr>
      <w:tr w14:paraId="5E78D9B9">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692" w:type="pct"/>
            <w:gridSpan w:val="2"/>
            <w:vMerge w:val="continue"/>
            <w:tcBorders>
              <w:left w:val="nil"/>
            </w:tcBorders>
            <w:vAlign w:val="center"/>
          </w:tcPr>
          <w:p w14:paraId="3A5D48DB">
            <w:pPr>
              <w:pStyle w:val="37"/>
              <w:bidi w:val="0"/>
              <w:rPr>
                <w:rFonts w:hint="default" w:ascii="Times New Roman" w:hAnsi="Times New Roman" w:cs="Times New Roman"/>
                <w:color w:val="auto"/>
                <w:highlight w:val="none"/>
              </w:rPr>
            </w:pPr>
          </w:p>
        </w:tc>
        <w:tc>
          <w:tcPr>
            <w:tcW w:w="2631" w:type="pct"/>
            <w:vAlign w:val="center"/>
          </w:tcPr>
          <w:p w14:paraId="60DE068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废水自动监测设备，并</w:t>
            </w:r>
            <w:r>
              <w:rPr>
                <w:rFonts w:hint="default" w:ascii="Times New Roman" w:hAnsi="Times New Roman" w:cs="Times New Roman"/>
                <w:color w:val="auto"/>
                <w:highlight w:val="none"/>
                <w:lang w:val="en-US" w:eastAsia="zh-CN"/>
              </w:rPr>
              <w:t>与</w:t>
            </w:r>
            <w:r>
              <w:rPr>
                <w:rFonts w:hint="default" w:ascii="Times New Roman" w:hAnsi="Times New Roman" w:cs="Times New Roman"/>
                <w:color w:val="auto"/>
                <w:highlight w:val="none"/>
              </w:rPr>
              <w:t>环保部门联网</w:t>
            </w:r>
          </w:p>
        </w:tc>
        <w:tc>
          <w:tcPr>
            <w:tcW w:w="676" w:type="pct"/>
            <w:tcBorders>
              <w:right w:val="nil"/>
            </w:tcBorders>
            <w:vAlign w:val="center"/>
          </w:tcPr>
          <w:p w14:paraId="0DFC1509">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p>
        </w:tc>
      </w:tr>
      <w:tr w14:paraId="1008B139">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323" w:type="pct"/>
            <w:gridSpan w:val="3"/>
            <w:tcBorders>
              <w:left w:val="nil"/>
            </w:tcBorders>
            <w:vAlign w:val="center"/>
          </w:tcPr>
          <w:p w14:paraId="096AEF1F">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合计</w:t>
            </w:r>
          </w:p>
        </w:tc>
        <w:tc>
          <w:tcPr>
            <w:tcW w:w="676" w:type="pct"/>
            <w:tcBorders>
              <w:right w:val="nil"/>
            </w:tcBorders>
            <w:vAlign w:val="center"/>
          </w:tcPr>
          <w:p w14:paraId="3448C435">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115</w:t>
            </w:r>
          </w:p>
        </w:tc>
      </w:tr>
    </w:tbl>
    <w:p w14:paraId="5B7CBC9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60" w:firstLineChars="200"/>
        <w:jc w:val="both"/>
        <w:textAlignment w:val="baseline"/>
        <w:rPr>
          <w:rFonts w:hint="default" w:ascii="Times New Roman" w:hAnsi="Times New Roman" w:eastAsia="宋体" w:cs="Times New Roman"/>
          <w:color w:val="FF0000"/>
          <w:spacing w:val="-5"/>
          <w:sz w:val="24"/>
          <w:szCs w:val="24"/>
          <w:lang w:val="en-US" w:eastAsia="zh-CN"/>
        </w:rPr>
      </w:pPr>
    </w:p>
    <w:p w14:paraId="11AC31E7">
      <w:pPr>
        <w:rPr>
          <w:rFonts w:hint="default" w:ascii="Times New Roman" w:hAnsi="Times New Roman" w:eastAsia="宋体" w:cs="Times New Roman"/>
          <w:color w:val="FF0000"/>
          <w:spacing w:val="-5"/>
          <w:sz w:val="24"/>
          <w:szCs w:val="24"/>
          <w:lang w:val="en-US" w:eastAsia="zh-CN"/>
        </w:rPr>
      </w:pPr>
    </w:p>
    <w:p w14:paraId="4A7721D0">
      <w:pPr>
        <w:rPr>
          <w:rFonts w:hint="default" w:ascii="Times New Roman" w:hAnsi="Times New Roman" w:eastAsia="宋体" w:cs="Times New Roman"/>
          <w:color w:val="FF0000"/>
          <w:spacing w:val="-5"/>
          <w:sz w:val="24"/>
          <w:szCs w:val="24"/>
          <w:lang w:val="en-US" w:eastAsia="zh-CN"/>
        </w:rPr>
      </w:pPr>
    </w:p>
    <w:p w14:paraId="264D69FB">
      <w:pPr>
        <w:rPr>
          <w:rFonts w:hint="default" w:ascii="Times New Roman" w:hAnsi="Times New Roman" w:eastAsia="宋体" w:cs="Times New Roman"/>
          <w:color w:val="FF0000"/>
          <w:spacing w:val="-5"/>
          <w:sz w:val="24"/>
          <w:szCs w:val="24"/>
          <w:lang w:val="en-US" w:eastAsia="zh-CN"/>
        </w:rPr>
        <w:sectPr>
          <w:pgSz w:w="11906" w:h="16838"/>
          <w:pgMar w:top="1134" w:right="1417" w:bottom="1134" w:left="1417" w:header="850"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57594B39">
      <w:pPr>
        <w:keepNext w:val="0"/>
        <w:keepLines w:val="0"/>
        <w:pageBreakBefore/>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0"/>
        <w:rPr>
          <w:rFonts w:hint="default" w:ascii="Times New Roman" w:hAnsi="Times New Roman" w:eastAsia="微软雅黑" w:cs="Times New Roman"/>
          <w:b w:val="0"/>
          <w:bCs w:val="0"/>
          <w:color w:val="auto"/>
          <w:spacing w:val="0"/>
          <w:position w:val="0"/>
          <w:sz w:val="36"/>
          <w:szCs w:val="36"/>
        </w:rPr>
      </w:pPr>
      <w:bookmarkStart w:id="70" w:name="_Toc32728"/>
      <w:r>
        <w:rPr>
          <w:rFonts w:hint="eastAsia" w:ascii="Times New Roman" w:hAnsi="Times New Roman" w:eastAsia="微软雅黑" w:cs="Times New Roman"/>
          <w:b w:val="0"/>
          <w:bCs w:val="0"/>
          <w:color w:val="auto"/>
          <w:spacing w:val="0"/>
          <w:position w:val="0"/>
          <w:sz w:val="36"/>
          <w:szCs w:val="36"/>
          <w:lang w:val="en-US" w:eastAsia="zh-CN"/>
        </w:rPr>
        <w:t>7</w:t>
      </w:r>
      <w:r>
        <w:rPr>
          <w:rFonts w:hint="default" w:ascii="Times New Roman" w:hAnsi="Times New Roman" w:eastAsia="微软雅黑" w:cs="Times New Roman"/>
          <w:b w:val="0"/>
          <w:bCs w:val="0"/>
          <w:color w:val="auto"/>
          <w:spacing w:val="0"/>
          <w:position w:val="0"/>
          <w:sz w:val="36"/>
          <w:szCs w:val="36"/>
        </w:rPr>
        <w:t xml:space="preserve"> 环境影响经济损益分析</w:t>
      </w:r>
      <w:bookmarkEnd w:id="70"/>
    </w:p>
    <w:p w14:paraId="7B389B7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pacing w:val="-5"/>
          <w:sz w:val="24"/>
          <w:szCs w:val="24"/>
          <w:lang w:val="en-US" w:eastAsia="zh-CN"/>
        </w:rPr>
      </w:pPr>
      <w:r>
        <w:rPr>
          <w:rFonts w:hint="default" w:ascii="Times New Roman" w:hAnsi="Times New Roman" w:cs="Times New Roman"/>
          <w:color w:val="auto"/>
          <w:sz w:val="24"/>
          <w:szCs w:val="24"/>
          <w:highlight w:val="none"/>
        </w:rPr>
        <w:t>环境经济损益分析是要对项目的社会效益、经济效益和环境效益进行分析，揭示三效益的依存关系，分析本项目既可发展经济又能实现环境保护的双重目的，使三效益协调统一，走可持续发展道路，即在发展经济的同时保护好环境，从而促进社会的稳定。</w:t>
      </w:r>
    </w:p>
    <w:p w14:paraId="2B901438">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6"/>
          <w:sz w:val="32"/>
          <w:szCs w:val="32"/>
          <w:highlight w:val="none"/>
          <w:lang w:val="en-US" w:eastAsia="zh-CN"/>
        </w:rPr>
      </w:pPr>
      <w:bookmarkStart w:id="71" w:name="_Toc18898"/>
      <w:r>
        <w:rPr>
          <w:rFonts w:hint="eastAsia" w:ascii="Times New Roman" w:hAnsi="Times New Roman" w:eastAsia="微软雅黑" w:cs="Times New Roman"/>
          <w:color w:val="auto"/>
          <w:spacing w:val="6"/>
          <w:sz w:val="32"/>
          <w:szCs w:val="32"/>
          <w:highlight w:val="none"/>
          <w:lang w:val="en-US" w:eastAsia="zh-CN"/>
        </w:rPr>
        <w:t>7</w:t>
      </w:r>
      <w:r>
        <w:rPr>
          <w:rFonts w:hint="default" w:ascii="Times New Roman" w:hAnsi="Times New Roman" w:eastAsia="微软雅黑" w:cs="Times New Roman"/>
          <w:color w:val="auto"/>
          <w:spacing w:val="6"/>
          <w:sz w:val="32"/>
          <w:szCs w:val="32"/>
          <w:highlight w:val="none"/>
          <w:lang w:val="en-US" w:eastAsia="zh-CN"/>
        </w:rPr>
        <w:t>.</w:t>
      </w:r>
      <w:r>
        <w:rPr>
          <w:rFonts w:hint="eastAsia" w:ascii="Times New Roman" w:hAnsi="Times New Roman" w:eastAsia="微软雅黑" w:cs="Times New Roman"/>
          <w:color w:val="auto"/>
          <w:spacing w:val="6"/>
          <w:sz w:val="32"/>
          <w:szCs w:val="32"/>
          <w:highlight w:val="none"/>
          <w:lang w:val="en-US" w:eastAsia="zh-CN"/>
        </w:rPr>
        <w:t>1</w:t>
      </w:r>
      <w:r>
        <w:rPr>
          <w:rFonts w:hint="default" w:ascii="Times New Roman" w:hAnsi="Times New Roman" w:eastAsia="微软雅黑" w:cs="Times New Roman"/>
          <w:color w:val="auto"/>
          <w:spacing w:val="6"/>
          <w:sz w:val="32"/>
          <w:szCs w:val="32"/>
          <w:highlight w:val="none"/>
          <w:lang w:val="en-US" w:eastAsia="zh-CN"/>
        </w:rPr>
        <w:t xml:space="preserve"> 经济效益</w:t>
      </w:r>
      <w:r>
        <w:rPr>
          <w:rFonts w:hint="eastAsia" w:ascii="Times New Roman" w:hAnsi="Times New Roman" w:eastAsia="微软雅黑" w:cs="Times New Roman"/>
          <w:color w:val="auto"/>
          <w:spacing w:val="6"/>
          <w:sz w:val="32"/>
          <w:szCs w:val="32"/>
          <w:highlight w:val="none"/>
          <w:lang w:val="en-US" w:eastAsia="zh-CN"/>
        </w:rPr>
        <w:t>分析</w:t>
      </w:r>
      <w:bookmarkEnd w:id="71"/>
    </w:p>
    <w:p w14:paraId="6D97C583">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baseline"/>
        <w:rPr>
          <w:rFonts w:hint="default" w:ascii="Times New Roman" w:hAnsi="Times New Roman" w:eastAsia="Arial" w:cs="Times New Roman"/>
          <w:snapToGrid w:val="0"/>
          <w:color w:val="auto"/>
          <w:kern w:val="0"/>
          <w:sz w:val="24"/>
          <w:szCs w:val="24"/>
          <w:highlight w:val="none"/>
          <w:lang w:val="en-US" w:eastAsia="zh-CN" w:bidi="ar-SA"/>
        </w:rPr>
      </w:pPr>
      <w:r>
        <w:rPr>
          <w:rFonts w:hint="default" w:ascii="Times New Roman" w:hAnsi="Times New Roman" w:eastAsia="Arial" w:cs="Times New Roman"/>
          <w:snapToGrid w:val="0"/>
          <w:color w:val="auto"/>
          <w:kern w:val="0"/>
          <w:sz w:val="24"/>
          <w:szCs w:val="24"/>
          <w:highlight w:val="none"/>
          <w:lang w:val="en-US" w:eastAsia="zh-CN" w:bidi="ar-SA"/>
        </w:rPr>
        <w:t>项目投产后，内部收益率较高，能够满足企业对投资回报的有关要求，同时项目具有较强的清偿能力和抗风险能力，具有较高的投资价值。</w:t>
      </w:r>
    </w:p>
    <w:p w14:paraId="2C07B729">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baseline"/>
        <w:rPr>
          <w:rFonts w:hint="default" w:ascii="Times New Roman" w:hAnsi="Times New Roman" w:eastAsia="Arial" w:cs="Times New Roman"/>
          <w:snapToGrid w:val="0"/>
          <w:color w:val="auto"/>
          <w:kern w:val="0"/>
          <w:sz w:val="24"/>
          <w:szCs w:val="24"/>
          <w:highlight w:val="none"/>
          <w:lang w:val="en-US" w:eastAsia="zh-CN" w:bidi="ar-SA"/>
        </w:rPr>
      </w:pPr>
      <w:r>
        <w:rPr>
          <w:rFonts w:hint="default" w:ascii="Times New Roman" w:hAnsi="Times New Roman" w:eastAsia="Arial" w:cs="Times New Roman"/>
          <w:snapToGrid w:val="0"/>
          <w:color w:val="auto"/>
          <w:kern w:val="0"/>
          <w:sz w:val="24"/>
          <w:szCs w:val="24"/>
          <w:highlight w:val="none"/>
          <w:lang w:val="en-US" w:eastAsia="zh-CN" w:bidi="ar-SA"/>
        </w:rPr>
        <w:t>本项目技术成熟适用，购置设备方案合理，建设条件具备。项目建成后具有良好的市场发展前景，可收获较好的经济效益。本项目的建成将增加政府财政收入，直接为地方经济发展作出贡献。</w:t>
      </w:r>
    </w:p>
    <w:p w14:paraId="43C97381">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6"/>
          <w:sz w:val="32"/>
          <w:szCs w:val="32"/>
          <w:highlight w:val="none"/>
          <w:lang w:val="en-US" w:eastAsia="zh-CN"/>
        </w:rPr>
      </w:pPr>
      <w:bookmarkStart w:id="72" w:name="_Toc26434"/>
      <w:r>
        <w:rPr>
          <w:rFonts w:hint="eastAsia" w:ascii="Times New Roman" w:hAnsi="Times New Roman" w:eastAsia="微软雅黑" w:cs="Times New Roman"/>
          <w:color w:val="auto"/>
          <w:spacing w:val="6"/>
          <w:sz w:val="32"/>
          <w:szCs w:val="32"/>
          <w:highlight w:val="none"/>
          <w:lang w:val="en-US" w:eastAsia="zh-CN"/>
        </w:rPr>
        <w:t>7</w:t>
      </w:r>
      <w:r>
        <w:rPr>
          <w:rFonts w:hint="default" w:ascii="Times New Roman" w:hAnsi="Times New Roman" w:eastAsia="微软雅黑" w:cs="Times New Roman"/>
          <w:color w:val="auto"/>
          <w:spacing w:val="6"/>
          <w:sz w:val="32"/>
          <w:szCs w:val="32"/>
          <w:highlight w:val="none"/>
          <w:lang w:val="en-US" w:eastAsia="zh-CN"/>
        </w:rPr>
        <w:t>.</w:t>
      </w:r>
      <w:r>
        <w:rPr>
          <w:rFonts w:hint="eastAsia" w:ascii="Times New Roman" w:hAnsi="Times New Roman" w:eastAsia="微软雅黑" w:cs="Times New Roman"/>
          <w:color w:val="auto"/>
          <w:spacing w:val="6"/>
          <w:sz w:val="32"/>
          <w:szCs w:val="32"/>
          <w:highlight w:val="none"/>
          <w:lang w:val="en-US" w:eastAsia="zh-CN"/>
        </w:rPr>
        <w:t>2</w:t>
      </w:r>
      <w:r>
        <w:rPr>
          <w:rFonts w:hint="default" w:ascii="Times New Roman" w:hAnsi="Times New Roman" w:eastAsia="微软雅黑" w:cs="Times New Roman"/>
          <w:color w:val="auto"/>
          <w:spacing w:val="6"/>
          <w:sz w:val="32"/>
          <w:szCs w:val="32"/>
          <w:highlight w:val="none"/>
          <w:lang w:val="en-US" w:eastAsia="zh-CN"/>
        </w:rPr>
        <w:t xml:space="preserve"> </w:t>
      </w:r>
      <w:r>
        <w:rPr>
          <w:rFonts w:hint="eastAsia" w:ascii="Times New Roman" w:hAnsi="Times New Roman" w:eastAsia="微软雅黑" w:cs="Times New Roman"/>
          <w:color w:val="auto"/>
          <w:spacing w:val="6"/>
          <w:sz w:val="32"/>
          <w:szCs w:val="32"/>
          <w:highlight w:val="none"/>
          <w:lang w:val="en-US" w:eastAsia="zh-CN"/>
        </w:rPr>
        <w:t>社会</w:t>
      </w:r>
      <w:r>
        <w:rPr>
          <w:rFonts w:hint="default" w:ascii="Times New Roman" w:hAnsi="Times New Roman" w:eastAsia="微软雅黑" w:cs="Times New Roman"/>
          <w:color w:val="auto"/>
          <w:spacing w:val="6"/>
          <w:sz w:val="32"/>
          <w:szCs w:val="32"/>
          <w:highlight w:val="none"/>
          <w:lang w:val="en-US" w:eastAsia="zh-CN"/>
        </w:rPr>
        <w:t>效益</w:t>
      </w:r>
      <w:r>
        <w:rPr>
          <w:rFonts w:hint="eastAsia" w:ascii="Times New Roman" w:hAnsi="Times New Roman" w:eastAsia="微软雅黑" w:cs="Times New Roman"/>
          <w:color w:val="auto"/>
          <w:spacing w:val="6"/>
          <w:sz w:val="32"/>
          <w:szCs w:val="32"/>
          <w:highlight w:val="none"/>
          <w:lang w:val="en-US" w:eastAsia="zh-CN"/>
        </w:rPr>
        <w:t>分析</w:t>
      </w:r>
      <w:bookmarkEnd w:id="72"/>
    </w:p>
    <w:p w14:paraId="087500B7">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baseline"/>
        <w:rPr>
          <w:rFonts w:hint="eastAsia" w:ascii="Times New Roman" w:hAnsi="Times New Roman" w:eastAsia="微软雅黑" w:cs="Times New Roman"/>
          <w:color w:val="auto"/>
          <w:spacing w:val="6"/>
          <w:sz w:val="32"/>
          <w:szCs w:val="32"/>
          <w:highlight w:val="none"/>
          <w:lang w:val="en-US" w:eastAsia="zh-CN"/>
        </w:rPr>
      </w:pPr>
      <w:r>
        <w:rPr>
          <w:rFonts w:hint="eastAsia" w:ascii="Times New Roman" w:hAnsi="Times New Roman" w:eastAsia="Arial" w:cs="Times New Roman"/>
          <w:snapToGrid w:val="0"/>
          <w:color w:val="auto"/>
          <w:kern w:val="0"/>
          <w:sz w:val="24"/>
          <w:szCs w:val="24"/>
          <w:highlight w:val="none"/>
          <w:lang w:val="en-US" w:eastAsia="zh-CN" w:bidi="ar-SA"/>
        </w:rPr>
        <w:t>本项目的建设，将会带动周边地区汽车零部件、汽车相关物流、汽车销售与服务、以及相关企业的发展，促进当地汽车产业企业技术进步与科技创新，促进当地汽车产业的健康发展。同时，本项目可以增加地方财政收入，促进宜春地区的经济发展，又可为当地提供稳定的就业机会，提高当地人民群众的生活水平，为地方经济的发展打下良好的基础，具有良好的社会效益。</w:t>
      </w:r>
    </w:p>
    <w:p w14:paraId="42CEEB00">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6"/>
          <w:sz w:val="32"/>
          <w:szCs w:val="32"/>
          <w:highlight w:val="none"/>
          <w:lang w:val="en-US" w:eastAsia="zh-CN"/>
        </w:rPr>
      </w:pPr>
      <w:bookmarkStart w:id="73" w:name="_Toc5"/>
      <w:r>
        <w:rPr>
          <w:rFonts w:hint="eastAsia" w:ascii="Times New Roman" w:hAnsi="Times New Roman" w:eastAsia="微软雅黑" w:cs="Times New Roman"/>
          <w:color w:val="auto"/>
          <w:spacing w:val="6"/>
          <w:sz w:val="32"/>
          <w:szCs w:val="32"/>
          <w:highlight w:val="none"/>
          <w:lang w:val="en-US" w:eastAsia="zh-CN"/>
        </w:rPr>
        <w:t>7</w:t>
      </w:r>
      <w:r>
        <w:rPr>
          <w:rFonts w:hint="default" w:ascii="Times New Roman" w:hAnsi="Times New Roman" w:eastAsia="微软雅黑" w:cs="Times New Roman"/>
          <w:color w:val="auto"/>
          <w:spacing w:val="6"/>
          <w:sz w:val="32"/>
          <w:szCs w:val="32"/>
          <w:highlight w:val="none"/>
          <w:lang w:val="en-US" w:eastAsia="zh-CN"/>
        </w:rPr>
        <w:t>.</w:t>
      </w:r>
      <w:r>
        <w:rPr>
          <w:rFonts w:hint="eastAsia" w:ascii="Times New Roman" w:hAnsi="Times New Roman" w:eastAsia="微软雅黑" w:cs="Times New Roman"/>
          <w:color w:val="auto"/>
          <w:spacing w:val="6"/>
          <w:sz w:val="32"/>
          <w:szCs w:val="32"/>
          <w:highlight w:val="none"/>
          <w:lang w:val="en-US" w:eastAsia="zh-CN"/>
        </w:rPr>
        <w:t>3</w:t>
      </w:r>
      <w:r>
        <w:rPr>
          <w:rFonts w:hint="default" w:ascii="Times New Roman" w:hAnsi="Times New Roman" w:eastAsia="微软雅黑" w:cs="Times New Roman"/>
          <w:color w:val="auto"/>
          <w:spacing w:val="6"/>
          <w:sz w:val="32"/>
          <w:szCs w:val="32"/>
          <w:highlight w:val="none"/>
          <w:lang w:val="en-US" w:eastAsia="zh-CN"/>
        </w:rPr>
        <w:t xml:space="preserve"> 环境</w:t>
      </w:r>
      <w:r>
        <w:rPr>
          <w:rFonts w:hint="eastAsia" w:ascii="Times New Roman" w:hAnsi="Times New Roman" w:eastAsia="微软雅黑" w:cs="Times New Roman"/>
          <w:color w:val="auto"/>
          <w:spacing w:val="6"/>
          <w:sz w:val="32"/>
          <w:szCs w:val="32"/>
          <w:highlight w:val="none"/>
          <w:lang w:val="en-US" w:eastAsia="zh-CN"/>
        </w:rPr>
        <w:t>效益</w:t>
      </w:r>
      <w:r>
        <w:rPr>
          <w:rFonts w:hint="default" w:ascii="Times New Roman" w:hAnsi="Times New Roman" w:eastAsia="微软雅黑" w:cs="Times New Roman"/>
          <w:color w:val="auto"/>
          <w:spacing w:val="6"/>
          <w:sz w:val="32"/>
          <w:szCs w:val="32"/>
          <w:highlight w:val="none"/>
          <w:lang w:val="en-US" w:eastAsia="zh-CN"/>
        </w:rPr>
        <w:t>分析</w:t>
      </w:r>
      <w:bookmarkEnd w:id="73"/>
    </w:p>
    <w:p w14:paraId="52C4E39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Arial" w:cs="Times New Roman"/>
          <w:snapToGrid w:val="0"/>
          <w:color w:val="auto"/>
          <w:kern w:val="0"/>
          <w:sz w:val="24"/>
          <w:szCs w:val="24"/>
          <w:highlight w:val="none"/>
          <w:lang w:val="en-US" w:eastAsia="zh-CN" w:bidi="ar-SA"/>
        </w:rPr>
      </w:pPr>
      <w:r>
        <w:rPr>
          <w:rFonts w:hint="default" w:ascii="Times New Roman" w:hAnsi="Times New Roman" w:eastAsia="Arial" w:cs="Times New Roman"/>
          <w:snapToGrid w:val="0"/>
          <w:color w:val="auto"/>
          <w:kern w:val="0"/>
          <w:sz w:val="24"/>
          <w:szCs w:val="24"/>
          <w:highlight w:val="none"/>
          <w:lang w:val="en-US" w:eastAsia="zh-CN" w:bidi="ar-SA"/>
        </w:rPr>
        <w:t>项目将产生一定量的废气、废水、噪声、固体废物等污染物，通过采取多种环保措施后，将明显减轻对周围环境的污染。</w:t>
      </w:r>
    </w:p>
    <w:p w14:paraId="39E4BDD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Arial" w:cs="Times New Roman"/>
          <w:snapToGrid w:val="0"/>
          <w:color w:val="auto"/>
          <w:kern w:val="0"/>
          <w:sz w:val="24"/>
          <w:szCs w:val="24"/>
          <w:highlight w:val="none"/>
          <w:lang w:val="en-US" w:eastAsia="zh-CN" w:bidi="ar-SA"/>
        </w:rPr>
      </w:pPr>
      <w:r>
        <w:rPr>
          <w:rFonts w:hint="default" w:ascii="Times New Roman" w:hAnsi="Times New Roman" w:eastAsia="Arial" w:cs="Times New Roman"/>
          <w:snapToGrid w:val="0"/>
          <w:color w:val="auto"/>
          <w:kern w:val="0"/>
          <w:sz w:val="24"/>
          <w:szCs w:val="24"/>
          <w:highlight w:val="none"/>
          <w:lang w:val="en-US" w:eastAsia="zh-CN" w:bidi="ar-SA"/>
        </w:rPr>
        <w:t>为达到保护环境，减轻污染，达到可持续发展的目的，本项目在主体工程实施中，针对污染源配备了完善的生态保护和污染防治设施，环保设施运行的主要目的是将项目对环境的影响降到最低限度，使污染物排放量降到较低限度，实现稳定达标排放，减少或避免环境污染，合理开发利用资源。设施运行过程中，环保投资和运行费用给企业经济带来负效益，但在项目运行中避免对环境的破坏，实现环境效益和经济效益的协调统一。环保设施运行可将污染物排放量及其对环境的影响控制在最小的限度，有利于环境质量的改善，具有良好的环境效益。</w:t>
      </w:r>
    </w:p>
    <w:p w14:paraId="4C191C6B">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6"/>
          <w:sz w:val="32"/>
          <w:szCs w:val="32"/>
          <w:highlight w:val="none"/>
          <w:lang w:val="en-US" w:eastAsia="zh-CN"/>
        </w:rPr>
      </w:pPr>
      <w:bookmarkStart w:id="74" w:name="_Toc30964"/>
      <w:r>
        <w:rPr>
          <w:rFonts w:hint="eastAsia" w:ascii="Times New Roman" w:hAnsi="Times New Roman" w:eastAsia="微软雅黑" w:cs="Times New Roman"/>
          <w:color w:val="auto"/>
          <w:spacing w:val="6"/>
          <w:sz w:val="32"/>
          <w:szCs w:val="32"/>
          <w:highlight w:val="none"/>
          <w:lang w:val="en-US" w:eastAsia="zh-CN"/>
        </w:rPr>
        <w:t>7.4 分析</w:t>
      </w:r>
      <w:r>
        <w:rPr>
          <w:rFonts w:hint="default" w:ascii="Times New Roman" w:hAnsi="Times New Roman" w:eastAsia="微软雅黑" w:cs="Times New Roman"/>
          <w:color w:val="auto"/>
          <w:spacing w:val="6"/>
          <w:sz w:val="32"/>
          <w:szCs w:val="32"/>
          <w:highlight w:val="none"/>
          <w:lang w:val="en-US" w:eastAsia="zh-CN"/>
        </w:rPr>
        <w:t>结论</w:t>
      </w:r>
      <w:bookmarkEnd w:id="74"/>
    </w:p>
    <w:p w14:paraId="3B3FDDB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Arial" w:cs="Times New Roman"/>
          <w:snapToGrid w:val="0"/>
          <w:color w:val="auto"/>
          <w:kern w:val="0"/>
          <w:sz w:val="24"/>
          <w:szCs w:val="24"/>
          <w:highlight w:val="none"/>
          <w:lang w:val="en-US" w:eastAsia="zh-CN" w:bidi="ar-SA"/>
        </w:rPr>
      </w:pPr>
      <w:r>
        <w:rPr>
          <w:rFonts w:hint="eastAsia" w:ascii="Times New Roman" w:hAnsi="Times New Roman" w:eastAsia="Arial" w:cs="Times New Roman"/>
          <w:snapToGrid w:val="0"/>
          <w:color w:val="auto"/>
          <w:kern w:val="0"/>
          <w:sz w:val="24"/>
          <w:szCs w:val="24"/>
          <w:highlight w:val="none"/>
          <w:lang w:val="en-US" w:eastAsia="zh-CN" w:bidi="ar-SA"/>
        </w:rPr>
        <w:t>综上所述，本项目具有较好的经济效益、社会效益，可实现经济效益、环境效益和社会效益的统一。只要企业切实落实本环评提出的有关污染防治措施，在各个实施阶段积极做好污染治理、环境保护等工作，本项目的建设对周围环境的影响是可以承受的，能够做到环境效益、社会效益和经济效益三者的统一</w:t>
      </w:r>
      <w:r>
        <w:rPr>
          <w:rFonts w:hint="default" w:ascii="Times New Roman" w:hAnsi="Times New Roman" w:eastAsia="Arial" w:cs="Times New Roman"/>
          <w:snapToGrid w:val="0"/>
          <w:color w:val="auto"/>
          <w:kern w:val="0"/>
          <w:sz w:val="24"/>
          <w:szCs w:val="24"/>
          <w:highlight w:val="none"/>
          <w:lang w:val="en-US" w:eastAsia="zh-CN" w:bidi="ar-SA"/>
        </w:rPr>
        <w:t>。</w:t>
      </w:r>
    </w:p>
    <w:p w14:paraId="10C45F71">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FF0000"/>
          <w:spacing w:val="-1"/>
          <w:sz w:val="24"/>
          <w:szCs w:val="24"/>
          <w:lang w:val="en-US" w:eastAsia="en-US"/>
        </w:rPr>
      </w:pPr>
    </w:p>
    <w:p w14:paraId="35E2C0C5">
      <w:pPr>
        <w:keepNext w:val="0"/>
        <w:keepLines w:val="0"/>
        <w:pageBreakBefore/>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0"/>
        <w:rPr>
          <w:rFonts w:hint="default" w:ascii="Times New Roman" w:hAnsi="Times New Roman" w:eastAsia="微软雅黑" w:cs="Times New Roman"/>
          <w:b w:val="0"/>
          <w:bCs w:val="0"/>
          <w:color w:val="auto"/>
          <w:spacing w:val="0"/>
          <w:position w:val="0"/>
          <w:sz w:val="36"/>
          <w:szCs w:val="36"/>
        </w:rPr>
      </w:pPr>
      <w:bookmarkStart w:id="75" w:name="_Toc16688"/>
      <w:r>
        <w:rPr>
          <w:rFonts w:hint="eastAsia" w:ascii="Times New Roman" w:hAnsi="Times New Roman" w:eastAsia="微软雅黑" w:cs="Times New Roman"/>
          <w:b w:val="0"/>
          <w:bCs w:val="0"/>
          <w:color w:val="auto"/>
          <w:spacing w:val="0"/>
          <w:position w:val="0"/>
          <w:sz w:val="36"/>
          <w:szCs w:val="36"/>
          <w:lang w:val="en-US" w:eastAsia="zh-CN"/>
        </w:rPr>
        <w:t>8</w:t>
      </w:r>
      <w:r>
        <w:rPr>
          <w:rFonts w:hint="default" w:ascii="Times New Roman" w:hAnsi="Times New Roman" w:eastAsia="微软雅黑" w:cs="Times New Roman"/>
          <w:b w:val="0"/>
          <w:bCs w:val="0"/>
          <w:color w:val="auto"/>
          <w:spacing w:val="0"/>
          <w:position w:val="0"/>
          <w:sz w:val="36"/>
          <w:szCs w:val="36"/>
          <w:lang w:val="en-US" w:eastAsia="zh-CN"/>
        </w:rPr>
        <w:t xml:space="preserve"> </w:t>
      </w:r>
      <w:r>
        <w:rPr>
          <w:rFonts w:hint="default" w:ascii="Times New Roman" w:hAnsi="Times New Roman" w:eastAsia="微软雅黑" w:cs="Times New Roman"/>
          <w:b w:val="0"/>
          <w:bCs w:val="0"/>
          <w:color w:val="auto"/>
          <w:spacing w:val="0"/>
          <w:position w:val="0"/>
          <w:sz w:val="36"/>
          <w:szCs w:val="36"/>
        </w:rPr>
        <w:t>环境管理与监测计划</w:t>
      </w:r>
      <w:bookmarkEnd w:id="75"/>
    </w:p>
    <w:p w14:paraId="34B20E3A">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6"/>
          <w:sz w:val="32"/>
          <w:szCs w:val="32"/>
          <w:highlight w:val="none"/>
          <w:lang w:val="en-US" w:eastAsia="en-US"/>
        </w:rPr>
      </w:pPr>
      <w:bookmarkStart w:id="76" w:name="_Toc6480"/>
      <w:r>
        <w:rPr>
          <w:rFonts w:hint="eastAsia" w:ascii="Times New Roman" w:hAnsi="Times New Roman" w:eastAsia="微软雅黑" w:cs="Times New Roman"/>
          <w:color w:val="auto"/>
          <w:spacing w:val="6"/>
          <w:sz w:val="32"/>
          <w:szCs w:val="32"/>
          <w:highlight w:val="none"/>
          <w:lang w:val="en-US" w:eastAsia="zh-CN"/>
        </w:rPr>
        <w:t>8</w:t>
      </w:r>
      <w:r>
        <w:rPr>
          <w:rFonts w:hint="default" w:ascii="Times New Roman" w:hAnsi="Times New Roman" w:eastAsia="微软雅黑" w:cs="Times New Roman"/>
          <w:color w:val="auto"/>
          <w:spacing w:val="6"/>
          <w:sz w:val="32"/>
          <w:szCs w:val="32"/>
          <w:highlight w:val="none"/>
          <w:lang w:val="en-US" w:eastAsia="en-US"/>
        </w:rPr>
        <w:t>.1</w:t>
      </w:r>
      <w:r>
        <w:rPr>
          <w:rFonts w:hint="default" w:ascii="Times New Roman" w:hAnsi="Times New Roman" w:eastAsia="微软雅黑" w:cs="Times New Roman"/>
          <w:color w:val="auto"/>
          <w:spacing w:val="6"/>
          <w:sz w:val="32"/>
          <w:szCs w:val="32"/>
          <w:highlight w:val="none"/>
          <w:lang w:val="en-US" w:eastAsia="zh-CN"/>
        </w:rPr>
        <w:t xml:space="preserve"> </w:t>
      </w:r>
      <w:r>
        <w:rPr>
          <w:rFonts w:hint="default" w:ascii="Times New Roman" w:hAnsi="Times New Roman" w:eastAsia="微软雅黑" w:cs="Times New Roman"/>
          <w:color w:val="auto"/>
          <w:spacing w:val="6"/>
          <w:sz w:val="32"/>
          <w:szCs w:val="32"/>
          <w:highlight w:val="none"/>
          <w:lang w:val="en-US" w:eastAsia="en-US"/>
        </w:rPr>
        <w:t>环境管理</w:t>
      </w:r>
      <w:bookmarkEnd w:id="76"/>
    </w:p>
    <w:p w14:paraId="750B7A1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en-US"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8</w:t>
      </w:r>
      <w:r>
        <w:rPr>
          <w:rFonts w:hint="default" w:ascii="Times New Roman" w:hAnsi="Times New Roman" w:eastAsia="宋体" w:cs="Times New Roman"/>
          <w:b/>
          <w:bCs/>
          <w:snapToGrid w:val="0"/>
          <w:color w:val="auto"/>
          <w:spacing w:val="0"/>
          <w:kern w:val="0"/>
          <w:position w:val="0"/>
          <w:sz w:val="30"/>
          <w:szCs w:val="30"/>
          <w:highlight w:val="none"/>
          <w:lang w:val="en-US" w:eastAsia="en-US" w:bidi="ar-SA"/>
        </w:rPr>
        <w:t>.1.1环境管理目的</w:t>
      </w:r>
    </w:p>
    <w:p w14:paraId="2C184E91">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en-US"/>
        </w:rPr>
      </w:pPr>
      <w:r>
        <w:rPr>
          <w:rFonts w:hint="default" w:ascii="Times New Roman" w:hAnsi="Times New Roman" w:eastAsia="宋体" w:cs="Times New Roman"/>
          <w:color w:val="auto"/>
          <w:spacing w:val="-1"/>
          <w:sz w:val="24"/>
          <w:szCs w:val="24"/>
          <w:lang w:val="en-US" w:eastAsia="en-US"/>
        </w:rPr>
        <w:t>环境管理是指运用经济、法律、技术、行政、教育等手段。限制人类损害环境质量的活动，通过全面规划使经济发展与环境相协调，达到既要发展经济，满足人类的基本需要，又不超出环境的容许极限，这些内容概括起来就是环境管理。</w:t>
      </w:r>
    </w:p>
    <w:p w14:paraId="707C0A4E">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en-US"/>
        </w:rPr>
      </w:pPr>
      <w:r>
        <w:rPr>
          <w:rFonts w:hint="default" w:ascii="Times New Roman" w:hAnsi="Times New Roman" w:eastAsia="宋体" w:cs="Times New Roman"/>
          <w:color w:val="auto"/>
          <w:spacing w:val="-1"/>
          <w:sz w:val="24"/>
          <w:szCs w:val="24"/>
          <w:lang w:val="en-US" w:eastAsia="en-US"/>
        </w:rPr>
        <w:t>降低资源能源消耗，对促进国民经济的发展有着十分重要的意义。虽然环境管理不像采用先进工艺与设备那样对降低能源消耗有明显的效果，但加强环境管理却可以做到合理利用能源和节约能源，一样可以降低能源消耗。组织良好的环境管理体系不仅能减少企业的污染排放，而且通过污染物的综合治理及回收利用，企业还能得到一定的经济效益。</w:t>
      </w:r>
    </w:p>
    <w:p w14:paraId="317BC128">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en-US"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8</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.1.</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2</w:t>
      </w:r>
      <w:r>
        <w:rPr>
          <w:rFonts w:hint="default" w:ascii="Times New Roman" w:hAnsi="Times New Roman" w:eastAsia="宋体" w:cs="Times New Roman"/>
          <w:b/>
          <w:bCs/>
          <w:snapToGrid w:val="0"/>
          <w:color w:val="auto"/>
          <w:spacing w:val="0"/>
          <w:kern w:val="0"/>
          <w:position w:val="0"/>
          <w:sz w:val="30"/>
          <w:szCs w:val="30"/>
          <w:highlight w:val="none"/>
          <w:lang w:val="en-US" w:eastAsia="en-US" w:bidi="ar-SA"/>
        </w:rPr>
        <w:t>环境管理体系</w:t>
      </w:r>
    </w:p>
    <w:p w14:paraId="2A8A09FC">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企业环境管理体系作为企业管理体系中的一部分，应与之相协调统一。实行总经理领导下的“一人主管，分工负责；职能部门，各负其责；落实基层，监督考核”的原则，建立以公司领导为核心，环保职能部门为基础的全员责任制的环境管理体系。使环境管理贯穿于企业管理的整个过程，并落实到企业的各个层次，分解到生产的各个环节，把企业管理与环境管理紧密地结合起来，不但要建立完善的企业管理体系和各种规章制度，也要建立完善的环境管理体系和各种规章制度，使企业的环境管理工作真正落到实处。</w:t>
      </w:r>
    </w:p>
    <w:p w14:paraId="1DDCF90B">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黑龙江天时利精密科技有限公司设立了环保职能部门，配备专职管理人员。建立计算机辅助管理系统，使之更好地利用经济、技术、行政和教育手段，对损害环境质量的生产活动加以限制，协调好发展经济与环境保护的关系，使经济效益与环境效益相协调统一。</w:t>
      </w:r>
    </w:p>
    <w:p w14:paraId="31BBD2CA">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8</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.1.</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3</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环境管理</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内容</w:t>
      </w:r>
    </w:p>
    <w:p w14:paraId="6797AF89">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eastAsia" w:ascii="Times New Roman" w:hAnsi="Times New Roman" w:eastAsia="宋体" w:cs="Times New Roman"/>
          <w:color w:val="auto"/>
          <w:spacing w:val="-1"/>
          <w:sz w:val="24"/>
          <w:szCs w:val="24"/>
          <w:lang w:val="en-US" w:eastAsia="zh-CN"/>
        </w:rPr>
      </w:pPr>
      <w:r>
        <w:rPr>
          <w:rFonts w:hint="eastAsia" w:ascii="Times New Roman" w:hAnsi="Times New Roman" w:eastAsia="宋体" w:cs="Times New Roman"/>
          <w:color w:val="auto"/>
          <w:spacing w:val="-1"/>
          <w:sz w:val="24"/>
          <w:szCs w:val="24"/>
          <w:lang w:val="en-US" w:eastAsia="zh-CN"/>
        </w:rPr>
        <w:t>①建立健全工程项目生产工艺流程及生产设备的档案，切实掌握工程项目的运行情况。</w:t>
      </w:r>
    </w:p>
    <w:p w14:paraId="71CBB56F">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eastAsia" w:ascii="Times New Roman" w:hAnsi="Times New Roman" w:eastAsia="宋体" w:cs="Times New Roman"/>
          <w:color w:val="auto"/>
          <w:spacing w:val="-1"/>
          <w:sz w:val="24"/>
          <w:szCs w:val="24"/>
          <w:lang w:val="en-US" w:eastAsia="zh-CN"/>
        </w:rPr>
      </w:pPr>
      <w:r>
        <w:rPr>
          <w:rFonts w:hint="eastAsia" w:ascii="Times New Roman" w:hAnsi="Times New Roman" w:eastAsia="宋体" w:cs="Times New Roman"/>
          <w:color w:val="auto"/>
          <w:spacing w:val="-1"/>
          <w:sz w:val="24"/>
          <w:szCs w:val="24"/>
          <w:lang w:val="en-US" w:eastAsia="zh-CN"/>
        </w:rPr>
        <w:t>②保证工程项目各个环节的安全正常运行，掌握其运行过程中存在的潜在不利因素，及时提出改进措施及建议。</w:t>
      </w:r>
    </w:p>
    <w:p w14:paraId="0D25B66C">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eastAsia" w:ascii="Times New Roman" w:hAnsi="Times New Roman" w:eastAsia="宋体" w:cs="Times New Roman"/>
          <w:color w:val="auto"/>
          <w:spacing w:val="-1"/>
          <w:sz w:val="24"/>
          <w:szCs w:val="24"/>
          <w:lang w:val="en-US" w:eastAsia="zh-CN"/>
        </w:rPr>
      </w:pPr>
      <w:r>
        <w:rPr>
          <w:rFonts w:hint="eastAsia" w:ascii="Times New Roman" w:hAnsi="Times New Roman" w:eastAsia="宋体" w:cs="Times New Roman"/>
          <w:color w:val="auto"/>
          <w:spacing w:val="-1"/>
          <w:sz w:val="24"/>
          <w:szCs w:val="24"/>
          <w:lang w:val="en-US" w:eastAsia="zh-CN"/>
        </w:rPr>
        <w:t>③掌握工程运行中的污染源状况，建立完善的污染源档案。</w:t>
      </w:r>
    </w:p>
    <w:p w14:paraId="25DD9954">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eastAsia" w:ascii="Times New Roman" w:hAnsi="Times New Roman" w:eastAsia="宋体" w:cs="Times New Roman"/>
          <w:color w:val="auto"/>
          <w:spacing w:val="-1"/>
          <w:sz w:val="24"/>
          <w:szCs w:val="24"/>
          <w:lang w:val="en-US" w:eastAsia="zh-CN"/>
        </w:rPr>
      </w:pPr>
      <w:r>
        <w:rPr>
          <w:rFonts w:hint="eastAsia" w:ascii="Times New Roman" w:hAnsi="Times New Roman" w:eastAsia="宋体" w:cs="Times New Roman"/>
          <w:color w:val="auto"/>
          <w:spacing w:val="-1"/>
          <w:sz w:val="24"/>
          <w:szCs w:val="24"/>
          <w:lang w:val="en-US" w:eastAsia="zh-CN"/>
        </w:rPr>
        <w:t>④做好环境保护宣传、职工环境保护意识教育和技能培训工作。</w:t>
      </w:r>
    </w:p>
    <w:p w14:paraId="53175027">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eastAsia" w:ascii="Times New Roman" w:hAnsi="Times New Roman" w:eastAsia="宋体" w:cs="Times New Roman"/>
          <w:color w:val="auto"/>
          <w:spacing w:val="-1"/>
          <w:sz w:val="24"/>
          <w:szCs w:val="24"/>
          <w:lang w:val="en-US" w:eastAsia="zh-CN"/>
        </w:rPr>
      </w:pPr>
      <w:r>
        <w:rPr>
          <w:rFonts w:hint="eastAsia" w:ascii="Times New Roman" w:hAnsi="Times New Roman" w:eastAsia="宋体" w:cs="Times New Roman"/>
          <w:color w:val="auto"/>
          <w:spacing w:val="-1"/>
          <w:sz w:val="24"/>
          <w:szCs w:val="24"/>
          <w:lang w:val="en-US" w:eastAsia="zh-CN"/>
        </w:rPr>
        <w:t>⑤负责工艺设施、设备及环保设施的维护和管理，制定生产设备、环保设备的操作规程，定期检查其运行情况，并对生产设备、环保设施进行定期维护，以保证其正常运行。</w:t>
      </w:r>
    </w:p>
    <w:p w14:paraId="6E2D0B9D">
      <w:pPr>
        <w:keepNext w:val="0"/>
        <w:keepLines w:val="0"/>
        <w:pageBreakBefore w:val="0"/>
        <w:wordWrap/>
        <w:overflowPunct/>
        <w:topLinePunct w:val="0"/>
        <w:autoSpaceDE w:val="0"/>
        <w:autoSpaceDN w:val="0"/>
        <w:bidi w:val="0"/>
        <w:adjustRightInd w:val="0"/>
        <w:spacing w:line="360" w:lineRule="auto"/>
        <w:textAlignment w:val="baseline"/>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8.1.4环境管理目标</w:t>
      </w:r>
    </w:p>
    <w:p w14:paraId="59BC5F75">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eastAsia" w:ascii="Times New Roman" w:hAnsi="Times New Roman" w:eastAsia="宋体" w:cs="Times New Roman"/>
          <w:color w:val="auto"/>
          <w:spacing w:val="-1"/>
          <w:sz w:val="24"/>
          <w:szCs w:val="24"/>
          <w:lang w:val="en-US" w:eastAsia="zh-CN"/>
        </w:rPr>
      </w:pPr>
      <w:r>
        <w:rPr>
          <w:rFonts w:hint="eastAsia" w:ascii="Times New Roman" w:hAnsi="Times New Roman" w:eastAsia="宋体" w:cs="Times New Roman"/>
          <w:color w:val="auto"/>
          <w:spacing w:val="-1"/>
          <w:sz w:val="24"/>
          <w:szCs w:val="24"/>
          <w:lang w:val="en-US" w:eastAsia="zh-CN"/>
        </w:rPr>
        <w:t>贯彻清洁生产思想，采用先进的工艺技术和自动控制系统，节约资源、降低能耗、减少物料在生产过程的损失。采取有效的末端治理措施，使企业所排各种污染物达标排放，并提高资源回收率。</w:t>
      </w:r>
    </w:p>
    <w:p w14:paraId="3AD23D00">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eastAsia" w:ascii="Times New Roman" w:hAnsi="Times New Roman" w:eastAsia="微软雅黑" w:cs="Times New Roman"/>
          <w:color w:val="auto"/>
          <w:spacing w:val="6"/>
          <w:sz w:val="32"/>
          <w:szCs w:val="32"/>
          <w:highlight w:val="none"/>
          <w:lang w:val="en-US" w:eastAsia="zh-CN"/>
        </w:rPr>
      </w:pPr>
      <w:bookmarkStart w:id="77" w:name="_Toc24744"/>
      <w:r>
        <w:rPr>
          <w:rFonts w:hint="eastAsia" w:ascii="Times New Roman" w:hAnsi="Times New Roman" w:eastAsia="微软雅黑" w:cs="Times New Roman"/>
          <w:color w:val="auto"/>
          <w:spacing w:val="6"/>
          <w:sz w:val="32"/>
          <w:szCs w:val="32"/>
          <w:highlight w:val="none"/>
          <w:lang w:val="en-US" w:eastAsia="zh-CN"/>
        </w:rPr>
        <w:t>8.2</w:t>
      </w:r>
      <w:bookmarkStart w:id="78" w:name="_Toc10409"/>
      <w:bookmarkStart w:id="79" w:name="_Toc29386"/>
      <w:r>
        <w:rPr>
          <w:rFonts w:hint="eastAsia" w:ascii="Times New Roman" w:hAnsi="Times New Roman" w:eastAsia="微软雅黑" w:cs="Times New Roman"/>
          <w:color w:val="auto"/>
          <w:spacing w:val="6"/>
          <w:sz w:val="32"/>
          <w:szCs w:val="32"/>
          <w:highlight w:val="none"/>
          <w:lang w:val="en-US" w:eastAsia="zh-CN"/>
        </w:rPr>
        <w:t xml:space="preserve"> 污染物排放清单及管理要求</w:t>
      </w:r>
      <w:bookmarkEnd w:id="77"/>
      <w:bookmarkEnd w:id="78"/>
      <w:bookmarkEnd w:id="79"/>
    </w:p>
    <w:p w14:paraId="469313BF">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8</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.2.1污染物排放清单</w:t>
      </w:r>
    </w:p>
    <w:p w14:paraId="7645DE4C">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项目污染物排放清单见表8.2-1</w:t>
      </w:r>
      <w:r>
        <w:rPr>
          <w:rFonts w:hint="eastAsia" w:ascii="Times New Roman" w:hAnsi="Times New Roman" w:eastAsia="宋体" w:cs="Times New Roman"/>
          <w:color w:val="auto"/>
          <w:spacing w:val="-1"/>
          <w:sz w:val="24"/>
          <w:szCs w:val="24"/>
          <w:lang w:val="en-US" w:eastAsia="zh-CN"/>
        </w:rPr>
        <w:t>。</w:t>
      </w:r>
    </w:p>
    <w:p w14:paraId="7FBE7B02">
      <w:pP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sectPr>
          <w:pgSz w:w="11906" w:h="16838"/>
          <w:pgMar w:top="1134" w:right="1417" w:bottom="1134" w:left="1417" w:header="850"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616DF8CB">
      <w:pPr>
        <w:pStyle w:val="44"/>
        <w:bidi w:val="0"/>
        <w:rPr>
          <w:rFonts w:hint="eastAsia"/>
          <w:color w:val="auto"/>
          <w:highlight w:val="none"/>
          <w:lang w:val="en-US" w:eastAsia="zh-CN"/>
        </w:rPr>
      </w:pPr>
      <w:r>
        <w:rPr>
          <w:color w:val="auto"/>
          <w:highlight w:val="none"/>
        </w:rPr>
        <w:t>表8.2-1  污染物排放清单</w:t>
      </w:r>
      <w:r>
        <w:rPr>
          <w:rFonts w:hint="eastAsia"/>
          <w:color w:val="auto"/>
          <w:highlight w:val="none"/>
          <w:lang w:val="en-US" w:eastAsia="zh-CN"/>
        </w:rPr>
        <w:t>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5"/>
        <w:gridCol w:w="1719"/>
        <w:gridCol w:w="1906"/>
        <w:gridCol w:w="2074"/>
        <w:gridCol w:w="1261"/>
        <w:gridCol w:w="1045"/>
        <w:gridCol w:w="988"/>
        <w:gridCol w:w="1406"/>
        <w:gridCol w:w="3622"/>
      </w:tblGrid>
      <w:tr w14:paraId="453D44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noWrap w:val="0"/>
            <w:vAlign w:val="center"/>
          </w:tcPr>
          <w:p w14:paraId="40545C4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种类</w:t>
            </w:r>
          </w:p>
        </w:tc>
        <w:tc>
          <w:tcPr>
            <w:tcW w:w="581" w:type="pct"/>
            <w:noWrap w:val="0"/>
            <w:vAlign w:val="center"/>
          </w:tcPr>
          <w:p w14:paraId="35BE5622">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w:t>
            </w:r>
          </w:p>
        </w:tc>
        <w:tc>
          <w:tcPr>
            <w:tcW w:w="644" w:type="pct"/>
            <w:noWrap w:val="0"/>
            <w:vAlign w:val="center"/>
          </w:tcPr>
          <w:p w14:paraId="120F7BD3">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701" w:type="pct"/>
            <w:noWrap w:val="0"/>
            <w:vAlign w:val="center"/>
          </w:tcPr>
          <w:p w14:paraId="45D269C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环境保护措施及主要运行参数</w:t>
            </w:r>
          </w:p>
        </w:tc>
        <w:tc>
          <w:tcPr>
            <w:tcW w:w="426" w:type="pct"/>
            <w:noWrap w:val="0"/>
            <w:vAlign w:val="center"/>
          </w:tcPr>
          <w:p w14:paraId="7FBEAD0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排污口信息</w:t>
            </w:r>
          </w:p>
        </w:tc>
        <w:tc>
          <w:tcPr>
            <w:tcW w:w="353" w:type="pct"/>
            <w:tcBorders>
              <w:right w:val="single" w:color="000000" w:sz="4" w:space="0"/>
            </w:tcBorders>
            <w:noWrap w:val="0"/>
            <w:vAlign w:val="center"/>
          </w:tcPr>
          <w:p w14:paraId="0BAE50BF">
            <w:pPr>
              <w:pStyle w:val="83"/>
              <w:spacing w:line="240" w:lineRule="auto"/>
              <w:ind w:left="19" w:leftChars="9" w:right="19" w:rightChars="9" w:firstLine="0" w:firstLineChars="0"/>
              <w:rPr>
                <w:rFonts w:hint="default" w:ascii="Times New Roman" w:hAnsi="Times New Roman" w:eastAsia="宋体" w:cs="Times New Roman"/>
                <w:color w:val="FF0000"/>
                <w:highlight w:val="none"/>
                <w:lang w:val="en-US" w:eastAsia="zh-CN"/>
              </w:rPr>
            </w:pPr>
            <w:r>
              <w:rPr>
                <w:rFonts w:hint="default" w:ascii="Times New Roman" w:hAnsi="Times New Roman" w:cs="Times New Roman"/>
                <w:color w:val="auto"/>
              </w:rPr>
              <w:t>排放浓度mg/m</w:t>
            </w:r>
            <w:r>
              <w:rPr>
                <w:rFonts w:hint="default" w:ascii="Times New Roman" w:hAnsi="Times New Roman" w:cs="Times New Roman"/>
                <w:color w:val="auto"/>
                <w:vertAlign w:val="superscript"/>
              </w:rPr>
              <w:t>3</w:t>
            </w:r>
          </w:p>
        </w:tc>
        <w:tc>
          <w:tcPr>
            <w:tcW w:w="334" w:type="pct"/>
            <w:tcBorders>
              <w:left w:val="single" w:color="000000" w:sz="4" w:space="0"/>
            </w:tcBorders>
            <w:noWrap w:val="0"/>
            <w:vAlign w:val="center"/>
          </w:tcPr>
          <w:p w14:paraId="2B461429">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cs="Times New Roman"/>
                <w:color w:val="auto"/>
              </w:rPr>
              <w:t>排放速率kg/h</w:t>
            </w:r>
          </w:p>
        </w:tc>
        <w:tc>
          <w:tcPr>
            <w:tcW w:w="475" w:type="pct"/>
            <w:noWrap w:val="0"/>
            <w:vAlign w:val="center"/>
          </w:tcPr>
          <w:p w14:paraId="2C6C431C">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cs="Times New Roman"/>
                <w:color w:val="auto"/>
              </w:rPr>
              <w:t>排放量t/a</w:t>
            </w:r>
          </w:p>
        </w:tc>
        <w:tc>
          <w:tcPr>
            <w:tcW w:w="1224" w:type="pct"/>
            <w:noWrap w:val="0"/>
            <w:vAlign w:val="center"/>
          </w:tcPr>
          <w:p w14:paraId="2064187F">
            <w:pPr>
              <w:pStyle w:val="37"/>
              <w:bidi w:val="0"/>
              <w:rPr>
                <w:rFonts w:hint="default" w:ascii="Times New Roman" w:hAnsi="Times New Roman" w:cs="Times New Roman"/>
                <w:color w:val="FF0000"/>
                <w:highlight w:val="none"/>
              </w:rPr>
            </w:pPr>
            <w:r>
              <w:rPr>
                <w:rFonts w:hint="default" w:ascii="Times New Roman" w:hAnsi="Times New Roman" w:cs="Times New Roman"/>
                <w:color w:val="auto"/>
                <w:highlight w:val="none"/>
              </w:rPr>
              <w:t>执行的环境标准</w:t>
            </w:r>
          </w:p>
        </w:tc>
      </w:tr>
      <w:tr w14:paraId="7C8A40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restart"/>
            <w:noWrap w:val="0"/>
            <w:vAlign w:val="center"/>
          </w:tcPr>
          <w:p w14:paraId="7FDEFD94">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tc>
        <w:tc>
          <w:tcPr>
            <w:tcW w:w="581" w:type="pct"/>
            <w:vMerge w:val="restart"/>
            <w:noWrap w:val="0"/>
            <w:vAlign w:val="center"/>
          </w:tcPr>
          <w:p w14:paraId="77F8213A">
            <w:pPr>
              <w:pStyle w:val="37"/>
              <w:bidi w:val="0"/>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en-US" w:eastAsia="zh-CN"/>
              </w:rPr>
              <w:t>注塑废气</w:t>
            </w:r>
          </w:p>
        </w:tc>
        <w:tc>
          <w:tcPr>
            <w:tcW w:w="644" w:type="pct"/>
            <w:shd w:val="clear" w:color="auto" w:fill="auto"/>
            <w:noWrap w:val="0"/>
            <w:vAlign w:val="center"/>
          </w:tcPr>
          <w:p w14:paraId="5133BD1F">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非甲烷总烃</w:t>
            </w:r>
          </w:p>
        </w:tc>
        <w:tc>
          <w:tcPr>
            <w:tcW w:w="701" w:type="pct"/>
            <w:vMerge w:val="restart"/>
            <w:noWrap w:val="0"/>
            <w:vAlign w:val="center"/>
          </w:tcPr>
          <w:p w14:paraId="6298225C">
            <w:pPr>
              <w:pStyle w:val="37"/>
              <w:bidi w:val="0"/>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en-US" w:eastAsia="zh-CN"/>
              </w:rPr>
              <w:t>集气罩</w:t>
            </w:r>
            <w:r>
              <w:rPr>
                <w:rFonts w:hint="default" w:ascii="Times New Roman" w:hAnsi="Times New Roman" w:cs="Times New Roman"/>
                <w:color w:val="auto"/>
                <w:highlight w:val="none"/>
              </w:rPr>
              <w:t>+</w:t>
            </w:r>
            <w:r>
              <w:rPr>
                <w:rFonts w:hint="default" w:ascii="Times New Roman" w:hAnsi="Times New Roman" w:eastAsia="宋体" w:cs="Times New Roman"/>
                <w:color w:val="auto"/>
                <w:highlight w:val="none"/>
                <w:lang w:val="en-US" w:eastAsia="zh-CN"/>
              </w:rPr>
              <w:t>四级活性炭</w:t>
            </w:r>
            <w:r>
              <w:rPr>
                <w:rFonts w:hint="default" w:ascii="Times New Roman" w:hAnsi="Times New Roman" w:cs="Times New Roman"/>
                <w:color w:val="auto"/>
                <w:highlight w:val="none"/>
              </w:rPr>
              <w:t>吸附装置+15m高排气筒</w:t>
            </w:r>
          </w:p>
        </w:tc>
        <w:tc>
          <w:tcPr>
            <w:tcW w:w="426" w:type="pct"/>
            <w:vMerge w:val="restart"/>
            <w:noWrap w:val="0"/>
            <w:vAlign w:val="center"/>
          </w:tcPr>
          <w:p w14:paraId="203D4F4A">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排气筒DA001</w:t>
            </w:r>
          </w:p>
        </w:tc>
        <w:tc>
          <w:tcPr>
            <w:tcW w:w="353" w:type="pct"/>
            <w:tcBorders>
              <w:right w:val="single" w:color="000000" w:sz="4" w:space="0"/>
            </w:tcBorders>
            <w:noWrap w:val="0"/>
            <w:vAlign w:val="center"/>
          </w:tcPr>
          <w:p w14:paraId="6BE48E1C">
            <w:pPr>
              <w:pStyle w:val="37"/>
              <w:bidi w:val="0"/>
              <w:ind w:firstLine="0" w:firstLineChars="0"/>
              <w:rPr>
                <w:rFonts w:hint="default" w:ascii="Times New Roman" w:hAnsi="Times New Roman" w:cs="Times New Roman"/>
                <w:color w:val="FF0000"/>
                <w:highlight w:val="none"/>
              </w:rPr>
            </w:pPr>
            <w:r>
              <w:rPr>
                <w:rFonts w:hint="default" w:ascii="Times New Roman" w:hAnsi="Times New Roman" w:cs="Times New Roman"/>
                <w:color w:val="auto"/>
                <w:highlight w:val="none"/>
                <w:lang w:val="en-US" w:eastAsia="zh-CN"/>
              </w:rPr>
              <w:t>1.293</w:t>
            </w:r>
          </w:p>
        </w:tc>
        <w:tc>
          <w:tcPr>
            <w:tcW w:w="334" w:type="pct"/>
            <w:tcBorders>
              <w:left w:val="single" w:color="000000" w:sz="4" w:space="0"/>
            </w:tcBorders>
            <w:noWrap w:val="0"/>
            <w:vAlign w:val="center"/>
          </w:tcPr>
          <w:p w14:paraId="55CF32B3">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0.039</w:t>
            </w:r>
          </w:p>
        </w:tc>
        <w:tc>
          <w:tcPr>
            <w:tcW w:w="475" w:type="pct"/>
            <w:noWrap w:val="0"/>
            <w:vAlign w:val="center"/>
          </w:tcPr>
          <w:p w14:paraId="2CEF2E40">
            <w:pPr>
              <w:pStyle w:val="83"/>
              <w:spacing w:line="240" w:lineRule="auto"/>
              <w:ind w:left="19" w:leftChars="9" w:right="19" w:rightChars="9" w:firstLine="0" w:firstLineChars="0"/>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auto"/>
                <w:lang w:val="en-US" w:eastAsia="zh-CN"/>
              </w:rPr>
              <w:t>0.27</w:t>
            </w:r>
          </w:p>
        </w:tc>
        <w:tc>
          <w:tcPr>
            <w:tcW w:w="1224" w:type="pct"/>
            <w:vMerge w:val="restart"/>
            <w:noWrap w:val="0"/>
            <w:vAlign w:val="center"/>
          </w:tcPr>
          <w:p w14:paraId="2B22A84C">
            <w:pPr>
              <w:pStyle w:val="37"/>
              <w:bidi w:val="0"/>
              <w:rPr>
                <w:rFonts w:hint="default" w:ascii="Times New Roman" w:hAnsi="Times New Roman" w:cs="Times New Roman"/>
                <w:color w:val="FF0000"/>
                <w:highlight w:val="none"/>
              </w:rPr>
            </w:pPr>
            <w:r>
              <w:rPr>
                <w:rFonts w:hint="default" w:ascii="Times New Roman" w:hAnsi="Times New Roman" w:cs="Times New Roman"/>
                <w:color w:val="auto"/>
                <w:highlight w:val="none"/>
                <w:lang w:val="en-US" w:eastAsia="zh-CN"/>
              </w:rPr>
              <w:t>《合成树脂工业污染物排放标准》（GB 31572-2015，含2024年修改单）中表4大气污染物排放限值</w:t>
            </w:r>
          </w:p>
        </w:tc>
      </w:tr>
      <w:tr w14:paraId="50FE05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65029DA4">
            <w:pPr>
              <w:pStyle w:val="37"/>
              <w:bidi w:val="0"/>
              <w:rPr>
                <w:rFonts w:hint="default" w:ascii="Times New Roman" w:hAnsi="Times New Roman" w:cs="Times New Roman"/>
                <w:color w:val="auto"/>
                <w:highlight w:val="none"/>
              </w:rPr>
            </w:pPr>
          </w:p>
        </w:tc>
        <w:tc>
          <w:tcPr>
            <w:tcW w:w="581" w:type="pct"/>
            <w:vMerge w:val="continue"/>
            <w:noWrap w:val="0"/>
            <w:vAlign w:val="center"/>
          </w:tcPr>
          <w:p w14:paraId="4F6DAD24">
            <w:pPr>
              <w:pStyle w:val="37"/>
              <w:bidi w:val="0"/>
              <w:rPr>
                <w:rFonts w:hint="default" w:ascii="Times New Roman" w:hAnsi="Times New Roman" w:cs="Times New Roman"/>
                <w:color w:val="auto"/>
                <w:highlight w:val="none"/>
                <w:lang w:val="en-US" w:eastAsia="zh-CN"/>
              </w:rPr>
            </w:pPr>
          </w:p>
        </w:tc>
        <w:tc>
          <w:tcPr>
            <w:tcW w:w="644" w:type="pct"/>
            <w:shd w:val="clear" w:color="auto" w:fill="auto"/>
            <w:noWrap w:val="0"/>
            <w:vAlign w:val="center"/>
          </w:tcPr>
          <w:p w14:paraId="4638028D">
            <w:pPr>
              <w:pStyle w:val="37"/>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丙烯腈</w:t>
            </w:r>
          </w:p>
        </w:tc>
        <w:tc>
          <w:tcPr>
            <w:tcW w:w="701" w:type="pct"/>
            <w:vMerge w:val="continue"/>
            <w:noWrap w:val="0"/>
            <w:vAlign w:val="center"/>
          </w:tcPr>
          <w:p w14:paraId="2E73048B">
            <w:pPr>
              <w:pStyle w:val="37"/>
              <w:bidi w:val="0"/>
              <w:rPr>
                <w:rFonts w:hint="default" w:ascii="Times New Roman" w:hAnsi="Times New Roman" w:cs="Times New Roman"/>
                <w:color w:val="FF0000"/>
                <w:highlight w:val="none"/>
              </w:rPr>
            </w:pPr>
          </w:p>
        </w:tc>
        <w:tc>
          <w:tcPr>
            <w:tcW w:w="426" w:type="pct"/>
            <w:vMerge w:val="continue"/>
            <w:noWrap w:val="0"/>
            <w:vAlign w:val="center"/>
          </w:tcPr>
          <w:p w14:paraId="0712A6AE">
            <w:pPr>
              <w:pStyle w:val="37"/>
              <w:bidi w:val="0"/>
              <w:rPr>
                <w:rFonts w:hint="default" w:ascii="Times New Roman" w:hAnsi="Times New Roman" w:cs="Times New Roman"/>
                <w:color w:val="FF0000"/>
                <w:highlight w:val="none"/>
                <w:lang w:val="en-US" w:eastAsia="zh-CN"/>
              </w:rPr>
            </w:pPr>
          </w:p>
        </w:tc>
        <w:tc>
          <w:tcPr>
            <w:tcW w:w="353" w:type="pct"/>
            <w:tcBorders>
              <w:right w:val="single" w:color="000000" w:sz="4" w:space="0"/>
            </w:tcBorders>
            <w:noWrap w:val="0"/>
            <w:vAlign w:val="center"/>
          </w:tcPr>
          <w:p w14:paraId="12CF6E10">
            <w:pPr>
              <w:pStyle w:val="37"/>
              <w:bidi w:val="0"/>
              <w:ind w:firstLine="0" w:firstLineChars="0"/>
              <w:rPr>
                <w:rFonts w:hint="default" w:ascii="Times New Roman" w:hAnsi="Times New Roman" w:cs="Times New Roman"/>
                <w:color w:val="FF0000"/>
                <w:highlight w:val="none"/>
                <w:lang w:val="en-US" w:eastAsia="zh-CN"/>
              </w:rPr>
            </w:pPr>
            <w:r>
              <w:rPr>
                <w:rFonts w:hint="default" w:ascii="Times New Roman" w:hAnsi="Times New Roman" w:cs="Times New Roman"/>
                <w:color w:val="auto"/>
                <w:highlight w:val="none"/>
                <w:lang w:val="en-US" w:eastAsia="zh-CN"/>
              </w:rPr>
              <w:t>0.006</w:t>
            </w:r>
          </w:p>
        </w:tc>
        <w:tc>
          <w:tcPr>
            <w:tcW w:w="334" w:type="pct"/>
            <w:tcBorders>
              <w:left w:val="single" w:color="000000" w:sz="4" w:space="0"/>
            </w:tcBorders>
            <w:noWrap w:val="0"/>
            <w:vAlign w:val="center"/>
          </w:tcPr>
          <w:p w14:paraId="31676C56">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0.0002</w:t>
            </w:r>
          </w:p>
        </w:tc>
        <w:tc>
          <w:tcPr>
            <w:tcW w:w="475" w:type="pct"/>
            <w:noWrap w:val="0"/>
            <w:vAlign w:val="center"/>
          </w:tcPr>
          <w:p w14:paraId="7E2514E6">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lang w:val="en-US" w:eastAsia="zh-CN"/>
              </w:rPr>
              <w:t>0.001</w:t>
            </w:r>
          </w:p>
        </w:tc>
        <w:tc>
          <w:tcPr>
            <w:tcW w:w="1224" w:type="pct"/>
            <w:vMerge w:val="continue"/>
            <w:noWrap w:val="0"/>
            <w:vAlign w:val="center"/>
          </w:tcPr>
          <w:p w14:paraId="6B173B65">
            <w:pPr>
              <w:pStyle w:val="37"/>
              <w:bidi w:val="0"/>
              <w:rPr>
                <w:rFonts w:hint="default" w:ascii="Times New Roman" w:hAnsi="Times New Roman" w:cs="Times New Roman"/>
                <w:color w:val="FF0000"/>
                <w:highlight w:val="none"/>
              </w:rPr>
            </w:pPr>
          </w:p>
        </w:tc>
      </w:tr>
      <w:tr w14:paraId="038111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5E36C51E">
            <w:pPr>
              <w:pStyle w:val="37"/>
              <w:bidi w:val="0"/>
              <w:rPr>
                <w:rFonts w:hint="default" w:ascii="Times New Roman" w:hAnsi="Times New Roman" w:cs="Times New Roman"/>
                <w:color w:val="auto"/>
                <w:highlight w:val="none"/>
              </w:rPr>
            </w:pPr>
          </w:p>
        </w:tc>
        <w:tc>
          <w:tcPr>
            <w:tcW w:w="581" w:type="pct"/>
            <w:vMerge w:val="continue"/>
            <w:noWrap w:val="0"/>
            <w:vAlign w:val="center"/>
          </w:tcPr>
          <w:p w14:paraId="3C19F1E2">
            <w:pPr>
              <w:pStyle w:val="37"/>
              <w:bidi w:val="0"/>
              <w:rPr>
                <w:rFonts w:hint="default" w:ascii="Times New Roman" w:hAnsi="Times New Roman" w:cs="Times New Roman"/>
                <w:color w:val="auto"/>
                <w:highlight w:val="none"/>
                <w:lang w:val="en-US" w:eastAsia="zh-CN"/>
              </w:rPr>
            </w:pPr>
          </w:p>
        </w:tc>
        <w:tc>
          <w:tcPr>
            <w:tcW w:w="644" w:type="pct"/>
            <w:shd w:val="clear" w:color="auto" w:fill="auto"/>
            <w:noWrap w:val="0"/>
            <w:vAlign w:val="center"/>
          </w:tcPr>
          <w:p w14:paraId="359065EF">
            <w:pPr>
              <w:pStyle w:val="37"/>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乙苯</w:t>
            </w:r>
          </w:p>
        </w:tc>
        <w:tc>
          <w:tcPr>
            <w:tcW w:w="701" w:type="pct"/>
            <w:vMerge w:val="continue"/>
            <w:noWrap w:val="0"/>
            <w:vAlign w:val="center"/>
          </w:tcPr>
          <w:p w14:paraId="7814265C">
            <w:pPr>
              <w:pStyle w:val="37"/>
              <w:bidi w:val="0"/>
              <w:rPr>
                <w:rFonts w:hint="default" w:ascii="Times New Roman" w:hAnsi="Times New Roman" w:cs="Times New Roman"/>
                <w:color w:val="FF0000"/>
                <w:highlight w:val="none"/>
              </w:rPr>
            </w:pPr>
          </w:p>
        </w:tc>
        <w:tc>
          <w:tcPr>
            <w:tcW w:w="426" w:type="pct"/>
            <w:vMerge w:val="continue"/>
            <w:noWrap w:val="0"/>
            <w:vAlign w:val="center"/>
          </w:tcPr>
          <w:p w14:paraId="0AB55A97">
            <w:pPr>
              <w:pStyle w:val="37"/>
              <w:bidi w:val="0"/>
              <w:rPr>
                <w:rFonts w:hint="default" w:ascii="Times New Roman" w:hAnsi="Times New Roman" w:cs="Times New Roman"/>
                <w:color w:val="FF0000"/>
                <w:highlight w:val="none"/>
                <w:lang w:val="en-US" w:eastAsia="zh-CN"/>
              </w:rPr>
            </w:pPr>
          </w:p>
        </w:tc>
        <w:tc>
          <w:tcPr>
            <w:tcW w:w="353" w:type="pct"/>
            <w:tcBorders>
              <w:right w:val="single" w:color="000000" w:sz="4" w:space="0"/>
            </w:tcBorders>
            <w:noWrap w:val="0"/>
            <w:vAlign w:val="center"/>
          </w:tcPr>
          <w:p w14:paraId="5850A847">
            <w:pPr>
              <w:pStyle w:val="37"/>
              <w:bidi w:val="0"/>
              <w:ind w:firstLine="0" w:firstLineChars="0"/>
              <w:rPr>
                <w:rFonts w:hint="default" w:ascii="Times New Roman" w:hAnsi="Times New Roman" w:cs="Times New Roman"/>
                <w:color w:val="FF0000"/>
                <w:highlight w:val="none"/>
                <w:lang w:val="en-US" w:eastAsia="zh-CN"/>
              </w:rPr>
            </w:pPr>
            <w:r>
              <w:rPr>
                <w:rFonts w:hint="default" w:ascii="Times New Roman" w:hAnsi="Times New Roman" w:cs="Times New Roman"/>
                <w:color w:val="auto"/>
                <w:highlight w:val="none"/>
                <w:lang w:val="en-US" w:eastAsia="zh-CN"/>
              </w:rPr>
              <w:t>0.008</w:t>
            </w:r>
          </w:p>
        </w:tc>
        <w:tc>
          <w:tcPr>
            <w:tcW w:w="334" w:type="pct"/>
            <w:tcBorders>
              <w:left w:val="single" w:color="000000" w:sz="4" w:space="0"/>
            </w:tcBorders>
            <w:noWrap w:val="0"/>
            <w:vAlign w:val="center"/>
          </w:tcPr>
          <w:p w14:paraId="0DC1991A">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0.0002</w:t>
            </w:r>
          </w:p>
        </w:tc>
        <w:tc>
          <w:tcPr>
            <w:tcW w:w="475" w:type="pct"/>
            <w:noWrap w:val="0"/>
            <w:vAlign w:val="center"/>
          </w:tcPr>
          <w:p w14:paraId="303460C4">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lang w:val="en-US" w:eastAsia="zh-CN"/>
              </w:rPr>
              <w:t>0.002</w:t>
            </w:r>
          </w:p>
        </w:tc>
        <w:tc>
          <w:tcPr>
            <w:tcW w:w="1224" w:type="pct"/>
            <w:vMerge w:val="continue"/>
            <w:noWrap w:val="0"/>
            <w:vAlign w:val="center"/>
          </w:tcPr>
          <w:p w14:paraId="7B561598">
            <w:pPr>
              <w:pStyle w:val="37"/>
              <w:bidi w:val="0"/>
              <w:rPr>
                <w:rFonts w:hint="default" w:ascii="Times New Roman" w:hAnsi="Times New Roman" w:cs="Times New Roman"/>
                <w:color w:val="FF0000"/>
                <w:highlight w:val="none"/>
              </w:rPr>
            </w:pPr>
          </w:p>
        </w:tc>
      </w:tr>
      <w:tr w14:paraId="26B8A9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24B3FFC5">
            <w:pPr>
              <w:pStyle w:val="37"/>
              <w:bidi w:val="0"/>
              <w:rPr>
                <w:rFonts w:hint="default" w:ascii="Times New Roman" w:hAnsi="Times New Roman" w:cs="Times New Roman"/>
                <w:color w:val="auto"/>
                <w:highlight w:val="none"/>
              </w:rPr>
            </w:pPr>
          </w:p>
        </w:tc>
        <w:tc>
          <w:tcPr>
            <w:tcW w:w="581" w:type="pct"/>
            <w:vMerge w:val="continue"/>
            <w:noWrap w:val="0"/>
            <w:vAlign w:val="center"/>
          </w:tcPr>
          <w:p w14:paraId="4EC10EFB">
            <w:pPr>
              <w:pStyle w:val="37"/>
              <w:bidi w:val="0"/>
              <w:rPr>
                <w:rFonts w:hint="default" w:ascii="Times New Roman" w:hAnsi="Times New Roman" w:cs="Times New Roman"/>
                <w:color w:val="auto"/>
                <w:highlight w:val="none"/>
                <w:lang w:val="en-US" w:eastAsia="zh-CN"/>
              </w:rPr>
            </w:pPr>
          </w:p>
        </w:tc>
        <w:tc>
          <w:tcPr>
            <w:tcW w:w="644" w:type="pct"/>
            <w:shd w:val="clear" w:color="auto" w:fill="auto"/>
            <w:noWrap w:val="0"/>
            <w:vAlign w:val="center"/>
          </w:tcPr>
          <w:p w14:paraId="4A691511">
            <w:pPr>
              <w:pStyle w:val="37"/>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甲苯</w:t>
            </w:r>
          </w:p>
        </w:tc>
        <w:tc>
          <w:tcPr>
            <w:tcW w:w="701" w:type="pct"/>
            <w:vMerge w:val="continue"/>
            <w:noWrap w:val="0"/>
            <w:vAlign w:val="center"/>
          </w:tcPr>
          <w:p w14:paraId="669DFB7E">
            <w:pPr>
              <w:pStyle w:val="37"/>
              <w:bidi w:val="0"/>
              <w:rPr>
                <w:rFonts w:hint="default" w:ascii="Times New Roman" w:hAnsi="Times New Roman" w:cs="Times New Roman"/>
                <w:color w:val="FF0000"/>
                <w:highlight w:val="none"/>
              </w:rPr>
            </w:pPr>
          </w:p>
        </w:tc>
        <w:tc>
          <w:tcPr>
            <w:tcW w:w="426" w:type="pct"/>
            <w:vMerge w:val="continue"/>
            <w:noWrap w:val="0"/>
            <w:vAlign w:val="center"/>
          </w:tcPr>
          <w:p w14:paraId="0D730309">
            <w:pPr>
              <w:pStyle w:val="37"/>
              <w:bidi w:val="0"/>
              <w:rPr>
                <w:rFonts w:hint="default" w:ascii="Times New Roman" w:hAnsi="Times New Roman" w:cs="Times New Roman"/>
                <w:color w:val="FF0000"/>
                <w:highlight w:val="none"/>
                <w:lang w:val="en-US" w:eastAsia="zh-CN"/>
              </w:rPr>
            </w:pPr>
          </w:p>
        </w:tc>
        <w:tc>
          <w:tcPr>
            <w:tcW w:w="353" w:type="pct"/>
            <w:tcBorders>
              <w:right w:val="single" w:color="000000" w:sz="4" w:space="0"/>
            </w:tcBorders>
            <w:noWrap w:val="0"/>
            <w:vAlign w:val="center"/>
          </w:tcPr>
          <w:p w14:paraId="2D87227D">
            <w:pPr>
              <w:pStyle w:val="37"/>
              <w:bidi w:val="0"/>
              <w:ind w:firstLine="0" w:firstLineChars="0"/>
              <w:rPr>
                <w:rFonts w:hint="default" w:ascii="Times New Roman" w:hAnsi="Times New Roman" w:cs="Times New Roman"/>
                <w:color w:val="FF0000"/>
                <w:highlight w:val="none"/>
                <w:lang w:val="en-US" w:eastAsia="zh-CN"/>
              </w:rPr>
            </w:pPr>
            <w:r>
              <w:rPr>
                <w:rFonts w:hint="default" w:ascii="Times New Roman" w:hAnsi="Times New Roman" w:cs="Times New Roman"/>
                <w:color w:val="auto"/>
                <w:highlight w:val="none"/>
                <w:lang w:val="en-US" w:eastAsia="zh-CN"/>
              </w:rPr>
              <w:t>0.018</w:t>
            </w:r>
          </w:p>
        </w:tc>
        <w:tc>
          <w:tcPr>
            <w:tcW w:w="334" w:type="pct"/>
            <w:tcBorders>
              <w:left w:val="single" w:color="000000" w:sz="4" w:space="0"/>
            </w:tcBorders>
            <w:noWrap w:val="0"/>
            <w:vAlign w:val="center"/>
          </w:tcPr>
          <w:p w14:paraId="7C7CE135">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0.0005</w:t>
            </w:r>
          </w:p>
        </w:tc>
        <w:tc>
          <w:tcPr>
            <w:tcW w:w="475" w:type="pct"/>
            <w:noWrap w:val="0"/>
            <w:vAlign w:val="center"/>
          </w:tcPr>
          <w:p w14:paraId="098FD964">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lang w:val="en-US" w:eastAsia="zh-CN"/>
              </w:rPr>
              <w:t>0.004</w:t>
            </w:r>
          </w:p>
        </w:tc>
        <w:tc>
          <w:tcPr>
            <w:tcW w:w="1224" w:type="pct"/>
            <w:vMerge w:val="continue"/>
            <w:noWrap w:val="0"/>
            <w:vAlign w:val="center"/>
          </w:tcPr>
          <w:p w14:paraId="488AB298">
            <w:pPr>
              <w:pStyle w:val="37"/>
              <w:bidi w:val="0"/>
              <w:rPr>
                <w:rFonts w:hint="default" w:ascii="Times New Roman" w:hAnsi="Times New Roman" w:cs="Times New Roman"/>
                <w:color w:val="FF0000"/>
                <w:highlight w:val="none"/>
              </w:rPr>
            </w:pPr>
          </w:p>
        </w:tc>
      </w:tr>
      <w:tr w14:paraId="6E2B04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7977F529">
            <w:pPr>
              <w:pStyle w:val="37"/>
              <w:bidi w:val="0"/>
              <w:rPr>
                <w:rFonts w:hint="default" w:ascii="Times New Roman" w:hAnsi="Times New Roman" w:cs="Times New Roman"/>
                <w:color w:val="auto"/>
                <w:highlight w:val="none"/>
              </w:rPr>
            </w:pPr>
          </w:p>
        </w:tc>
        <w:tc>
          <w:tcPr>
            <w:tcW w:w="581" w:type="pct"/>
            <w:vMerge w:val="continue"/>
            <w:noWrap w:val="0"/>
            <w:vAlign w:val="center"/>
          </w:tcPr>
          <w:p w14:paraId="2C61B573">
            <w:pPr>
              <w:pStyle w:val="37"/>
              <w:bidi w:val="0"/>
              <w:rPr>
                <w:rFonts w:hint="default" w:ascii="Times New Roman" w:hAnsi="Times New Roman" w:cs="Times New Roman"/>
                <w:color w:val="auto"/>
                <w:highlight w:val="none"/>
                <w:lang w:val="en-US" w:eastAsia="zh-CN"/>
              </w:rPr>
            </w:pPr>
          </w:p>
        </w:tc>
        <w:tc>
          <w:tcPr>
            <w:tcW w:w="644" w:type="pct"/>
            <w:shd w:val="clear" w:color="auto" w:fill="auto"/>
            <w:noWrap w:val="0"/>
            <w:vAlign w:val="center"/>
          </w:tcPr>
          <w:p w14:paraId="22113670">
            <w:pPr>
              <w:pStyle w:val="37"/>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1,3-丁二烯</w:t>
            </w:r>
          </w:p>
        </w:tc>
        <w:tc>
          <w:tcPr>
            <w:tcW w:w="701" w:type="pct"/>
            <w:vMerge w:val="continue"/>
            <w:noWrap w:val="0"/>
            <w:vAlign w:val="center"/>
          </w:tcPr>
          <w:p w14:paraId="28040A95">
            <w:pPr>
              <w:pStyle w:val="37"/>
              <w:bidi w:val="0"/>
              <w:rPr>
                <w:rFonts w:hint="default" w:ascii="Times New Roman" w:hAnsi="Times New Roman" w:cs="Times New Roman"/>
                <w:color w:val="FF0000"/>
                <w:highlight w:val="none"/>
              </w:rPr>
            </w:pPr>
          </w:p>
        </w:tc>
        <w:tc>
          <w:tcPr>
            <w:tcW w:w="426" w:type="pct"/>
            <w:vMerge w:val="continue"/>
            <w:noWrap w:val="0"/>
            <w:vAlign w:val="center"/>
          </w:tcPr>
          <w:p w14:paraId="60C1DA84">
            <w:pPr>
              <w:pStyle w:val="37"/>
              <w:bidi w:val="0"/>
              <w:rPr>
                <w:rFonts w:hint="default" w:ascii="Times New Roman" w:hAnsi="Times New Roman" w:cs="Times New Roman"/>
                <w:color w:val="FF0000"/>
                <w:highlight w:val="none"/>
                <w:lang w:val="en-US" w:eastAsia="zh-CN"/>
              </w:rPr>
            </w:pPr>
          </w:p>
        </w:tc>
        <w:tc>
          <w:tcPr>
            <w:tcW w:w="353" w:type="pct"/>
            <w:tcBorders>
              <w:right w:val="single" w:color="000000" w:sz="4" w:space="0"/>
            </w:tcBorders>
            <w:noWrap w:val="0"/>
            <w:vAlign w:val="center"/>
          </w:tcPr>
          <w:p w14:paraId="08C958D7">
            <w:pPr>
              <w:pStyle w:val="37"/>
              <w:bidi w:val="0"/>
              <w:ind w:firstLine="0" w:firstLineChars="0"/>
              <w:rPr>
                <w:rFonts w:hint="default" w:ascii="Times New Roman" w:hAnsi="Times New Roman" w:cs="Times New Roman"/>
                <w:color w:val="FF0000"/>
                <w:highlight w:val="none"/>
                <w:lang w:val="en-US" w:eastAsia="zh-CN"/>
              </w:rPr>
            </w:pPr>
            <w:r>
              <w:rPr>
                <w:rFonts w:hint="default" w:ascii="Times New Roman" w:hAnsi="Times New Roman" w:cs="Times New Roman"/>
                <w:color w:val="auto"/>
                <w:highlight w:val="none"/>
                <w:lang w:val="en-US" w:eastAsia="zh-CN"/>
              </w:rPr>
              <w:t>0.002</w:t>
            </w:r>
          </w:p>
        </w:tc>
        <w:tc>
          <w:tcPr>
            <w:tcW w:w="334" w:type="pct"/>
            <w:tcBorders>
              <w:left w:val="single" w:color="000000" w:sz="4" w:space="0"/>
            </w:tcBorders>
            <w:noWrap w:val="0"/>
            <w:vAlign w:val="center"/>
          </w:tcPr>
          <w:p w14:paraId="1657DEEC">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0.0001</w:t>
            </w:r>
          </w:p>
        </w:tc>
        <w:tc>
          <w:tcPr>
            <w:tcW w:w="475" w:type="pct"/>
            <w:noWrap w:val="0"/>
            <w:vAlign w:val="center"/>
          </w:tcPr>
          <w:p w14:paraId="2062F3B4">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lang w:val="en-US" w:eastAsia="zh-CN"/>
              </w:rPr>
              <w:t>0.0005</w:t>
            </w:r>
          </w:p>
        </w:tc>
        <w:tc>
          <w:tcPr>
            <w:tcW w:w="1224" w:type="pct"/>
            <w:vMerge w:val="continue"/>
            <w:noWrap w:val="0"/>
            <w:vAlign w:val="center"/>
          </w:tcPr>
          <w:p w14:paraId="34A30D24">
            <w:pPr>
              <w:pStyle w:val="37"/>
              <w:bidi w:val="0"/>
              <w:rPr>
                <w:rFonts w:hint="default" w:ascii="Times New Roman" w:hAnsi="Times New Roman" w:cs="Times New Roman"/>
                <w:color w:val="FF0000"/>
                <w:highlight w:val="none"/>
              </w:rPr>
            </w:pPr>
          </w:p>
        </w:tc>
      </w:tr>
      <w:tr w14:paraId="36ACEA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74418797">
            <w:pPr>
              <w:pStyle w:val="37"/>
              <w:bidi w:val="0"/>
              <w:rPr>
                <w:rFonts w:hint="default" w:ascii="Times New Roman" w:hAnsi="Times New Roman" w:cs="Times New Roman"/>
                <w:color w:val="auto"/>
                <w:highlight w:val="none"/>
              </w:rPr>
            </w:pPr>
          </w:p>
        </w:tc>
        <w:tc>
          <w:tcPr>
            <w:tcW w:w="581" w:type="pct"/>
            <w:vMerge w:val="continue"/>
            <w:noWrap w:val="0"/>
            <w:vAlign w:val="center"/>
          </w:tcPr>
          <w:p w14:paraId="25B2BB89">
            <w:pPr>
              <w:pStyle w:val="37"/>
              <w:bidi w:val="0"/>
              <w:rPr>
                <w:rFonts w:hint="default" w:ascii="Times New Roman" w:hAnsi="Times New Roman" w:cs="Times New Roman"/>
                <w:color w:val="auto"/>
                <w:highlight w:val="none"/>
                <w:lang w:val="en-US" w:eastAsia="zh-CN"/>
              </w:rPr>
            </w:pPr>
          </w:p>
        </w:tc>
        <w:tc>
          <w:tcPr>
            <w:tcW w:w="644" w:type="pct"/>
            <w:shd w:val="clear" w:color="auto" w:fill="auto"/>
            <w:noWrap w:val="0"/>
            <w:vAlign w:val="center"/>
          </w:tcPr>
          <w:p w14:paraId="07EDB532">
            <w:pPr>
              <w:pStyle w:val="37"/>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酚类</w:t>
            </w:r>
          </w:p>
        </w:tc>
        <w:tc>
          <w:tcPr>
            <w:tcW w:w="701" w:type="pct"/>
            <w:vMerge w:val="continue"/>
            <w:noWrap w:val="0"/>
            <w:vAlign w:val="center"/>
          </w:tcPr>
          <w:p w14:paraId="00134A3D">
            <w:pPr>
              <w:pStyle w:val="37"/>
              <w:bidi w:val="0"/>
              <w:rPr>
                <w:rFonts w:hint="default" w:ascii="Times New Roman" w:hAnsi="Times New Roman" w:cs="Times New Roman"/>
                <w:color w:val="FF0000"/>
                <w:highlight w:val="none"/>
              </w:rPr>
            </w:pPr>
          </w:p>
        </w:tc>
        <w:tc>
          <w:tcPr>
            <w:tcW w:w="426" w:type="pct"/>
            <w:vMerge w:val="continue"/>
            <w:noWrap w:val="0"/>
            <w:vAlign w:val="center"/>
          </w:tcPr>
          <w:p w14:paraId="1599BFC6">
            <w:pPr>
              <w:pStyle w:val="37"/>
              <w:bidi w:val="0"/>
              <w:rPr>
                <w:rFonts w:hint="default" w:ascii="Times New Roman" w:hAnsi="Times New Roman" w:cs="Times New Roman"/>
                <w:color w:val="FF0000"/>
                <w:highlight w:val="none"/>
                <w:lang w:val="en-US" w:eastAsia="zh-CN"/>
              </w:rPr>
            </w:pPr>
          </w:p>
        </w:tc>
        <w:tc>
          <w:tcPr>
            <w:tcW w:w="353" w:type="pct"/>
            <w:tcBorders>
              <w:right w:val="single" w:color="000000" w:sz="4" w:space="0"/>
            </w:tcBorders>
            <w:noWrap w:val="0"/>
            <w:vAlign w:val="center"/>
          </w:tcPr>
          <w:p w14:paraId="6FFA51F0">
            <w:pPr>
              <w:pStyle w:val="37"/>
              <w:bidi w:val="0"/>
              <w:ind w:firstLine="0" w:firstLineChars="0"/>
              <w:rPr>
                <w:rFonts w:hint="default" w:ascii="Times New Roman" w:hAnsi="Times New Roman" w:cs="Times New Roman"/>
                <w:color w:val="FF0000"/>
                <w:highlight w:val="none"/>
                <w:lang w:val="en-US" w:eastAsia="zh-CN"/>
              </w:rPr>
            </w:pPr>
            <w:r>
              <w:rPr>
                <w:rFonts w:hint="default" w:ascii="Times New Roman" w:hAnsi="Times New Roman" w:cs="Times New Roman"/>
                <w:color w:val="auto"/>
                <w:highlight w:val="none"/>
                <w:lang w:val="en-US" w:eastAsia="zh-CN"/>
              </w:rPr>
              <w:t>0.035</w:t>
            </w:r>
          </w:p>
        </w:tc>
        <w:tc>
          <w:tcPr>
            <w:tcW w:w="334" w:type="pct"/>
            <w:tcBorders>
              <w:left w:val="single" w:color="000000" w:sz="4" w:space="0"/>
            </w:tcBorders>
            <w:noWrap w:val="0"/>
            <w:vAlign w:val="center"/>
          </w:tcPr>
          <w:p w14:paraId="11B1085E">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0.001</w:t>
            </w:r>
          </w:p>
        </w:tc>
        <w:tc>
          <w:tcPr>
            <w:tcW w:w="475" w:type="pct"/>
            <w:noWrap w:val="0"/>
            <w:vAlign w:val="center"/>
          </w:tcPr>
          <w:p w14:paraId="79E6ABAF">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lang w:val="en-US" w:eastAsia="zh-CN"/>
              </w:rPr>
              <w:t>0.007</w:t>
            </w:r>
          </w:p>
        </w:tc>
        <w:tc>
          <w:tcPr>
            <w:tcW w:w="1224" w:type="pct"/>
            <w:vMerge w:val="continue"/>
            <w:noWrap w:val="0"/>
            <w:vAlign w:val="center"/>
          </w:tcPr>
          <w:p w14:paraId="53FE5B96">
            <w:pPr>
              <w:pStyle w:val="37"/>
              <w:bidi w:val="0"/>
              <w:rPr>
                <w:rFonts w:hint="default" w:ascii="Times New Roman" w:hAnsi="Times New Roman" w:cs="Times New Roman"/>
                <w:color w:val="FF0000"/>
                <w:highlight w:val="none"/>
              </w:rPr>
            </w:pPr>
          </w:p>
        </w:tc>
      </w:tr>
      <w:tr w14:paraId="1F9FC6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3403DB29">
            <w:pPr>
              <w:pStyle w:val="37"/>
              <w:bidi w:val="0"/>
              <w:rPr>
                <w:rFonts w:hint="default" w:ascii="Times New Roman" w:hAnsi="Times New Roman" w:cs="Times New Roman"/>
                <w:color w:val="auto"/>
                <w:highlight w:val="none"/>
              </w:rPr>
            </w:pPr>
          </w:p>
        </w:tc>
        <w:tc>
          <w:tcPr>
            <w:tcW w:w="581" w:type="pct"/>
            <w:vMerge w:val="continue"/>
            <w:noWrap w:val="0"/>
            <w:vAlign w:val="center"/>
          </w:tcPr>
          <w:p w14:paraId="59B77A07">
            <w:pPr>
              <w:pStyle w:val="37"/>
              <w:bidi w:val="0"/>
              <w:rPr>
                <w:rFonts w:hint="default" w:ascii="Times New Roman" w:hAnsi="Times New Roman" w:cs="Times New Roman"/>
                <w:color w:val="auto"/>
                <w:highlight w:val="none"/>
                <w:lang w:val="en-US" w:eastAsia="zh-CN"/>
              </w:rPr>
            </w:pPr>
          </w:p>
        </w:tc>
        <w:tc>
          <w:tcPr>
            <w:tcW w:w="644" w:type="pct"/>
            <w:shd w:val="clear" w:color="auto" w:fill="auto"/>
            <w:noWrap w:val="0"/>
            <w:vAlign w:val="center"/>
          </w:tcPr>
          <w:p w14:paraId="5200B357">
            <w:pPr>
              <w:pStyle w:val="37"/>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氯苯类</w:t>
            </w:r>
          </w:p>
        </w:tc>
        <w:tc>
          <w:tcPr>
            <w:tcW w:w="701" w:type="pct"/>
            <w:vMerge w:val="continue"/>
            <w:noWrap w:val="0"/>
            <w:vAlign w:val="center"/>
          </w:tcPr>
          <w:p w14:paraId="54C062CD">
            <w:pPr>
              <w:pStyle w:val="37"/>
              <w:bidi w:val="0"/>
              <w:rPr>
                <w:rFonts w:hint="default" w:ascii="Times New Roman" w:hAnsi="Times New Roman" w:cs="Times New Roman"/>
                <w:color w:val="FF0000"/>
                <w:highlight w:val="none"/>
              </w:rPr>
            </w:pPr>
          </w:p>
        </w:tc>
        <w:tc>
          <w:tcPr>
            <w:tcW w:w="426" w:type="pct"/>
            <w:vMerge w:val="continue"/>
            <w:noWrap w:val="0"/>
            <w:vAlign w:val="center"/>
          </w:tcPr>
          <w:p w14:paraId="68C1E90E">
            <w:pPr>
              <w:pStyle w:val="37"/>
              <w:bidi w:val="0"/>
              <w:rPr>
                <w:rFonts w:hint="default" w:ascii="Times New Roman" w:hAnsi="Times New Roman" w:cs="Times New Roman"/>
                <w:color w:val="FF0000"/>
                <w:highlight w:val="none"/>
                <w:lang w:val="en-US" w:eastAsia="zh-CN"/>
              </w:rPr>
            </w:pPr>
          </w:p>
        </w:tc>
        <w:tc>
          <w:tcPr>
            <w:tcW w:w="353" w:type="pct"/>
            <w:tcBorders>
              <w:right w:val="single" w:color="000000" w:sz="4" w:space="0"/>
            </w:tcBorders>
            <w:noWrap w:val="0"/>
            <w:vAlign w:val="center"/>
          </w:tcPr>
          <w:p w14:paraId="134B8651">
            <w:pPr>
              <w:pStyle w:val="37"/>
              <w:bidi w:val="0"/>
              <w:ind w:firstLine="0" w:firstLineChars="0"/>
              <w:rPr>
                <w:rFonts w:hint="default" w:ascii="Times New Roman" w:hAnsi="Times New Roman" w:cs="Times New Roman"/>
                <w:color w:val="FF0000"/>
                <w:highlight w:val="none"/>
                <w:lang w:val="en-US" w:eastAsia="zh-CN"/>
              </w:rPr>
            </w:pPr>
            <w:r>
              <w:rPr>
                <w:rFonts w:hint="default" w:ascii="Times New Roman" w:hAnsi="Times New Roman" w:cs="Times New Roman"/>
                <w:color w:val="auto"/>
                <w:highlight w:val="none"/>
                <w:lang w:val="en-US" w:eastAsia="zh-CN"/>
              </w:rPr>
              <w:t>0.023</w:t>
            </w:r>
          </w:p>
        </w:tc>
        <w:tc>
          <w:tcPr>
            <w:tcW w:w="334" w:type="pct"/>
            <w:tcBorders>
              <w:left w:val="single" w:color="000000" w:sz="4" w:space="0"/>
            </w:tcBorders>
            <w:noWrap w:val="0"/>
            <w:vAlign w:val="center"/>
          </w:tcPr>
          <w:p w14:paraId="6C7CA561">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0.0007</w:t>
            </w:r>
          </w:p>
        </w:tc>
        <w:tc>
          <w:tcPr>
            <w:tcW w:w="475" w:type="pct"/>
            <w:noWrap w:val="0"/>
            <w:vAlign w:val="center"/>
          </w:tcPr>
          <w:p w14:paraId="32D9595D">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lang w:val="en-US" w:eastAsia="zh-CN"/>
              </w:rPr>
              <w:t>0.005</w:t>
            </w:r>
          </w:p>
        </w:tc>
        <w:tc>
          <w:tcPr>
            <w:tcW w:w="1224" w:type="pct"/>
            <w:vMerge w:val="continue"/>
            <w:noWrap w:val="0"/>
            <w:vAlign w:val="center"/>
          </w:tcPr>
          <w:p w14:paraId="5D2F549A">
            <w:pPr>
              <w:pStyle w:val="37"/>
              <w:bidi w:val="0"/>
              <w:rPr>
                <w:rFonts w:hint="default" w:ascii="Times New Roman" w:hAnsi="Times New Roman" w:cs="Times New Roman"/>
                <w:color w:val="FF0000"/>
                <w:highlight w:val="none"/>
              </w:rPr>
            </w:pPr>
          </w:p>
        </w:tc>
      </w:tr>
      <w:tr w14:paraId="25D90C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65E858DF">
            <w:pPr>
              <w:pStyle w:val="37"/>
              <w:bidi w:val="0"/>
              <w:rPr>
                <w:rFonts w:hint="default" w:ascii="Times New Roman" w:hAnsi="Times New Roman" w:cs="Times New Roman"/>
                <w:color w:val="auto"/>
                <w:highlight w:val="none"/>
              </w:rPr>
            </w:pPr>
          </w:p>
        </w:tc>
        <w:tc>
          <w:tcPr>
            <w:tcW w:w="581" w:type="pct"/>
            <w:vMerge w:val="continue"/>
            <w:noWrap w:val="0"/>
            <w:vAlign w:val="center"/>
          </w:tcPr>
          <w:p w14:paraId="4F0012BE">
            <w:pPr>
              <w:pStyle w:val="37"/>
              <w:bidi w:val="0"/>
              <w:rPr>
                <w:rFonts w:hint="default" w:ascii="Times New Roman" w:hAnsi="Times New Roman" w:cs="Times New Roman"/>
                <w:color w:val="auto"/>
                <w:highlight w:val="none"/>
                <w:lang w:val="en-US" w:eastAsia="zh-CN"/>
              </w:rPr>
            </w:pPr>
          </w:p>
        </w:tc>
        <w:tc>
          <w:tcPr>
            <w:tcW w:w="644" w:type="pct"/>
            <w:shd w:val="clear" w:color="auto" w:fill="auto"/>
            <w:noWrap w:val="0"/>
            <w:vAlign w:val="center"/>
          </w:tcPr>
          <w:p w14:paraId="4F6F05AE">
            <w:pPr>
              <w:pStyle w:val="37"/>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二氯甲烷</w:t>
            </w:r>
          </w:p>
        </w:tc>
        <w:tc>
          <w:tcPr>
            <w:tcW w:w="701" w:type="pct"/>
            <w:vMerge w:val="continue"/>
            <w:noWrap w:val="0"/>
            <w:vAlign w:val="center"/>
          </w:tcPr>
          <w:p w14:paraId="32217FAC">
            <w:pPr>
              <w:pStyle w:val="37"/>
              <w:bidi w:val="0"/>
              <w:rPr>
                <w:rFonts w:hint="default" w:ascii="Times New Roman" w:hAnsi="Times New Roman" w:cs="Times New Roman"/>
                <w:color w:val="FF0000"/>
                <w:highlight w:val="none"/>
              </w:rPr>
            </w:pPr>
          </w:p>
        </w:tc>
        <w:tc>
          <w:tcPr>
            <w:tcW w:w="426" w:type="pct"/>
            <w:vMerge w:val="continue"/>
            <w:noWrap w:val="0"/>
            <w:vAlign w:val="center"/>
          </w:tcPr>
          <w:p w14:paraId="6E9A130A">
            <w:pPr>
              <w:pStyle w:val="37"/>
              <w:bidi w:val="0"/>
              <w:rPr>
                <w:rFonts w:hint="default" w:ascii="Times New Roman" w:hAnsi="Times New Roman" w:cs="Times New Roman"/>
                <w:color w:val="FF0000"/>
                <w:highlight w:val="none"/>
                <w:lang w:val="en-US" w:eastAsia="zh-CN"/>
              </w:rPr>
            </w:pPr>
          </w:p>
        </w:tc>
        <w:tc>
          <w:tcPr>
            <w:tcW w:w="353" w:type="pct"/>
            <w:tcBorders>
              <w:right w:val="single" w:color="000000" w:sz="4" w:space="0"/>
            </w:tcBorders>
            <w:noWrap w:val="0"/>
            <w:vAlign w:val="center"/>
          </w:tcPr>
          <w:p w14:paraId="0DEE218A">
            <w:pPr>
              <w:pStyle w:val="37"/>
              <w:bidi w:val="0"/>
              <w:ind w:firstLine="0" w:firstLineChars="0"/>
              <w:rPr>
                <w:rFonts w:hint="default" w:ascii="Times New Roman" w:hAnsi="Times New Roman" w:cs="Times New Roman"/>
                <w:color w:val="FF0000"/>
                <w:highlight w:val="none"/>
                <w:lang w:val="en-US" w:eastAsia="zh-CN"/>
              </w:rPr>
            </w:pPr>
            <w:r>
              <w:rPr>
                <w:rFonts w:hint="default" w:ascii="Times New Roman" w:hAnsi="Times New Roman" w:cs="Times New Roman"/>
                <w:color w:val="auto"/>
                <w:highlight w:val="none"/>
                <w:lang w:val="en-US" w:eastAsia="zh-CN"/>
              </w:rPr>
              <w:t>0.24</w:t>
            </w:r>
          </w:p>
        </w:tc>
        <w:tc>
          <w:tcPr>
            <w:tcW w:w="334" w:type="pct"/>
            <w:tcBorders>
              <w:left w:val="single" w:color="000000" w:sz="4" w:space="0"/>
            </w:tcBorders>
            <w:noWrap w:val="0"/>
            <w:vAlign w:val="center"/>
          </w:tcPr>
          <w:p w14:paraId="6EFAB024">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0.0072</w:t>
            </w:r>
          </w:p>
        </w:tc>
        <w:tc>
          <w:tcPr>
            <w:tcW w:w="475" w:type="pct"/>
            <w:noWrap w:val="0"/>
            <w:vAlign w:val="center"/>
          </w:tcPr>
          <w:p w14:paraId="567A5420">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lang w:val="en-US" w:eastAsia="zh-CN"/>
              </w:rPr>
              <w:t>0.05</w:t>
            </w:r>
          </w:p>
        </w:tc>
        <w:tc>
          <w:tcPr>
            <w:tcW w:w="1224" w:type="pct"/>
            <w:vMerge w:val="continue"/>
            <w:noWrap w:val="0"/>
            <w:vAlign w:val="center"/>
          </w:tcPr>
          <w:p w14:paraId="6E13ED95">
            <w:pPr>
              <w:pStyle w:val="37"/>
              <w:bidi w:val="0"/>
              <w:rPr>
                <w:rFonts w:hint="default" w:ascii="Times New Roman" w:hAnsi="Times New Roman" w:cs="Times New Roman"/>
                <w:color w:val="FF0000"/>
                <w:highlight w:val="none"/>
              </w:rPr>
            </w:pPr>
          </w:p>
        </w:tc>
      </w:tr>
      <w:tr w14:paraId="3B9C10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07A701DC">
            <w:pPr>
              <w:pStyle w:val="37"/>
              <w:bidi w:val="0"/>
              <w:rPr>
                <w:rFonts w:hint="default" w:ascii="Times New Roman" w:hAnsi="Times New Roman" w:cs="Times New Roman"/>
                <w:color w:val="auto"/>
                <w:highlight w:val="none"/>
              </w:rPr>
            </w:pPr>
          </w:p>
        </w:tc>
        <w:tc>
          <w:tcPr>
            <w:tcW w:w="581" w:type="pct"/>
            <w:vMerge w:val="continue"/>
            <w:noWrap w:val="0"/>
            <w:vAlign w:val="center"/>
          </w:tcPr>
          <w:p w14:paraId="144F8BAF">
            <w:pPr>
              <w:pStyle w:val="37"/>
              <w:bidi w:val="0"/>
              <w:rPr>
                <w:rFonts w:hint="default" w:ascii="Times New Roman" w:hAnsi="Times New Roman" w:cs="Times New Roman"/>
                <w:color w:val="auto"/>
                <w:highlight w:val="none"/>
                <w:lang w:val="en-US" w:eastAsia="zh-CN"/>
              </w:rPr>
            </w:pPr>
          </w:p>
        </w:tc>
        <w:tc>
          <w:tcPr>
            <w:tcW w:w="644" w:type="pct"/>
            <w:shd w:val="clear" w:color="auto" w:fill="auto"/>
            <w:noWrap w:val="0"/>
            <w:vAlign w:val="center"/>
          </w:tcPr>
          <w:p w14:paraId="76FEFC69">
            <w:pPr>
              <w:pStyle w:val="37"/>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苯乙烯</w:t>
            </w:r>
          </w:p>
        </w:tc>
        <w:tc>
          <w:tcPr>
            <w:tcW w:w="701" w:type="pct"/>
            <w:vMerge w:val="continue"/>
            <w:noWrap w:val="0"/>
            <w:vAlign w:val="center"/>
          </w:tcPr>
          <w:p w14:paraId="2F12CE1D">
            <w:pPr>
              <w:pStyle w:val="37"/>
              <w:bidi w:val="0"/>
              <w:rPr>
                <w:rFonts w:hint="default" w:ascii="Times New Roman" w:hAnsi="Times New Roman" w:cs="Times New Roman"/>
                <w:color w:val="FF0000"/>
                <w:highlight w:val="none"/>
              </w:rPr>
            </w:pPr>
          </w:p>
        </w:tc>
        <w:tc>
          <w:tcPr>
            <w:tcW w:w="426" w:type="pct"/>
            <w:vMerge w:val="continue"/>
            <w:noWrap w:val="0"/>
            <w:vAlign w:val="center"/>
          </w:tcPr>
          <w:p w14:paraId="48FBCD9D">
            <w:pPr>
              <w:pStyle w:val="37"/>
              <w:bidi w:val="0"/>
              <w:rPr>
                <w:rFonts w:hint="default" w:ascii="Times New Roman" w:hAnsi="Times New Roman" w:cs="Times New Roman"/>
                <w:color w:val="FF0000"/>
                <w:highlight w:val="none"/>
                <w:lang w:val="en-US" w:eastAsia="zh-CN"/>
              </w:rPr>
            </w:pPr>
          </w:p>
        </w:tc>
        <w:tc>
          <w:tcPr>
            <w:tcW w:w="353" w:type="pct"/>
            <w:tcBorders>
              <w:right w:val="single" w:color="000000" w:sz="4" w:space="0"/>
            </w:tcBorders>
            <w:noWrap w:val="0"/>
            <w:vAlign w:val="center"/>
          </w:tcPr>
          <w:p w14:paraId="5E32787F">
            <w:pPr>
              <w:pStyle w:val="37"/>
              <w:bidi w:val="0"/>
              <w:ind w:firstLine="0" w:firstLineChars="0"/>
              <w:rPr>
                <w:rFonts w:hint="default" w:ascii="Times New Roman" w:hAnsi="Times New Roman" w:cs="Times New Roman"/>
                <w:color w:val="FF0000"/>
                <w:highlight w:val="none"/>
                <w:lang w:val="en-US" w:eastAsia="zh-CN"/>
              </w:rPr>
            </w:pPr>
            <w:r>
              <w:rPr>
                <w:rFonts w:hint="default" w:ascii="Times New Roman" w:hAnsi="Times New Roman" w:cs="Times New Roman"/>
                <w:color w:val="auto"/>
                <w:highlight w:val="none"/>
                <w:lang w:val="en-US" w:eastAsia="zh-CN"/>
              </w:rPr>
              <w:t>0.239</w:t>
            </w:r>
          </w:p>
        </w:tc>
        <w:tc>
          <w:tcPr>
            <w:tcW w:w="334" w:type="pct"/>
            <w:tcBorders>
              <w:left w:val="single" w:color="000000" w:sz="4" w:space="0"/>
            </w:tcBorders>
            <w:noWrap w:val="0"/>
            <w:vAlign w:val="center"/>
          </w:tcPr>
          <w:p w14:paraId="062BAE4C">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0.007</w:t>
            </w:r>
          </w:p>
        </w:tc>
        <w:tc>
          <w:tcPr>
            <w:tcW w:w="475" w:type="pct"/>
            <w:noWrap w:val="0"/>
            <w:vAlign w:val="center"/>
          </w:tcPr>
          <w:p w14:paraId="51C950B5">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lang w:val="en-US" w:eastAsia="zh-CN"/>
              </w:rPr>
              <w:t>0.046</w:t>
            </w:r>
          </w:p>
        </w:tc>
        <w:tc>
          <w:tcPr>
            <w:tcW w:w="1224" w:type="pct"/>
            <w:vMerge w:val="continue"/>
            <w:noWrap w:val="0"/>
            <w:vAlign w:val="center"/>
          </w:tcPr>
          <w:p w14:paraId="132E108B">
            <w:pPr>
              <w:pStyle w:val="37"/>
              <w:bidi w:val="0"/>
              <w:rPr>
                <w:rFonts w:hint="default" w:ascii="Times New Roman" w:hAnsi="Times New Roman" w:cs="Times New Roman"/>
                <w:color w:val="FF0000"/>
                <w:highlight w:val="none"/>
              </w:rPr>
            </w:pPr>
          </w:p>
        </w:tc>
      </w:tr>
      <w:tr w14:paraId="755D8E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259" w:type="pct"/>
            <w:vMerge w:val="continue"/>
            <w:noWrap w:val="0"/>
            <w:vAlign w:val="center"/>
          </w:tcPr>
          <w:p w14:paraId="5CA149CD">
            <w:pPr>
              <w:pStyle w:val="37"/>
              <w:bidi w:val="0"/>
              <w:rPr>
                <w:rFonts w:hint="default" w:ascii="Times New Roman" w:hAnsi="Times New Roman" w:cs="Times New Roman"/>
                <w:color w:val="auto"/>
                <w:highlight w:val="none"/>
              </w:rPr>
            </w:pPr>
          </w:p>
        </w:tc>
        <w:tc>
          <w:tcPr>
            <w:tcW w:w="581" w:type="pct"/>
            <w:vMerge w:val="continue"/>
            <w:noWrap w:val="0"/>
            <w:vAlign w:val="center"/>
          </w:tcPr>
          <w:p w14:paraId="4DDCF98E">
            <w:pPr>
              <w:pStyle w:val="37"/>
              <w:bidi w:val="0"/>
              <w:rPr>
                <w:rFonts w:hint="default" w:ascii="Times New Roman" w:hAnsi="Times New Roman" w:cs="Times New Roman"/>
                <w:color w:val="auto"/>
                <w:highlight w:val="none"/>
                <w:lang w:val="en-US" w:eastAsia="zh-CN"/>
              </w:rPr>
            </w:pPr>
          </w:p>
        </w:tc>
        <w:tc>
          <w:tcPr>
            <w:tcW w:w="644" w:type="pct"/>
            <w:shd w:val="clear" w:color="auto" w:fill="auto"/>
            <w:noWrap w:val="0"/>
            <w:vAlign w:val="center"/>
          </w:tcPr>
          <w:p w14:paraId="77D7C52C">
            <w:pPr>
              <w:pStyle w:val="37"/>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氨</w:t>
            </w:r>
          </w:p>
        </w:tc>
        <w:tc>
          <w:tcPr>
            <w:tcW w:w="701" w:type="pct"/>
            <w:vMerge w:val="continue"/>
            <w:noWrap w:val="0"/>
            <w:vAlign w:val="center"/>
          </w:tcPr>
          <w:p w14:paraId="27981E1D">
            <w:pPr>
              <w:pStyle w:val="37"/>
              <w:bidi w:val="0"/>
              <w:rPr>
                <w:rFonts w:hint="default" w:ascii="Times New Roman" w:hAnsi="Times New Roman" w:cs="Times New Roman"/>
                <w:color w:val="FF0000"/>
                <w:highlight w:val="none"/>
              </w:rPr>
            </w:pPr>
          </w:p>
        </w:tc>
        <w:tc>
          <w:tcPr>
            <w:tcW w:w="426" w:type="pct"/>
            <w:vMerge w:val="continue"/>
            <w:noWrap w:val="0"/>
            <w:vAlign w:val="center"/>
          </w:tcPr>
          <w:p w14:paraId="04E87432">
            <w:pPr>
              <w:pStyle w:val="37"/>
              <w:bidi w:val="0"/>
              <w:rPr>
                <w:rFonts w:hint="default" w:ascii="Times New Roman" w:hAnsi="Times New Roman" w:cs="Times New Roman"/>
                <w:color w:val="FF0000"/>
                <w:highlight w:val="none"/>
                <w:lang w:val="en-US" w:eastAsia="zh-CN"/>
              </w:rPr>
            </w:pPr>
          </w:p>
        </w:tc>
        <w:tc>
          <w:tcPr>
            <w:tcW w:w="353" w:type="pct"/>
            <w:tcBorders>
              <w:right w:val="single" w:color="000000" w:sz="4" w:space="0"/>
            </w:tcBorders>
            <w:noWrap w:val="0"/>
            <w:vAlign w:val="center"/>
          </w:tcPr>
          <w:p w14:paraId="17D3694F">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34" w:type="pct"/>
            <w:tcBorders>
              <w:left w:val="single" w:color="000000" w:sz="4" w:space="0"/>
            </w:tcBorders>
            <w:noWrap w:val="0"/>
            <w:vAlign w:val="center"/>
          </w:tcPr>
          <w:p w14:paraId="226A0613">
            <w:pPr>
              <w:pStyle w:val="37"/>
              <w:bidi w:val="0"/>
              <w:rPr>
                <w:rFonts w:hint="default" w:ascii="Times New Roman" w:hAnsi="Times New Roman" w:cs="Times New Roman"/>
                <w:color w:val="auto"/>
                <w:highlight w:val="none"/>
                <w:lang w:val="en-US" w:eastAsia="zh-CN"/>
              </w:rPr>
            </w:pPr>
          </w:p>
        </w:tc>
        <w:tc>
          <w:tcPr>
            <w:tcW w:w="475" w:type="pct"/>
            <w:noWrap w:val="0"/>
            <w:vAlign w:val="center"/>
          </w:tcPr>
          <w:p w14:paraId="7FF80A53">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224" w:type="pct"/>
            <w:vMerge w:val="continue"/>
            <w:noWrap w:val="0"/>
            <w:vAlign w:val="center"/>
          </w:tcPr>
          <w:p w14:paraId="1B9043AC">
            <w:pPr>
              <w:pStyle w:val="37"/>
              <w:bidi w:val="0"/>
              <w:rPr>
                <w:rFonts w:hint="default" w:ascii="Times New Roman" w:hAnsi="Times New Roman" w:cs="Times New Roman"/>
                <w:color w:val="FF0000"/>
                <w:highlight w:val="none"/>
              </w:rPr>
            </w:pPr>
          </w:p>
        </w:tc>
      </w:tr>
      <w:tr w14:paraId="709C1C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000282B7">
            <w:pPr>
              <w:pStyle w:val="37"/>
              <w:bidi w:val="0"/>
              <w:rPr>
                <w:rFonts w:hint="default" w:ascii="Times New Roman" w:hAnsi="Times New Roman" w:cs="Times New Roman"/>
                <w:color w:val="FF0000"/>
                <w:highlight w:val="none"/>
              </w:rPr>
            </w:pPr>
          </w:p>
        </w:tc>
        <w:tc>
          <w:tcPr>
            <w:tcW w:w="581" w:type="pct"/>
            <w:vMerge w:val="restart"/>
            <w:shd w:val="clear" w:color="auto" w:fill="auto"/>
            <w:noWrap w:val="0"/>
            <w:vAlign w:val="center"/>
          </w:tcPr>
          <w:p w14:paraId="655DF66C">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喷涂废气（调漆废气、喷漆废气、流平废气、烘干废气）、管路和喷枪清洗废气与丝印废气</w:t>
            </w:r>
          </w:p>
        </w:tc>
        <w:tc>
          <w:tcPr>
            <w:tcW w:w="644" w:type="pct"/>
            <w:shd w:val="clear" w:color="auto" w:fill="auto"/>
            <w:noWrap w:val="0"/>
            <w:vAlign w:val="center"/>
          </w:tcPr>
          <w:p w14:paraId="56F955C3">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非甲烷总烃</w:t>
            </w:r>
          </w:p>
        </w:tc>
        <w:tc>
          <w:tcPr>
            <w:tcW w:w="701" w:type="pct"/>
            <w:vMerge w:val="restart"/>
            <w:noWrap w:val="0"/>
            <w:vAlign w:val="center"/>
          </w:tcPr>
          <w:p w14:paraId="18CD72E2">
            <w:pPr>
              <w:pStyle w:val="37"/>
              <w:bidi w:val="0"/>
              <w:ind w:firstLine="0" w:firstLineChars="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水帘式漆雾净化+沸石转轮吸附+RTO焚烧装置</w:t>
            </w:r>
            <w:r>
              <w:rPr>
                <w:rFonts w:hint="default" w:ascii="Times New Roman" w:hAnsi="Times New Roman" w:cs="Times New Roman"/>
                <w:color w:val="auto"/>
                <w:highlight w:val="none"/>
              </w:rPr>
              <w:t>+</w:t>
            </w:r>
            <w:r>
              <w:rPr>
                <w:rFonts w:hint="default" w:ascii="Times New Roman" w:hAnsi="Times New Roman" w:eastAsia="宋体" w:cs="Times New Roman"/>
                <w:color w:val="auto"/>
                <w:highlight w:val="none"/>
                <w:lang w:val="en-US" w:eastAsia="zh-CN"/>
              </w:rPr>
              <w:t>22.5</w:t>
            </w:r>
            <w:r>
              <w:rPr>
                <w:rFonts w:hint="default" w:ascii="Times New Roman" w:hAnsi="Times New Roman" w:cs="Times New Roman"/>
                <w:color w:val="auto"/>
                <w:highlight w:val="none"/>
              </w:rPr>
              <w:t>m高排气筒</w:t>
            </w:r>
          </w:p>
        </w:tc>
        <w:tc>
          <w:tcPr>
            <w:tcW w:w="426" w:type="pct"/>
            <w:vMerge w:val="restart"/>
            <w:noWrap w:val="0"/>
            <w:vAlign w:val="center"/>
          </w:tcPr>
          <w:p w14:paraId="4FD35D8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排气筒DA002</w:t>
            </w:r>
          </w:p>
        </w:tc>
        <w:tc>
          <w:tcPr>
            <w:tcW w:w="353" w:type="pct"/>
            <w:tcBorders>
              <w:right w:val="single" w:color="000000" w:sz="4" w:space="0"/>
            </w:tcBorders>
            <w:noWrap w:val="0"/>
            <w:vAlign w:val="center"/>
          </w:tcPr>
          <w:p w14:paraId="367650C7">
            <w:pPr>
              <w:pStyle w:val="37"/>
              <w:bidi w:val="0"/>
              <w:ind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highlight w:val="none"/>
                <w:lang w:val="en-US" w:eastAsia="zh-CN"/>
              </w:rPr>
              <w:t>107</w:t>
            </w:r>
          </w:p>
        </w:tc>
        <w:tc>
          <w:tcPr>
            <w:tcW w:w="334" w:type="pct"/>
            <w:tcBorders>
              <w:left w:val="single" w:color="000000" w:sz="4" w:space="0"/>
            </w:tcBorders>
            <w:noWrap w:val="0"/>
            <w:vAlign w:val="center"/>
          </w:tcPr>
          <w:p w14:paraId="53EDC530">
            <w:pPr>
              <w:pStyle w:val="37"/>
              <w:bidi w:val="0"/>
              <w:ind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highlight w:val="none"/>
                <w:lang w:val="en-US" w:eastAsia="zh-CN"/>
              </w:rPr>
              <w:t>2.15</w:t>
            </w:r>
          </w:p>
        </w:tc>
        <w:tc>
          <w:tcPr>
            <w:tcW w:w="475" w:type="pct"/>
            <w:noWrap w:val="0"/>
            <w:vAlign w:val="center"/>
          </w:tcPr>
          <w:p w14:paraId="6158FB8D">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highlight w:val="none"/>
                <w:lang w:val="en-US" w:eastAsia="zh-CN"/>
              </w:rPr>
              <w:t>14.96</w:t>
            </w:r>
          </w:p>
        </w:tc>
        <w:tc>
          <w:tcPr>
            <w:tcW w:w="1224" w:type="pct"/>
            <w:vMerge w:val="restart"/>
            <w:noWrap w:val="0"/>
            <w:vAlign w:val="center"/>
          </w:tcPr>
          <w:p w14:paraId="4EF650FB">
            <w:pPr>
              <w:pStyle w:val="37"/>
              <w:bidi w:val="0"/>
              <w:ind w:firstLine="0" w:firstLineChars="0"/>
              <w:rPr>
                <w:rFonts w:hint="default" w:ascii="Times New Roman" w:hAnsi="Times New Roman" w:cs="Times New Roman"/>
                <w:color w:val="FF0000"/>
                <w:highlight w:val="none"/>
              </w:rPr>
            </w:pPr>
            <w:r>
              <w:rPr>
                <w:rFonts w:hint="default" w:ascii="Times New Roman" w:hAnsi="Times New Roman" w:cs="Times New Roman"/>
                <w:color w:val="auto"/>
                <w:highlight w:val="none"/>
                <w:lang w:val="en-US" w:eastAsia="zh-CN"/>
              </w:rPr>
              <w:t>《大气污染物综合排放标准》（GB16297-1996）表2中二级排放限值</w:t>
            </w:r>
          </w:p>
        </w:tc>
      </w:tr>
      <w:tr w14:paraId="0A9528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5BD6559E">
            <w:pPr>
              <w:pStyle w:val="37"/>
              <w:bidi w:val="0"/>
              <w:rPr>
                <w:rFonts w:hint="default" w:ascii="Times New Roman" w:hAnsi="Times New Roman" w:cs="Times New Roman"/>
                <w:color w:val="FF0000"/>
                <w:highlight w:val="none"/>
              </w:rPr>
            </w:pPr>
          </w:p>
        </w:tc>
        <w:tc>
          <w:tcPr>
            <w:tcW w:w="581" w:type="pct"/>
            <w:vMerge w:val="continue"/>
            <w:shd w:val="clear" w:color="auto" w:fill="auto"/>
            <w:noWrap w:val="0"/>
            <w:vAlign w:val="center"/>
          </w:tcPr>
          <w:p w14:paraId="35DD0C81">
            <w:pPr>
              <w:pStyle w:val="37"/>
              <w:bidi w:val="0"/>
              <w:rPr>
                <w:rFonts w:hint="default" w:ascii="Times New Roman" w:hAnsi="Times New Roman" w:cs="Times New Roman"/>
                <w:color w:val="auto"/>
                <w:highlight w:val="none"/>
              </w:rPr>
            </w:pPr>
          </w:p>
        </w:tc>
        <w:tc>
          <w:tcPr>
            <w:tcW w:w="644" w:type="pct"/>
            <w:shd w:val="clear" w:color="auto" w:fill="auto"/>
            <w:noWrap w:val="0"/>
            <w:vAlign w:val="center"/>
          </w:tcPr>
          <w:p w14:paraId="2EC2FB5C">
            <w:pPr>
              <w:pStyle w:val="37"/>
              <w:bidi w:val="0"/>
              <w:rPr>
                <w:rFonts w:hint="default" w:ascii="Times New Roman" w:hAnsi="Times New Roman" w:cs="Times New Roman"/>
                <w:color w:val="auto"/>
                <w:highlight w:val="none"/>
                <w:lang w:val="en-US" w:eastAsia="en-US"/>
              </w:rPr>
            </w:pPr>
            <w:r>
              <w:rPr>
                <w:rFonts w:hint="default" w:ascii="Times New Roman" w:hAnsi="Times New Roman" w:cs="Times New Roman"/>
                <w:color w:val="auto"/>
                <w:highlight w:val="none"/>
              </w:rPr>
              <w:t>颗粒物</w:t>
            </w:r>
          </w:p>
        </w:tc>
        <w:tc>
          <w:tcPr>
            <w:tcW w:w="701" w:type="pct"/>
            <w:vMerge w:val="continue"/>
            <w:noWrap w:val="0"/>
            <w:vAlign w:val="center"/>
          </w:tcPr>
          <w:p w14:paraId="67B929FD">
            <w:pPr>
              <w:pStyle w:val="37"/>
              <w:bidi w:val="0"/>
              <w:rPr>
                <w:rFonts w:hint="default" w:ascii="Times New Roman" w:hAnsi="Times New Roman" w:cs="Times New Roman"/>
                <w:color w:val="FF0000"/>
                <w:highlight w:val="none"/>
              </w:rPr>
            </w:pPr>
          </w:p>
        </w:tc>
        <w:tc>
          <w:tcPr>
            <w:tcW w:w="426" w:type="pct"/>
            <w:vMerge w:val="continue"/>
            <w:noWrap w:val="0"/>
            <w:vAlign w:val="center"/>
          </w:tcPr>
          <w:p w14:paraId="0EDBF31B">
            <w:pPr>
              <w:pStyle w:val="37"/>
              <w:bidi w:val="0"/>
              <w:rPr>
                <w:rFonts w:hint="default" w:ascii="Times New Roman" w:hAnsi="Times New Roman" w:cs="Times New Roman"/>
                <w:color w:val="FF0000"/>
                <w:highlight w:val="none"/>
              </w:rPr>
            </w:pPr>
          </w:p>
        </w:tc>
        <w:tc>
          <w:tcPr>
            <w:tcW w:w="353" w:type="pct"/>
            <w:tcBorders>
              <w:right w:val="single" w:color="000000" w:sz="4" w:space="0"/>
            </w:tcBorders>
            <w:noWrap w:val="0"/>
            <w:vAlign w:val="center"/>
          </w:tcPr>
          <w:p w14:paraId="5B8E7AB8">
            <w:pPr>
              <w:pStyle w:val="37"/>
              <w:bidi w:val="0"/>
              <w:ind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highlight w:val="none"/>
                <w:lang w:val="en-US" w:eastAsia="zh-CN"/>
              </w:rPr>
              <w:t>104</w:t>
            </w:r>
          </w:p>
        </w:tc>
        <w:tc>
          <w:tcPr>
            <w:tcW w:w="334" w:type="pct"/>
            <w:tcBorders>
              <w:left w:val="single" w:color="000000" w:sz="4" w:space="0"/>
            </w:tcBorders>
            <w:noWrap w:val="0"/>
            <w:vAlign w:val="center"/>
          </w:tcPr>
          <w:p w14:paraId="48979257">
            <w:pPr>
              <w:pStyle w:val="37"/>
              <w:bidi w:val="0"/>
              <w:ind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highlight w:val="none"/>
                <w:lang w:val="en-US" w:eastAsia="zh-CN"/>
              </w:rPr>
              <w:t>2.083</w:t>
            </w:r>
          </w:p>
        </w:tc>
        <w:tc>
          <w:tcPr>
            <w:tcW w:w="475" w:type="pct"/>
            <w:tcBorders>
              <w:bottom w:val="single" w:color="000000" w:sz="4" w:space="0"/>
            </w:tcBorders>
            <w:noWrap w:val="0"/>
            <w:vAlign w:val="center"/>
          </w:tcPr>
          <w:p w14:paraId="23E42927">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highlight w:val="none"/>
                <w:lang w:val="en-US" w:eastAsia="zh-CN"/>
              </w:rPr>
              <w:t>14.5</w:t>
            </w:r>
          </w:p>
        </w:tc>
        <w:tc>
          <w:tcPr>
            <w:tcW w:w="1224" w:type="pct"/>
            <w:vMerge w:val="continue"/>
            <w:tcBorders>
              <w:bottom w:val="single" w:color="000000" w:sz="4" w:space="0"/>
            </w:tcBorders>
            <w:noWrap w:val="0"/>
            <w:vAlign w:val="center"/>
          </w:tcPr>
          <w:p w14:paraId="41494142">
            <w:pPr>
              <w:pStyle w:val="37"/>
              <w:bidi w:val="0"/>
              <w:rPr>
                <w:rFonts w:hint="default" w:ascii="Times New Roman" w:hAnsi="Times New Roman" w:cs="Times New Roman"/>
                <w:color w:val="FF0000"/>
                <w:highlight w:val="none"/>
              </w:rPr>
            </w:pPr>
          </w:p>
        </w:tc>
      </w:tr>
      <w:tr w14:paraId="045501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51CF514A">
            <w:pPr>
              <w:pStyle w:val="37"/>
              <w:bidi w:val="0"/>
              <w:rPr>
                <w:rFonts w:hint="default" w:ascii="Times New Roman" w:hAnsi="Times New Roman" w:cs="Times New Roman"/>
                <w:color w:val="FF0000"/>
                <w:highlight w:val="none"/>
              </w:rPr>
            </w:pPr>
          </w:p>
        </w:tc>
        <w:tc>
          <w:tcPr>
            <w:tcW w:w="581" w:type="pct"/>
            <w:vMerge w:val="restart"/>
            <w:shd w:val="clear" w:color="auto" w:fill="auto"/>
            <w:noWrap w:val="0"/>
            <w:vAlign w:val="center"/>
          </w:tcPr>
          <w:p w14:paraId="2522C5F8">
            <w:pPr>
              <w:pStyle w:val="37"/>
              <w:bidi w:val="0"/>
              <w:ind w:firstLine="0" w:firstLineChars="0"/>
              <w:rPr>
                <w:rFonts w:hint="default" w:ascii="Times New Roman" w:hAnsi="Times New Roman" w:cs="Times New Roman"/>
                <w:color w:val="FF0000"/>
                <w:highlight w:val="none"/>
                <w:lang w:val="en-US" w:eastAsia="zh-CN"/>
              </w:rPr>
            </w:pPr>
            <w:r>
              <w:rPr>
                <w:rFonts w:hint="default" w:ascii="Times New Roman" w:hAnsi="Times New Roman" w:eastAsia="宋体" w:cs="Times New Roman"/>
                <w:color w:val="auto"/>
                <w:highlight w:val="none"/>
                <w:lang w:val="en-US" w:eastAsia="zh-CN"/>
              </w:rPr>
              <w:t>天然气燃烧废气</w:t>
            </w:r>
          </w:p>
        </w:tc>
        <w:tc>
          <w:tcPr>
            <w:tcW w:w="644" w:type="pct"/>
            <w:shd w:val="clear" w:color="auto" w:fill="auto"/>
            <w:noWrap w:val="0"/>
            <w:vAlign w:val="center"/>
          </w:tcPr>
          <w:p w14:paraId="1838D396">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lang w:val="en-US" w:eastAsia="zh-CN"/>
              </w:rPr>
              <w:t>烟尘</w:t>
            </w:r>
          </w:p>
        </w:tc>
        <w:tc>
          <w:tcPr>
            <w:tcW w:w="701" w:type="pct"/>
            <w:vMerge w:val="restart"/>
            <w:noWrap w:val="0"/>
            <w:vAlign w:val="center"/>
          </w:tcPr>
          <w:p w14:paraId="43A695A1">
            <w:pPr>
              <w:pStyle w:val="37"/>
              <w:bidi w:val="0"/>
              <w:ind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highlight w:val="none"/>
                <w:lang w:val="en-US" w:eastAsia="zh-CN"/>
              </w:rPr>
              <w:t>低氮燃烧</w:t>
            </w:r>
            <w:r>
              <w:rPr>
                <w:rFonts w:hint="default" w:ascii="Times New Roman" w:hAnsi="Times New Roman" w:cs="Times New Roman"/>
                <w:color w:val="auto"/>
                <w:highlight w:val="none"/>
              </w:rPr>
              <w:t>+</w:t>
            </w:r>
            <w:r>
              <w:rPr>
                <w:rFonts w:hint="default" w:ascii="Times New Roman" w:hAnsi="Times New Roman" w:eastAsia="宋体" w:cs="Times New Roman"/>
                <w:color w:val="auto"/>
                <w:highlight w:val="none"/>
                <w:lang w:val="en-US" w:eastAsia="zh-CN"/>
              </w:rPr>
              <w:t>20.5</w:t>
            </w:r>
            <w:r>
              <w:rPr>
                <w:rFonts w:hint="default" w:ascii="Times New Roman" w:hAnsi="Times New Roman" w:cs="Times New Roman"/>
                <w:color w:val="auto"/>
                <w:highlight w:val="none"/>
              </w:rPr>
              <w:t>m高排气筒</w:t>
            </w:r>
          </w:p>
        </w:tc>
        <w:tc>
          <w:tcPr>
            <w:tcW w:w="426" w:type="pct"/>
            <w:vMerge w:val="restart"/>
            <w:noWrap w:val="0"/>
            <w:vAlign w:val="center"/>
          </w:tcPr>
          <w:p w14:paraId="16A55CD7">
            <w:pPr>
              <w:pStyle w:val="37"/>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烟囱DA003</w:t>
            </w:r>
          </w:p>
        </w:tc>
        <w:tc>
          <w:tcPr>
            <w:tcW w:w="353" w:type="pct"/>
            <w:tcBorders>
              <w:right w:val="single" w:color="000000" w:sz="4" w:space="0"/>
            </w:tcBorders>
            <w:shd w:val="clear" w:color="auto" w:fill="auto"/>
            <w:noWrap w:val="0"/>
            <w:vAlign w:val="center"/>
          </w:tcPr>
          <w:p w14:paraId="413CC957">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eastAsia="宋体" w:cs="Times New Roman"/>
                <w:color w:val="auto"/>
                <w:highlight w:val="none"/>
                <w:lang w:val="en-US" w:eastAsia="zh-CN"/>
              </w:rPr>
              <w:t>14.864</w:t>
            </w:r>
          </w:p>
        </w:tc>
        <w:tc>
          <w:tcPr>
            <w:tcW w:w="334" w:type="pct"/>
            <w:tcBorders>
              <w:left w:val="single" w:color="000000" w:sz="4" w:space="0"/>
            </w:tcBorders>
            <w:shd w:val="clear" w:color="auto" w:fill="auto"/>
            <w:noWrap w:val="0"/>
            <w:vAlign w:val="center"/>
          </w:tcPr>
          <w:p w14:paraId="653172DF">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eastAsia="宋体" w:cs="Times New Roman"/>
                <w:color w:val="auto"/>
                <w:highlight w:val="none"/>
                <w:lang w:val="en-US" w:eastAsia="zh-CN"/>
              </w:rPr>
              <w:t>0.009</w:t>
            </w:r>
          </w:p>
        </w:tc>
        <w:tc>
          <w:tcPr>
            <w:tcW w:w="475" w:type="pct"/>
            <w:tcBorders>
              <w:top w:val="single" w:color="000000" w:sz="4" w:space="0"/>
            </w:tcBorders>
            <w:shd w:val="clear" w:color="auto" w:fill="auto"/>
            <w:noWrap w:val="0"/>
            <w:vAlign w:val="center"/>
          </w:tcPr>
          <w:p w14:paraId="2CC5646C">
            <w:pPr>
              <w:pStyle w:val="83"/>
              <w:spacing w:line="240" w:lineRule="auto"/>
              <w:ind w:left="19" w:leftChars="9" w:right="19" w:rightChars="9"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eastAsia="宋体" w:cs="Times New Roman"/>
                <w:color w:val="auto"/>
                <w:lang w:val="en-US" w:eastAsia="zh-CN"/>
              </w:rPr>
              <w:t>0.061</w:t>
            </w:r>
          </w:p>
        </w:tc>
        <w:tc>
          <w:tcPr>
            <w:tcW w:w="1224" w:type="pct"/>
            <w:vMerge w:val="restart"/>
            <w:tcBorders>
              <w:top w:val="single" w:color="000000" w:sz="4" w:space="0"/>
            </w:tcBorders>
            <w:noWrap w:val="0"/>
            <w:vAlign w:val="center"/>
          </w:tcPr>
          <w:p w14:paraId="5F50F426">
            <w:pPr>
              <w:pStyle w:val="37"/>
              <w:bidi w:val="0"/>
              <w:ind w:firstLine="0" w:firstLineChars="0"/>
              <w:rPr>
                <w:rFonts w:hint="default" w:ascii="Times New Roman" w:hAnsi="Times New Roman" w:cs="Times New Roman"/>
                <w:color w:val="FF0000"/>
                <w:highlight w:val="none"/>
              </w:rPr>
            </w:pPr>
            <w:r>
              <w:rPr>
                <w:rFonts w:hint="default" w:ascii="Times New Roman" w:hAnsi="Times New Roman" w:cs="Times New Roman"/>
                <w:color w:val="auto"/>
                <w:highlight w:val="none"/>
                <w:lang w:val="en-US" w:eastAsia="zh-CN"/>
              </w:rPr>
              <w:t>《工业窑炉大气污染物排放标准》(GB 9078-1996)二级标准限值要求</w:t>
            </w:r>
          </w:p>
        </w:tc>
      </w:tr>
      <w:tr w14:paraId="5D3561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4252ECB0">
            <w:pPr>
              <w:pStyle w:val="37"/>
              <w:bidi w:val="0"/>
              <w:rPr>
                <w:rFonts w:hint="default" w:ascii="Times New Roman" w:hAnsi="Times New Roman" w:cs="Times New Roman"/>
                <w:color w:val="FF0000"/>
                <w:highlight w:val="none"/>
              </w:rPr>
            </w:pPr>
          </w:p>
        </w:tc>
        <w:tc>
          <w:tcPr>
            <w:tcW w:w="581" w:type="pct"/>
            <w:vMerge w:val="continue"/>
            <w:shd w:val="clear" w:color="auto" w:fill="auto"/>
            <w:noWrap w:val="0"/>
            <w:vAlign w:val="center"/>
          </w:tcPr>
          <w:p w14:paraId="11D03114">
            <w:pPr>
              <w:pStyle w:val="37"/>
              <w:bidi w:val="0"/>
              <w:rPr>
                <w:rFonts w:hint="default" w:ascii="Times New Roman" w:hAnsi="Times New Roman" w:cs="Times New Roman"/>
                <w:color w:val="FF0000"/>
                <w:highlight w:val="none"/>
                <w:lang w:val="en-US" w:eastAsia="zh-CN"/>
              </w:rPr>
            </w:pPr>
          </w:p>
        </w:tc>
        <w:tc>
          <w:tcPr>
            <w:tcW w:w="644" w:type="pct"/>
            <w:shd w:val="clear" w:color="auto" w:fill="auto"/>
            <w:noWrap w:val="0"/>
            <w:vAlign w:val="center"/>
          </w:tcPr>
          <w:p w14:paraId="424ECE8F">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cs="Times New Roman"/>
                <w:color w:val="auto"/>
              </w:rPr>
              <w:t>二氧化硫</w:t>
            </w:r>
          </w:p>
        </w:tc>
        <w:tc>
          <w:tcPr>
            <w:tcW w:w="701" w:type="pct"/>
            <w:vMerge w:val="continue"/>
            <w:noWrap w:val="0"/>
            <w:vAlign w:val="center"/>
          </w:tcPr>
          <w:p w14:paraId="4171DC97">
            <w:pPr>
              <w:pStyle w:val="37"/>
              <w:bidi w:val="0"/>
              <w:rPr>
                <w:rFonts w:hint="default" w:ascii="Times New Roman" w:hAnsi="Times New Roman" w:cs="Times New Roman"/>
                <w:color w:val="FF0000"/>
                <w:highlight w:val="none"/>
              </w:rPr>
            </w:pPr>
          </w:p>
        </w:tc>
        <w:tc>
          <w:tcPr>
            <w:tcW w:w="426" w:type="pct"/>
            <w:vMerge w:val="continue"/>
            <w:noWrap w:val="0"/>
            <w:vAlign w:val="center"/>
          </w:tcPr>
          <w:p w14:paraId="4B5BF4A5">
            <w:pPr>
              <w:pStyle w:val="37"/>
              <w:bidi w:val="0"/>
              <w:rPr>
                <w:rFonts w:hint="default" w:ascii="Times New Roman" w:hAnsi="Times New Roman" w:cs="Times New Roman"/>
                <w:color w:val="auto"/>
                <w:highlight w:val="none"/>
                <w:lang w:val="en-US"/>
              </w:rPr>
            </w:pPr>
          </w:p>
        </w:tc>
        <w:tc>
          <w:tcPr>
            <w:tcW w:w="353" w:type="pct"/>
            <w:tcBorders>
              <w:right w:val="single" w:color="000000" w:sz="4" w:space="0"/>
            </w:tcBorders>
            <w:noWrap w:val="0"/>
            <w:vAlign w:val="center"/>
          </w:tcPr>
          <w:p w14:paraId="033B310C">
            <w:pPr>
              <w:pStyle w:val="37"/>
              <w:bidi w:val="0"/>
              <w:ind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highlight w:val="none"/>
                <w:lang w:val="en-US" w:eastAsia="zh-CN"/>
              </w:rPr>
              <w:t>0.731</w:t>
            </w:r>
          </w:p>
        </w:tc>
        <w:tc>
          <w:tcPr>
            <w:tcW w:w="334" w:type="pct"/>
            <w:tcBorders>
              <w:left w:val="single" w:color="000000" w:sz="4" w:space="0"/>
            </w:tcBorders>
            <w:noWrap w:val="0"/>
            <w:vAlign w:val="center"/>
          </w:tcPr>
          <w:p w14:paraId="2DB32977">
            <w:pPr>
              <w:pStyle w:val="37"/>
              <w:bidi w:val="0"/>
              <w:ind w:firstLine="0" w:firstLineChars="0"/>
              <w:rPr>
                <w:rFonts w:hint="default" w:ascii="Times New Roman" w:hAnsi="Times New Roman" w:cs="Times New Roman"/>
                <w:color w:val="FF0000"/>
                <w:highlight w:val="none"/>
              </w:rPr>
            </w:pPr>
            <w:r>
              <w:rPr>
                <w:rFonts w:hint="default" w:ascii="Times New Roman" w:hAnsi="Times New Roman" w:cs="Times New Roman"/>
                <w:color w:val="auto"/>
                <w:highlight w:val="none"/>
                <w:lang w:val="en-US" w:eastAsia="zh-CN"/>
              </w:rPr>
              <w:t>0.0004</w:t>
            </w:r>
          </w:p>
        </w:tc>
        <w:tc>
          <w:tcPr>
            <w:tcW w:w="475" w:type="pct"/>
            <w:noWrap w:val="0"/>
            <w:vAlign w:val="center"/>
          </w:tcPr>
          <w:p w14:paraId="73BAE868">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lang w:val="en-US" w:eastAsia="zh-CN"/>
              </w:rPr>
              <w:t>0.003</w:t>
            </w:r>
          </w:p>
        </w:tc>
        <w:tc>
          <w:tcPr>
            <w:tcW w:w="1224" w:type="pct"/>
            <w:vMerge w:val="continue"/>
            <w:noWrap w:val="0"/>
            <w:vAlign w:val="center"/>
          </w:tcPr>
          <w:p w14:paraId="6368EE4A">
            <w:pPr>
              <w:pStyle w:val="37"/>
              <w:bidi w:val="0"/>
              <w:rPr>
                <w:rFonts w:hint="default" w:ascii="Times New Roman" w:hAnsi="Times New Roman" w:cs="Times New Roman"/>
                <w:color w:val="FF0000"/>
                <w:highlight w:val="none"/>
              </w:rPr>
            </w:pPr>
          </w:p>
        </w:tc>
      </w:tr>
      <w:tr w14:paraId="53B307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76D1567E">
            <w:pPr>
              <w:pStyle w:val="37"/>
              <w:bidi w:val="0"/>
              <w:rPr>
                <w:rFonts w:hint="default" w:ascii="Times New Roman" w:hAnsi="Times New Roman" w:cs="Times New Roman"/>
                <w:color w:val="FF0000"/>
                <w:highlight w:val="none"/>
              </w:rPr>
            </w:pPr>
          </w:p>
        </w:tc>
        <w:tc>
          <w:tcPr>
            <w:tcW w:w="581" w:type="pct"/>
            <w:vMerge w:val="continue"/>
            <w:shd w:val="clear" w:color="auto" w:fill="auto"/>
            <w:noWrap w:val="0"/>
            <w:vAlign w:val="center"/>
          </w:tcPr>
          <w:p w14:paraId="42053459">
            <w:pPr>
              <w:pStyle w:val="37"/>
              <w:bidi w:val="0"/>
              <w:rPr>
                <w:rFonts w:hint="default" w:ascii="Times New Roman" w:hAnsi="Times New Roman" w:cs="Times New Roman"/>
                <w:color w:val="FF0000"/>
                <w:highlight w:val="none"/>
                <w:lang w:val="en-US" w:eastAsia="zh-CN"/>
              </w:rPr>
            </w:pPr>
          </w:p>
        </w:tc>
        <w:tc>
          <w:tcPr>
            <w:tcW w:w="644" w:type="pct"/>
            <w:shd w:val="clear" w:color="auto" w:fill="auto"/>
            <w:noWrap w:val="0"/>
            <w:vAlign w:val="center"/>
          </w:tcPr>
          <w:p w14:paraId="503E5CEC">
            <w:pPr>
              <w:pStyle w:val="83"/>
              <w:spacing w:line="240" w:lineRule="auto"/>
              <w:ind w:left="19" w:leftChars="9" w:right="19" w:rightChars="9" w:firstLine="0" w:firstLineChars="0"/>
              <w:rPr>
                <w:rFonts w:hint="default" w:ascii="Times New Roman" w:hAnsi="Times New Roman" w:cs="Times New Roman"/>
                <w:color w:val="FF0000"/>
                <w:highlight w:val="none"/>
                <w:lang w:val="en-US" w:eastAsia="en-US"/>
              </w:rPr>
            </w:pPr>
            <w:r>
              <w:rPr>
                <w:rFonts w:hint="default" w:ascii="Times New Roman" w:hAnsi="Times New Roman" w:cs="Times New Roman"/>
                <w:color w:val="auto"/>
              </w:rPr>
              <w:t>氮氧化物</w:t>
            </w:r>
          </w:p>
        </w:tc>
        <w:tc>
          <w:tcPr>
            <w:tcW w:w="701" w:type="pct"/>
            <w:vMerge w:val="continue"/>
            <w:noWrap w:val="0"/>
            <w:vAlign w:val="center"/>
          </w:tcPr>
          <w:p w14:paraId="15699932">
            <w:pPr>
              <w:pStyle w:val="37"/>
              <w:bidi w:val="0"/>
              <w:rPr>
                <w:rFonts w:hint="default" w:ascii="Times New Roman" w:hAnsi="Times New Roman" w:cs="Times New Roman"/>
                <w:color w:val="FF0000"/>
                <w:highlight w:val="none"/>
              </w:rPr>
            </w:pPr>
          </w:p>
        </w:tc>
        <w:tc>
          <w:tcPr>
            <w:tcW w:w="426" w:type="pct"/>
            <w:vMerge w:val="continue"/>
            <w:noWrap w:val="0"/>
            <w:vAlign w:val="center"/>
          </w:tcPr>
          <w:p w14:paraId="2294B04F">
            <w:pPr>
              <w:pStyle w:val="37"/>
              <w:bidi w:val="0"/>
              <w:rPr>
                <w:rFonts w:hint="default" w:ascii="Times New Roman" w:hAnsi="Times New Roman" w:cs="Times New Roman"/>
                <w:color w:val="auto"/>
                <w:highlight w:val="none"/>
                <w:lang w:val="en-US"/>
              </w:rPr>
            </w:pPr>
          </w:p>
        </w:tc>
        <w:tc>
          <w:tcPr>
            <w:tcW w:w="353" w:type="pct"/>
            <w:tcBorders>
              <w:right w:val="single" w:color="000000" w:sz="4" w:space="0"/>
            </w:tcBorders>
            <w:noWrap w:val="0"/>
            <w:vAlign w:val="center"/>
          </w:tcPr>
          <w:p w14:paraId="403F605F">
            <w:pPr>
              <w:pStyle w:val="37"/>
              <w:bidi w:val="0"/>
              <w:ind w:firstLine="0" w:firstLineChars="0"/>
              <w:rPr>
                <w:rFonts w:hint="default" w:ascii="Times New Roman" w:hAnsi="Times New Roman" w:cs="Times New Roman"/>
                <w:color w:val="FF0000"/>
                <w:highlight w:val="none"/>
              </w:rPr>
            </w:pPr>
            <w:r>
              <w:rPr>
                <w:rFonts w:hint="default" w:ascii="Times New Roman" w:hAnsi="Times New Roman" w:cs="Times New Roman"/>
                <w:color w:val="auto"/>
                <w:highlight w:val="none"/>
                <w:lang w:val="en-US" w:eastAsia="zh-CN"/>
              </w:rPr>
              <w:t>150</w:t>
            </w:r>
          </w:p>
        </w:tc>
        <w:tc>
          <w:tcPr>
            <w:tcW w:w="334" w:type="pct"/>
            <w:tcBorders>
              <w:left w:val="single" w:color="000000" w:sz="4" w:space="0"/>
            </w:tcBorders>
            <w:noWrap w:val="0"/>
            <w:vAlign w:val="center"/>
          </w:tcPr>
          <w:p w14:paraId="6843F294">
            <w:pPr>
              <w:pStyle w:val="37"/>
              <w:bidi w:val="0"/>
              <w:ind w:firstLine="0" w:firstLineChars="0"/>
              <w:rPr>
                <w:rFonts w:hint="default" w:ascii="Times New Roman" w:hAnsi="Times New Roman" w:cs="Times New Roman"/>
                <w:color w:val="FF0000"/>
                <w:highlight w:val="none"/>
              </w:rPr>
            </w:pPr>
            <w:r>
              <w:rPr>
                <w:rFonts w:hint="default" w:ascii="Times New Roman" w:hAnsi="Times New Roman" w:cs="Times New Roman"/>
                <w:color w:val="auto"/>
                <w:highlight w:val="none"/>
                <w:lang w:val="en-US" w:eastAsia="zh-CN"/>
              </w:rPr>
              <w:t>0.089</w:t>
            </w:r>
          </w:p>
        </w:tc>
        <w:tc>
          <w:tcPr>
            <w:tcW w:w="475" w:type="pct"/>
            <w:noWrap w:val="0"/>
            <w:vAlign w:val="center"/>
          </w:tcPr>
          <w:p w14:paraId="541E6CE6">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lang w:val="en-US" w:eastAsia="zh-CN"/>
              </w:rPr>
              <w:t>0.616</w:t>
            </w:r>
          </w:p>
        </w:tc>
        <w:tc>
          <w:tcPr>
            <w:tcW w:w="1224" w:type="pct"/>
            <w:vMerge w:val="continue"/>
            <w:noWrap w:val="0"/>
            <w:vAlign w:val="center"/>
          </w:tcPr>
          <w:p w14:paraId="2E4B7750">
            <w:pPr>
              <w:pStyle w:val="37"/>
              <w:bidi w:val="0"/>
              <w:rPr>
                <w:rFonts w:hint="default" w:ascii="Times New Roman" w:hAnsi="Times New Roman" w:cs="Times New Roman"/>
                <w:color w:val="FF0000"/>
                <w:highlight w:val="none"/>
              </w:rPr>
            </w:pPr>
          </w:p>
        </w:tc>
      </w:tr>
      <w:tr w14:paraId="272C04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2EE078AA">
            <w:pPr>
              <w:pStyle w:val="37"/>
              <w:bidi w:val="0"/>
              <w:rPr>
                <w:rFonts w:hint="default" w:ascii="Times New Roman" w:hAnsi="Times New Roman" w:cs="Times New Roman"/>
                <w:color w:val="FF0000"/>
                <w:highlight w:val="none"/>
              </w:rPr>
            </w:pPr>
          </w:p>
        </w:tc>
        <w:tc>
          <w:tcPr>
            <w:tcW w:w="581" w:type="pct"/>
            <w:shd w:val="clear" w:color="auto" w:fill="auto"/>
            <w:noWrap w:val="0"/>
            <w:vAlign w:val="center"/>
          </w:tcPr>
          <w:p w14:paraId="40BEE47D">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配胶、喷胶及烘干</w:t>
            </w:r>
            <w:r>
              <w:rPr>
                <w:rFonts w:hint="default" w:ascii="Times New Roman" w:hAnsi="Times New Roman" w:cs="Times New Roman"/>
                <w:color w:val="auto"/>
                <w:highlight w:val="none"/>
                <w:lang w:val="en-US" w:eastAsia="zh-CN"/>
              </w:rPr>
              <w:t>废气、发泡废气</w:t>
            </w:r>
          </w:p>
        </w:tc>
        <w:tc>
          <w:tcPr>
            <w:tcW w:w="644" w:type="pct"/>
            <w:shd w:val="clear" w:color="auto" w:fill="auto"/>
            <w:noWrap w:val="0"/>
            <w:vAlign w:val="center"/>
          </w:tcPr>
          <w:p w14:paraId="1497F836">
            <w:pPr>
              <w:pStyle w:val="37"/>
              <w:bidi w:val="0"/>
              <w:rPr>
                <w:rFonts w:hint="default" w:ascii="Times New Roman" w:hAnsi="Times New Roman" w:cs="Times New Roman"/>
                <w:color w:val="auto"/>
                <w:highlight w:val="none"/>
                <w:lang w:val="en-US" w:eastAsia="en-US"/>
              </w:rPr>
            </w:pPr>
            <w:r>
              <w:rPr>
                <w:rFonts w:hint="default" w:ascii="Times New Roman" w:hAnsi="Times New Roman" w:cs="Times New Roman"/>
                <w:color w:val="auto"/>
                <w:highlight w:val="none"/>
              </w:rPr>
              <w:t>非甲烷总烃</w:t>
            </w:r>
          </w:p>
        </w:tc>
        <w:tc>
          <w:tcPr>
            <w:tcW w:w="701" w:type="pct"/>
            <w:noWrap w:val="0"/>
            <w:vAlign w:val="center"/>
          </w:tcPr>
          <w:p w14:paraId="6DDC0A57">
            <w:pPr>
              <w:pStyle w:val="37"/>
              <w:bidi w:val="0"/>
              <w:ind w:firstLine="0" w:firstLine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集气罩</w:t>
            </w:r>
            <w:r>
              <w:rPr>
                <w:rFonts w:hint="default" w:ascii="Times New Roman" w:hAnsi="Times New Roman" w:cs="Times New Roman"/>
                <w:color w:val="auto"/>
                <w:highlight w:val="none"/>
              </w:rPr>
              <w:t>+</w:t>
            </w:r>
            <w:r>
              <w:rPr>
                <w:rFonts w:hint="default" w:ascii="Times New Roman" w:hAnsi="Times New Roman" w:eastAsia="宋体" w:cs="Times New Roman"/>
                <w:color w:val="auto"/>
                <w:highlight w:val="none"/>
                <w:lang w:val="en-US" w:eastAsia="zh-CN"/>
              </w:rPr>
              <w:t>四级活性炭</w:t>
            </w:r>
            <w:r>
              <w:rPr>
                <w:rFonts w:hint="default" w:ascii="Times New Roman" w:hAnsi="Times New Roman" w:cs="Times New Roman"/>
                <w:color w:val="auto"/>
                <w:highlight w:val="none"/>
              </w:rPr>
              <w:t>吸附装置+15m高排气筒</w:t>
            </w:r>
          </w:p>
        </w:tc>
        <w:tc>
          <w:tcPr>
            <w:tcW w:w="426" w:type="pct"/>
            <w:noWrap w:val="0"/>
            <w:vAlign w:val="center"/>
          </w:tcPr>
          <w:p w14:paraId="0F60DAB2">
            <w:pPr>
              <w:pStyle w:val="37"/>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排气筒DA004</w:t>
            </w:r>
          </w:p>
        </w:tc>
        <w:tc>
          <w:tcPr>
            <w:tcW w:w="353" w:type="pct"/>
            <w:tcBorders>
              <w:right w:val="single" w:color="000000" w:sz="4" w:space="0"/>
            </w:tcBorders>
            <w:noWrap w:val="0"/>
            <w:vAlign w:val="center"/>
          </w:tcPr>
          <w:p w14:paraId="042704E9">
            <w:pPr>
              <w:pStyle w:val="37"/>
              <w:bidi w:val="0"/>
              <w:ind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highlight w:val="none"/>
                <w:lang w:val="en-US" w:eastAsia="zh-CN"/>
              </w:rPr>
              <w:t>18</w:t>
            </w:r>
          </w:p>
        </w:tc>
        <w:tc>
          <w:tcPr>
            <w:tcW w:w="334" w:type="pct"/>
            <w:tcBorders>
              <w:left w:val="single" w:color="000000" w:sz="4" w:space="0"/>
            </w:tcBorders>
            <w:noWrap w:val="0"/>
            <w:vAlign w:val="center"/>
          </w:tcPr>
          <w:p w14:paraId="1534A372">
            <w:pPr>
              <w:pStyle w:val="37"/>
              <w:bidi w:val="0"/>
              <w:ind w:firstLine="0" w:firstLineChars="0"/>
              <w:rPr>
                <w:rFonts w:hint="default" w:ascii="Times New Roman" w:hAnsi="Times New Roman" w:cs="Times New Roman"/>
                <w:color w:val="FF0000"/>
                <w:highlight w:val="none"/>
              </w:rPr>
            </w:pPr>
            <w:r>
              <w:rPr>
                <w:rFonts w:hint="default" w:ascii="Times New Roman" w:hAnsi="Times New Roman" w:cs="Times New Roman"/>
                <w:color w:val="auto"/>
                <w:highlight w:val="none"/>
                <w:lang w:val="en-US" w:eastAsia="zh-CN"/>
              </w:rPr>
              <w:t>0.088</w:t>
            </w:r>
          </w:p>
        </w:tc>
        <w:tc>
          <w:tcPr>
            <w:tcW w:w="475" w:type="pct"/>
            <w:noWrap w:val="0"/>
            <w:vAlign w:val="center"/>
          </w:tcPr>
          <w:p w14:paraId="3F595EE7">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lang w:val="en-US" w:eastAsia="zh-CN"/>
              </w:rPr>
              <w:t>0.612</w:t>
            </w:r>
          </w:p>
        </w:tc>
        <w:tc>
          <w:tcPr>
            <w:tcW w:w="1224" w:type="pct"/>
            <w:noWrap w:val="0"/>
            <w:vAlign w:val="center"/>
          </w:tcPr>
          <w:p w14:paraId="3F15B08F">
            <w:pPr>
              <w:pStyle w:val="37"/>
              <w:bidi w:val="0"/>
              <w:ind w:firstLine="0" w:firstLineChars="0"/>
              <w:rPr>
                <w:rFonts w:hint="default" w:ascii="Times New Roman" w:hAnsi="Times New Roman" w:cs="Times New Roman"/>
                <w:color w:val="FF0000"/>
                <w:highlight w:val="none"/>
              </w:rPr>
            </w:pPr>
            <w:r>
              <w:rPr>
                <w:rFonts w:hint="default" w:ascii="Times New Roman" w:hAnsi="Times New Roman" w:cs="Times New Roman"/>
                <w:color w:val="auto"/>
                <w:highlight w:val="none"/>
                <w:lang w:val="en-US" w:eastAsia="zh-CN"/>
              </w:rPr>
              <w:t>《合成树脂工业污染物排放标准》（GB 31572-2015，含2024年修改单）中表4大气污染物排放限值</w:t>
            </w:r>
          </w:p>
        </w:tc>
      </w:tr>
      <w:tr w14:paraId="2ADAB8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2B08C6DD">
            <w:pPr>
              <w:pStyle w:val="37"/>
              <w:bidi w:val="0"/>
              <w:rPr>
                <w:rFonts w:hint="default" w:ascii="Times New Roman" w:hAnsi="Times New Roman" w:cs="Times New Roman"/>
                <w:color w:val="FF0000"/>
                <w:highlight w:val="none"/>
              </w:rPr>
            </w:pPr>
          </w:p>
        </w:tc>
        <w:tc>
          <w:tcPr>
            <w:tcW w:w="581" w:type="pct"/>
            <w:vMerge w:val="restart"/>
            <w:shd w:val="clear" w:color="auto" w:fill="auto"/>
            <w:noWrap w:val="0"/>
            <w:vAlign w:val="center"/>
          </w:tcPr>
          <w:p w14:paraId="4A8C71F7">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无组织废气</w:t>
            </w:r>
          </w:p>
        </w:tc>
        <w:tc>
          <w:tcPr>
            <w:tcW w:w="644" w:type="pct"/>
            <w:shd w:val="clear" w:color="auto" w:fill="auto"/>
            <w:noWrap w:val="0"/>
            <w:vAlign w:val="center"/>
          </w:tcPr>
          <w:p w14:paraId="58A00AF5">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en-US" w:bidi="ar-SA"/>
              </w:rPr>
            </w:pPr>
            <w:r>
              <w:rPr>
                <w:rFonts w:hint="default" w:ascii="Times New Roman" w:hAnsi="Times New Roman" w:cs="Times New Roman"/>
                <w:color w:val="auto"/>
                <w:highlight w:val="none"/>
                <w:lang w:val="en-US" w:eastAsia="zh-CN"/>
              </w:rPr>
              <w:t>非甲烷总烃</w:t>
            </w:r>
          </w:p>
        </w:tc>
        <w:tc>
          <w:tcPr>
            <w:tcW w:w="701" w:type="pct"/>
            <w:vMerge w:val="restart"/>
            <w:noWrap w:val="0"/>
            <w:vAlign w:val="center"/>
          </w:tcPr>
          <w:p w14:paraId="022DBFC9">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注塑</w:t>
            </w:r>
            <w:r>
              <w:rPr>
                <w:rFonts w:hint="default" w:ascii="Times New Roman" w:hAnsi="Times New Roman" w:cs="Times New Roman"/>
                <w:color w:val="auto"/>
                <w:highlight w:val="none"/>
                <w:lang w:val="en-US" w:eastAsia="zh-CN"/>
              </w:rPr>
              <w:t>过程未收集废气</w:t>
            </w:r>
          </w:p>
        </w:tc>
        <w:tc>
          <w:tcPr>
            <w:tcW w:w="426" w:type="pct"/>
            <w:noWrap w:val="0"/>
            <w:vAlign w:val="center"/>
          </w:tcPr>
          <w:p w14:paraId="06DF2BA8">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53" w:type="pct"/>
            <w:tcBorders>
              <w:right w:val="single" w:color="000000" w:sz="4" w:space="0"/>
            </w:tcBorders>
            <w:noWrap w:val="0"/>
            <w:vAlign w:val="center"/>
          </w:tcPr>
          <w:p w14:paraId="4867D78E">
            <w:pPr>
              <w:pStyle w:val="37"/>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334" w:type="pct"/>
            <w:tcBorders>
              <w:left w:val="single" w:color="000000" w:sz="4" w:space="0"/>
            </w:tcBorders>
            <w:noWrap w:val="0"/>
            <w:vAlign w:val="center"/>
          </w:tcPr>
          <w:p w14:paraId="45C74B4A">
            <w:pPr>
              <w:pStyle w:val="37"/>
              <w:bidi w:val="0"/>
              <w:rPr>
                <w:rFonts w:hint="default" w:ascii="Times New Roman" w:hAnsi="Times New Roman" w:cs="Times New Roman"/>
                <w:color w:val="FF0000"/>
                <w:highlight w:val="none"/>
              </w:rPr>
            </w:pPr>
            <w:r>
              <w:rPr>
                <w:rFonts w:hint="eastAsia" w:ascii="Times New Roman" w:hAnsi="Times New Roman" w:cs="Times New Roman"/>
                <w:color w:val="auto"/>
                <w:highlight w:val="none"/>
                <w:lang w:val="en-US" w:eastAsia="zh-CN"/>
              </w:rPr>
              <w:t>0.069</w:t>
            </w:r>
          </w:p>
        </w:tc>
        <w:tc>
          <w:tcPr>
            <w:tcW w:w="475" w:type="pct"/>
            <w:tcBorders>
              <w:bottom w:val="single" w:color="000000" w:sz="4" w:space="0"/>
            </w:tcBorders>
            <w:shd w:val="clear" w:color="auto" w:fill="auto"/>
            <w:noWrap w:val="0"/>
            <w:vAlign w:val="center"/>
          </w:tcPr>
          <w:p w14:paraId="7DD8E686">
            <w:pPr>
              <w:pStyle w:val="83"/>
              <w:spacing w:line="240" w:lineRule="auto"/>
              <w:ind w:left="19" w:leftChars="9" w:right="19" w:rightChars="9"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eastAsia" w:ascii="Times New Roman" w:hAnsi="Times New Roman" w:eastAsia="宋体" w:cs="Times New Roman"/>
                <w:color w:val="auto"/>
                <w:lang w:val="en-US" w:eastAsia="zh-CN"/>
              </w:rPr>
              <w:t>0.48</w:t>
            </w:r>
          </w:p>
        </w:tc>
        <w:tc>
          <w:tcPr>
            <w:tcW w:w="1224" w:type="pct"/>
            <w:tcBorders>
              <w:bottom w:val="single" w:color="000000" w:sz="4" w:space="0"/>
            </w:tcBorders>
            <w:noWrap w:val="0"/>
            <w:vAlign w:val="center"/>
          </w:tcPr>
          <w:p w14:paraId="126AB85D">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eastAsia"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合成树脂工业污染物排放标准》（GB31572-2015）</w:t>
            </w:r>
            <w:r>
              <w:rPr>
                <w:rFonts w:hint="default" w:ascii="Times New Roman" w:hAnsi="Times New Roman" w:eastAsia="宋体" w:cs="Times New Roman"/>
                <w:color w:val="auto"/>
                <w:sz w:val="21"/>
                <w:szCs w:val="21"/>
                <w:highlight w:val="none"/>
                <w:lang w:val="en-US" w:eastAsia="zh-CN"/>
              </w:rPr>
              <w:t>表9企业边界大气污染物浓度限值</w:t>
            </w:r>
          </w:p>
        </w:tc>
      </w:tr>
      <w:tr w14:paraId="5C724B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35313BE3">
            <w:pPr>
              <w:pStyle w:val="37"/>
              <w:bidi w:val="0"/>
              <w:rPr>
                <w:rFonts w:hint="default" w:ascii="Times New Roman" w:hAnsi="Times New Roman" w:cs="Times New Roman"/>
                <w:color w:val="FF0000"/>
                <w:highlight w:val="none"/>
              </w:rPr>
            </w:pPr>
          </w:p>
        </w:tc>
        <w:tc>
          <w:tcPr>
            <w:tcW w:w="581" w:type="pct"/>
            <w:vMerge w:val="continue"/>
            <w:shd w:val="clear" w:color="auto" w:fill="auto"/>
            <w:noWrap w:val="0"/>
            <w:vAlign w:val="center"/>
          </w:tcPr>
          <w:p w14:paraId="674D7B2A">
            <w:pPr>
              <w:pStyle w:val="37"/>
              <w:bidi w:val="0"/>
              <w:rPr>
                <w:rFonts w:hint="default" w:ascii="Times New Roman" w:hAnsi="Times New Roman" w:cs="Times New Roman"/>
                <w:color w:val="auto"/>
                <w:highlight w:val="none"/>
                <w:lang w:val="en-US" w:eastAsia="zh-CN"/>
              </w:rPr>
            </w:pPr>
          </w:p>
        </w:tc>
        <w:tc>
          <w:tcPr>
            <w:tcW w:w="644" w:type="pct"/>
            <w:shd w:val="clear" w:color="auto" w:fill="auto"/>
            <w:noWrap w:val="0"/>
            <w:vAlign w:val="center"/>
          </w:tcPr>
          <w:p w14:paraId="0B7FAF7F">
            <w:pPr>
              <w:pStyle w:val="37"/>
              <w:bidi w:val="0"/>
              <w:ind w:firstLine="0" w:firstLineChars="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丙烯腈</w:t>
            </w:r>
          </w:p>
        </w:tc>
        <w:tc>
          <w:tcPr>
            <w:tcW w:w="701" w:type="pct"/>
            <w:vMerge w:val="continue"/>
            <w:noWrap w:val="0"/>
            <w:vAlign w:val="center"/>
          </w:tcPr>
          <w:p w14:paraId="51F39A00">
            <w:pPr>
              <w:pStyle w:val="37"/>
              <w:bidi w:val="0"/>
              <w:rPr>
                <w:rFonts w:hint="eastAsia" w:ascii="Times New Roman" w:hAnsi="Times New Roman" w:cs="Times New Roman"/>
                <w:color w:val="auto"/>
                <w:highlight w:val="none"/>
                <w:lang w:val="en-US" w:eastAsia="zh-CN"/>
              </w:rPr>
            </w:pPr>
          </w:p>
        </w:tc>
        <w:tc>
          <w:tcPr>
            <w:tcW w:w="426" w:type="pct"/>
            <w:noWrap w:val="0"/>
            <w:vAlign w:val="center"/>
          </w:tcPr>
          <w:p w14:paraId="76E450B8">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53" w:type="pct"/>
            <w:tcBorders>
              <w:right w:val="single" w:color="000000" w:sz="4" w:space="0"/>
            </w:tcBorders>
            <w:noWrap w:val="0"/>
            <w:vAlign w:val="center"/>
          </w:tcPr>
          <w:p w14:paraId="1B6D1A2F">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34" w:type="pct"/>
            <w:tcBorders>
              <w:left w:val="single" w:color="000000" w:sz="4" w:space="0"/>
            </w:tcBorders>
            <w:noWrap w:val="0"/>
            <w:vAlign w:val="center"/>
          </w:tcPr>
          <w:p w14:paraId="1CB66739">
            <w:pPr>
              <w:pStyle w:val="37"/>
              <w:bidi w:val="0"/>
              <w:ind w:firstLine="0" w:firstLineChars="0"/>
              <w:rPr>
                <w:rFonts w:hint="default" w:ascii="Times New Roman" w:hAnsi="Times New Roman" w:cs="Times New Roman"/>
                <w:color w:val="FF0000"/>
                <w:highlight w:val="none"/>
              </w:rPr>
            </w:pPr>
            <w:r>
              <w:rPr>
                <w:rFonts w:hint="eastAsia" w:ascii="Times New Roman" w:hAnsi="Times New Roman" w:eastAsia="宋体" w:cs="Times New Roman"/>
                <w:color w:val="auto"/>
                <w:highlight w:val="none"/>
                <w:lang w:val="en-US" w:eastAsia="zh-CN"/>
              </w:rPr>
              <w:t>0.0003</w:t>
            </w:r>
          </w:p>
        </w:tc>
        <w:tc>
          <w:tcPr>
            <w:tcW w:w="475" w:type="pct"/>
            <w:tcBorders>
              <w:bottom w:val="single" w:color="000000" w:sz="4" w:space="0"/>
            </w:tcBorders>
            <w:shd w:val="clear" w:color="auto" w:fill="auto"/>
            <w:noWrap w:val="0"/>
            <w:vAlign w:val="center"/>
          </w:tcPr>
          <w:p w14:paraId="563BC953">
            <w:pPr>
              <w:pStyle w:val="83"/>
              <w:spacing w:line="240" w:lineRule="auto"/>
              <w:ind w:left="19" w:leftChars="9" w:right="19" w:rightChars="9"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eastAsia" w:ascii="Times New Roman" w:hAnsi="Times New Roman" w:eastAsia="宋体" w:cs="Times New Roman"/>
                <w:color w:val="auto"/>
                <w:lang w:val="en-US" w:eastAsia="zh-CN"/>
              </w:rPr>
              <w:t>0.002</w:t>
            </w:r>
          </w:p>
        </w:tc>
        <w:tc>
          <w:tcPr>
            <w:tcW w:w="1224" w:type="pct"/>
            <w:tcBorders>
              <w:bottom w:val="single" w:color="000000" w:sz="4" w:space="0"/>
            </w:tcBorders>
            <w:noWrap w:val="0"/>
            <w:vAlign w:val="center"/>
          </w:tcPr>
          <w:p w14:paraId="60E9EAA8">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cs="Times New Roman"/>
                <w:color w:val="auto"/>
              </w:rPr>
              <w:t>《大气污染物综合排放标准》（GB16297-1996）表2无组织排放监控浓度限值</w:t>
            </w:r>
          </w:p>
        </w:tc>
      </w:tr>
      <w:tr w14:paraId="11FD0D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06F6B28E">
            <w:pPr>
              <w:pStyle w:val="37"/>
              <w:bidi w:val="0"/>
              <w:rPr>
                <w:rFonts w:hint="default" w:ascii="Times New Roman" w:hAnsi="Times New Roman" w:cs="Times New Roman"/>
                <w:color w:val="FF0000"/>
                <w:highlight w:val="none"/>
              </w:rPr>
            </w:pPr>
          </w:p>
        </w:tc>
        <w:tc>
          <w:tcPr>
            <w:tcW w:w="581" w:type="pct"/>
            <w:vMerge w:val="continue"/>
            <w:shd w:val="clear" w:color="auto" w:fill="auto"/>
            <w:noWrap w:val="0"/>
            <w:vAlign w:val="center"/>
          </w:tcPr>
          <w:p w14:paraId="08E99679">
            <w:pPr>
              <w:pStyle w:val="37"/>
              <w:bidi w:val="0"/>
              <w:rPr>
                <w:rFonts w:hint="default" w:ascii="Times New Roman" w:hAnsi="Times New Roman" w:cs="Times New Roman"/>
                <w:color w:val="auto"/>
                <w:highlight w:val="none"/>
                <w:lang w:val="en-US" w:eastAsia="zh-CN"/>
              </w:rPr>
            </w:pPr>
          </w:p>
        </w:tc>
        <w:tc>
          <w:tcPr>
            <w:tcW w:w="644" w:type="pct"/>
            <w:shd w:val="clear" w:color="auto" w:fill="auto"/>
            <w:noWrap w:val="0"/>
            <w:vAlign w:val="center"/>
          </w:tcPr>
          <w:p w14:paraId="0F82C261">
            <w:pPr>
              <w:pStyle w:val="37"/>
              <w:bidi w:val="0"/>
              <w:ind w:firstLine="0" w:firstLineChars="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乙苯</w:t>
            </w:r>
          </w:p>
        </w:tc>
        <w:tc>
          <w:tcPr>
            <w:tcW w:w="701" w:type="pct"/>
            <w:vMerge w:val="continue"/>
            <w:noWrap w:val="0"/>
            <w:vAlign w:val="center"/>
          </w:tcPr>
          <w:p w14:paraId="7F40D306">
            <w:pPr>
              <w:pStyle w:val="37"/>
              <w:bidi w:val="0"/>
              <w:rPr>
                <w:rFonts w:hint="eastAsia" w:ascii="Times New Roman" w:hAnsi="Times New Roman" w:cs="Times New Roman"/>
                <w:color w:val="auto"/>
                <w:highlight w:val="none"/>
                <w:lang w:val="en-US" w:eastAsia="zh-CN"/>
              </w:rPr>
            </w:pPr>
          </w:p>
        </w:tc>
        <w:tc>
          <w:tcPr>
            <w:tcW w:w="426" w:type="pct"/>
            <w:noWrap w:val="0"/>
            <w:vAlign w:val="center"/>
          </w:tcPr>
          <w:p w14:paraId="74675280">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53" w:type="pct"/>
            <w:tcBorders>
              <w:right w:val="single" w:color="000000" w:sz="4" w:space="0"/>
            </w:tcBorders>
            <w:noWrap w:val="0"/>
            <w:vAlign w:val="center"/>
          </w:tcPr>
          <w:p w14:paraId="6A9EAB90">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34" w:type="pct"/>
            <w:tcBorders>
              <w:left w:val="single" w:color="000000" w:sz="4" w:space="0"/>
            </w:tcBorders>
            <w:noWrap w:val="0"/>
            <w:vAlign w:val="center"/>
          </w:tcPr>
          <w:p w14:paraId="1E57F2CC">
            <w:pPr>
              <w:pStyle w:val="37"/>
              <w:bidi w:val="0"/>
              <w:ind w:firstLine="0" w:firstLineChars="0"/>
              <w:rPr>
                <w:rFonts w:hint="default" w:ascii="Times New Roman" w:hAnsi="Times New Roman" w:cs="Times New Roman"/>
                <w:color w:val="FF0000"/>
                <w:highlight w:val="none"/>
              </w:rPr>
            </w:pPr>
            <w:r>
              <w:rPr>
                <w:rFonts w:hint="eastAsia" w:ascii="Times New Roman" w:hAnsi="Times New Roman" w:cs="Times New Roman"/>
                <w:color w:val="auto"/>
                <w:highlight w:val="none"/>
                <w:lang w:val="en-US" w:eastAsia="zh-CN"/>
              </w:rPr>
              <w:t>0.0004</w:t>
            </w:r>
          </w:p>
        </w:tc>
        <w:tc>
          <w:tcPr>
            <w:tcW w:w="475" w:type="pct"/>
            <w:tcBorders>
              <w:bottom w:val="single" w:color="000000" w:sz="4" w:space="0"/>
            </w:tcBorders>
            <w:shd w:val="clear" w:color="auto" w:fill="auto"/>
            <w:noWrap w:val="0"/>
            <w:vAlign w:val="center"/>
          </w:tcPr>
          <w:p w14:paraId="55490F3A">
            <w:pPr>
              <w:pStyle w:val="83"/>
              <w:spacing w:line="240" w:lineRule="auto"/>
              <w:ind w:left="19" w:leftChars="9" w:right="19" w:rightChars="9"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eastAsia" w:ascii="Times New Roman" w:hAnsi="Times New Roman" w:eastAsia="宋体" w:cs="Times New Roman"/>
                <w:color w:val="auto"/>
                <w:lang w:val="en-US" w:eastAsia="zh-CN"/>
              </w:rPr>
              <w:t>0.0031</w:t>
            </w:r>
          </w:p>
        </w:tc>
        <w:tc>
          <w:tcPr>
            <w:tcW w:w="1224" w:type="pct"/>
            <w:tcBorders>
              <w:bottom w:val="single" w:color="000000" w:sz="4" w:space="0"/>
            </w:tcBorders>
            <w:noWrap w:val="0"/>
            <w:vAlign w:val="center"/>
          </w:tcPr>
          <w:p w14:paraId="2A00D7CD">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eastAsia" w:ascii="Times New Roman" w:hAnsi="Times New Roman" w:eastAsia="宋体" w:cs="Times New Roman"/>
                <w:color w:val="auto"/>
                <w:lang w:val="en-US" w:eastAsia="zh-CN"/>
              </w:rPr>
              <w:t>/</w:t>
            </w:r>
          </w:p>
        </w:tc>
      </w:tr>
      <w:tr w14:paraId="6B7FF4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5DA058FD">
            <w:pPr>
              <w:pStyle w:val="37"/>
              <w:bidi w:val="0"/>
              <w:rPr>
                <w:rFonts w:hint="default" w:ascii="Times New Roman" w:hAnsi="Times New Roman" w:cs="Times New Roman"/>
                <w:color w:val="FF0000"/>
                <w:highlight w:val="none"/>
              </w:rPr>
            </w:pPr>
          </w:p>
        </w:tc>
        <w:tc>
          <w:tcPr>
            <w:tcW w:w="581" w:type="pct"/>
            <w:vMerge w:val="continue"/>
            <w:shd w:val="clear" w:color="auto" w:fill="auto"/>
            <w:noWrap w:val="0"/>
            <w:vAlign w:val="center"/>
          </w:tcPr>
          <w:p w14:paraId="43E7BB80">
            <w:pPr>
              <w:pStyle w:val="37"/>
              <w:bidi w:val="0"/>
              <w:rPr>
                <w:rFonts w:hint="default" w:ascii="Times New Roman" w:hAnsi="Times New Roman" w:cs="Times New Roman"/>
                <w:color w:val="auto"/>
                <w:highlight w:val="none"/>
                <w:lang w:val="en-US" w:eastAsia="zh-CN"/>
              </w:rPr>
            </w:pPr>
          </w:p>
        </w:tc>
        <w:tc>
          <w:tcPr>
            <w:tcW w:w="644" w:type="pct"/>
            <w:shd w:val="clear" w:color="auto" w:fill="auto"/>
            <w:noWrap w:val="0"/>
            <w:vAlign w:val="center"/>
          </w:tcPr>
          <w:p w14:paraId="3E47C616">
            <w:pPr>
              <w:pStyle w:val="37"/>
              <w:bidi w:val="0"/>
              <w:ind w:firstLine="0" w:firstLineChars="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甲苯</w:t>
            </w:r>
          </w:p>
        </w:tc>
        <w:tc>
          <w:tcPr>
            <w:tcW w:w="701" w:type="pct"/>
            <w:vMerge w:val="continue"/>
            <w:noWrap w:val="0"/>
            <w:vAlign w:val="center"/>
          </w:tcPr>
          <w:p w14:paraId="6C1109F0">
            <w:pPr>
              <w:pStyle w:val="37"/>
              <w:bidi w:val="0"/>
              <w:rPr>
                <w:rFonts w:hint="eastAsia" w:ascii="Times New Roman" w:hAnsi="Times New Roman" w:cs="Times New Roman"/>
                <w:color w:val="auto"/>
                <w:highlight w:val="none"/>
                <w:lang w:val="en-US" w:eastAsia="zh-CN"/>
              </w:rPr>
            </w:pPr>
          </w:p>
        </w:tc>
        <w:tc>
          <w:tcPr>
            <w:tcW w:w="426" w:type="pct"/>
            <w:noWrap w:val="0"/>
            <w:vAlign w:val="center"/>
          </w:tcPr>
          <w:p w14:paraId="2CC340F6">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53" w:type="pct"/>
            <w:tcBorders>
              <w:right w:val="single" w:color="000000" w:sz="4" w:space="0"/>
            </w:tcBorders>
            <w:noWrap w:val="0"/>
            <w:vAlign w:val="center"/>
          </w:tcPr>
          <w:p w14:paraId="4331C497">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34" w:type="pct"/>
            <w:tcBorders>
              <w:left w:val="single" w:color="000000" w:sz="4" w:space="0"/>
            </w:tcBorders>
            <w:noWrap w:val="0"/>
            <w:vAlign w:val="center"/>
          </w:tcPr>
          <w:p w14:paraId="637FD6EF">
            <w:pPr>
              <w:pStyle w:val="37"/>
              <w:bidi w:val="0"/>
              <w:ind w:firstLine="0" w:firstLineChars="0"/>
              <w:rPr>
                <w:rFonts w:hint="default" w:ascii="Times New Roman" w:hAnsi="Times New Roman" w:cs="Times New Roman"/>
                <w:color w:val="FF0000"/>
                <w:highlight w:val="none"/>
              </w:rPr>
            </w:pPr>
            <w:r>
              <w:rPr>
                <w:rFonts w:hint="eastAsia" w:ascii="Times New Roman" w:hAnsi="Times New Roman" w:cs="Times New Roman"/>
                <w:color w:val="auto"/>
                <w:highlight w:val="none"/>
                <w:lang w:val="en-US" w:eastAsia="zh-CN"/>
              </w:rPr>
              <w:t>0.0009</w:t>
            </w:r>
          </w:p>
        </w:tc>
        <w:tc>
          <w:tcPr>
            <w:tcW w:w="475" w:type="pct"/>
            <w:tcBorders>
              <w:bottom w:val="single" w:color="000000" w:sz="4" w:space="0"/>
            </w:tcBorders>
            <w:shd w:val="clear" w:color="auto" w:fill="auto"/>
            <w:noWrap w:val="0"/>
            <w:vAlign w:val="center"/>
          </w:tcPr>
          <w:p w14:paraId="536FF1D5">
            <w:pPr>
              <w:pStyle w:val="83"/>
              <w:spacing w:line="240" w:lineRule="auto"/>
              <w:ind w:left="19" w:leftChars="9" w:right="19" w:rightChars="9"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eastAsia" w:ascii="Times New Roman" w:hAnsi="Times New Roman" w:eastAsia="宋体" w:cs="Times New Roman"/>
                <w:color w:val="auto"/>
                <w:lang w:val="en-US" w:eastAsia="zh-CN"/>
              </w:rPr>
              <w:t>0.0066</w:t>
            </w:r>
          </w:p>
        </w:tc>
        <w:tc>
          <w:tcPr>
            <w:tcW w:w="1224" w:type="pct"/>
            <w:tcBorders>
              <w:bottom w:val="single" w:color="000000" w:sz="4" w:space="0"/>
            </w:tcBorders>
            <w:noWrap w:val="0"/>
            <w:vAlign w:val="center"/>
          </w:tcPr>
          <w:p w14:paraId="001C870A">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eastAsia"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合成树脂工业污染物排放标准》（GB31572-2015）</w:t>
            </w:r>
            <w:r>
              <w:rPr>
                <w:rFonts w:hint="default" w:ascii="Times New Roman" w:hAnsi="Times New Roman" w:eastAsia="宋体" w:cs="Times New Roman"/>
                <w:color w:val="auto"/>
                <w:sz w:val="21"/>
                <w:szCs w:val="21"/>
                <w:highlight w:val="none"/>
                <w:lang w:val="en-US" w:eastAsia="zh-CN"/>
              </w:rPr>
              <w:t>表9企业边界大气污染物浓度限值</w:t>
            </w:r>
          </w:p>
        </w:tc>
      </w:tr>
      <w:tr w14:paraId="23E3D7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2B5CF24A">
            <w:pPr>
              <w:pStyle w:val="37"/>
              <w:bidi w:val="0"/>
              <w:rPr>
                <w:rFonts w:hint="default" w:ascii="Times New Roman" w:hAnsi="Times New Roman" w:cs="Times New Roman"/>
                <w:color w:val="FF0000"/>
                <w:highlight w:val="none"/>
              </w:rPr>
            </w:pPr>
          </w:p>
        </w:tc>
        <w:tc>
          <w:tcPr>
            <w:tcW w:w="581" w:type="pct"/>
            <w:vMerge w:val="continue"/>
            <w:shd w:val="clear" w:color="auto" w:fill="auto"/>
            <w:noWrap w:val="0"/>
            <w:vAlign w:val="center"/>
          </w:tcPr>
          <w:p w14:paraId="52D6E565">
            <w:pPr>
              <w:pStyle w:val="37"/>
              <w:bidi w:val="0"/>
              <w:rPr>
                <w:rFonts w:hint="default" w:ascii="Times New Roman" w:hAnsi="Times New Roman" w:cs="Times New Roman"/>
                <w:color w:val="auto"/>
                <w:highlight w:val="none"/>
                <w:lang w:val="en-US" w:eastAsia="zh-CN"/>
              </w:rPr>
            </w:pPr>
          </w:p>
        </w:tc>
        <w:tc>
          <w:tcPr>
            <w:tcW w:w="644" w:type="pct"/>
            <w:shd w:val="clear" w:color="auto" w:fill="auto"/>
            <w:noWrap w:val="0"/>
            <w:vAlign w:val="center"/>
          </w:tcPr>
          <w:p w14:paraId="7958FDB4">
            <w:pPr>
              <w:pStyle w:val="37"/>
              <w:bidi w:val="0"/>
              <w:ind w:firstLine="0" w:firstLineChars="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1,3-丁二烯</w:t>
            </w:r>
          </w:p>
        </w:tc>
        <w:tc>
          <w:tcPr>
            <w:tcW w:w="701" w:type="pct"/>
            <w:vMerge w:val="continue"/>
            <w:noWrap w:val="0"/>
            <w:vAlign w:val="center"/>
          </w:tcPr>
          <w:p w14:paraId="1A801937">
            <w:pPr>
              <w:pStyle w:val="37"/>
              <w:bidi w:val="0"/>
              <w:rPr>
                <w:rFonts w:hint="eastAsia" w:ascii="Times New Roman" w:hAnsi="Times New Roman" w:cs="Times New Roman"/>
                <w:color w:val="auto"/>
                <w:highlight w:val="none"/>
                <w:lang w:val="en-US" w:eastAsia="zh-CN"/>
              </w:rPr>
            </w:pPr>
          </w:p>
        </w:tc>
        <w:tc>
          <w:tcPr>
            <w:tcW w:w="426" w:type="pct"/>
            <w:noWrap w:val="0"/>
            <w:vAlign w:val="center"/>
          </w:tcPr>
          <w:p w14:paraId="09C2ED96">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53" w:type="pct"/>
            <w:tcBorders>
              <w:right w:val="single" w:color="000000" w:sz="4" w:space="0"/>
            </w:tcBorders>
            <w:noWrap w:val="0"/>
            <w:vAlign w:val="center"/>
          </w:tcPr>
          <w:p w14:paraId="6D65DB4C">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34" w:type="pct"/>
            <w:tcBorders>
              <w:left w:val="single" w:color="000000" w:sz="4" w:space="0"/>
            </w:tcBorders>
            <w:noWrap w:val="0"/>
            <w:vAlign w:val="center"/>
          </w:tcPr>
          <w:p w14:paraId="0CB20400">
            <w:pPr>
              <w:pStyle w:val="37"/>
              <w:bidi w:val="0"/>
              <w:ind w:firstLine="0" w:firstLineChars="0"/>
              <w:rPr>
                <w:rFonts w:hint="default" w:ascii="Times New Roman" w:hAnsi="Times New Roman" w:cs="Times New Roman"/>
                <w:color w:val="FF0000"/>
                <w:highlight w:val="none"/>
              </w:rPr>
            </w:pPr>
            <w:r>
              <w:rPr>
                <w:rFonts w:hint="eastAsia" w:ascii="Times New Roman" w:hAnsi="Times New Roman" w:cs="Times New Roman"/>
                <w:color w:val="auto"/>
                <w:highlight w:val="none"/>
                <w:lang w:val="en-US" w:eastAsia="zh-CN"/>
              </w:rPr>
              <w:t>0.0001</w:t>
            </w:r>
          </w:p>
        </w:tc>
        <w:tc>
          <w:tcPr>
            <w:tcW w:w="475" w:type="pct"/>
            <w:tcBorders>
              <w:bottom w:val="single" w:color="000000" w:sz="4" w:space="0"/>
            </w:tcBorders>
            <w:shd w:val="clear" w:color="auto" w:fill="auto"/>
            <w:noWrap w:val="0"/>
            <w:vAlign w:val="center"/>
          </w:tcPr>
          <w:p w14:paraId="4BD9AA13">
            <w:pPr>
              <w:pStyle w:val="83"/>
              <w:spacing w:line="240" w:lineRule="auto"/>
              <w:ind w:left="19" w:leftChars="9" w:right="19" w:rightChars="9"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eastAsia" w:ascii="Times New Roman" w:hAnsi="Times New Roman" w:eastAsia="宋体" w:cs="Times New Roman"/>
                <w:color w:val="auto"/>
                <w:lang w:val="en-US" w:eastAsia="zh-CN"/>
              </w:rPr>
              <w:t>0.0009</w:t>
            </w:r>
          </w:p>
        </w:tc>
        <w:tc>
          <w:tcPr>
            <w:tcW w:w="1224" w:type="pct"/>
            <w:tcBorders>
              <w:bottom w:val="single" w:color="000000" w:sz="4" w:space="0"/>
            </w:tcBorders>
            <w:noWrap w:val="0"/>
            <w:vAlign w:val="center"/>
          </w:tcPr>
          <w:p w14:paraId="1906B428">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eastAsia" w:ascii="Times New Roman" w:hAnsi="Times New Roman" w:eastAsia="宋体" w:cs="Times New Roman"/>
                <w:color w:val="auto"/>
                <w:lang w:val="en-US" w:eastAsia="zh-CN"/>
              </w:rPr>
              <w:t>/</w:t>
            </w:r>
          </w:p>
        </w:tc>
      </w:tr>
      <w:tr w14:paraId="6FD3FD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774A607F">
            <w:pPr>
              <w:pStyle w:val="37"/>
              <w:bidi w:val="0"/>
              <w:rPr>
                <w:rFonts w:hint="default" w:ascii="Times New Roman" w:hAnsi="Times New Roman" w:cs="Times New Roman"/>
                <w:color w:val="FF0000"/>
                <w:highlight w:val="none"/>
              </w:rPr>
            </w:pPr>
          </w:p>
        </w:tc>
        <w:tc>
          <w:tcPr>
            <w:tcW w:w="581" w:type="pct"/>
            <w:vMerge w:val="continue"/>
            <w:shd w:val="clear" w:color="auto" w:fill="auto"/>
            <w:noWrap w:val="0"/>
            <w:vAlign w:val="center"/>
          </w:tcPr>
          <w:p w14:paraId="2AB9B5F0">
            <w:pPr>
              <w:pStyle w:val="37"/>
              <w:bidi w:val="0"/>
              <w:rPr>
                <w:rFonts w:hint="default" w:ascii="Times New Roman" w:hAnsi="Times New Roman" w:cs="Times New Roman"/>
                <w:color w:val="auto"/>
                <w:highlight w:val="none"/>
                <w:lang w:val="en-US" w:eastAsia="zh-CN"/>
              </w:rPr>
            </w:pPr>
          </w:p>
        </w:tc>
        <w:tc>
          <w:tcPr>
            <w:tcW w:w="644" w:type="pct"/>
            <w:shd w:val="clear" w:color="auto" w:fill="auto"/>
            <w:noWrap w:val="0"/>
            <w:vAlign w:val="center"/>
          </w:tcPr>
          <w:p w14:paraId="5984C9DC">
            <w:pPr>
              <w:pStyle w:val="37"/>
              <w:bidi w:val="0"/>
              <w:ind w:firstLine="0" w:firstLineChars="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酚类</w:t>
            </w:r>
          </w:p>
        </w:tc>
        <w:tc>
          <w:tcPr>
            <w:tcW w:w="701" w:type="pct"/>
            <w:vMerge w:val="continue"/>
            <w:noWrap w:val="0"/>
            <w:vAlign w:val="center"/>
          </w:tcPr>
          <w:p w14:paraId="6A9C9683">
            <w:pPr>
              <w:pStyle w:val="37"/>
              <w:bidi w:val="0"/>
              <w:rPr>
                <w:rFonts w:hint="eastAsia" w:ascii="Times New Roman" w:hAnsi="Times New Roman" w:cs="Times New Roman"/>
                <w:color w:val="auto"/>
                <w:highlight w:val="none"/>
                <w:lang w:val="en-US" w:eastAsia="zh-CN"/>
              </w:rPr>
            </w:pPr>
          </w:p>
        </w:tc>
        <w:tc>
          <w:tcPr>
            <w:tcW w:w="426" w:type="pct"/>
            <w:noWrap w:val="0"/>
            <w:vAlign w:val="center"/>
          </w:tcPr>
          <w:p w14:paraId="5F852A42">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53" w:type="pct"/>
            <w:tcBorders>
              <w:right w:val="single" w:color="000000" w:sz="4" w:space="0"/>
            </w:tcBorders>
            <w:noWrap w:val="0"/>
            <w:vAlign w:val="center"/>
          </w:tcPr>
          <w:p w14:paraId="55E96692">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34" w:type="pct"/>
            <w:tcBorders>
              <w:left w:val="single" w:color="000000" w:sz="4" w:space="0"/>
            </w:tcBorders>
            <w:noWrap w:val="0"/>
            <w:vAlign w:val="center"/>
          </w:tcPr>
          <w:p w14:paraId="3C00AD40">
            <w:pPr>
              <w:pStyle w:val="37"/>
              <w:bidi w:val="0"/>
              <w:ind w:firstLine="0" w:firstLineChars="0"/>
              <w:rPr>
                <w:rFonts w:hint="default" w:ascii="Times New Roman" w:hAnsi="Times New Roman" w:cs="Times New Roman"/>
                <w:color w:val="FF0000"/>
                <w:highlight w:val="none"/>
              </w:rPr>
            </w:pPr>
            <w:r>
              <w:rPr>
                <w:rFonts w:hint="eastAsia" w:ascii="Times New Roman" w:hAnsi="Times New Roman" w:cs="Times New Roman"/>
                <w:color w:val="auto"/>
                <w:highlight w:val="none"/>
                <w:lang w:val="en-US" w:eastAsia="zh-CN"/>
              </w:rPr>
              <w:t>0.0019</w:t>
            </w:r>
          </w:p>
        </w:tc>
        <w:tc>
          <w:tcPr>
            <w:tcW w:w="475" w:type="pct"/>
            <w:tcBorders>
              <w:bottom w:val="single" w:color="000000" w:sz="4" w:space="0"/>
            </w:tcBorders>
            <w:shd w:val="clear" w:color="auto" w:fill="auto"/>
            <w:noWrap w:val="0"/>
            <w:vAlign w:val="center"/>
          </w:tcPr>
          <w:p w14:paraId="768EF202">
            <w:pPr>
              <w:pStyle w:val="83"/>
              <w:spacing w:line="240" w:lineRule="auto"/>
              <w:ind w:left="19" w:leftChars="9" w:right="19" w:rightChars="9"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eastAsia" w:ascii="Times New Roman" w:hAnsi="Times New Roman" w:eastAsia="宋体" w:cs="Times New Roman"/>
                <w:color w:val="auto"/>
                <w:lang w:val="en-US" w:eastAsia="zh-CN"/>
              </w:rPr>
              <w:t>0.013</w:t>
            </w:r>
          </w:p>
        </w:tc>
        <w:tc>
          <w:tcPr>
            <w:tcW w:w="1224" w:type="pct"/>
            <w:tcBorders>
              <w:bottom w:val="single" w:color="000000" w:sz="4" w:space="0"/>
            </w:tcBorders>
            <w:noWrap w:val="0"/>
            <w:vAlign w:val="center"/>
          </w:tcPr>
          <w:p w14:paraId="796F7DB4">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default" w:ascii="Times New Roman" w:hAnsi="Times New Roman" w:cs="Times New Roman"/>
                <w:color w:val="auto"/>
              </w:rPr>
              <w:t>《大气污染物综合排放标准》（GB16297-1996）表2无组织排放监控浓度限值</w:t>
            </w:r>
          </w:p>
        </w:tc>
      </w:tr>
      <w:tr w14:paraId="77D78C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1529FDCE">
            <w:pPr>
              <w:pStyle w:val="37"/>
              <w:bidi w:val="0"/>
              <w:rPr>
                <w:rFonts w:hint="default" w:ascii="Times New Roman" w:hAnsi="Times New Roman" w:cs="Times New Roman"/>
                <w:color w:val="FF0000"/>
                <w:highlight w:val="none"/>
              </w:rPr>
            </w:pPr>
          </w:p>
        </w:tc>
        <w:tc>
          <w:tcPr>
            <w:tcW w:w="581" w:type="pct"/>
            <w:vMerge w:val="continue"/>
            <w:shd w:val="clear" w:color="auto" w:fill="auto"/>
            <w:noWrap w:val="0"/>
            <w:vAlign w:val="center"/>
          </w:tcPr>
          <w:p w14:paraId="7229DF1B">
            <w:pPr>
              <w:pStyle w:val="37"/>
              <w:bidi w:val="0"/>
              <w:rPr>
                <w:rFonts w:hint="default" w:ascii="Times New Roman" w:hAnsi="Times New Roman" w:cs="Times New Roman"/>
                <w:color w:val="auto"/>
                <w:highlight w:val="none"/>
                <w:lang w:val="en-US" w:eastAsia="zh-CN"/>
              </w:rPr>
            </w:pPr>
          </w:p>
        </w:tc>
        <w:tc>
          <w:tcPr>
            <w:tcW w:w="644" w:type="pct"/>
            <w:shd w:val="clear" w:color="auto" w:fill="auto"/>
            <w:noWrap w:val="0"/>
            <w:vAlign w:val="center"/>
          </w:tcPr>
          <w:p w14:paraId="141A0C92">
            <w:pPr>
              <w:pStyle w:val="37"/>
              <w:bidi w:val="0"/>
              <w:ind w:firstLine="0" w:firstLineChars="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氯苯类</w:t>
            </w:r>
          </w:p>
        </w:tc>
        <w:tc>
          <w:tcPr>
            <w:tcW w:w="701" w:type="pct"/>
            <w:vMerge w:val="continue"/>
            <w:noWrap w:val="0"/>
            <w:vAlign w:val="center"/>
          </w:tcPr>
          <w:p w14:paraId="7C6D6CBD">
            <w:pPr>
              <w:pStyle w:val="37"/>
              <w:bidi w:val="0"/>
              <w:rPr>
                <w:rFonts w:hint="eastAsia" w:ascii="Times New Roman" w:hAnsi="Times New Roman" w:cs="Times New Roman"/>
                <w:color w:val="auto"/>
                <w:highlight w:val="none"/>
                <w:lang w:val="en-US" w:eastAsia="zh-CN"/>
              </w:rPr>
            </w:pPr>
          </w:p>
        </w:tc>
        <w:tc>
          <w:tcPr>
            <w:tcW w:w="426" w:type="pct"/>
            <w:noWrap w:val="0"/>
            <w:vAlign w:val="center"/>
          </w:tcPr>
          <w:p w14:paraId="1589FDF8">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53" w:type="pct"/>
            <w:tcBorders>
              <w:right w:val="single" w:color="000000" w:sz="4" w:space="0"/>
            </w:tcBorders>
            <w:noWrap w:val="0"/>
            <w:vAlign w:val="center"/>
          </w:tcPr>
          <w:p w14:paraId="341DFC4E">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34" w:type="pct"/>
            <w:tcBorders>
              <w:left w:val="single" w:color="000000" w:sz="4" w:space="0"/>
            </w:tcBorders>
            <w:noWrap w:val="0"/>
            <w:vAlign w:val="center"/>
          </w:tcPr>
          <w:p w14:paraId="3ED42113">
            <w:pPr>
              <w:pStyle w:val="37"/>
              <w:bidi w:val="0"/>
              <w:ind w:firstLine="0" w:firstLineChars="0"/>
              <w:rPr>
                <w:rFonts w:hint="default" w:ascii="Times New Roman" w:hAnsi="Times New Roman" w:cs="Times New Roman"/>
                <w:color w:val="FF0000"/>
                <w:highlight w:val="none"/>
              </w:rPr>
            </w:pPr>
            <w:r>
              <w:rPr>
                <w:rFonts w:hint="eastAsia" w:ascii="Times New Roman" w:hAnsi="Times New Roman" w:cs="Times New Roman"/>
                <w:color w:val="auto"/>
                <w:highlight w:val="none"/>
                <w:lang w:val="en-US" w:eastAsia="zh-CN"/>
              </w:rPr>
              <w:t>0.0012</w:t>
            </w:r>
          </w:p>
        </w:tc>
        <w:tc>
          <w:tcPr>
            <w:tcW w:w="475" w:type="pct"/>
            <w:tcBorders>
              <w:bottom w:val="single" w:color="000000" w:sz="4" w:space="0"/>
            </w:tcBorders>
            <w:shd w:val="clear" w:color="auto" w:fill="auto"/>
            <w:noWrap w:val="0"/>
            <w:vAlign w:val="center"/>
          </w:tcPr>
          <w:p w14:paraId="441FD745">
            <w:pPr>
              <w:pStyle w:val="83"/>
              <w:spacing w:line="240" w:lineRule="auto"/>
              <w:ind w:left="19" w:leftChars="9" w:right="19" w:rightChars="9"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eastAsia" w:ascii="Times New Roman" w:hAnsi="Times New Roman" w:eastAsia="宋体" w:cs="Times New Roman"/>
                <w:color w:val="auto"/>
                <w:lang w:val="en-US" w:eastAsia="zh-CN"/>
              </w:rPr>
              <w:t>0.008</w:t>
            </w:r>
          </w:p>
        </w:tc>
        <w:tc>
          <w:tcPr>
            <w:tcW w:w="1224" w:type="pct"/>
            <w:tcBorders>
              <w:bottom w:val="single" w:color="000000" w:sz="4" w:space="0"/>
            </w:tcBorders>
            <w:noWrap w:val="0"/>
            <w:vAlign w:val="center"/>
          </w:tcPr>
          <w:p w14:paraId="2648FA8C">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eastAsia" w:ascii="Times New Roman" w:hAnsi="Times New Roman" w:eastAsia="宋体" w:cs="Times New Roman"/>
                <w:color w:val="auto"/>
                <w:lang w:val="en-US" w:eastAsia="zh-CN"/>
              </w:rPr>
              <w:t>/</w:t>
            </w:r>
          </w:p>
        </w:tc>
      </w:tr>
      <w:tr w14:paraId="42F536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1FBDEE89">
            <w:pPr>
              <w:pStyle w:val="37"/>
              <w:bidi w:val="0"/>
              <w:rPr>
                <w:rFonts w:hint="default" w:ascii="Times New Roman" w:hAnsi="Times New Roman" w:cs="Times New Roman"/>
                <w:color w:val="FF0000"/>
                <w:highlight w:val="none"/>
              </w:rPr>
            </w:pPr>
          </w:p>
        </w:tc>
        <w:tc>
          <w:tcPr>
            <w:tcW w:w="581" w:type="pct"/>
            <w:vMerge w:val="continue"/>
            <w:shd w:val="clear" w:color="auto" w:fill="auto"/>
            <w:noWrap w:val="0"/>
            <w:vAlign w:val="center"/>
          </w:tcPr>
          <w:p w14:paraId="7742D8C7">
            <w:pPr>
              <w:pStyle w:val="37"/>
              <w:bidi w:val="0"/>
              <w:rPr>
                <w:rFonts w:hint="default" w:ascii="Times New Roman" w:hAnsi="Times New Roman" w:cs="Times New Roman"/>
                <w:color w:val="FF0000"/>
                <w:highlight w:val="none"/>
                <w:lang w:val="en-US" w:eastAsia="zh-CN"/>
              </w:rPr>
            </w:pPr>
          </w:p>
        </w:tc>
        <w:tc>
          <w:tcPr>
            <w:tcW w:w="644" w:type="pct"/>
            <w:shd w:val="clear" w:color="auto" w:fill="auto"/>
            <w:noWrap w:val="0"/>
            <w:vAlign w:val="center"/>
          </w:tcPr>
          <w:p w14:paraId="436F4C0D">
            <w:pPr>
              <w:pStyle w:val="37"/>
              <w:bidi w:val="0"/>
              <w:ind w:firstLine="0" w:firstLineChars="0"/>
              <w:rPr>
                <w:rFonts w:hint="default" w:ascii="Times New Roman" w:hAnsi="Times New Roman" w:cs="Times New Roman"/>
                <w:color w:val="FF0000"/>
                <w:highlight w:val="none"/>
              </w:rPr>
            </w:pPr>
            <w:r>
              <w:rPr>
                <w:rFonts w:hint="eastAsia" w:ascii="Times New Roman" w:hAnsi="Times New Roman" w:cs="Times New Roman"/>
                <w:color w:val="auto"/>
                <w:highlight w:val="none"/>
                <w:lang w:val="en-US" w:eastAsia="zh-CN"/>
              </w:rPr>
              <w:t>二氯甲烷</w:t>
            </w:r>
          </w:p>
        </w:tc>
        <w:tc>
          <w:tcPr>
            <w:tcW w:w="701" w:type="pct"/>
            <w:vMerge w:val="continue"/>
            <w:noWrap w:val="0"/>
            <w:vAlign w:val="center"/>
          </w:tcPr>
          <w:p w14:paraId="064576A4">
            <w:pPr>
              <w:pStyle w:val="37"/>
              <w:bidi w:val="0"/>
              <w:rPr>
                <w:rFonts w:hint="eastAsia" w:ascii="Times New Roman" w:hAnsi="Times New Roman" w:cs="Times New Roman"/>
                <w:color w:val="auto"/>
                <w:highlight w:val="none"/>
                <w:lang w:val="en-US" w:eastAsia="zh-CN"/>
              </w:rPr>
            </w:pPr>
          </w:p>
        </w:tc>
        <w:tc>
          <w:tcPr>
            <w:tcW w:w="426" w:type="pct"/>
            <w:noWrap w:val="0"/>
            <w:vAlign w:val="center"/>
          </w:tcPr>
          <w:p w14:paraId="429D66A9">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53" w:type="pct"/>
            <w:tcBorders>
              <w:right w:val="single" w:color="000000" w:sz="4" w:space="0"/>
            </w:tcBorders>
            <w:noWrap w:val="0"/>
            <w:vAlign w:val="center"/>
          </w:tcPr>
          <w:p w14:paraId="211A8E20">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34" w:type="pct"/>
            <w:tcBorders>
              <w:left w:val="single" w:color="000000" w:sz="4" w:space="0"/>
            </w:tcBorders>
            <w:noWrap w:val="0"/>
            <w:vAlign w:val="center"/>
          </w:tcPr>
          <w:p w14:paraId="24F3B5F1">
            <w:pPr>
              <w:pStyle w:val="37"/>
              <w:bidi w:val="0"/>
              <w:ind w:firstLine="0" w:firstLineChars="0"/>
              <w:rPr>
                <w:rFonts w:hint="default" w:ascii="Times New Roman" w:hAnsi="Times New Roman" w:cs="Times New Roman"/>
                <w:color w:val="FF0000"/>
                <w:highlight w:val="none"/>
              </w:rPr>
            </w:pPr>
            <w:r>
              <w:rPr>
                <w:rFonts w:hint="eastAsia" w:ascii="Times New Roman" w:hAnsi="Times New Roman" w:cs="Times New Roman"/>
                <w:color w:val="auto"/>
                <w:highlight w:val="none"/>
                <w:lang w:val="en-US" w:eastAsia="zh-CN"/>
              </w:rPr>
              <w:t>0.0128</w:t>
            </w:r>
          </w:p>
        </w:tc>
        <w:tc>
          <w:tcPr>
            <w:tcW w:w="475" w:type="pct"/>
            <w:tcBorders>
              <w:bottom w:val="single" w:color="000000" w:sz="4" w:space="0"/>
            </w:tcBorders>
            <w:shd w:val="clear" w:color="auto" w:fill="auto"/>
            <w:noWrap w:val="0"/>
            <w:vAlign w:val="center"/>
          </w:tcPr>
          <w:p w14:paraId="7BE23C1B">
            <w:pPr>
              <w:pStyle w:val="83"/>
              <w:spacing w:line="240" w:lineRule="auto"/>
              <w:ind w:left="19" w:leftChars="9" w:right="19" w:rightChars="9"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eastAsia" w:ascii="Times New Roman" w:hAnsi="Times New Roman" w:eastAsia="宋体" w:cs="Times New Roman"/>
                <w:color w:val="auto"/>
                <w:lang w:val="en-US" w:eastAsia="zh-CN"/>
              </w:rPr>
              <w:t>0.089</w:t>
            </w:r>
          </w:p>
        </w:tc>
        <w:tc>
          <w:tcPr>
            <w:tcW w:w="1224" w:type="pct"/>
            <w:tcBorders>
              <w:bottom w:val="single" w:color="000000" w:sz="4" w:space="0"/>
            </w:tcBorders>
            <w:noWrap w:val="0"/>
            <w:vAlign w:val="center"/>
          </w:tcPr>
          <w:p w14:paraId="456CC173">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eastAsia" w:ascii="Times New Roman" w:hAnsi="Times New Roman" w:eastAsia="宋体" w:cs="Times New Roman"/>
                <w:color w:val="auto"/>
                <w:sz w:val="21"/>
                <w:szCs w:val="21"/>
                <w:highlight w:val="none"/>
                <w:lang w:val="en-US" w:eastAsia="zh-CN"/>
              </w:rPr>
              <w:t>《恶臭污染物排放标准》（GB14554-93）表1中二级排放标准</w:t>
            </w:r>
          </w:p>
        </w:tc>
      </w:tr>
      <w:tr w14:paraId="22EAEA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1182A511">
            <w:pPr>
              <w:pStyle w:val="37"/>
              <w:bidi w:val="0"/>
              <w:rPr>
                <w:rFonts w:hint="default" w:ascii="Times New Roman" w:hAnsi="Times New Roman" w:cs="Times New Roman"/>
                <w:color w:val="FF0000"/>
                <w:highlight w:val="none"/>
              </w:rPr>
            </w:pPr>
          </w:p>
        </w:tc>
        <w:tc>
          <w:tcPr>
            <w:tcW w:w="581" w:type="pct"/>
            <w:vMerge w:val="continue"/>
            <w:shd w:val="clear" w:color="auto" w:fill="auto"/>
            <w:noWrap w:val="0"/>
            <w:vAlign w:val="center"/>
          </w:tcPr>
          <w:p w14:paraId="66C1C120">
            <w:pPr>
              <w:pStyle w:val="37"/>
              <w:bidi w:val="0"/>
              <w:rPr>
                <w:rFonts w:hint="default" w:ascii="Times New Roman" w:hAnsi="Times New Roman" w:cs="Times New Roman"/>
                <w:color w:val="FF0000"/>
                <w:highlight w:val="none"/>
                <w:lang w:val="en-US" w:eastAsia="zh-CN"/>
              </w:rPr>
            </w:pPr>
          </w:p>
        </w:tc>
        <w:tc>
          <w:tcPr>
            <w:tcW w:w="644" w:type="pct"/>
            <w:shd w:val="clear" w:color="auto" w:fill="auto"/>
            <w:noWrap w:val="0"/>
            <w:vAlign w:val="center"/>
          </w:tcPr>
          <w:p w14:paraId="021B970D">
            <w:pPr>
              <w:pStyle w:val="37"/>
              <w:bidi w:val="0"/>
              <w:ind w:firstLine="0" w:firstLineChars="0"/>
              <w:rPr>
                <w:rFonts w:hint="default" w:ascii="Times New Roman" w:hAnsi="Times New Roman" w:cs="Times New Roman"/>
                <w:color w:val="FF0000"/>
                <w:highlight w:val="none"/>
              </w:rPr>
            </w:pPr>
            <w:r>
              <w:rPr>
                <w:rFonts w:hint="eastAsia" w:ascii="Times New Roman" w:hAnsi="Times New Roman" w:cs="Times New Roman"/>
                <w:color w:val="auto"/>
                <w:highlight w:val="none"/>
                <w:lang w:val="en-US" w:eastAsia="zh-CN"/>
              </w:rPr>
              <w:t>苯乙烯</w:t>
            </w:r>
          </w:p>
        </w:tc>
        <w:tc>
          <w:tcPr>
            <w:tcW w:w="701" w:type="pct"/>
            <w:vMerge w:val="continue"/>
            <w:noWrap w:val="0"/>
            <w:vAlign w:val="center"/>
          </w:tcPr>
          <w:p w14:paraId="64558614">
            <w:pPr>
              <w:pStyle w:val="37"/>
              <w:bidi w:val="0"/>
              <w:rPr>
                <w:rFonts w:hint="eastAsia" w:ascii="Times New Roman" w:hAnsi="Times New Roman" w:cs="Times New Roman"/>
                <w:color w:val="auto"/>
                <w:highlight w:val="none"/>
                <w:lang w:val="en-US" w:eastAsia="zh-CN"/>
              </w:rPr>
            </w:pPr>
          </w:p>
        </w:tc>
        <w:tc>
          <w:tcPr>
            <w:tcW w:w="426" w:type="pct"/>
            <w:noWrap w:val="0"/>
            <w:vAlign w:val="center"/>
          </w:tcPr>
          <w:p w14:paraId="3D760F57">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53" w:type="pct"/>
            <w:tcBorders>
              <w:right w:val="single" w:color="000000" w:sz="4" w:space="0"/>
            </w:tcBorders>
            <w:noWrap w:val="0"/>
            <w:vAlign w:val="center"/>
          </w:tcPr>
          <w:p w14:paraId="48671C19">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34" w:type="pct"/>
            <w:tcBorders>
              <w:left w:val="single" w:color="000000" w:sz="4" w:space="0"/>
            </w:tcBorders>
            <w:noWrap w:val="0"/>
            <w:vAlign w:val="center"/>
          </w:tcPr>
          <w:p w14:paraId="1F37D2E9">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0.0007</w:t>
            </w:r>
          </w:p>
        </w:tc>
        <w:tc>
          <w:tcPr>
            <w:tcW w:w="475" w:type="pct"/>
            <w:tcBorders>
              <w:bottom w:val="single" w:color="000000" w:sz="4" w:space="0"/>
            </w:tcBorders>
            <w:shd w:val="clear" w:color="auto" w:fill="auto"/>
            <w:noWrap w:val="0"/>
            <w:vAlign w:val="center"/>
          </w:tcPr>
          <w:p w14:paraId="3009E400">
            <w:pPr>
              <w:pStyle w:val="83"/>
              <w:spacing w:line="240" w:lineRule="auto"/>
              <w:ind w:left="19" w:leftChars="9" w:right="19" w:rightChars="9"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eastAsia="宋体" w:cs="Times New Roman"/>
                <w:color w:val="auto"/>
                <w:lang w:val="en-US" w:eastAsia="zh-CN"/>
              </w:rPr>
              <w:t>0.005</w:t>
            </w:r>
          </w:p>
        </w:tc>
        <w:tc>
          <w:tcPr>
            <w:tcW w:w="1224" w:type="pct"/>
            <w:tcBorders>
              <w:bottom w:val="single" w:color="000000" w:sz="4" w:space="0"/>
            </w:tcBorders>
            <w:noWrap w:val="0"/>
            <w:vAlign w:val="center"/>
          </w:tcPr>
          <w:p w14:paraId="704EEDE3">
            <w:pPr>
              <w:pStyle w:val="83"/>
              <w:spacing w:line="240" w:lineRule="auto"/>
              <w:ind w:left="19" w:leftChars="9" w:right="19" w:rightChars="9" w:firstLine="0" w:firstLineChars="0"/>
              <w:rPr>
                <w:rFonts w:hint="default" w:ascii="Times New Roman" w:hAnsi="Times New Roman" w:cs="Times New Roman"/>
                <w:color w:val="FF0000"/>
                <w:highlight w:val="none"/>
              </w:rPr>
            </w:pPr>
            <w:r>
              <w:rPr>
                <w:rFonts w:hint="eastAsia"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合成树脂工业污染物排放标准》（GB31572-2015）</w:t>
            </w:r>
            <w:r>
              <w:rPr>
                <w:rFonts w:hint="default" w:ascii="Times New Roman" w:hAnsi="Times New Roman" w:eastAsia="宋体" w:cs="Times New Roman"/>
                <w:color w:val="auto"/>
                <w:sz w:val="21"/>
                <w:szCs w:val="21"/>
                <w:highlight w:val="none"/>
                <w:lang w:val="en-US" w:eastAsia="zh-CN"/>
              </w:rPr>
              <w:t>表9企业边界大气污染物浓度限值</w:t>
            </w:r>
          </w:p>
        </w:tc>
      </w:tr>
      <w:tr w14:paraId="3F1955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35674723">
            <w:pPr>
              <w:pStyle w:val="37"/>
              <w:bidi w:val="0"/>
              <w:rPr>
                <w:rFonts w:hint="default" w:ascii="Times New Roman" w:hAnsi="Times New Roman" w:cs="Times New Roman"/>
                <w:color w:val="FF0000"/>
                <w:highlight w:val="none"/>
              </w:rPr>
            </w:pPr>
          </w:p>
        </w:tc>
        <w:tc>
          <w:tcPr>
            <w:tcW w:w="581" w:type="pct"/>
            <w:vMerge w:val="continue"/>
            <w:shd w:val="clear" w:color="auto" w:fill="auto"/>
            <w:noWrap w:val="0"/>
            <w:vAlign w:val="center"/>
          </w:tcPr>
          <w:p w14:paraId="43FE0843">
            <w:pPr>
              <w:pStyle w:val="37"/>
              <w:bidi w:val="0"/>
              <w:rPr>
                <w:rFonts w:hint="default" w:ascii="Times New Roman" w:hAnsi="Times New Roman" w:cs="Times New Roman"/>
                <w:color w:val="FF0000"/>
                <w:highlight w:val="none"/>
                <w:lang w:val="en-US" w:eastAsia="zh-CN"/>
              </w:rPr>
            </w:pPr>
          </w:p>
        </w:tc>
        <w:tc>
          <w:tcPr>
            <w:tcW w:w="644" w:type="pct"/>
            <w:shd w:val="clear" w:color="auto" w:fill="auto"/>
            <w:noWrap w:val="0"/>
            <w:vAlign w:val="center"/>
          </w:tcPr>
          <w:p w14:paraId="6421A29E">
            <w:pPr>
              <w:pStyle w:val="37"/>
              <w:bidi w:val="0"/>
              <w:ind w:firstLine="0" w:firstLineChars="0"/>
              <w:rPr>
                <w:rFonts w:hint="default" w:ascii="Times New Roman" w:hAnsi="Times New Roman" w:cs="Times New Roman"/>
                <w:color w:val="FF0000"/>
                <w:highlight w:val="none"/>
              </w:rPr>
            </w:pPr>
            <w:r>
              <w:rPr>
                <w:rFonts w:hint="default" w:ascii="Times New Roman" w:hAnsi="Times New Roman" w:eastAsia="宋体" w:cs="Times New Roman"/>
                <w:color w:val="auto"/>
                <w:highlight w:val="none"/>
                <w:lang w:val="en-US" w:eastAsia="zh-CN"/>
              </w:rPr>
              <w:t>非甲烷总烃</w:t>
            </w:r>
          </w:p>
        </w:tc>
        <w:tc>
          <w:tcPr>
            <w:tcW w:w="701" w:type="pct"/>
            <w:vMerge w:val="restart"/>
            <w:noWrap w:val="0"/>
            <w:vAlign w:val="center"/>
          </w:tcPr>
          <w:p w14:paraId="5D826375">
            <w:pPr>
              <w:pStyle w:val="37"/>
              <w:bidi w:val="0"/>
              <w:rPr>
                <w:rFonts w:hint="default" w:ascii="Times New Roman" w:hAnsi="Times New Roman" w:cs="Times New Roman"/>
                <w:color w:val="FF0000"/>
                <w:highlight w:val="none"/>
                <w:lang w:val="en-US" w:eastAsia="zh-CN"/>
              </w:rPr>
            </w:pPr>
            <w:r>
              <w:rPr>
                <w:rFonts w:hint="eastAsia" w:ascii="Times New Roman" w:hAnsi="Times New Roman" w:eastAsia="宋体" w:cs="Times New Roman"/>
                <w:color w:val="auto"/>
                <w:lang w:val="en-US" w:eastAsia="zh-CN"/>
              </w:rPr>
              <w:t>喷涂、管路和喷枪清洗、丝印过程未收集废气</w:t>
            </w:r>
          </w:p>
        </w:tc>
        <w:tc>
          <w:tcPr>
            <w:tcW w:w="426" w:type="pct"/>
            <w:noWrap w:val="0"/>
            <w:vAlign w:val="center"/>
          </w:tcPr>
          <w:p w14:paraId="5D6CF9C3">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53" w:type="pct"/>
            <w:tcBorders>
              <w:right w:val="single" w:color="000000" w:sz="4" w:space="0"/>
            </w:tcBorders>
            <w:noWrap w:val="0"/>
            <w:vAlign w:val="center"/>
          </w:tcPr>
          <w:p w14:paraId="68945534">
            <w:pPr>
              <w:pStyle w:val="37"/>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34" w:type="pct"/>
            <w:tcBorders>
              <w:left w:val="single" w:color="000000" w:sz="4" w:space="0"/>
            </w:tcBorders>
            <w:noWrap w:val="0"/>
            <w:vAlign w:val="center"/>
          </w:tcPr>
          <w:p w14:paraId="0559C0A5">
            <w:pPr>
              <w:pStyle w:val="37"/>
              <w:bidi w:val="0"/>
              <w:ind w:firstLine="0" w:firstLineChars="0"/>
              <w:rPr>
                <w:rFonts w:hint="default" w:ascii="Times New Roman" w:hAnsi="Times New Roman" w:cs="Times New Roman"/>
                <w:color w:val="FF0000"/>
                <w:highlight w:val="none"/>
              </w:rPr>
            </w:pPr>
            <w:r>
              <w:rPr>
                <w:rFonts w:hint="eastAsia" w:ascii="Times New Roman" w:hAnsi="Times New Roman" w:cs="Times New Roman"/>
                <w:snapToGrid w:val="0"/>
                <w:color w:val="auto"/>
                <w:spacing w:val="6"/>
                <w:sz w:val="21"/>
                <w:szCs w:val="21"/>
                <w:highlight w:val="none"/>
                <w:lang w:val="en-US" w:eastAsia="zh-CN" w:bidi="ar-SA"/>
              </w:rPr>
              <w:t>0.543</w:t>
            </w:r>
          </w:p>
        </w:tc>
        <w:tc>
          <w:tcPr>
            <w:tcW w:w="475" w:type="pct"/>
            <w:tcBorders>
              <w:bottom w:val="single" w:color="000000" w:sz="4" w:space="0"/>
            </w:tcBorders>
            <w:shd w:val="clear" w:color="auto" w:fill="auto"/>
            <w:noWrap w:val="0"/>
            <w:vAlign w:val="center"/>
          </w:tcPr>
          <w:p w14:paraId="7400CE67">
            <w:pPr>
              <w:pStyle w:val="83"/>
              <w:spacing w:line="240" w:lineRule="auto"/>
              <w:ind w:left="19" w:leftChars="9" w:right="19" w:rightChars="9"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eastAsia" w:ascii="Times New Roman" w:hAnsi="Times New Roman" w:eastAsia="宋体" w:cs="Times New Roman"/>
                <w:color w:val="auto"/>
                <w:lang w:val="en-US" w:eastAsia="zh-CN"/>
              </w:rPr>
              <w:t>3.779</w:t>
            </w:r>
          </w:p>
        </w:tc>
        <w:tc>
          <w:tcPr>
            <w:tcW w:w="1224" w:type="pct"/>
            <w:vMerge w:val="restart"/>
            <w:noWrap w:val="0"/>
            <w:vAlign w:val="center"/>
          </w:tcPr>
          <w:p w14:paraId="0FDE6B8F">
            <w:pPr>
              <w:pStyle w:val="37"/>
              <w:bidi w:val="0"/>
              <w:rPr>
                <w:rFonts w:hint="default" w:ascii="Times New Roman" w:hAnsi="Times New Roman" w:cs="Times New Roman"/>
                <w:color w:val="FF0000"/>
                <w:highlight w:val="none"/>
              </w:rPr>
            </w:pPr>
            <w:r>
              <w:rPr>
                <w:rFonts w:hint="eastAsia"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合成树脂工业污染物排放标准》（GB31572-2015）</w:t>
            </w:r>
            <w:r>
              <w:rPr>
                <w:rFonts w:hint="default" w:ascii="Times New Roman" w:hAnsi="Times New Roman" w:eastAsia="宋体" w:cs="Times New Roman"/>
                <w:color w:val="auto"/>
                <w:sz w:val="21"/>
                <w:szCs w:val="21"/>
                <w:highlight w:val="none"/>
                <w:lang w:val="en-US" w:eastAsia="zh-CN"/>
              </w:rPr>
              <w:t>表9企业边界大气污染物浓度限值</w:t>
            </w:r>
          </w:p>
        </w:tc>
      </w:tr>
      <w:tr w14:paraId="6001E6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247FFD40">
            <w:pPr>
              <w:pStyle w:val="37"/>
              <w:bidi w:val="0"/>
              <w:rPr>
                <w:rFonts w:hint="default" w:ascii="Times New Roman" w:hAnsi="Times New Roman" w:cs="Times New Roman"/>
                <w:color w:val="FF0000"/>
                <w:highlight w:val="none"/>
              </w:rPr>
            </w:pPr>
          </w:p>
        </w:tc>
        <w:tc>
          <w:tcPr>
            <w:tcW w:w="581" w:type="pct"/>
            <w:vMerge w:val="continue"/>
            <w:shd w:val="clear" w:color="auto" w:fill="auto"/>
            <w:noWrap w:val="0"/>
            <w:vAlign w:val="center"/>
          </w:tcPr>
          <w:p w14:paraId="5624166E">
            <w:pPr>
              <w:pStyle w:val="37"/>
              <w:bidi w:val="0"/>
              <w:rPr>
                <w:rFonts w:hint="default" w:ascii="Times New Roman" w:hAnsi="Times New Roman" w:cs="Times New Roman"/>
                <w:color w:val="FF0000"/>
                <w:highlight w:val="none"/>
                <w:lang w:val="en-US" w:eastAsia="zh-CN"/>
              </w:rPr>
            </w:pPr>
          </w:p>
        </w:tc>
        <w:tc>
          <w:tcPr>
            <w:tcW w:w="644" w:type="pct"/>
            <w:shd w:val="clear" w:color="auto" w:fill="auto"/>
            <w:noWrap w:val="0"/>
            <w:vAlign w:val="center"/>
          </w:tcPr>
          <w:p w14:paraId="6F5009E0">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en-US" w:bidi="ar-SA"/>
              </w:rPr>
            </w:pPr>
            <w:r>
              <w:rPr>
                <w:rFonts w:hint="default" w:ascii="Times New Roman" w:hAnsi="Times New Roman" w:cs="Times New Roman"/>
                <w:color w:val="auto"/>
                <w:highlight w:val="none"/>
              </w:rPr>
              <w:t>颗粒物</w:t>
            </w:r>
          </w:p>
        </w:tc>
        <w:tc>
          <w:tcPr>
            <w:tcW w:w="701" w:type="pct"/>
            <w:vMerge w:val="continue"/>
            <w:noWrap w:val="0"/>
            <w:vAlign w:val="center"/>
          </w:tcPr>
          <w:p w14:paraId="3B303DA2">
            <w:pPr>
              <w:pStyle w:val="37"/>
              <w:bidi w:val="0"/>
              <w:rPr>
                <w:rFonts w:hint="default" w:ascii="Times New Roman" w:hAnsi="Times New Roman" w:eastAsia="宋体" w:cs="Times New Roman"/>
                <w:color w:val="FF0000"/>
                <w:highlight w:val="none"/>
                <w:lang w:val="en-US" w:eastAsia="zh-CN"/>
              </w:rPr>
            </w:pPr>
          </w:p>
        </w:tc>
        <w:tc>
          <w:tcPr>
            <w:tcW w:w="426" w:type="pct"/>
            <w:noWrap w:val="0"/>
            <w:vAlign w:val="center"/>
          </w:tcPr>
          <w:p w14:paraId="148E77B8">
            <w:pPr>
              <w:pStyle w:val="37"/>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53" w:type="pct"/>
            <w:tcBorders>
              <w:right w:val="single" w:color="000000" w:sz="4" w:space="0"/>
            </w:tcBorders>
            <w:noWrap w:val="0"/>
            <w:vAlign w:val="center"/>
          </w:tcPr>
          <w:p w14:paraId="34D59C62">
            <w:pPr>
              <w:pStyle w:val="37"/>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334" w:type="pct"/>
            <w:tcBorders>
              <w:left w:val="single" w:color="000000" w:sz="4" w:space="0"/>
            </w:tcBorders>
            <w:noWrap w:val="0"/>
            <w:vAlign w:val="center"/>
          </w:tcPr>
          <w:p w14:paraId="6FD55239">
            <w:pPr>
              <w:pStyle w:val="37"/>
              <w:bidi w:val="0"/>
              <w:ind w:firstLine="0" w:firstLineChars="0"/>
              <w:rPr>
                <w:rFonts w:hint="default" w:ascii="Times New Roman" w:hAnsi="Times New Roman" w:cs="Times New Roman"/>
                <w:color w:val="FF0000"/>
                <w:highlight w:val="none"/>
              </w:rPr>
            </w:pPr>
            <w:r>
              <w:rPr>
                <w:rFonts w:hint="eastAsia" w:ascii="Times New Roman" w:hAnsi="Times New Roman" w:cs="Times New Roman"/>
                <w:snapToGrid w:val="0"/>
                <w:color w:val="auto"/>
                <w:spacing w:val="6"/>
                <w:sz w:val="21"/>
                <w:szCs w:val="21"/>
                <w:highlight w:val="none"/>
                <w:lang w:val="en-US" w:eastAsia="zh-CN" w:bidi="ar-SA"/>
              </w:rPr>
              <w:t>0.21</w:t>
            </w:r>
          </w:p>
        </w:tc>
        <w:tc>
          <w:tcPr>
            <w:tcW w:w="475" w:type="pct"/>
            <w:tcBorders>
              <w:top w:val="single" w:color="000000" w:sz="4" w:space="0"/>
              <w:bottom w:val="single" w:color="000000" w:sz="4" w:space="0"/>
            </w:tcBorders>
            <w:shd w:val="clear" w:color="auto" w:fill="auto"/>
            <w:noWrap w:val="0"/>
            <w:vAlign w:val="center"/>
          </w:tcPr>
          <w:p w14:paraId="3058670E">
            <w:pPr>
              <w:pStyle w:val="83"/>
              <w:spacing w:line="240" w:lineRule="auto"/>
              <w:ind w:left="19" w:leftChars="9" w:right="19" w:rightChars="9"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eastAsia" w:ascii="Times New Roman" w:hAnsi="Times New Roman" w:eastAsia="宋体" w:cs="Times New Roman"/>
                <w:color w:val="auto"/>
                <w:lang w:val="en-US" w:eastAsia="zh-CN"/>
              </w:rPr>
              <w:t>1.462</w:t>
            </w:r>
          </w:p>
        </w:tc>
        <w:tc>
          <w:tcPr>
            <w:tcW w:w="1224" w:type="pct"/>
            <w:vMerge w:val="continue"/>
            <w:noWrap w:val="0"/>
            <w:vAlign w:val="center"/>
          </w:tcPr>
          <w:p w14:paraId="1B2B6B96">
            <w:pPr>
              <w:pStyle w:val="37"/>
              <w:bidi w:val="0"/>
              <w:rPr>
                <w:rFonts w:hint="default" w:ascii="Times New Roman" w:hAnsi="Times New Roman" w:cs="Times New Roman"/>
                <w:color w:val="FF0000"/>
                <w:highlight w:val="none"/>
              </w:rPr>
            </w:pPr>
          </w:p>
        </w:tc>
      </w:tr>
      <w:tr w14:paraId="301C8E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3FD27278">
            <w:pPr>
              <w:pStyle w:val="37"/>
              <w:bidi w:val="0"/>
              <w:rPr>
                <w:rFonts w:hint="default" w:ascii="Times New Roman" w:hAnsi="Times New Roman" w:cs="Times New Roman"/>
                <w:color w:val="FF0000"/>
                <w:highlight w:val="none"/>
              </w:rPr>
            </w:pPr>
          </w:p>
        </w:tc>
        <w:tc>
          <w:tcPr>
            <w:tcW w:w="581" w:type="pct"/>
            <w:vMerge w:val="continue"/>
            <w:shd w:val="clear" w:color="auto" w:fill="auto"/>
            <w:noWrap w:val="0"/>
            <w:vAlign w:val="center"/>
          </w:tcPr>
          <w:p w14:paraId="11649568">
            <w:pPr>
              <w:pStyle w:val="37"/>
              <w:bidi w:val="0"/>
              <w:rPr>
                <w:rFonts w:hint="default" w:ascii="Times New Roman" w:hAnsi="Times New Roman" w:cs="Times New Roman"/>
                <w:color w:val="FF0000"/>
                <w:highlight w:val="none"/>
                <w:lang w:val="en-US" w:eastAsia="zh-CN"/>
              </w:rPr>
            </w:pPr>
          </w:p>
        </w:tc>
        <w:tc>
          <w:tcPr>
            <w:tcW w:w="644" w:type="pct"/>
            <w:shd w:val="clear" w:color="auto" w:fill="auto"/>
            <w:noWrap w:val="0"/>
            <w:vAlign w:val="center"/>
          </w:tcPr>
          <w:p w14:paraId="135FC20C">
            <w:pPr>
              <w:pStyle w:val="37"/>
              <w:bidi w:val="0"/>
              <w:ind w:firstLine="0" w:firstLineChars="0"/>
              <w:rPr>
                <w:rFonts w:hint="eastAsia"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highlight w:val="none"/>
              </w:rPr>
              <w:t>颗粒物</w:t>
            </w:r>
          </w:p>
        </w:tc>
        <w:tc>
          <w:tcPr>
            <w:tcW w:w="701" w:type="pct"/>
            <w:noWrap w:val="0"/>
            <w:vAlign w:val="center"/>
          </w:tcPr>
          <w:p w14:paraId="4F37BCA6">
            <w:pPr>
              <w:pStyle w:val="83"/>
              <w:spacing w:line="240" w:lineRule="auto"/>
              <w:ind w:left="19" w:leftChars="9" w:right="19" w:rightChars="9" w:firstLine="0" w:firstLineChars="0"/>
              <w:rPr>
                <w:rFonts w:hint="default" w:ascii="Times New Roman" w:hAnsi="Times New Roman" w:cs="Times New Roman"/>
                <w:color w:val="FF0000"/>
                <w:highlight w:val="none"/>
                <w:lang w:val="en-US"/>
              </w:rPr>
            </w:pPr>
            <w:r>
              <w:rPr>
                <w:rFonts w:hint="eastAsia" w:ascii="Times New Roman" w:hAnsi="Times New Roman" w:eastAsia="宋体" w:cs="Times New Roman"/>
                <w:color w:val="auto"/>
                <w:lang w:val="en-US" w:eastAsia="zh-CN"/>
              </w:rPr>
              <w:t>破碎废气</w:t>
            </w:r>
          </w:p>
        </w:tc>
        <w:tc>
          <w:tcPr>
            <w:tcW w:w="426" w:type="pct"/>
            <w:noWrap w:val="0"/>
            <w:vAlign w:val="center"/>
          </w:tcPr>
          <w:p w14:paraId="56CA6F40">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53" w:type="pct"/>
            <w:tcBorders>
              <w:right w:val="single" w:color="000000" w:sz="4" w:space="0"/>
            </w:tcBorders>
            <w:noWrap w:val="0"/>
            <w:vAlign w:val="center"/>
          </w:tcPr>
          <w:p w14:paraId="1A9F314A">
            <w:pPr>
              <w:pStyle w:val="37"/>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334" w:type="pct"/>
            <w:tcBorders>
              <w:left w:val="single" w:color="000000" w:sz="4" w:space="0"/>
            </w:tcBorders>
            <w:noWrap w:val="0"/>
            <w:vAlign w:val="center"/>
          </w:tcPr>
          <w:p w14:paraId="580DBF13">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0.029</w:t>
            </w:r>
          </w:p>
        </w:tc>
        <w:tc>
          <w:tcPr>
            <w:tcW w:w="475" w:type="pct"/>
            <w:tcBorders>
              <w:top w:val="single" w:color="000000" w:sz="4" w:space="0"/>
              <w:bottom w:val="single" w:color="000000" w:sz="4" w:space="0"/>
            </w:tcBorders>
            <w:shd w:val="clear" w:color="auto" w:fill="auto"/>
            <w:noWrap w:val="0"/>
            <w:vAlign w:val="center"/>
          </w:tcPr>
          <w:p w14:paraId="1E8504CB">
            <w:pPr>
              <w:pStyle w:val="83"/>
              <w:spacing w:line="240" w:lineRule="auto"/>
              <w:ind w:left="19" w:leftChars="9" w:right="19" w:rightChars="9"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eastAsia" w:ascii="Times New Roman" w:hAnsi="Times New Roman" w:eastAsia="宋体" w:cs="Times New Roman"/>
                <w:color w:val="auto"/>
                <w:lang w:val="en-US" w:eastAsia="zh-CN"/>
              </w:rPr>
              <w:t>0.017</w:t>
            </w:r>
          </w:p>
        </w:tc>
        <w:tc>
          <w:tcPr>
            <w:tcW w:w="1224" w:type="pct"/>
            <w:vMerge w:val="continue"/>
            <w:noWrap w:val="0"/>
            <w:vAlign w:val="center"/>
          </w:tcPr>
          <w:p w14:paraId="435B018F">
            <w:pPr>
              <w:pStyle w:val="37"/>
              <w:bidi w:val="0"/>
              <w:rPr>
                <w:rFonts w:hint="default" w:ascii="Times New Roman" w:hAnsi="Times New Roman" w:cs="Times New Roman"/>
                <w:color w:val="FF0000"/>
                <w:highlight w:val="none"/>
              </w:rPr>
            </w:pPr>
          </w:p>
        </w:tc>
      </w:tr>
      <w:tr w14:paraId="11C3B7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1D352F9C">
            <w:pPr>
              <w:pStyle w:val="37"/>
              <w:bidi w:val="0"/>
              <w:rPr>
                <w:rFonts w:hint="default" w:ascii="Times New Roman" w:hAnsi="Times New Roman" w:cs="Times New Roman"/>
                <w:color w:val="FF0000"/>
                <w:highlight w:val="none"/>
              </w:rPr>
            </w:pPr>
          </w:p>
        </w:tc>
        <w:tc>
          <w:tcPr>
            <w:tcW w:w="581" w:type="pct"/>
            <w:vMerge w:val="continue"/>
            <w:shd w:val="clear" w:color="auto" w:fill="auto"/>
            <w:noWrap w:val="0"/>
            <w:vAlign w:val="center"/>
          </w:tcPr>
          <w:p w14:paraId="13762E45">
            <w:pPr>
              <w:pStyle w:val="37"/>
              <w:bidi w:val="0"/>
              <w:rPr>
                <w:rFonts w:hint="default" w:ascii="Times New Roman" w:hAnsi="Times New Roman" w:cs="Times New Roman"/>
                <w:color w:val="FF0000"/>
                <w:highlight w:val="none"/>
                <w:lang w:val="en-US" w:eastAsia="zh-CN"/>
              </w:rPr>
            </w:pPr>
          </w:p>
        </w:tc>
        <w:tc>
          <w:tcPr>
            <w:tcW w:w="644" w:type="pct"/>
            <w:shd w:val="clear" w:color="auto" w:fill="auto"/>
            <w:noWrap w:val="0"/>
            <w:vAlign w:val="center"/>
          </w:tcPr>
          <w:p w14:paraId="3628B662">
            <w:pPr>
              <w:pStyle w:val="37"/>
              <w:bidi w:val="0"/>
              <w:ind w:firstLine="0" w:firstLineChars="0"/>
              <w:jc w:val="center"/>
              <w:rPr>
                <w:rFonts w:hint="default" w:ascii="Times New Roman" w:hAnsi="Times New Roman" w:eastAsia="宋体" w:cs="Times New Roman"/>
                <w:snapToGrid w:val="0"/>
                <w:color w:val="FF0000"/>
                <w:spacing w:val="6"/>
                <w:sz w:val="21"/>
                <w:szCs w:val="21"/>
                <w:highlight w:val="none"/>
                <w:lang w:val="en-US" w:eastAsia="en-US" w:bidi="ar-SA"/>
              </w:rPr>
            </w:pPr>
            <w:r>
              <w:rPr>
                <w:rFonts w:hint="default" w:ascii="Times New Roman" w:hAnsi="Times New Roman" w:cs="Times New Roman"/>
                <w:color w:val="auto"/>
                <w:highlight w:val="none"/>
              </w:rPr>
              <w:t>颗粒物</w:t>
            </w:r>
          </w:p>
        </w:tc>
        <w:tc>
          <w:tcPr>
            <w:tcW w:w="701" w:type="pct"/>
            <w:noWrap w:val="0"/>
            <w:vAlign w:val="center"/>
          </w:tcPr>
          <w:p w14:paraId="68F22C92">
            <w:pPr>
              <w:pStyle w:val="83"/>
              <w:tabs>
                <w:tab w:val="center" w:pos="1295"/>
                <w:tab w:val="right" w:pos="2453"/>
              </w:tabs>
              <w:spacing w:line="240" w:lineRule="auto"/>
              <w:ind w:right="19" w:rightChars="9"/>
              <w:jc w:val="center"/>
              <w:rPr>
                <w:rFonts w:hint="default" w:ascii="Times New Roman" w:hAnsi="Times New Roman" w:cs="Times New Roman"/>
                <w:color w:val="FF0000"/>
                <w:highlight w:val="none"/>
                <w:lang w:val="en-US"/>
              </w:rPr>
            </w:pPr>
            <w:r>
              <w:rPr>
                <w:rFonts w:hint="eastAsia" w:ascii="Times New Roman" w:hAnsi="Times New Roman" w:eastAsia="宋体" w:cs="Times New Roman"/>
                <w:color w:val="auto"/>
                <w:lang w:val="en-US" w:eastAsia="zh-CN"/>
              </w:rPr>
              <w:t>打磨、抛光</w:t>
            </w:r>
            <w:r>
              <w:rPr>
                <w:rFonts w:hint="eastAsia" w:ascii="Times New Roman" w:hAnsi="Times New Roman" w:eastAsia="宋体" w:cs="Times New Roman"/>
                <w:color w:val="auto"/>
                <w:lang w:val="en-US" w:eastAsia="zh-CN"/>
              </w:rPr>
              <w:tab/>
            </w:r>
            <w:r>
              <w:rPr>
                <w:rFonts w:hint="eastAsia" w:ascii="Times New Roman" w:hAnsi="Times New Roman" w:eastAsia="宋体" w:cs="Times New Roman"/>
                <w:color w:val="auto"/>
                <w:lang w:val="en-US" w:eastAsia="zh-CN"/>
              </w:rPr>
              <w:t>布袋除尘后废气</w:t>
            </w:r>
          </w:p>
        </w:tc>
        <w:tc>
          <w:tcPr>
            <w:tcW w:w="426" w:type="pct"/>
            <w:noWrap w:val="0"/>
            <w:vAlign w:val="center"/>
          </w:tcPr>
          <w:p w14:paraId="0BA184D7">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53" w:type="pct"/>
            <w:tcBorders>
              <w:right w:val="single" w:color="000000" w:sz="4" w:space="0"/>
            </w:tcBorders>
            <w:noWrap w:val="0"/>
            <w:vAlign w:val="center"/>
          </w:tcPr>
          <w:p w14:paraId="1C6D78B2">
            <w:pPr>
              <w:pStyle w:val="37"/>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334" w:type="pct"/>
            <w:tcBorders>
              <w:left w:val="single" w:color="000000" w:sz="4" w:space="0"/>
            </w:tcBorders>
            <w:noWrap w:val="0"/>
            <w:vAlign w:val="center"/>
          </w:tcPr>
          <w:p w14:paraId="1FEE5A30">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0.34</w:t>
            </w:r>
          </w:p>
        </w:tc>
        <w:tc>
          <w:tcPr>
            <w:tcW w:w="475" w:type="pct"/>
            <w:tcBorders>
              <w:top w:val="single" w:color="000000" w:sz="4" w:space="0"/>
              <w:bottom w:val="single" w:color="000000" w:sz="4" w:space="0"/>
            </w:tcBorders>
            <w:shd w:val="clear" w:color="auto" w:fill="auto"/>
            <w:noWrap w:val="0"/>
            <w:vAlign w:val="center"/>
          </w:tcPr>
          <w:p w14:paraId="45FDA035">
            <w:pPr>
              <w:pStyle w:val="83"/>
              <w:spacing w:line="240" w:lineRule="auto"/>
              <w:ind w:left="19" w:leftChars="9" w:right="19" w:rightChars="9"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eastAsia" w:ascii="Times New Roman" w:hAnsi="Times New Roman" w:eastAsia="宋体" w:cs="Times New Roman"/>
                <w:color w:val="auto"/>
                <w:lang w:val="en-US" w:eastAsia="zh-CN"/>
              </w:rPr>
              <w:t>2.366</w:t>
            </w:r>
          </w:p>
        </w:tc>
        <w:tc>
          <w:tcPr>
            <w:tcW w:w="1224" w:type="pct"/>
            <w:vMerge w:val="continue"/>
            <w:noWrap w:val="0"/>
            <w:vAlign w:val="center"/>
          </w:tcPr>
          <w:p w14:paraId="065DF621">
            <w:pPr>
              <w:pStyle w:val="37"/>
              <w:bidi w:val="0"/>
              <w:rPr>
                <w:rFonts w:hint="default" w:ascii="Times New Roman" w:hAnsi="Times New Roman" w:cs="Times New Roman"/>
                <w:color w:val="FF0000"/>
                <w:highlight w:val="none"/>
              </w:rPr>
            </w:pPr>
          </w:p>
        </w:tc>
      </w:tr>
      <w:tr w14:paraId="5D1555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27A598F3">
            <w:pPr>
              <w:pStyle w:val="37"/>
              <w:bidi w:val="0"/>
              <w:rPr>
                <w:rFonts w:hint="default" w:ascii="Times New Roman" w:hAnsi="Times New Roman" w:cs="Times New Roman"/>
                <w:color w:val="FF0000"/>
                <w:highlight w:val="none"/>
              </w:rPr>
            </w:pPr>
          </w:p>
        </w:tc>
        <w:tc>
          <w:tcPr>
            <w:tcW w:w="581" w:type="pct"/>
            <w:vMerge w:val="continue"/>
            <w:shd w:val="clear" w:color="auto" w:fill="auto"/>
            <w:noWrap w:val="0"/>
            <w:vAlign w:val="center"/>
          </w:tcPr>
          <w:p w14:paraId="2F33DFEC">
            <w:pPr>
              <w:pStyle w:val="37"/>
              <w:bidi w:val="0"/>
              <w:rPr>
                <w:rFonts w:hint="default" w:ascii="Times New Roman" w:hAnsi="Times New Roman" w:cs="Times New Roman"/>
                <w:color w:val="FF0000"/>
                <w:highlight w:val="none"/>
                <w:lang w:val="en-US" w:eastAsia="zh-CN"/>
              </w:rPr>
            </w:pPr>
          </w:p>
        </w:tc>
        <w:tc>
          <w:tcPr>
            <w:tcW w:w="644" w:type="pct"/>
            <w:shd w:val="clear" w:color="auto" w:fill="auto"/>
            <w:noWrap w:val="0"/>
            <w:vAlign w:val="center"/>
          </w:tcPr>
          <w:p w14:paraId="50377E9C">
            <w:pPr>
              <w:pStyle w:val="37"/>
              <w:bidi w:val="0"/>
              <w:ind w:firstLine="0" w:firstLineChars="0"/>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auto"/>
                <w:highlight w:val="none"/>
                <w:lang w:val="en-US" w:eastAsia="zh-CN"/>
              </w:rPr>
              <w:t>非甲烷总烃</w:t>
            </w:r>
          </w:p>
        </w:tc>
        <w:tc>
          <w:tcPr>
            <w:tcW w:w="701" w:type="pct"/>
            <w:noWrap w:val="0"/>
            <w:vAlign w:val="center"/>
          </w:tcPr>
          <w:p w14:paraId="665BA848">
            <w:pPr>
              <w:pStyle w:val="37"/>
              <w:bidi w:val="0"/>
              <w:ind w:firstLine="0" w:firstLineChars="0"/>
              <w:rPr>
                <w:rFonts w:hint="default" w:ascii="Times New Roman" w:hAnsi="Times New Roman" w:cs="Times New Roman"/>
                <w:color w:val="FF0000"/>
                <w:highlight w:val="none"/>
                <w:lang w:val="en-US" w:eastAsia="zh-CN"/>
              </w:rPr>
            </w:pPr>
            <w:r>
              <w:rPr>
                <w:rFonts w:hint="eastAsia" w:ascii="Times New Roman" w:hAnsi="Times New Roman" w:eastAsia="宋体" w:cs="Times New Roman"/>
                <w:color w:val="auto"/>
                <w:highlight w:val="none"/>
                <w:lang w:val="en-US" w:eastAsia="zh-CN"/>
              </w:rPr>
              <w:t>配胶、喷胶及烘干、发泡</w:t>
            </w:r>
            <w:r>
              <w:rPr>
                <w:rFonts w:hint="eastAsia" w:ascii="Times New Roman" w:hAnsi="Times New Roman" w:eastAsia="宋体" w:cs="Times New Roman"/>
                <w:color w:val="auto"/>
                <w:lang w:val="en-US" w:eastAsia="zh-CN"/>
              </w:rPr>
              <w:t>过程未收集废气</w:t>
            </w:r>
          </w:p>
        </w:tc>
        <w:tc>
          <w:tcPr>
            <w:tcW w:w="426" w:type="pct"/>
            <w:noWrap w:val="0"/>
            <w:vAlign w:val="center"/>
          </w:tcPr>
          <w:p w14:paraId="735D38FB">
            <w:pPr>
              <w:pStyle w:val="37"/>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353" w:type="pct"/>
            <w:tcBorders>
              <w:right w:val="single" w:color="000000" w:sz="4" w:space="0"/>
            </w:tcBorders>
            <w:shd w:val="clear" w:color="auto" w:fill="auto"/>
            <w:noWrap w:val="0"/>
            <w:vAlign w:val="center"/>
          </w:tcPr>
          <w:p w14:paraId="7497EAD2">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334" w:type="pct"/>
            <w:tcBorders>
              <w:left w:val="single" w:color="000000" w:sz="4" w:space="0"/>
            </w:tcBorders>
            <w:shd w:val="clear" w:color="auto" w:fill="auto"/>
            <w:noWrap w:val="0"/>
            <w:vAlign w:val="center"/>
          </w:tcPr>
          <w:p w14:paraId="6F5DE04C">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eastAsia" w:ascii="Times New Roman" w:hAnsi="Times New Roman" w:eastAsia="宋体" w:cs="Times New Roman"/>
                <w:snapToGrid w:val="0"/>
                <w:color w:val="auto"/>
                <w:spacing w:val="6"/>
                <w:sz w:val="21"/>
                <w:szCs w:val="21"/>
                <w:highlight w:val="none"/>
                <w:lang w:val="en-US" w:eastAsia="zh-CN" w:bidi="ar-SA"/>
              </w:rPr>
              <w:t>0.156</w:t>
            </w:r>
          </w:p>
        </w:tc>
        <w:tc>
          <w:tcPr>
            <w:tcW w:w="475" w:type="pct"/>
            <w:tcBorders>
              <w:top w:val="single" w:color="000000" w:sz="4" w:space="0"/>
              <w:bottom w:val="single" w:color="000000" w:sz="4" w:space="0"/>
            </w:tcBorders>
            <w:shd w:val="clear" w:color="auto" w:fill="auto"/>
            <w:noWrap w:val="0"/>
            <w:vAlign w:val="center"/>
          </w:tcPr>
          <w:p w14:paraId="00AB5ABA">
            <w:pPr>
              <w:pStyle w:val="83"/>
              <w:spacing w:line="240" w:lineRule="auto"/>
              <w:ind w:left="19" w:leftChars="9" w:right="19" w:rightChars="9"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eastAsia" w:ascii="Times New Roman" w:hAnsi="Times New Roman" w:eastAsia="宋体" w:cs="Times New Roman"/>
                <w:color w:val="auto"/>
                <w:lang w:val="en-US" w:eastAsia="zh-CN"/>
              </w:rPr>
              <w:t>1.088</w:t>
            </w:r>
          </w:p>
        </w:tc>
        <w:tc>
          <w:tcPr>
            <w:tcW w:w="1224" w:type="pct"/>
            <w:vMerge w:val="continue"/>
            <w:tcBorders>
              <w:bottom w:val="single" w:color="000000" w:sz="4" w:space="0"/>
            </w:tcBorders>
            <w:noWrap w:val="0"/>
            <w:vAlign w:val="center"/>
          </w:tcPr>
          <w:p w14:paraId="7BCD8239">
            <w:pPr>
              <w:pStyle w:val="37"/>
              <w:bidi w:val="0"/>
              <w:rPr>
                <w:rFonts w:hint="default" w:ascii="Times New Roman" w:hAnsi="Times New Roman" w:cs="Times New Roman"/>
                <w:color w:val="FF0000"/>
                <w:highlight w:val="none"/>
              </w:rPr>
            </w:pPr>
          </w:p>
        </w:tc>
      </w:tr>
      <w:tr w14:paraId="080E65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restart"/>
            <w:noWrap w:val="0"/>
            <w:vAlign w:val="center"/>
          </w:tcPr>
          <w:p w14:paraId="35CC605A">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tc>
        <w:tc>
          <w:tcPr>
            <w:tcW w:w="581" w:type="pct"/>
            <w:vMerge w:val="restart"/>
            <w:noWrap w:val="0"/>
            <w:vAlign w:val="center"/>
          </w:tcPr>
          <w:p w14:paraId="0A77BFC7">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生活污水、冷却塔循环冷却废水</w:t>
            </w:r>
          </w:p>
        </w:tc>
        <w:tc>
          <w:tcPr>
            <w:tcW w:w="644" w:type="pct"/>
            <w:shd w:val="clear" w:color="auto" w:fill="auto"/>
            <w:noWrap w:val="0"/>
            <w:vAlign w:val="center"/>
          </w:tcPr>
          <w:p w14:paraId="20FBDBD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eastAsia="宋体" w:cs="Times New Roman"/>
                <w:color w:val="auto"/>
                <w:sz w:val="21"/>
                <w:szCs w:val="21"/>
                <w:lang w:eastAsia="zh-CN"/>
              </w:rPr>
              <w:t>COD</w:t>
            </w:r>
          </w:p>
        </w:tc>
        <w:tc>
          <w:tcPr>
            <w:tcW w:w="701" w:type="pct"/>
            <w:vMerge w:val="restart"/>
            <w:noWrap w:val="0"/>
            <w:vAlign w:val="center"/>
          </w:tcPr>
          <w:p w14:paraId="026171C4">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排入市政污水管网</w:t>
            </w:r>
          </w:p>
        </w:tc>
        <w:tc>
          <w:tcPr>
            <w:tcW w:w="426" w:type="pct"/>
            <w:vMerge w:val="restart"/>
            <w:noWrap w:val="0"/>
            <w:vAlign w:val="center"/>
          </w:tcPr>
          <w:p w14:paraId="15EFAFDA">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DW001</w:t>
            </w:r>
          </w:p>
        </w:tc>
        <w:tc>
          <w:tcPr>
            <w:tcW w:w="687" w:type="pct"/>
            <w:gridSpan w:val="2"/>
            <w:noWrap w:val="0"/>
            <w:vAlign w:val="center"/>
          </w:tcPr>
          <w:p w14:paraId="0D50DB8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FF0000"/>
                <w:highlight w:val="none"/>
              </w:rPr>
            </w:pPr>
            <w:r>
              <w:rPr>
                <w:rFonts w:hint="default" w:ascii="Times New Roman" w:hAnsi="Times New Roman" w:eastAsia="宋体" w:cs="Times New Roman"/>
                <w:b w:val="0"/>
                <w:bCs w:val="0"/>
                <w:color w:val="auto"/>
                <w:sz w:val="21"/>
                <w:szCs w:val="21"/>
                <w:lang w:val="en-US" w:eastAsia="zh-CN"/>
              </w:rPr>
              <w:t>364</w:t>
            </w:r>
            <w:r>
              <w:rPr>
                <w:rFonts w:hint="default" w:ascii="Times New Roman" w:hAnsi="Times New Roman" w:eastAsia="宋体" w:cs="Times New Roman"/>
                <w:b w:val="0"/>
                <w:bCs w:val="0"/>
                <w:color w:val="auto"/>
                <w:sz w:val="21"/>
                <w:szCs w:val="21"/>
              </w:rPr>
              <w:t>mg/L</w:t>
            </w:r>
          </w:p>
        </w:tc>
        <w:tc>
          <w:tcPr>
            <w:tcW w:w="475" w:type="pct"/>
            <w:noWrap w:val="0"/>
            <w:vAlign w:val="center"/>
          </w:tcPr>
          <w:p w14:paraId="6F40934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lang w:val="en-US" w:eastAsia="zh-CN"/>
              </w:rPr>
              <w:t>3.02</w:t>
            </w:r>
          </w:p>
        </w:tc>
        <w:tc>
          <w:tcPr>
            <w:tcW w:w="1224" w:type="pct"/>
            <w:vMerge w:val="restart"/>
            <w:noWrap w:val="0"/>
            <w:vAlign w:val="center"/>
          </w:tcPr>
          <w:p w14:paraId="2E84427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《污水综合排放标准》（GB8978-1996）三级标准</w:t>
            </w:r>
          </w:p>
        </w:tc>
      </w:tr>
      <w:tr w14:paraId="1981CF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17DB20FB">
            <w:pPr>
              <w:pStyle w:val="37"/>
              <w:bidi w:val="0"/>
              <w:rPr>
                <w:rFonts w:hint="default" w:ascii="Times New Roman" w:hAnsi="Times New Roman" w:cs="Times New Roman"/>
                <w:color w:val="FF0000"/>
                <w:highlight w:val="none"/>
              </w:rPr>
            </w:pPr>
          </w:p>
        </w:tc>
        <w:tc>
          <w:tcPr>
            <w:tcW w:w="581" w:type="pct"/>
            <w:vMerge w:val="continue"/>
            <w:noWrap w:val="0"/>
            <w:vAlign w:val="center"/>
          </w:tcPr>
          <w:p w14:paraId="2F02D37D">
            <w:pPr>
              <w:pStyle w:val="37"/>
              <w:bidi w:val="0"/>
              <w:rPr>
                <w:rFonts w:hint="default" w:ascii="Times New Roman" w:hAnsi="Times New Roman" w:cs="Times New Roman"/>
                <w:color w:val="FF0000"/>
                <w:highlight w:val="none"/>
              </w:rPr>
            </w:pPr>
          </w:p>
        </w:tc>
        <w:tc>
          <w:tcPr>
            <w:tcW w:w="644" w:type="pct"/>
            <w:shd w:val="clear" w:color="auto" w:fill="auto"/>
            <w:noWrap w:val="0"/>
            <w:vAlign w:val="center"/>
          </w:tcPr>
          <w:p w14:paraId="2AC04D8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eastAsia="宋体" w:cs="Times New Roman"/>
                <w:color w:val="auto"/>
                <w:sz w:val="21"/>
                <w:szCs w:val="21"/>
              </w:rPr>
              <w:t>BOD</w:t>
            </w:r>
            <w:r>
              <w:rPr>
                <w:rFonts w:hint="default" w:ascii="Times New Roman" w:hAnsi="Times New Roman" w:eastAsia="宋体" w:cs="Times New Roman"/>
                <w:color w:val="auto"/>
                <w:sz w:val="21"/>
                <w:szCs w:val="21"/>
                <w:vertAlign w:val="subscript"/>
              </w:rPr>
              <w:t>5</w:t>
            </w:r>
          </w:p>
        </w:tc>
        <w:tc>
          <w:tcPr>
            <w:tcW w:w="701" w:type="pct"/>
            <w:vMerge w:val="continue"/>
            <w:noWrap w:val="0"/>
            <w:vAlign w:val="center"/>
          </w:tcPr>
          <w:p w14:paraId="697A419C">
            <w:pPr>
              <w:pStyle w:val="37"/>
              <w:bidi w:val="0"/>
              <w:rPr>
                <w:rFonts w:hint="default" w:ascii="Times New Roman" w:hAnsi="Times New Roman" w:cs="Times New Roman"/>
                <w:color w:val="FF0000"/>
                <w:highlight w:val="none"/>
              </w:rPr>
            </w:pPr>
          </w:p>
        </w:tc>
        <w:tc>
          <w:tcPr>
            <w:tcW w:w="426" w:type="pct"/>
            <w:vMerge w:val="continue"/>
            <w:noWrap w:val="0"/>
            <w:vAlign w:val="center"/>
          </w:tcPr>
          <w:p w14:paraId="1D4E3F8E">
            <w:pPr>
              <w:pStyle w:val="37"/>
              <w:bidi w:val="0"/>
              <w:rPr>
                <w:rFonts w:hint="default" w:ascii="Times New Roman" w:hAnsi="Times New Roman" w:cs="Times New Roman"/>
                <w:color w:val="FF0000"/>
                <w:highlight w:val="none"/>
              </w:rPr>
            </w:pPr>
          </w:p>
        </w:tc>
        <w:tc>
          <w:tcPr>
            <w:tcW w:w="687" w:type="pct"/>
            <w:gridSpan w:val="2"/>
            <w:noWrap w:val="0"/>
            <w:vAlign w:val="center"/>
          </w:tcPr>
          <w:p w14:paraId="12E8079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FF0000"/>
                <w:highlight w:val="none"/>
              </w:rPr>
            </w:pPr>
            <w:r>
              <w:rPr>
                <w:rFonts w:hint="default" w:ascii="Times New Roman" w:hAnsi="Times New Roman" w:eastAsia="宋体" w:cs="Times New Roman"/>
                <w:color w:val="auto"/>
                <w:sz w:val="21"/>
                <w:szCs w:val="21"/>
                <w:lang w:val="en-US" w:eastAsia="zh-CN"/>
              </w:rPr>
              <w:t>178</w:t>
            </w:r>
            <w:r>
              <w:rPr>
                <w:rFonts w:hint="default" w:ascii="Times New Roman" w:hAnsi="Times New Roman" w:eastAsia="宋体" w:cs="Times New Roman"/>
                <w:b w:val="0"/>
                <w:bCs w:val="0"/>
                <w:color w:val="auto"/>
                <w:sz w:val="21"/>
                <w:szCs w:val="21"/>
              </w:rPr>
              <w:t>mg/L</w:t>
            </w:r>
          </w:p>
        </w:tc>
        <w:tc>
          <w:tcPr>
            <w:tcW w:w="475" w:type="pct"/>
            <w:noWrap w:val="0"/>
            <w:vAlign w:val="center"/>
          </w:tcPr>
          <w:p w14:paraId="2067C54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lang w:val="en-US" w:eastAsia="zh-CN"/>
              </w:rPr>
              <w:t>1.48</w:t>
            </w:r>
          </w:p>
        </w:tc>
        <w:tc>
          <w:tcPr>
            <w:tcW w:w="1224" w:type="pct"/>
            <w:vMerge w:val="continue"/>
            <w:noWrap w:val="0"/>
            <w:vAlign w:val="center"/>
          </w:tcPr>
          <w:p w14:paraId="22819C78">
            <w:pPr>
              <w:pStyle w:val="37"/>
              <w:bidi w:val="0"/>
              <w:rPr>
                <w:rFonts w:hint="default" w:ascii="Times New Roman" w:hAnsi="Times New Roman" w:cs="Times New Roman"/>
                <w:color w:val="auto"/>
                <w:highlight w:val="none"/>
              </w:rPr>
            </w:pPr>
          </w:p>
        </w:tc>
      </w:tr>
      <w:tr w14:paraId="6FCDB8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4DF48613">
            <w:pPr>
              <w:pStyle w:val="37"/>
              <w:bidi w:val="0"/>
              <w:rPr>
                <w:rFonts w:hint="default" w:ascii="Times New Roman" w:hAnsi="Times New Roman" w:cs="Times New Roman"/>
                <w:color w:val="FF0000"/>
                <w:highlight w:val="none"/>
              </w:rPr>
            </w:pPr>
          </w:p>
        </w:tc>
        <w:tc>
          <w:tcPr>
            <w:tcW w:w="581" w:type="pct"/>
            <w:vMerge w:val="continue"/>
            <w:noWrap w:val="0"/>
            <w:vAlign w:val="center"/>
          </w:tcPr>
          <w:p w14:paraId="3B6D536D">
            <w:pPr>
              <w:pStyle w:val="37"/>
              <w:bidi w:val="0"/>
              <w:rPr>
                <w:rFonts w:hint="default" w:ascii="Times New Roman" w:hAnsi="Times New Roman" w:cs="Times New Roman"/>
                <w:color w:val="FF0000"/>
                <w:highlight w:val="none"/>
              </w:rPr>
            </w:pPr>
          </w:p>
        </w:tc>
        <w:tc>
          <w:tcPr>
            <w:tcW w:w="644" w:type="pct"/>
            <w:shd w:val="clear" w:color="auto" w:fill="auto"/>
            <w:noWrap w:val="0"/>
            <w:vAlign w:val="center"/>
          </w:tcPr>
          <w:p w14:paraId="127C38E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eastAsia="宋体" w:cs="Times New Roman"/>
                <w:color w:val="auto"/>
                <w:sz w:val="21"/>
                <w:szCs w:val="21"/>
              </w:rPr>
              <w:t>SS</w:t>
            </w:r>
          </w:p>
        </w:tc>
        <w:tc>
          <w:tcPr>
            <w:tcW w:w="701" w:type="pct"/>
            <w:vMerge w:val="continue"/>
            <w:noWrap w:val="0"/>
            <w:vAlign w:val="center"/>
          </w:tcPr>
          <w:p w14:paraId="5D24A2DE">
            <w:pPr>
              <w:pStyle w:val="37"/>
              <w:bidi w:val="0"/>
              <w:rPr>
                <w:rFonts w:hint="default" w:ascii="Times New Roman" w:hAnsi="Times New Roman" w:cs="Times New Roman"/>
                <w:color w:val="FF0000"/>
                <w:highlight w:val="none"/>
              </w:rPr>
            </w:pPr>
          </w:p>
        </w:tc>
        <w:tc>
          <w:tcPr>
            <w:tcW w:w="426" w:type="pct"/>
            <w:vMerge w:val="continue"/>
            <w:noWrap w:val="0"/>
            <w:vAlign w:val="center"/>
          </w:tcPr>
          <w:p w14:paraId="5BE4D72F">
            <w:pPr>
              <w:pStyle w:val="37"/>
              <w:bidi w:val="0"/>
              <w:rPr>
                <w:rFonts w:hint="default" w:ascii="Times New Roman" w:hAnsi="Times New Roman" w:cs="Times New Roman"/>
                <w:color w:val="FF0000"/>
                <w:highlight w:val="none"/>
              </w:rPr>
            </w:pPr>
          </w:p>
        </w:tc>
        <w:tc>
          <w:tcPr>
            <w:tcW w:w="687" w:type="pct"/>
            <w:gridSpan w:val="2"/>
            <w:noWrap w:val="0"/>
            <w:vAlign w:val="center"/>
          </w:tcPr>
          <w:p w14:paraId="1FEF1FA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FF0000"/>
                <w:highlight w:val="none"/>
                <w:lang w:val="en-US" w:eastAsia="zh-CN"/>
              </w:rPr>
            </w:pPr>
            <w:r>
              <w:rPr>
                <w:rFonts w:hint="default" w:ascii="Times New Roman" w:hAnsi="Times New Roman" w:eastAsia="宋体" w:cs="Times New Roman"/>
                <w:color w:val="auto"/>
                <w:sz w:val="21"/>
                <w:szCs w:val="21"/>
                <w:lang w:val="en-US" w:eastAsia="zh-CN"/>
              </w:rPr>
              <w:t>225</w:t>
            </w:r>
            <w:r>
              <w:rPr>
                <w:rFonts w:hint="default" w:ascii="Times New Roman" w:hAnsi="Times New Roman" w:eastAsia="宋体" w:cs="Times New Roman"/>
                <w:b w:val="0"/>
                <w:bCs w:val="0"/>
                <w:color w:val="auto"/>
                <w:sz w:val="21"/>
                <w:szCs w:val="21"/>
              </w:rPr>
              <w:t>mg/L</w:t>
            </w:r>
          </w:p>
        </w:tc>
        <w:tc>
          <w:tcPr>
            <w:tcW w:w="475" w:type="pct"/>
            <w:noWrap w:val="0"/>
            <w:vAlign w:val="center"/>
          </w:tcPr>
          <w:p w14:paraId="08D4B3A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lang w:val="en-US" w:eastAsia="zh-CN"/>
              </w:rPr>
              <w:t>1.87</w:t>
            </w:r>
          </w:p>
        </w:tc>
        <w:tc>
          <w:tcPr>
            <w:tcW w:w="1224" w:type="pct"/>
            <w:vMerge w:val="continue"/>
            <w:noWrap w:val="0"/>
            <w:vAlign w:val="center"/>
          </w:tcPr>
          <w:p w14:paraId="1F31D2A7">
            <w:pPr>
              <w:pStyle w:val="37"/>
              <w:bidi w:val="0"/>
              <w:rPr>
                <w:rFonts w:hint="default" w:ascii="Times New Roman" w:hAnsi="Times New Roman" w:cs="Times New Roman"/>
                <w:color w:val="FF0000"/>
                <w:highlight w:val="none"/>
              </w:rPr>
            </w:pPr>
          </w:p>
        </w:tc>
      </w:tr>
      <w:tr w14:paraId="30351F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6E03CB62">
            <w:pPr>
              <w:pStyle w:val="37"/>
              <w:bidi w:val="0"/>
              <w:rPr>
                <w:rFonts w:hint="default" w:ascii="Times New Roman" w:hAnsi="Times New Roman" w:cs="Times New Roman"/>
                <w:color w:val="FF0000"/>
                <w:highlight w:val="none"/>
              </w:rPr>
            </w:pPr>
          </w:p>
        </w:tc>
        <w:tc>
          <w:tcPr>
            <w:tcW w:w="581" w:type="pct"/>
            <w:vMerge w:val="continue"/>
            <w:noWrap w:val="0"/>
            <w:vAlign w:val="center"/>
          </w:tcPr>
          <w:p w14:paraId="110D69A6">
            <w:pPr>
              <w:pStyle w:val="37"/>
              <w:bidi w:val="0"/>
              <w:rPr>
                <w:rFonts w:hint="default" w:ascii="Times New Roman" w:hAnsi="Times New Roman" w:cs="Times New Roman"/>
                <w:color w:val="FF0000"/>
                <w:highlight w:val="none"/>
                <w:lang w:val="en-US" w:eastAsia="zh-CN"/>
              </w:rPr>
            </w:pPr>
          </w:p>
        </w:tc>
        <w:tc>
          <w:tcPr>
            <w:tcW w:w="644" w:type="pct"/>
            <w:shd w:val="clear" w:color="auto" w:fill="auto"/>
            <w:noWrap w:val="0"/>
            <w:vAlign w:val="center"/>
          </w:tcPr>
          <w:p w14:paraId="36376AD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w:t>
            </w:r>
          </w:p>
        </w:tc>
        <w:tc>
          <w:tcPr>
            <w:tcW w:w="701" w:type="pct"/>
            <w:vMerge w:val="continue"/>
            <w:noWrap w:val="0"/>
            <w:vAlign w:val="center"/>
          </w:tcPr>
          <w:p w14:paraId="3598FD3F">
            <w:pPr>
              <w:pStyle w:val="37"/>
              <w:bidi w:val="0"/>
              <w:rPr>
                <w:rFonts w:hint="default" w:ascii="Times New Roman" w:hAnsi="Times New Roman" w:cs="Times New Roman"/>
                <w:color w:val="FF0000"/>
                <w:highlight w:val="none"/>
              </w:rPr>
            </w:pPr>
          </w:p>
        </w:tc>
        <w:tc>
          <w:tcPr>
            <w:tcW w:w="426" w:type="pct"/>
            <w:vMerge w:val="continue"/>
            <w:noWrap w:val="0"/>
            <w:vAlign w:val="center"/>
          </w:tcPr>
          <w:p w14:paraId="34C9CDFD">
            <w:pPr>
              <w:pStyle w:val="37"/>
              <w:bidi w:val="0"/>
              <w:rPr>
                <w:rFonts w:hint="default" w:ascii="Times New Roman" w:hAnsi="Times New Roman" w:cs="Times New Roman"/>
                <w:color w:val="FF0000"/>
                <w:highlight w:val="none"/>
              </w:rPr>
            </w:pPr>
          </w:p>
        </w:tc>
        <w:tc>
          <w:tcPr>
            <w:tcW w:w="687" w:type="pct"/>
            <w:gridSpan w:val="2"/>
            <w:shd w:val="clear" w:color="auto" w:fill="auto"/>
            <w:noWrap w:val="0"/>
            <w:vAlign w:val="center"/>
          </w:tcPr>
          <w:p w14:paraId="26C993A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eastAsia="宋体" w:cs="Times New Roman"/>
                <w:color w:val="auto"/>
                <w:sz w:val="21"/>
                <w:szCs w:val="21"/>
                <w:lang w:val="en-US" w:eastAsia="zh-CN"/>
              </w:rPr>
              <w:t>31</w:t>
            </w:r>
            <w:r>
              <w:rPr>
                <w:rFonts w:hint="default" w:ascii="Times New Roman" w:hAnsi="Times New Roman" w:eastAsia="宋体" w:cs="Times New Roman"/>
                <w:b w:val="0"/>
                <w:bCs w:val="0"/>
                <w:color w:val="auto"/>
                <w:sz w:val="21"/>
                <w:szCs w:val="21"/>
              </w:rPr>
              <w:t>mg/L</w:t>
            </w:r>
          </w:p>
        </w:tc>
        <w:tc>
          <w:tcPr>
            <w:tcW w:w="475" w:type="pct"/>
            <w:shd w:val="clear" w:color="auto" w:fill="auto"/>
            <w:noWrap w:val="0"/>
            <w:vAlign w:val="center"/>
          </w:tcPr>
          <w:p w14:paraId="756E170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eastAsia="宋体" w:cs="Times New Roman"/>
                <w:color w:val="auto"/>
                <w:sz w:val="21"/>
                <w:szCs w:val="21"/>
                <w:lang w:val="en-US" w:eastAsia="zh-CN"/>
              </w:rPr>
              <w:t>0.26</w:t>
            </w:r>
          </w:p>
        </w:tc>
        <w:tc>
          <w:tcPr>
            <w:tcW w:w="1224" w:type="pct"/>
            <w:vMerge w:val="continue"/>
            <w:noWrap w:val="0"/>
            <w:vAlign w:val="center"/>
          </w:tcPr>
          <w:p w14:paraId="380BEDF1">
            <w:pPr>
              <w:pStyle w:val="37"/>
              <w:bidi w:val="0"/>
              <w:rPr>
                <w:rFonts w:hint="default" w:ascii="Times New Roman" w:hAnsi="Times New Roman" w:cs="Times New Roman"/>
                <w:color w:val="FF0000"/>
                <w:highlight w:val="none"/>
              </w:rPr>
            </w:pPr>
          </w:p>
        </w:tc>
      </w:tr>
      <w:tr w14:paraId="2C0C6C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noWrap w:val="0"/>
            <w:vAlign w:val="center"/>
          </w:tcPr>
          <w:p w14:paraId="553749CE">
            <w:pPr>
              <w:pStyle w:val="37"/>
              <w:bidi w:val="0"/>
              <w:rPr>
                <w:rFonts w:hint="default" w:ascii="Times New Roman" w:hAnsi="Times New Roman" w:cs="Times New Roman"/>
                <w:color w:val="FF0000"/>
                <w:highlight w:val="none"/>
              </w:rPr>
            </w:pPr>
          </w:p>
        </w:tc>
        <w:tc>
          <w:tcPr>
            <w:tcW w:w="581" w:type="pct"/>
            <w:vMerge w:val="continue"/>
            <w:noWrap w:val="0"/>
            <w:vAlign w:val="center"/>
          </w:tcPr>
          <w:p w14:paraId="4AA4AB85">
            <w:pPr>
              <w:pStyle w:val="37"/>
              <w:bidi w:val="0"/>
              <w:rPr>
                <w:rFonts w:hint="default" w:ascii="Times New Roman" w:hAnsi="Times New Roman" w:cs="Times New Roman"/>
                <w:color w:val="FF0000"/>
                <w:highlight w:val="none"/>
              </w:rPr>
            </w:pPr>
          </w:p>
        </w:tc>
        <w:tc>
          <w:tcPr>
            <w:tcW w:w="644" w:type="pct"/>
            <w:shd w:val="clear" w:color="auto" w:fill="auto"/>
            <w:noWrap w:val="0"/>
            <w:vAlign w:val="center"/>
          </w:tcPr>
          <w:p w14:paraId="40CA2DA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eastAsia="宋体" w:cs="Times New Roman"/>
                <w:color w:val="auto"/>
                <w:sz w:val="21"/>
                <w:szCs w:val="21"/>
                <w:lang w:val="en-US" w:eastAsia="zh-CN"/>
              </w:rPr>
              <w:t>动植物油</w:t>
            </w:r>
          </w:p>
        </w:tc>
        <w:tc>
          <w:tcPr>
            <w:tcW w:w="701" w:type="pct"/>
            <w:vMerge w:val="continue"/>
            <w:noWrap w:val="0"/>
            <w:vAlign w:val="center"/>
          </w:tcPr>
          <w:p w14:paraId="54C60AB6">
            <w:pPr>
              <w:pStyle w:val="37"/>
              <w:bidi w:val="0"/>
              <w:rPr>
                <w:rFonts w:hint="default" w:ascii="Times New Roman" w:hAnsi="Times New Roman" w:cs="Times New Roman"/>
                <w:color w:val="FF0000"/>
                <w:highlight w:val="none"/>
              </w:rPr>
            </w:pPr>
          </w:p>
        </w:tc>
        <w:tc>
          <w:tcPr>
            <w:tcW w:w="426" w:type="pct"/>
            <w:vMerge w:val="continue"/>
            <w:noWrap w:val="0"/>
            <w:vAlign w:val="center"/>
          </w:tcPr>
          <w:p w14:paraId="76E98371">
            <w:pPr>
              <w:pStyle w:val="37"/>
              <w:bidi w:val="0"/>
              <w:rPr>
                <w:rFonts w:hint="default" w:ascii="Times New Roman" w:hAnsi="Times New Roman" w:cs="Times New Roman"/>
                <w:color w:val="FF0000"/>
                <w:highlight w:val="none"/>
              </w:rPr>
            </w:pPr>
          </w:p>
        </w:tc>
        <w:tc>
          <w:tcPr>
            <w:tcW w:w="687" w:type="pct"/>
            <w:gridSpan w:val="2"/>
            <w:shd w:val="clear" w:color="auto" w:fill="auto"/>
            <w:noWrap w:val="0"/>
            <w:vAlign w:val="center"/>
          </w:tcPr>
          <w:p w14:paraId="43BA065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eastAsia="宋体" w:cs="Times New Roman"/>
                <w:color w:val="auto"/>
                <w:sz w:val="21"/>
                <w:szCs w:val="21"/>
                <w:lang w:val="en-US" w:eastAsia="zh-CN"/>
              </w:rPr>
              <w:t>36</w:t>
            </w:r>
            <w:r>
              <w:rPr>
                <w:rFonts w:hint="default" w:ascii="Times New Roman" w:hAnsi="Times New Roman" w:eastAsia="宋体" w:cs="Times New Roman"/>
                <w:b w:val="0"/>
                <w:bCs w:val="0"/>
                <w:color w:val="auto"/>
                <w:sz w:val="21"/>
                <w:szCs w:val="21"/>
              </w:rPr>
              <w:t>mg/L</w:t>
            </w:r>
          </w:p>
        </w:tc>
        <w:tc>
          <w:tcPr>
            <w:tcW w:w="475" w:type="pct"/>
            <w:shd w:val="clear" w:color="auto" w:fill="auto"/>
            <w:noWrap w:val="0"/>
            <w:vAlign w:val="center"/>
          </w:tcPr>
          <w:p w14:paraId="4180494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eastAsia="宋体" w:cs="Times New Roman"/>
                <w:color w:val="auto"/>
                <w:sz w:val="21"/>
                <w:szCs w:val="21"/>
                <w:lang w:val="en-US" w:eastAsia="zh-CN"/>
              </w:rPr>
              <w:t>0.3</w:t>
            </w:r>
          </w:p>
        </w:tc>
        <w:tc>
          <w:tcPr>
            <w:tcW w:w="1224" w:type="pct"/>
            <w:vMerge w:val="continue"/>
            <w:noWrap w:val="0"/>
            <w:vAlign w:val="center"/>
          </w:tcPr>
          <w:p w14:paraId="3A093E02">
            <w:pPr>
              <w:pStyle w:val="37"/>
              <w:bidi w:val="0"/>
              <w:rPr>
                <w:rFonts w:hint="default" w:ascii="Times New Roman" w:hAnsi="Times New Roman" w:cs="Times New Roman"/>
                <w:color w:val="FF0000"/>
                <w:highlight w:val="none"/>
              </w:rPr>
            </w:pPr>
          </w:p>
        </w:tc>
      </w:tr>
      <w:tr w14:paraId="55A607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noWrap w:val="0"/>
            <w:vAlign w:val="center"/>
          </w:tcPr>
          <w:p w14:paraId="5B3FE42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噪声</w:t>
            </w:r>
          </w:p>
        </w:tc>
        <w:tc>
          <w:tcPr>
            <w:tcW w:w="581" w:type="pct"/>
            <w:noWrap w:val="0"/>
            <w:vAlign w:val="center"/>
          </w:tcPr>
          <w:p w14:paraId="02B021A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设备</w:t>
            </w:r>
          </w:p>
        </w:tc>
        <w:tc>
          <w:tcPr>
            <w:tcW w:w="644" w:type="pct"/>
            <w:noWrap w:val="0"/>
            <w:vAlign w:val="center"/>
          </w:tcPr>
          <w:p w14:paraId="53988213">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噪声</w:t>
            </w:r>
          </w:p>
        </w:tc>
        <w:tc>
          <w:tcPr>
            <w:tcW w:w="701" w:type="pct"/>
            <w:noWrap w:val="0"/>
            <w:vAlign w:val="center"/>
          </w:tcPr>
          <w:p w14:paraId="3EEB8C67">
            <w:pPr>
              <w:pStyle w:val="37"/>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选用低噪声设备，风机软连接、</w:t>
            </w:r>
            <w:r>
              <w:rPr>
                <w:rFonts w:hint="default" w:ascii="Times New Roman" w:hAnsi="Times New Roman" w:cs="Times New Roman"/>
                <w:color w:val="auto"/>
                <w:highlight w:val="none"/>
              </w:rPr>
              <w:t>隔声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消声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减震</w:t>
            </w:r>
          </w:p>
        </w:tc>
        <w:tc>
          <w:tcPr>
            <w:tcW w:w="426" w:type="pct"/>
            <w:noWrap w:val="0"/>
            <w:vAlign w:val="center"/>
          </w:tcPr>
          <w:p w14:paraId="3B4687D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厂界</w:t>
            </w:r>
          </w:p>
        </w:tc>
        <w:tc>
          <w:tcPr>
            <w:tcW w:w="687" w:type="pct"/>
            <w:gridSpan w:val="2"/>
            <w:noWrap w:val="0"/>
            <w:vAlign w:val="center"/>
          </w:tcPr>
          <w:p w14:paraId="77BD3FA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昼间＜60dB</w:t>
            </w:r>
          </w:p>
          <w:p w14:paraId="4840667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夜间＜50dB</w:t>
            </w:r>
          </w:p>
        </w:tc>
        <w:tc>
          <w:tcPr>
            <w:tcW w:w="475" w:type="pct"/>
            <w:noWrap w:val="0"/>
            <w:vAlign w:val="center"/>
          </w:tcPr>
          <w:p w14:paraId="48EDFD1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224" w:type="pct"/>
            <w:noWrap w:val="0"/>
            <w:vAlign w:val="center"/>
          </w:tcPr>
          <w:p w14:paraId="2610BEA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《工业企业厂界环境噪声排放标准》（GB12348-2008）表1中的2类标准</w:t>
            </w:r>
          </w:p>
        </w:tc>
      </w:tr>
      <w:tr w14:paraId="5BE9DB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restart"/>
            <w:noWrap w:val="0"/>
            <w:vAlign w:val="center"/>
          </w:tcPr>
          <w:p w14:paraId="60F1CE20">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w:t>
            </w:r>
          </w:p>
        </w:tc>
        <w:tc>
          <w:tcPr>
            <w:tcW w:w="581" w:type="pct"/>
            <w:shd w:val="clear" w:color="auto" w:fill="auto"/>
            <w:noWrap w:val="0"/>
            <w:vAlign w:val="center"/>
          </w:tcPr>
          <w:p w14:paraId="0C664F04">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员工生活</w:t>
            </w:r>
          </w:p>
        </w:tc>
        <w:tc>
          <w:tcPr>
            <w:tcW w:w="644" w:type="pct"/>
            <w:shd w:val="clear" w:color="auto" w:fill="auto"/>
            <w:noWrap w:val="0"/>
            <w:vAlign w:val="center"/>
          </w:tcPr>
          <w:p w14:paraId="6004F3D3">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生活垃圾</w:t>
            </w:r>
          </w:p>
        </w:tc>
        <w:tc>
          <w:tcPr>
            <w:tcW w:w="701" w:type="pct"/>
            <w:shd w:val="clear" w:color="auto" w:fill="auto"/>
            <w:noWrap w:val="0"/>
            <w:vAlign w:val="center"/>
          </w:tcPr>
          <w:p w14:paraId="553FDB64">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市政</w:t>
            </w:r>
            <w:r>
              <w:rPr>
                <w:rFonts w:hint="default" w:ascii="Times New Roman" w:hAnsi="Times New Roman" w:cs="Times New Roman"/>
                <w:color w:val="auto"/>
                <w:sz w:val="21"/>
                <w:szCs w:val="21"/>
                <w:highlight w:val="none"/>
              </w:rPr>
              <w:t>部门</w:t>
            </w:r>
            <w:r>
              <w:rPr>
                <w:rFonts w:hint="default" w:ascii="Times New Roman" w:hAnsi="Times New Roman" w:cs="Times New Roman"/>
                <w:color w:val="auto"/>
                <w:sz w:val="21"/>
                <w:szCs w:val="21"/>
                <w:highlight w:val="none"/>
                <w:lang w:val="en-US" w:eastAsia="zh-CN"/>
              </w:rPr>
              <w:t>收集</w:t>
            </w:r>
            <w:r>
              <w:rPr>
                <w:rFonts w:hint="default" w:ascii="Times New Roman" w:hAnsi="Times New Roman" w:cs="Times New Roman"/>
                <w:color w:val="auto"/>
                <w:sz w:val="21"/>
                <w:szCs w:val="21"/>
                <w:highlight w:val="none"/>
              </w:rPr>
              <w:t>处置</w:t>
            </w:r>
          </w:p>
        </w:tc>
        <w:tc>
          <w:tcPr>
            <w:tcW w:w="426" w:type="pct"/>
            <w:shd w:val="clear" w:color="auto" w:fill="auto"/>
            <w:noWrap w:val="0"/>
            <w:vAlign w:val="center"/>
          </w:tcPr>
          <w:p w14:paraId="27883140">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687" w:type="pct"/>
            <w:gridSpan w:val="2"/>
            <w:shd w:val="clear" w:color="auto" w:fill="auto"/>
            <w:noWrap w:val="0"/>
            <w:vAlign w:val="center"/>
          </w:tcPr>
          <w:p w14:paraId="5F8A4A2C">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475" w:type="pct"/>
            <w:shd w:val="clear" w:color="auto" w:fill="auto"/>
            <w:noWrap w:val="0"/>
            <w:vAlign w:val="center"/>
          </w:tcPr>
          <w:p w14:paraId="219D4433">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58</w:t>
            </w:r>
          </w:p>
        </w:tc>
        <w:tc>
          <w:tcPr>
            <w:tcW w:w="1224" w:type="pct"/>
            <w:vMerge w:val="restart"/>
            <w:noWrap w:val="0"/>
            <w:vAlign w:val="center"/>
          </w:tcPr>
          <w:p w14:paraId="59B1A5A9">
            <w:pPr>
              <w:pStyle w:val="37"/>
              <w:bidi w:val="0"/>
              <w:rPr>
                <w:rFonts w:hint="default" w:ascii="Times New Roman" w:hAnsi="Times New Roman" w:cs="Times New Roman"/>
                <w:color w:val="FF0000"/>
                <w:highlight w:val="none"/>
              </w:rPr>
            </w:pPr>
            <w:r>
              <w:rPr>
                <w:rFonts w:hint="default" w:ascii="Times New Roman" w:hAnsi="Times New Roman" w:cs="Times New Roman"/>
                <w:color w:val="auto"/>
                <w:highlight w:val="none"/>
              </w:rPr>
              <w:t>处置率100%</w:t>
            </w:r>
          </w:p>
        </w:tc>
      </w:tr>
      <w:tr w14:paraId="7CDCE6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tcPr>
          <w:p w14:paraId="3B047512">
            <w:pPr>
              <w:pStyle w:val="37"/>
              <w:bidi w:val="0"/>
              <w:rPr>
                <w:rFonts w:hint="default" w:ascii="Times New Roman" w:hAnsi="Times New Roman" w:cs="Times New Roman"/>
                <w:color w:val="auto"/>
                <w:highlight w:val="none"/>
              </w:rPr>
            </w:pPr>
          </w:p>
        </w:tc>
        <w:tc>
          <w:tcPr>
            <w:tcW w:w="581" w:type="pct"/>
            <w:shd w:val="clear" w:color="auto" w:fill="auto"/>
            <w:vAlign w:val="center"/>
          </w:tcPr>
          <w:p w14:paraId="70A12D6D">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包装</w:t>
            </w:r>
          </w:p>
        </w:tc>
        <w:tc>
          <w:tcPr>
            <w:tcW w:w="644" w:type="pct"/>
            <w:shd w:val="clear" w:color="auto" w:fill="auto"/>
            <w:vAlign w:val="center"/>
          </w:tcPr>
          <w:p w14:paraId="5516BABE">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rPr>
              <w:t>废包装材料</w:t>
            </w:r>
          </w:p>
        </w:tc>
        <w:tc>
          <w:tcPr>
            <w:tcW w:w="701" w:type="pct"/>
            <w:shd w:val="clear" w:color="auto" w:fill="auto"/>
            <w:vAlign w:val="center"/>
          </w:tcPr>
          <w:p w14:paraId="1C509C34">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外售综合利用</w:t>
            </w:r>
          </w:p>
        </w:tc>
        <w:tc>
          <w:tcPr>
            <w:tcW w:w="426" w:type="pct"/>
            <w:shd w:val="clear" w:color="auto" w:fill="auto"/>
            <w:vAlign w:val="center"/>
          </w:tcPr>
          <w:p w14:paraId="2396DB6C">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687" w:type="pct"/>
            <w:gridSpan w:val="2"/>
            <w:shd w:val="clear" w:color="auto" w:fill="auto"/>
            <w:vAlign w:val="center"/>
          </w:tcPr>
          <w:p w14:paraId="553BC965">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475" w:type="pct"/>
            <w:shd w:val="clear" w:color="auto" w:fill="auto"/>
            <w:vAlign w:val="center"/>
          </w:tcPr>
          <w:p w14:paraId="6B4909DE">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snapToGrid w:val="0"/>
                <w:color w:val="auto"/>
                <w:kern w:val="0"/>
                <w:sz w:val="21"/>
                <w:szCs w:val="21"/>
                <w:highlight w:val="none"/>
                <w:lang w:val="en-US" w:eastAsia="zh-CN" w:bidi="ar-SA"/>
              </w:rPr>
              <w:t>1</w:t>
            </w:r>
          </w:p>
        </w:tc>
        <w:tc>
          <w:tcPr>
            <w:tcW w:w="1224" w:type="pct"/>
            <w:vMerge w:val="continue"/>
          </w:tcPr>
          <w:p w14:paraId="5034AD08">
            <w:pPr>
              <w:pStyle w:val="37"/>
              <w:bidi w:val="0"/>
              <w:rPr>
                <w:rFonts w:hint="default" w:ascii="Times New Roman" w:hAnsi="Times New Roman" w:cs="Times New Roman"/>
                <w:color w:val="FF0000"/>
                <w:highlight w:val="none"/>
              </w:rPr>
            </w:pPr>
          </w:p>
        </w:tc>
      </w:tr>
      <w:tr w14:paraId="5D59B2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tcPr>
          <w:p w14:paraId="55A9E513">
            <w:pPr>
              <w:pStyle w:val="37"/>
              <w:bidi w:val="0"/>
              <w:rPr>
                <w:rFonts w:hint="default" w:ascii="Times New Roman" w:hAnsi="Times New Roman" w:cs="Times New Roman"/>
                <w:color w:val="auto"/>
                <w:highlight w:val="none"/>
              </w:rPr>
            </w:pPr>
          </w:p>
        </w:tc>
        <w:tc>
          <w:tcPr>
            <w:tcW w:w="581" w:type="pct"/>
            <w:shd w:val="clear" w:color="auto" w:fill="auto"/>
            <w:vAlign w:val="center"/>
          </w:tcPr>
          <w:p w14:paraId="0F005412">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注塑</w:t>
            </w:r>
          </w:p>
        </w:tc>
        <w:tc>
          <w:tcPr>
            <w:tcW w:w="644" w:type="pct"/>
            <w:shd w:val="clear" w:color="auto" w:fill="auto"/>
            <w:vAlign w:val="center"/>
          </w:tcPr>
          <w:p w14:paraId="0162D34D">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不合格品</w:t>
            </w:r>
          </w:p>
        </w:tc>
        <w:tc>
          <w:tcPr>
            <w:tcW w:w="701" w:type="pct"/>
            <w:shd w:val="clear" w:color="auto" w:fill="auto"/>
            <w:vAlign w:val="center"/>
          </w:tcPr>
          <w:p w14:paraId="530DFF17">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回用于注塑工序</w:t>
            </w:r>
          </w:p>
        </w:tc>
        <w:tc>
          <w:tcPr>
            <w:tcW w:w="426" w:type="pct"/>
            <w:shd w:val="clear" w:color="auto" w:fill="auto"/>
            <w:vAlign w:val="center"/>
          </w:tcPr>
          <w:p w14:paraId="1338857E">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687" w:type="pct"/>
            <w:gridSpan w:val="2"/>
            <w:shd w:val="clear" w:color="auto" w:fill="auto"/>
            <w:vAlign w:val="center"/>
          </w:tcPr>
          <w:p w14:paraId="17C29B17">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475" w:type="pct"/>
            <w:shd w:val="clear" w:color="auto" w:fill="auto"/>
            <w:vAlign w:val="center"/>
          </w:tcPr>
          <w:p w14:paraId="4E2298E2">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40</w:t>
            </w:r>
          </w:p>
        </w:tc>
        <w:tc>
          <w:tcPr>
            <w:tcW w:w="1224" w:type="pct"/>
            <w:vMerge w:val="continue"/>
          </w:tcPr>
          <w:p w14:paraId="661E8A2A">
            <w:pPr>
              <w:pStyle w:val="37"/>
              <w:bidi w:val="0"/>
              <w:rPr>
                <w:rFonts w:hint="default" w:ascii="Times New Roman" w:hAnsi="Times New Roman" w:cs="Times New Roman"/>
                <w:color w:val="FF0000"/>
                <w:highlight w:val="none"/>
              </w:rPr>
            </w:pPr>
          </w:p>
        </w:tc>
      </w:tr>
      <w:tr w14:paraId="68C524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tcPr>
          <w:p w14:paraId="03E9734E">
            <w:pPr>
              <w:pStyle w:val="37"/>
              <w:bidi w:val="0"/>
              <w:rPr>
                <w:rFonts w:hint="default" w:ascii="Times New Roman" w:hAnsi="Times New Roman" w:cs="Times New Roman"/>
                <w:color w:val="FF0000"/>
                <w:highlight w:val="none"/>
              </w:rPr>
            </w:pPr>
          </w:p>
        </w:tc>
        <w:tc>
          <w:tcPr>
            <w:tcW w:w="581" w:type="pct"/>
            <w:shd w:val="clear" w:color="auto" w:fill="auto"/>
            <w:vAlign w:val="center"/>
          </w:tcPr>
          <w:p w14:paraId="56961CDB">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包覆</w:t>
            </w:r>
          </w:p>
        </w:tc>
        <w:tc>
          <w:tcPr>
            <w:tcW w:w="644" w:type="pct"/>
            <w:shd w:val="clear" w:color="auto" w:fill="auto"/>
            <w:vAlign w:val="center"/>
          </w:tcPr>
          <w:p w14:paraId="7D45E53F">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废布料</w:t>
            </w:r>
          </w:p>
        </w:tc>
        <w:tc>
          <w:tcPr>
            <w:tcW w:w="701" w:type="pct"/>
            <w:shd w:val="clear" w:color="auto" w:fill="auto"/>
            <w:vAlign w:val="center"/>
          </w:tcPr>
          <w:p w14:paraId="75709A02">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外售综合利用</w:t>
            </w:r>
          </w:p>
        </w:tc>
        <w:tc>
          <w:tcPr>
            <w:tcW w:w="426" w:type="pct"/>
            <w:shd w:val="clear" w:color="auto" w:fill="auto"/>
            <w:vAlign w:val="center"/>
          </w:tcPr>
          <w:p w14:paraId="5A7B4AD3">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687" w:type="pct"/>
            <w:gridSpan w:val="2"/>
            <w:shd w:val="clear" w:color="auto" w:fill="auto"/>
            <w:vAlign w:val="center"/>
          </w:tcPr>
          <w:p w14:paraId="07878317">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475" w:type="pct"/>
            <w:shd w:val="clear" w:color="auto" w:fill="auto"/>
            <w:vAlign w:val="center"/>
          </w:tcPr>
          <w:p w14:paraId="04DA9F4D">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0.3</w:t>
            </w:r>
          </w:p>
        </w:tc>
        <w:tc>
          <w:tcPr>
            <w:tcW w:w="1224" w:type="pct"/>
            <w:vMerge w:val="continue"/>
          </w:tcPr>
          <w:p w14:paraId="5DE2231D">
            <w:pPr>
              <w:pStyle w:val="37"/>
              <w:bidi w:val="0"/>
              <w:rPr>
                <w:rFonts w:hint="default" w:ascii="Times New Roman" w:hAnsi="Times New Roman" w:cs="Times New Roman"/>
                <w:color w:val="FF0000"/>
                <w:highlight w:val="none"/>
              </w:rPr>
            </w:pPr>
          </w:p>
        </w:tc>
      </w:tr>
      <w:tr w14:paraId="70C749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tcPr>
          <w:p w14:paraId="28BB36B0">
            <w:pPr>
              <w:pStyle w:val="37"/>
              <w:bidi w:val="0"/>
              <w:rPr>
                <w:rFonts w:hint="default" w:ascii="Times New Roman" w:hAnsi="Times New Roman" w:cs="Times New Roman"/>
                <w:color w:val="FF0000"/>
                <w:highlight w:val="none"/>
              </w:rPr>
            </w:pPr>
          </w:p>
        </w:tc>
        <w:tc>
          <w:tcPr>
            <w:tcW w:w="581" w:type="pct"/>
            <w:shd w:val="clear" w:color="auto" w:fill="auto"/>
            <w:vAlign w:val="center"/>
          </w:tcPr>
          <w:p w14:paraId="34D06647">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RTO废气处理装置</w:t>
            </w:r>
          </w:p>
        </w:tc>
        <w:tc>
          <w:tcPr>
            <w:tcW w:w="644" w:type="pct"/>
            <w:shd w:val="clear" w:color="auto" w:fill="auto"/>
            <w:vAlign w:val="center"/>
          </w:tcPr>
          <w:p w14:paraId="47E817E3">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陶瓷蓄热体</w:t>
            </w:r>
          </w:p>
        </w:tc>
        <w:tc>
          <w:tcPr>
            <w:tcW w:w="701" w:type="pct"/>
            <w:shd w:val="clear" w:color="auto" w:fill="auto"/>
            <w:vAlign w:val="center"/>
          </w:tcPr>
          <w:p w14:paraId="5E5AD8C2">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外售综合利用</w:t>
            </w:r>
          </w:p>
        </w:tc>
        <w:tc>
          <w:tcPr>
            <w:tcW w:w="426" w:type="pct"/>
            <w:shd w:val="clear" w:color="auto" w:fill="auto"/>
            <w:vAlign w:val="center"/>
          </w:tcPr>
          <w:p w14:paraId="1DB60F71">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687" w:type="pct"/>
            <w:gridSpan w:val="2"/>
            <w:shd w:val="clear" w:color="auto" w:fill="auto"/>
            <w:vAlign w:val="center"/>
          </w:tcPr>
          <w:p w14:paraId="4F3155B9">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475" w:type="pct"/>
            <w:shd w:val="clear" w:color="auto" w:fill="auto"/>
            <w:vAlign w:val="center"/>
          </w:tcPr>
          <w:p w14:paraId="0B69ECAC">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1t/5a</w:t>
            </w:r>
          </w:p>
        </w:tc>
        <w:tc>
          <w:tcPr>
            <w:tcW w:w="1224" w:type="pct"/>
            <w:vMerge w:val="continue"/>
          </w:tcPr>
          <w:p w14:paraId="7BC1D932">
            <w:pPr>
              <w:pStyle w:val="37"/>
              <w:bidi w:val="0"/>
              <w:rPr>
                <w:rFonts w:hint="default" w:ascii="Times New Roman" w:hAnsi="Times New Roman" w:cs="Times New Roman"/>
                <w:color w:val="FF0000"/>
                <w:highlight w:val="none"/>
              </w:rPr>
            </w:pPr>
          </w:p>
        </w:tc>
      </w:tr>
      <w:tr w14:paraId="4BA94A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tcPr>
          <w:p w14:paraId="62EA36D2">
            <w:pPr>
              <w:pStyle w:val="37"/>
              <w:bidi w:val="0"/>
              <w:rPr>
                <w:rFonts w:hint="default" w:ascii="Times New Roman" w:hAnsi="Times New Roman" w:cs="Times New Roman"/>
                <w:color w:val="FF0000"/>
                <w:highlight w:val="none"/>
              </w:rPr>
            </w:pPr>
          </w:p>
        </w:tc>
        <w:tc>
          <w:tcPr>
            <w:tcW w:w="581" w:type="pct"/>
            <w:shd w:val="clear" w:color="auto" w:fill="auto"/>
            <w:vAlign w:val="center"/>
          </w:tcPr>
          <w:p w14:paraId="2516A026">
            <w:pPr>
              <w:pStyle w:val="37"/>
              <w:bidi w:val="0"/>
              <w:ind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修整检验</w:t>
            </w:r>
          </w:p>
        </w:tc>
        <w:tc>
          <w:tcPr>
            <w:tcW w:w="644" w:type="pct"/>
            <w:shd w:val="clear" w:color="auto" w:fill="auto"/>
            <w:vAlign w:val="center"/>
          </w:tcPr>
          <w:p w14:paraId="066F0E61">
            <w:pPr>
              <w:pStyle w:val="37"/>
              <w:bidi w:val="0"/>
              <w:ind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废边角料及不合格品</w:t>
            </w:r>
          </w:p>
        </w:tc>
        <w:tc>
          <w:tcPr>
            <w:tcW w:w="701" w:type="pct"/>
            <w:shd w:val="clear" w:color="auto" w:fill="auto"/>
            <w:vAlign w:val="center"/>
          </w:tcPr>
          <w:p w14:paraId="31258644">
            <w:pPr>
              <w:pStyle w:val="37"/>
              <w:bidi w:val="0"/>
              <w:ind w:firstLine="0" w:firstLineChars="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外售综合利用</w:t>
            </w:r>
          </w:p>
        </w:tc>
        <w:tc>
          <w:tcPr>
            <w:tcW w:w="426" w:type="pct"/>
            <w:shd w:val="clear" w:color="auto" w:fill="auto"/>
            <w:vAlign w:val="center"/>
          </w:tcPr>
          <w:p w14:paraId="28893571">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687" w:type="pct"/>
            <w:gridSpan w:val="2"/>
            <w:shd w:val="clear" w:color="auto" w:fill="auto"/>
            <w:vAlign w:val="center"/>
          </w:tcPr>
          <w:p w14:paraId="36071F83">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475" w:type="pct"/>
            <w:shd w:val="clear" w:color="auto" w:fill="auto"/>
            <w:vAlign w:val="center"/>
          </w:tcPr>
          <w:p w14:paraId="33AC41BE">
            <w:pPr>
              <w:pStyle w:val="37"/>
              <w:bidi w:val="0"/>
              <w:ind w:firstLine="0" w:firstLineChars="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w:t>
            </w:r>
          </w:p>
        </w:tc>
        <w:tc>
          <w:tcPr>
            <w:tcW w:w="1224" w:type="pct"/>
            <w:vMerge w:val="continue"/>
          </w:tcPr>
          <w:p w14:paraId="48F3F017">
            <w:pPr>
              <w:pStyle w:val="37"/>
              <w:bidi w:val="0"/>
              <w:rPr>
                <w:rFonts w:hint="default" w:ascii="Times New Roman" w:hAnsi="Times New Roman" w:cs="Times New Roman"/>
                <w:color w:val="FF0000"/>
                <w:highlight w:val="none"/>
              </w:rPr>
            </w:pPr>
          </w:p>
        </w:tc>
      </w:tr>
      <w:tr w14:paraId="68F9EC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tcPr>
          <w:p w14:paraId="2902A8E9">
            <w:pPr>
              <w:pStyle w:val="37"/>
              <w:bidi w:val="0"/>
              <w:rPr>
                <w:rFonts w:hint="default" w:ascii="Times New Roman" w:hAnsi="Times New Roman" w:cs="Times New Roman"/>
                <w:color w:val="FF0000"/>
                <w:highlight w:val="none"/>
              </w:rPr>
            </w:pPr>
          </w:p>
        </w:tc>
        <w:tc>
          <w:tcPr>
            <w:tcW w:w="581" w:type="pct"/>
            <w:shd w:val="clear" w:color="auto" w:fill="auto"/>
            <w:vAlign w:val="center"/>
          </w:tcPr>
          <w:p w14:paraId="426DF21F">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除尘</w:t>
            </w:r>
          </w:p>
        </w:tc>
        <w:tc>
          <w:tcPr>
            <w:tcW w:w="644" w:type="pct"/>
            <w:shd w:val="clear" w:color="auto" w:fill="auto"/>
            <w:vAlign w:val="center"/>
          </w:tcPr>
          <w:p w14:paraId="5B353F51">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除尘器收集粉尘</w:t>
            </w:r>
          </w:p>
        </w:tc>
        <w:tc>
          <w:tcPr>
            <w:tcW w:w="701" w:type="pct"/>
            <w:vMerge w:val="restart"/>
            <w:shd w:val="clear" w:color="auto" w:fill="auto"/>
            <w:vAlign w:val="center"/>
          </w:tcPr>
          <w:p w14:paraId="555FB0F9">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厂房</w:t>
            </w:r>
            <w:r>
              <w:rPr>
                <w:rFonts w:hint="default" w:ascii="Times New Roman" w:hAnsi="Times New Roman" w:cs="Times New Roman"/>
                <w:color w:val="auto"/>
                <w:highlight w:val="none"/>
              </w:rPr>
              <w:t>内</w:t>
            </w:r>
            <w:r>
              <w:rPr>
                <w:rFonts w:hint="default" w:ascii="Times New Roman" w:hAnsi="Times New Roman" w:cs="Times New Roman"/>
                <w:color w:val="auto"/>
                <w:highlight w:val="none"/>
                <w:lang w:val="en-US" w:eastAsia="zh-CN"/>
              </w:rPr>
              <w:t>设置</w:t>
            </w:r>
            <w:r>
              <w:rPr>
                <w:rFonts w:hint="default" w:ascii="Times New Roman" w:hAnsi="Times New Roman" w:cs="Times New Roman"/>
                <w:color w:val="auto"/>
                <w:highlight w:val="none"/>
              </w:rPr>
              <w:t>1座</w:t>
            </w:r>
            <w:r>
              <w:rPr>
                <w:rFonts w:hint="default" w:ascii="Times New Roman" w:hAnsi="Times New Roman" w:cs="Times New Roman"/>
                <w:color w:val="auto"/>
                <w:highlight w:val="none"/>
                <w:lang w:val="en-US" w:eastAsia="zh-CN"/>
              </w:rPr>
              <w:t>200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lang w:eastAsia="zh-CN"/>
              </w:rPr>
              <w:t>危险废物贮存库，</w:t>
            </w:r>
            <w:r>
              <w:rPr>
                <w:rFonts w:hint="default" w:ascii="Times New Roman" w:hAnsi="Times New Roman" w:cs="Times New Roman"/>
                <w:color w:val="auto"/>
                <w:highlight w:val="none"/>
                <w:lang w:val="en-US" w:eastAsia="zh-CN"/>
              </w:rPr>
              <w:t>危险废物暂存在危险废物贮存库内，定期交有资质单位处置</w:t>
            </w:r>
          </w:p>
        </w:tc>
        <w:tc>
          <w:tcPr>
            <w:tcW w:w="426" w:type="pct"/>
            <w:shd w:val="clear" w:color="auto" w:fill="auto"/>
            <w:vAlign w:val="center"/>
          </w:tcPr>
          <w:p w14:paraId="09A3F58A">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687" w:type="pct"/>
            <w:gridSpan w:val="2"/>
            <w:shd w:val="clear" w:color="auto" w:fill="auto"/>
            <w:vAlign w:val="center"/>
          </w:tcPr>
          <w:p w14:paraId="7347C6CA">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475" w:type="pct"/>
            <w:shd w:val="clear" w:color="auto" w:fill="auto"/>
            <w:vAlign w:val="center"/>
          </w:tcPr>
          <w:p w14:paraId="68033D6D">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2.319</w:t>
            </w:r>
          </w:p>
        </w:tc>
        <w:tc>
          <w:tcPr>
            <w:tcW w:w="1224" w:type="pct"/>
            <w:vMerge w:val="continue"/>
          </w:tcPr>
          <w:p w14:paraId="3B6EAC14">
            <w:pPr>
              <w:pStyle w:val="37"/>
              <w:bidi w:val="0"/>
              <w:rPr>
                <w:rFonts w:hint="default" w:ascii="Times New Roman" w:hAnsi="Times New Roman" w:cs="Times New Roman"/>
                <w:color w:val="FF0000"/>
                <w:highlight w:val="none"/>
              </w:rPr>
            </w:pPr>
          </w:p>
        </w:tc>
      </w:tr>
      <w:tr w14:paraId="60A1FF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tcPr>
          <w:p w14:paraId="73EE2A8C">
            <w:pPr>
              <w:pStyle w:val="37"/>
              <w:bidi w:val="0"/>
              <w:rPr>
                <w:rFonts w:hint="default" w:ascii="Times New Roman" w:hAnsi="Times New Roman" w:cs="Times New Roman"/>
                <w:color w:val="FF0000"/>
                <w:highlight w:val="none"/>
              </w:rPr>
            </w:pPr>
          </w:p>
        </w:tc>
        <w:tc>
          <w:tcPr>
            <w:tcW w:w="581" w:type="pct"/>
            <w:shd w:val="clear" w:color="auto" w:fill="auto"/>
            <w:vAlign w:val="center"/>
          </w:tcPr>
          <w:p w14:paraId="2607DED4">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除尘</w:t>
            </w:r>
          </w:p>
        </w:tc>
        <w:tc>
          <w:tcPr>
            <w:tcW w:w="644" w:type="pct"/>
            <w:shd w:val="clear" w:color="auto" w:fill="auto"/>
            <w:vAlign w:val="center"/>
          </w:tcPr>
          <w:p w14:paraId="5D354AE0">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废布袋</w:t>
            </w:r>
          </w:p>
        </w:tc>
        <w:tc>
          <w:tcPr>
            <w:tcW w:w="701" w:type="pct"/>
            <w:vMerge w:val="continue"/>
          </w:tcPr>
          <w:p w14:paraId="6BAC2FCB">
            <w:pPr>
              <w:pStyle w:val="37"/>
              <w:bidi w:val="0"/>
              <w:rPr>
                <w:rFonts w:hint="default" w:ascii="Times New Roman" w:hAnsi="Times New Roman" w:cs="Times New Roman"/>
                <w:color w:val="auto"/>
                <w:highlight w:val="none"/>
              </w:rPr>
            </w:pPr>
          </w:p>
        </w:tc>
        <w:tc>
          <w:tcPr>
            <w:tcW w:w="426" w:type="pct"/>
            <w:shd w:val="clear" w:color="auto" w:fill="auto"/>
            <w:vAlign w:val="center"/>
          </w:tcPr>
          <w:p w14:paraId="41E096FD">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687" w:type="pct"/>
            <w:gridSpan w:val="2"/>
            <w:shd w:val="clear" w:color="auto" w:fill="auto"/>
            <w:vAlign w:val="center"/>
          </w:tcPr>
          <w:p w14:paraId="539BF4DD">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475" w:type="pct"/>
            <w:shd w:val="clear" w:color="auto" w:fill="auto"/>
            <w:vAlign w:val="center"/>
          </w:tcPr>
          <w:p w14:paraId="509C04FA">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snapToGrid w:val="0"/>
                <w:color w:val="auto"/>
                <w:kern w:val="0"/>
                <w:sz w:val="21"/>
                <w:szCs w:val="21"/>
                <w:highlight w:val="none"/>
                <w:lang w:val="en-US" w:eastAsia="zh-CN" w:bidi="ar-SA"/>
              </w:rPr>
              <w:t>0.2</w:t>
            </w:r>
          </w:p>
        </w:tc>
        <w:tc>
          <w:tcPr>
            <w:tcW w:w="1224" w:type="pct"/>
            <w:vMerge w:val="continue"/>
          </w:tcPr>
          <w:p w14:paraId="49B05C97">
            <w:pPr>
              <w:pStyle w:val="37"/>
              <w:bidi w:val="0"/>
              <w:rPr>
                <w:rFonts w:hint="default" w:ascii="Times New Roman" w:hAnsi="Times New Roman" w:cs="Times New Roman"/>
                <w:color w:val="FF0000"/>
                <w:highlight w:val="none"/>
              </w:rPr>
            </w:pPr>
          </w:p>
        </w:tc>
      </w:tr>
      <w:tr w14:paraId="6AF68C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tcPr>
          <w:p w14:paraId="38B5793B">
            <w:pPr>
              <w:pStyle w:val="37"/>
              <w:bidi w:val="0"/>
              <w:rPr>
                <w:rFonts w:hint="default" w:ascii="Times New Roman" w:hAnsi="Times New Roman" w:cs="Times New Roman"/>
                <w:color w:val="FF0000"/>
                <w:highlight w:val="none"/>
              </w:rPr>
            </w:pPr>
          </w:p>
        </w:tc>
        <w:tc>
          <w:tcPr>
            <w:tcW w:w="581" w:type="pct"/>
            <w:shd w:val="clear" w:color="auto" w:fill="auto"/>
            <w:vAlign w:val="center"/>
          </w:tcPr>
          <w:p w14:paraId="7ED14AB7">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包装</w:t>
            </w:r>
          </w:p>
        </w:tc>
        <w:tc>
          <w:tcPr>
            <w:tcW w:w="644" w:type="pct"/>
            <w:shd w:val="clear" w:color="auto" w:fill="auto"/>
            <w:vAlign w:val="center"/>
          </w:tcPr>
          <w:p w14:paraId="2B0C1DE3">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废包装桶（油漆、稀释剂、固化剂、油墨）</w:t>
            </w:r>
          </w:p>
        </w:tc>
        <w:tc>
          <w:tcPr>
            <w:tcW w:w="701" w:type="pct"/>
            <w:vMerge w:val="continue"/>
          </w:tcPr>
          <w:p w14:paraId="1F4FA050">
            <w:pPr>
              <w:pStyle w:val="37"/>
              <w:bidi w:val="0"/>
              <w:rPr>
                <w:rFonts w:hint="default" w:ascii="Times New Roman" w:hAnsi="Times New Roman" w:cs="Times New Roman"/>
                <w:color w:val="auto"/>
                <w:highlight w:val="none"/>
              </w:rPr>
            </w:pPr>
          </w:p>
        </w:tc>
        <w:tc>
          <w:tcPr>
            <w:tcW w:w="426" w:type="pct"/>
            <w:shd w:val="clear" w:color="auto" w:fill="auto"/>
            <w:vAlign w:val="center"/>
          </w:tcPr>
          <w:p w14:paraId="2BEBB3DE">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687" w:type="pct"/>
            <w:gridSpan w:val="2"/>
            <w:shd w:val="clear" w:color="auto" w:fill="auto"/>
            <w:vAlign w:val="center"/>
          </w:tcPr>
          <w:p w14:paraId="75995F78">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475" w:type="pct"/>
            <w:shd w:val="clear" w:color="auto" w:fill="auto"/>
            <w:vAlign w:val="center"/>
          </w:tcPr>
          <w:p w14:paraId="39645341">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snapToGrid w:val="0"/>
                <w:color w:val="auto"/>
                <w:kern w:val="0"/>
                <w:sz w:val="21"/>
                <w:szCs w:val="21"/>
                <w:highlight w:val="none"/>
                <w:lang w:val="en-US" w:eastAsia="zh-CN" w:bidi="ar-SA"/>
              </w:rPr>
              <w:t>25</w:t>
            </w:r>
          </w:p>
        </w:tc>
        <w:tc>
          <w:tcPr>
            <w:tcW w:w="1224" w:type="pct"/>
            <w:vMerge w:val="continue"/>
          </w:tcPr>
          <w:p w14:paraId="63CBDD4D">
            <w:pPr>
              <w:pStyle w:val="37"/>
              <w:bidi w:val="0"/>
              <w:rPr>
                <w:rFonts w:hint="default" w:ascii="Times New Roman" w:hAnsi="Times New Roman" w:cs="Times New Roman"/>
                <w:color w:val="FF0000"/>
                <w:highlight w:val="none"/>
              </w:rPr>
            </w:pPr>
          </w:p>
        </w:tc>
      </w:tr>
      <w:tr w14:paraId="6C424F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259" w:type="pct"/>
            <w:vMerge w:val="continue"/>
          </w:tcPr>
          <w:p w14:paraId="35DB991E">
            <w:pPr>
              <w:pStyle w:val="37"/>
              <w:bidi w:val="0"/>
              <w:rPr>
                <w:rFonts w:hint="default" w:ascii="Times New Roman" w:hAnsi="Times New Roman" w:cs="Times New Roman"/>
                <w:color w:val="FF0000"/>
                <w:highlight w:val="none"/>
              </w:rPr>
            </w:pPr>
          </w:p>
        </w:tc>
        <w:tc>
          <w:tcPr>
            <w:tcW w:w="581" w:type="pct"/>
            <w:shd w:val="clear" w:color="auto" w:fill="auto"/>
            <w:vAlign w:val="center"/>
          </w:tcPr>
          <w:p w14:paraId="0A22050F">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喷漆</w:t>
            </w:r>
          </w:p>
        </w:tc>
        <w:tc>
          <w:tcPr>
            <w:tcW w:w="644" w:type="pct"/>
            <w:shd w:val="clear" w:color="auto" w:fill="auto"/>
            <w:vAlign w:val="center"/>
          </w:tcPr>
          <w:p w14:paraId="04F8CBC8">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漆渣</w:t>
            </w:r>
          </w:p>
        </w:tc>
        <w:tc>
          <w:tcPr>
            <w:tcW w:w="701" w:type="pct"/>
            <w:vMerge w:val="continue"/>
          </w:tcPr>
          <w:p w14:paraId="1E73A0F1">
            <w:pPr>
              <w:pStyle w:val="37"/>
              <w:bidi w:val="0"/>
              <w:rPr>
                <w:rFonts w:hint="default" w:ascii="Times New Roman" w:hAnsi="Times New Roman" w:cs="Times New Roman"/>
                <w:color w:val="auto"/>
                <w:highlight w:val="none"/>
              </w:rPr>
            </w:pPr>
          </w:p>
        </w:tc>
        <w:tc>
          <w:tcPr>
            <w:tcW w:w="426" w:type="pct"/>
            <w:shd w:val="clear" w:color="auto" w:fill="auto"/>
            <w:vAlign w:val="center"/>
          </w:tcPr>
          <w:p w14:paraId="2FDAFD8F">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687" w:type="pct"/>
            <w:gridSpan w:val="2"/>
            <w:shd w:val="clear" w:color="auto" w:fill="auto"/>
            <w:vAlign w:val="center"/>
          </w:tcPr>
          <w:p w14:paraId="12ECD4AE">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475" w:type="pct"/>
            <w:shd w:val="clear" w:color="auto" w:fill="auto"/>
            <w:vAlign w:val="center"/>
          </w:tcPr>
          <w:p w14:paraId="6E40AF90">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86.418</w:t>
            </w:r>
          </w:p>
        </w:tc>
        <w:tc>
          <w:tcPr>
            <w:tcW w:w="1224" w:type="pct"/>
            <w:vMerge w:val="continue"/>
          </w:tcPr>
          <w:p w14:paraId="38A1DE23">
            <w:pPr>
              <w:pStyle w:val="37"/>
              <w:bidi w:val="0"/>
              <w:rPr>
                <w:rFonts w:hint="default" w:ascii="Times New Roman" w:hAnsi="Times New Roman" w:cs="Times New Roman"/>
                <w:color w:val="FF0000"/>
                <w:highlight w:val="none"/>
              </w:rPr>
            </w:pPr>
          </w:p>
        </w:tc>
      </w:tr>
      <w:tr w14:paraId="3A97B8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tcPr>
          <w:p w14:paraId="52C4C43B">
            <w:pPr>
              <w:pStyle w:val="37"/>
              <w:bidi w:val="0"/>
              <w:rPr>
                <w:rFonts w:hint="default" w:ascii="Times New Roman" w:hAnsi="Times New Roman" w:cs="Times New Roman"/>
                <w:color w:val="FF0000"/>
                <w:highlight w:val="none"/>
              </w:rPr>
            </w:pPr>
          </w:p>
        </w:tc>
        <w:tc>
          <w:tcPr>
            <w:tcW w:w="581" w:type="pct"/>
            <w:shd w:val="clear" w:color="auto" w:fill="auto"/>
            <w:vAlign w:val="center"/>
          </w:tcPr>
          <w:p w14:paraId="47829108">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清洗</w:t>
            </w:r>
          </w:p>
        </w:tc>
        <w:tc>
          <w:tcPr>
            <w:tcW w:w="644" w:type="pct"/>
            <w:shd w:val="clear" w:color="auto" w:fill="auto"/>
            <w:vAlign w:val="center"/>
          </w:tcPr>
          <w:p w14:paraId="72568780">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废清洗溶剂</w:t>
            </w:r>
          </w:p>
        </w:tc>
        <w:tc>
          <w:tcPr>
            <w:tcW w:w="701" w:type="pct"/>
            <w:vMerge w:val="continue"/>
          </w:tcPr>
          <w:p w14:paraId="5FE11E5F">
            <w:pPr>
              <w:pStyle w:val="37"/>
              <w:bidi w:val="0"/>
              <w:rPr>
                <w:rFonts w:hint="default" w:ascii="Times New Roman" w:hAnsi="Times New Roman" w:cs="Times New Roman"/>
                <w:color w:val="auto"/>
                <w:highlight w:val="none"/>
              </w:rPr>
            </w:pPr>
          </w:p>
        </w:tc>
        <w:tc>
          <w:tcPr>
            <w:tcW w:w="426" w:type="pct"/>
            <w:shd w:val="clear" w:color="auto" w:fill="auto"/>
            <w:vAlign w:val="center"/>
          </w:tcPr>
          <w:p w14:paraId="63C0B6B9">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687" w:type="pct"/>
            <w:gridSpan w:val="2"/>
            <w:shd w:val="clear" w:color="auto" w:fill="auto"/>
            <w:vAlign w:val="center"/>
          </w:tcPr>
          <w:p w14:paraId="0B4A406D">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475" w:type="pct"/>
            <w:shd w:val="clear" w:color="auto" w:fill="auto"/>
            <w:vAlign w:val="center"/>
          </w:tcPr>
          <w:p w14:paraId="6354ED5A">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3.5</w:t>
            </w:r>
          </w:p>
        </w:tc>
        <w:tc>
          <w:tcPr>
            <w:tcW w:w="1224" w:type="pct"/>
            <w:vMerge w:val="continue"/>
          </w:tcPr>
          <w:p w14:paraId="5E183C34">
            <w:pPr>
              <w:pStyle w:val="37"/>
              <w:bidi w:val="0"/>
              <w:rPr>
                <w:rFonts w:hint="default" w:ascii="Times New Roman" w:hAnsi="Times New Roman" w:cs="Times New Roman"/>
                <w:color w:val="FF0000"/>
                <w:highlight w:val="none"/>
              </w:rPr>
            </w:pPr>
          </w:p>
        </w:tc>
      </w:tr>
      <w:tr w14:paraId="17FF73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tcPr>
          <w:p w14:paraId="4FCC07BC">
            <w:pPr>
              <w:pStyle w:val="37"/>
              <w:bidi w:val="0"/>
              <w:rPr>
                <w:rFonts w:hint="default" w:ascii="Times New Roman" w:hAnsi="Times New Roman" w:cs="Times New Roman"/>
                <w:color w:val="FF0000"/>
                <w:highlight w:val="none"/>
              </w:rPr>
            </w:pPr>
          </w:p>
        </w:tc>
        <w:tc>
          <w:tcPr>
            <w:tcW w:w="581" w:type="pct"/>
            <w:shd w:val="clear" w:color="auto" w:fill="auto"/>
            <w:vAlign w:val="center"/>
          </w:tcPr>
          <w:p w14:paraId="02A7F6C0">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废气净化</w:t>
            </w:r>
          </w:p>
        </w:tc>
        <w:tc>
          <w:tcPr>
            <w:tcW w:w="644" w:type="pct"/>
            <w:shd w:val="clear" w:color="auto" w:fill="auto"/>
            <w:vAlign w:val="center"/>
          </w:tcPr>
          <w:p w14:paraId="737B7786">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rPr>
              <w:t>废活性炭</w:t>
            </w:r>
          </w:p>
        </w:tc>
        <w:tc>
          <w:tcPr>
            <w:tcW w:w="701" w:type="pct"/>
            <w:vMerge w:val="continue"/>
          </w:tcPr>
          <w:p w14:paraId="6F876A5E">
            <w:pPr>
              <w:pStyle w:val="37"/>
              <w:bidi w:val="0"/>
              <w:rPr>
                <w:rFonts w:hint="default" w:ascii="Times New Roman" w:hAnsi="Times New Roman" w:cs="Times New Roman"/>
                <w:color w:val="auto"/>
                <w:highlight w:val="none"/>
              </w:rPr>
            </w:pPr>
          </w:p>
        </w:tc>
        <w:tc>
          <w:tcPr>
            <w:tcW w:w="426" w:type="pct"/>
            <w:shd w:val="clear" w:color="auto" w:fill="auto"/>
            <w:vAlign w:val="center"/>
          </w:tcPr>
          <w:p w14:paraId="1D86E07F">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687" w:type="pct"/>
            <w:gridSpan w:val="2"/>
            <w:shd w:val="clear" w:color="auto" w:fill="auto"/>
            <w:vAlign w:val="center"/>
          </w:tcPr>
          <w:p w14:paraId="4FFE1913">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475" w:type="pct"/>
            <w:shd w:val="clear" w:color="auto" w:fill="auto"/>
            <w:vAlign w:val="center"/>
          </w:tcPr>
          <w:p w14:paraId="324D5F3A">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snapToGrid w:val="0"/>
                <w:color w:val="auto"/>
                <w:kern w:val="0"/>
                <w:sz w:val="21"/>
                <w:szCs w:val="21"/>
                <w:highlight w:val="none"/>
                <w:lang w:val="en-US" w:eastAsia="zh-CN" w:bidi="ar-SA"/>
              </w:rPr>
              <w:t>73.71</w:t>
            </w:r>
          </w:p>
        </w:tc>
        <w:tc>
          <w:tcPr>
            <w:tcW w:w="1224" w:type="pct"/>
            <w:vMerge w:val="continue"/>
          </w:tcPr>
          <w:p w14:paraId="5559E734">
            <w:pPr>
              <w:pStyle w:val="37"/>
              <w:bidi w:val="0"/>
              <w:rPr>
                <w:rFonts w:hint="default" w:ascii="Times New Roman" w:hAnsi="Times New Roman" w:cs="Times New Roman"/>
                <w:color w:val="FF0000"/>
                <w:highlight w:val="none"/>
              </w:rPr>
            </w:pPr>
          </w:p>
        </w:tc>
      </w:tr>
      <w:tr w14:paraId="2D66EF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tcPr>
          <w:p w14:paraId="53CBC87F">
            <w:pPr>
              <w:pStyle w:val="37"/>
              <w:bidi w:val="0"/>
              <w:rPr>
                <w:rFonts w:hint="default" w:ascii="Times New Roman" w:hAnsi="Times New Roman" w:cs="Times New Roman"/>
                <w:color w:val="FF0000"/>
                <w:highlight w:val="none"/>
              </w:rPr>
            </w:pPr>
          </w:p>
        </w:tc>
        <w:tc>
          <w:tcPr>
            <w:tcW w:w="581" w:type="pct"/>
            <w:shd w:val="clear" w:color="auto" w:fill="auto"/>
            <w:vAlign w:val="center"/>
          </w:tcPr>
          <w:p w14:paraId="27F4BE4C">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snapToGrid w:val="0"/>
                <w:color w:val="auto"/>
                <w:kern w:val="0"/>
                <w:sz w:val="21"/>
                <w:szCs w:val="21"/>
                <w:highlight w:val="none"/>
                <w:lang w:val="en-US" w:eastAsia="zh-CN" w:bidi="ar-SA"/>
              </w:rPr>
              <w:t>固化</w:t>
            </w:r>
          </w:p>
        </w:tc>
        <w:tc>
          <w:tcPr>
            <w:tcW w:w="644" w:type="pct"/>
            <w:shd w:val="clear" w:color="auto" w:fill="auto"/>
            <w:vAlign w:val="center"/>
          </w:tcPr>
          <w:p w14:paraId="02F1325C">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snapToGrid w:val="0"/>
                <w:color w:val="auto"/>
                <w:kern w:val="0"/>
                <w:sz w:val="21"/>
                <w:szCs w:val="21"/>
                <w:highlight w:val="none"/>
                <w:lang w:val="en-US" w:eastAsia="zh-CN" w:bidi="ar-SA"/>
              </w:rPr>
              <w:t>废UV灯管</w:t>
            </w:r>
          </w:p>
        </w:tc>
        <w:tc>
          <w:tcPr>
            <w:tcW w:w="701" w:type="pct"/>
            <w:vMerge w:val="continue"/>
          </w:tcPr>
          <w:p w14:paraId="06D441F2">
            <w:pPr>
              <w:pStyle w:val="37"/>
              <w:bidi w:val="0"/>
              <w:rPr>
                <w:rFonts w:hint="default" w:ascii="Times New Roman" w:hAnsi="Times New Roman" w:cs="Times New Roman"/>
                <w:color w:val="auto"/>
                <w:highlight w:val="none"/>
              </w:rPr>
            </w:pPr>
          </w:p>
        </w:tc>
        <w:tc>
          <w:tcPr>
            <w:tcW w:w="426" w:type="pct"/>
            <w:shd w:val="clear" w:color="auto" w:fill="auto"/>
            <w:vAlign w:val="center"/>
          </w:tcPr>
          <w:p w14:paraId="1283A7E7">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687" w:type="pct"/>
            <w:gridSpan w:val="2"/>
            <w:shd w:val="clear" w:color="auto" w:fill="auto"/>
            <w:vAlign w:val="center"/>
          </w:tcPr>
          <w:p w14:paraId="1DCB0109">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475" w:type="pct"/>
            <w:shd w:val="clear" w:color="auto" w:fill="auto"/>
            <w:vAlign w:val="center"/>
          </w:tcPr>
          <w:p w14:paraId="06292C08">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snapToGrid w:val="0"/>
                <w:color w:val="auto"/>
                <w:kern w:val="0"/>
                <w:sz w:val="21"/>
                <w:szCs w:val="21"/>
                <w:highlight w:val="none"/>
                <w:lang w:val="en-US" w:eastAsia="zh-CN" w:bidi="ar-SA"/>
              </w:rPr>
              <w:t>0.01</w:t>
            </w:r>
          </w:p>
        </w:tc>
        <w:tc>
          <w:tcPr>
            <w:tcW w:w="1224" w:type="pct"/>
            <w:vMerge w:val="continue"/>
          </w:tcPr>
          <w:p w14:paraId="53035B8C">
            <w:pPr>
              <w:pStyle w:val="37"/>
              <w:bidi w:val="0"/>
              <w:rPr>
                <w:rFonts w:hint="default" w:ascii="Times New Roman" w:hAnsi="Times New Roman" w:cs="Times New Roman"/>
                <w:color w:val="FF0000"/>
                <w:highlight w:val="none"/>
              </w:rPr>
            </w:pPr>
          </w:p>
        </w:tc>
      </w:tr>
      <w:tr w14:paraId="0CFCF0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tcPr>
          <w:p w14:paraId="5D69631C">
            <w:pPr>
              <w:pStyle w:val="37"/>
              <w:bidi w:val="0"/>
              <w:rPr>
                <w:rFonts w:hint="default" w:ascii="Times New Roman" w:hAnsi="Times New Roman" w:cs="Times New Roman"/>
                <w:color w:val="FF0000"/>
                <w:highlight w:val="none"/>
              </w:rPr>
            </w:pPr>
          </w:p>
        </w:tc>
        <w:tc>
          <w:tcPr>
            <w:tcW w:w="581" w:type="pct"/>
            <w:vMerge w:val="restart"/>
            <w:shd w:val="clear" w:color="auto" w:fill="auto"/>
            <w:vAlign w:val="center"/>
          </w:tcPr>
          <w:p w14:paraId="04D79166">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机修</w:t>
            </w:r>
          </w:p>
        </w:tc>
        <w:tc>
          <w:tcPr>
            <w:tcW w:w="644" w:type="pct"/>
            <w:shd w:val="clear" w:color="auto" w:fill="auto"/>
            <w:vAlign w:val="center"/>
          </w:tcPr>
          <w:p w14:paraId="64AC86C1">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废润滑油</w:t>
            </w:r>
          </w:p>
        </w:tc>
        <w:tc>
          <w:tcPr>
            <w:tcW w:w="701" w:type="pct"/>
            <w:vMerge w:val="continue"/>
          </w:tcPr>
          <w:p w14:paraId="524BE916">
            <w:pPr>
              <w:pStyle w:val="37"/>
              <w:bidi w:val="0"/>
              <w:rPr>
                <w:rFonts w:hint="default" w:ascii="Times New Roman" w:hAnsi="Times New Roman" w:cs="Times New Roman"/>
                <w:color w:val="auto"/>
                <w:highlight w:val="none"/>
              </w:rPr>
            </w:pPr>
          </w:p>
        </w:tc>
        <w:tc>
          <w:tcPr>
            <w:tcW w:w="426" w:type="pct"/>
            <w:shd w:val="clear" w:color="auto" w:fill="auto"/>
            <w:vAlign w:val="center"/>
          </w:tcPr>
          <w:p w14:paraId="1EE6D5BB">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687" w:type="pct"/>
            <w:gridSpan w:val="2"/>
            <w:shd w:val="clear" w:color="auto" w:fill="auto"/>
            <w:vAlign w:val="center"/>
          </w:tcPr>
          <w:p w14:paraId="3943EB0B">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475" w:type="pct"/>
            <w:shd w:val="clear" w:color="auto" w:fill="auto"/>
            <w:vAlign w:val="center"/>
          </w:tcPr>
          <w:p w14:paraId="37CEDD5C">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snapToGrid w:val="0"/>
                <w:color w:val="auto"/>
                <w:kern w:val="0"/>
                <w:sz w:val="21"/>
                <w:szCs w:val="21"/>
                <w:highlight w:val="none"/>
                <w:lang w:val="en-US" w:eastAsia="zh-CN" w:bidi="ar-SA"/>
              </w:rPr>
              <w:t>0.5</w:t>
            </w:r>
          </w:p>
        </w:tc>
        <w:tc>
          <w:tcPr>
            <w:tcW w:w="1224" w:type="pct"/>
            <w:vMerge w:val="continue"/>
          </w:tcPr>
          <w:p w14:paraId="0EEE3032">
            <w:pPr>
              <w:pStyle w:val="37"/>
              <w:bidi w:val="0"/>
              <w:rPr>
                <w:rFonts w:hint="default" w:ascii="Times New Roman" w:hAnsi="Times New Roman" w:cs="Times New Roman"/>
                <w:color w:val="FF0000"/>
                <w:highlight w:val="none"/>
              </w:rPr>
            </w:pPr>
          </w:p>
        </w:tc>
      </w:tr>
      <w:tr w14:paraId="5997C8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tcPr>
          <w:p w14:paraId="1163E500">
            <w:pPr>
              <w:pStyle w:val="37"/>
              <w:bidi w:val="0"/>
              <w:rPr>
                <w:rFonts w:hint="default" w:ascii="Times New Roman" w:hAnsi="Times New Roman" w:cs="Times New Roman"/>
                <w:color w:val="FF0000"/>
                <w:highlight w:val="none"/>
              </w:rPr>
            </w:pPr>
          </w:p>
        </w:tc>
        <w:tc>
          <w:tcPr>
            <w:tcW w:w="581" w:type="pct"/>
            <w:vMerge w:val="continue"/>
            <w:shd w:val="clear" w:color="auto" w:fill="auto"/>
            <w:vAlign w:val="center"/>
          </w:tcPr>
          <w:p w14:paraId="2E0758E8">
            <w:pPr>
              <w:pStyle w:val="37"/>
              <w:bidi w:val="0"/>
              <w:ind w:firstLine="0" w:firstLineChars="0"/>
              <w:rPr>
                <w:rFonts w:hint="default" w:ascii="Times New Roman" w:hAnsi="Times New Roman" w:cs="Times New Roman"/>
                <w:color w:val="auto"/>
                <w:sz w:val="21"/>
                <w:szCs w:val="21"/>
                <w:highlight w:val="none"/>
                <w:lang w:val="en-US" w:eastAsia="zh-CN"/>
              </w:rPr>
            </w:pPr>
          </w:p>
        </w:tc>
        <w:tc>
          <w:tcPr>
            <w:tcW w:w="644" w:type="pct"/>
            <w:shd w:val="clear" w:color="auto" w:fill="auto"/>
            <w:vAlign w:val="center"/>
          </w:tcPr>
          <w:p w14:paraId="233B3B8F">
            <w:pPr>
              <w:pStyle w:val="37"/>
              <w:bidi w:val="0"/>
              <w:ind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废润滑油桶</w:t>
            </w:r>
          </w:p>
        </w:tc>
        <w:tc>
          <w:tcPr>
            <w:tcW w:w="701" w:type="pct"/>
            <w:vMerge w:val="continue"/>
          </w:tcPr>
          <w:p w14:paraId="40DE6E10">
            <w:pPr>
              <w:pStyle w:val="37"/>
              <w:bidi w:val="0"/>
              <w:rPr>
                <w:rFonts w:hint="default" w:ascii="Times New Roman" w:hAnsi="Times New Roman" w:cs="Times New Roman"/>
                <w:color w:val="auto"/>
                <w:highlight w:val="none"/>
              </w:rPr>
            </w:pPr>
          </w:p>
        </w:tc>
        <w:tc>
          <w:tcPr>
            <w:tcW w:w="426" w:type="pct"/>
            <w:shd w:val="clear" w:color="auto" w:fill="auto"/>
            <w:vAlign w:val="center"/>
          </w:tcPr>
          <w:p w14:paraId="3DB58C60">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687" w:type="pct"/>
            <w:gridSpan w:val="2"/>
            <w:shd w:val="clear" w:color="auto" w:fill="auto"/>
            <w:vAlign w:val="center"/>
          </w:tcPr>
          <w:p w14:paraId="66A75BE8">
            <w:pPr>
              <w:pStyle w:val="37"/>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475" w:type="pct"/>
            <w:shd w:val="clear" w:color="auto" w:fill="auto"/>
            <w:vAlign w:val="center"/>
          </w:tcPr>
          <w:p w14:paraId="4830F2E5">
            <w:pPr>
              <w:pStyle w:val="37"/>
              <w:bidi w:val="0"/>
              <w:ind w:firstLine="0" w:firstLineChars="0"/>
              <w:rPr>
                <w:rFonts w:hint="default" w:ascii="Times New Roman" w:hAnsi="Times New Roman"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0.1</w:t>
            </w:r>
          </w:p>
        </w:tc>
        <w:tc>
          <w:tcPr>
            <w:tcW w:w="1224" w:type="pct"/>
            <w:vMerge w:val="continue"/>
          </w:tcPr>
          <w:p w14:paraId="210DD96E">
            <w:pPr>
              <w:pStyle w:val="37"/>
              <w:bidi w:val="0"/>
              <w:rPr>
                <w:rFonts w:hint="default" w:ascii="Times New Roman" w:hAnsi="Times New Roman" w:cs="Times New Roman"/>
                <w:color w:val="FF0000"/>
                <w:highlight w:val="none"/>
              </w:rPr>
            </w:pPr>
          </w:p>
        </w:tc>
      </w:tr>
      <w:tr w14:paraId="70B239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tcPr>
          <w:p w14:paraId="2509DD3F">
            <w:pPr>
              <w:pStyle w:val="37"/>
              <w:bidi w:val="0"/>
              <w:rPr>
                <w:rFonts w:hint="default" w:ascii="Times New Roman" w:hAnsi="Times New Roman" w:cs="Times New Roman"/>
                <w:color w:val="FF0000"/>
                <w:highlight w:val="none"/>
              </w:rPr>
            </w:pPr>
          </w:p>
        </w:tc>
        <w:tc>
          <w:tcPr>
            <w:tcW w:w="581" w:type="pct"/>
            <w:shd w:val="clear" w:color="auto" w:fill="auto"/>
            <w:vAlign w:val="center"/>
          </w:tcPr>
          <w:p w14:paraId="0784E0AD">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机械保养和维修</w:t>
            </w:r>
          </w:p>
        </w:tc>
        <w:tc>
          <w:tcPr>
            <w:tcW w:w="644" w:type="pct"/>
            <w:tcBorders>
              <w:bottom w:val="single" w:color="000000" w:sz="4" w:space="0"/>
            </w:tcBorders>
            <w:shd w:val="clear" w:color="auto" w:fill="auto"/>
            <w:vAlign w:val="center"/>
          </w:tcPr>
          <w:p w14:paraId="035512F0">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废含油手套及抹布</w:t>
            </w:r>
          </w:p>
        </w:tc>
        <w:tc>
          <w:tcPr>
            <w:tcW w:w="701" w:type="pct"/>
            <w:vMerge w:val="continue"/>
            <w:tcBorders>
              <w:bottom w:val="single" w:color="000000" w:sz="4" w:space="0"/>
            </w:tcBorders>
          </w:tcPr>
          <w:p w14:paraId="5F981D45">
            <w:pPr>
              <w:pStyle w:val="37"/>
              <w:bidi w:val="0"/>
              <w:rPr>
                <w:rFonts w:hint="default" w:ascii="Times New Roman" w:hAnsi="Times New Roman" w:cs="Times New Roman"/>
                <w:color w:val="auto"/>
                <w:highlight w:val="none"/>
              </w:rPr>
            </w:pPr>
          </w:p>
        </w:tc>
        <w:tc>
          <w:tcPr>
            <w:tcW w:w="426" w:type="pct"/>
            <w:shd w:val="clear" w:color="auto" w:fill="auto"/>
            <w:vAlign w:val="center"/>
          </w:tcPr>
          <w:p w14:paraId="56402AE1">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687" w:type="pct"/>
            <w:gridSpan w:val="2"/>
            <w:shd w:val="clear" w:color="auto" w:fill="auto"/>
            <w:vAlign w:val="center"/>
          </w:tcPr>
          <w:p w14:paraId="0EDC55AD">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475" w:type="pct"/>
            <w:shd w:val="clear" w:color="auto" w:fill="auto"/>
            <w:vAlign w:val="center"/>
          </w:tcPr>
          <w:p w14:paraId="6BDB0027">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0.02</w:t>
            </w:r>
          </w:p>
        </w:tc>
        <w:tc>
          <w:tcPr>
            <w:tcW w:w="1224" w:type="pct"/>
            <w:vMerge w:val="continue"/>
          </w:tcPr>
          <w:p w14:paraId="7CE950E0">
            <w:pPr>
              <w:pStyle w:val="37"/>
              <w:bidi w:val="0"/>
              <w:rPr>
                <w:rFonts w:hint="default" w:ascii="Times New Roman" w:hAnsi="Times New Roman" w:cs="Times New Roman"/>
                <w:color w:val="FF0000"/>
                <w:highlight w:val="none"/>
              </w:rPr>
            </w:pPr>
          </w:p>
        </w:tc>
      </w:tr>
      <w:tr w14:paraId="34299F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vMerge w:val="continue"/>
          </w:tcPr>
          <w:p w14:paraId="1B4511FB">
            <w:pPr>
              <w:pStyle w:val="37"/>
              <w:bidi w:val="0"/>
              <w:rPr>
                <w:rFonts w:hint="default" w:ascii="Times New Roman" w:hAnsi="Times New Roman" w:cs="Times New Roman"/>
                <w:color w:val="FF0000"/>
                <w:highlight w:val="none"/>
              </w:rPr>
            </w:pPr>
          </w:p>
        </w:tc>
        <w:tc>
          <w:tcPr>
            <w:tcW w:w="581" w:type="pct"/>
            <w:shd w:val="clear" w:color="auto" w:fill="auto"/>
            <w:vAlign w:val="center"/>
          </w:tcPr>
          <w:p w14:paraId="56A04610">
            <w:pPr>
              <w:pStyle w:val="37"/>
              <w:bidi w:val="0"/>
              <w:ind w:firstLine="0" w:firstLineChars="0"/>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喷漆</w:t>
            </w:r>
            <w:r>
              <w:rPr>
                <w:rFonts w:hint="eastAsia" w:ascii="Times New Roman" w:hAnsi="Times New Roman" w:cs="Times New Roman"/>
                <w:color w:val="auto"/>
                <w:sz w:val="21"/>
                <w:szCs w:val="21"/>
                <w:highlight w:val="none"/>
                <w:lang w:val="en-US" w:eastAsia="zh-CN"/>
              </w:rPr>
              <w:t>水帘喷漆循环水池</w:t>
            </w:r>
          </w:p>
        </w:tc>
        <w:tc>
          <w:tcPr>
            <w:tcW w:w="644" w:type="pct"/>
            <w:tcBorders>
              <w:top w:val="single" w:color="000000" w:sz="4" w:space="0"/>
            </w:tcBorders>
            <w:shd w:val="clear" w:color="auto" w:fill="auto"/>
            <w:vAlign w:val="center"/>
          </w:tcPr>
          <w:p w14:paraId="47122630">
            <w:pPr>
              <w:pStyle w:val="37"/>
              <w:bidi w:val="0"/>
              <w:ind w:firstLine="0" w:firstLineChars="0"/>
              <w:jc w:val="center"/>
              <w:rPr>
                <w:rFonts w:hint="default" w:ascii="Times New Roman" w:hAnsi="Times New Roman" w:eastAsia="宋体" w:cs="Times New Roman"/>
                <w:snapToGrid w:val="0"/>
                <w:color w:val="FF0000"/>
                <w:spacing w:val="6"/>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水帘废水</w:t>
            </w:r>
          </w:p>
        </w:tc>
        <w:tc>
          <w:tcPr>
            <w:tcW w:w="701" w:type="pct"/>
            <w:tcBorders>
              <w:top w:val="single" w:color="000000" w:sz="4" w:space="0"/>
            </w:tcBorders>
            <w:vAlign w:val="center"/>
          </w:tcPr>
          <w:p w14:paraId="3EECC675">
            <w:pPr>
              <w:pStyle w:val="37"/>
              <w:bidi w:val="0"/>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lang w:val="en-US" w:eastAsia="zh-CN"/>
              </w:rPr>
              <w:t>不暂存，由有资质单位上门清运</w:t>
            </w:r>
          </w:p>
        </w:tc>
        <w:tc>
          <w:tcPr>
            <w:tcW w:w="426" w:type="pct"/>
            <w:shd w:val="clear" w:color="auto" w:fill="auto"/>
            <w:vAlign w:val="center"/>
          </w:tcPr>
          <w:p w14:paraId="17B9C0D6">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687" w:type="pct"/>
            <w:gridSpan w:val="2"/>
            <w:shd w:val="clear" w:color="auto" w:fill="auto"/>
            <w:vAlign w:val="center"/>
          </w:tcPr>
          <w:p w14:paraId="2D756E3F">
            <w:pPr>
              <w:pStyle w:val="37"/>
              <w:bidi w:val="0"/>
              <w:ind w:firstLine="0" w:firstLineChars="0"/>
              <w:rPr>
                <w:rFonts w:hint="default" w:ascii="Times New Roman" w:hAnsi="Times New Roman" w:eastAsia="宋体" w:cs="Times New Roman"/>
                <w:snapToGrid w:val="0"/>
                <w:color w:val="auto"/>
                <w:spacing w:val="6"/>
                <w:sz w:val="21"/>
                <w:szCs w:val="21"/>
                <w:highlight w:val="none"/>
                <w:lang w:val="en-US" w:eastAsia="zh-CN" w:bidi="ar-SA"/>
              </w:rPr>
            </w:pPr>
            <w:r>
              <w:rPr>
                <w:rFonts w:hint="default" w:ascii="Times New Roman" w:hAnsi="Times New Roman" w:cs="Times New Roman"/>
                <w:color w:val="auto"/>
                <w:highlight w:val="none"/>
                <w:lang w:val="en-US" w:eastAsia="zh-CN"/>
              </w:rPr>
              <w:t>/</w:t>
            </w:r>
          </w:p>
        </w:tc>
        <w:tc>
          <w:tcPr>
            <w:tcW w:w="475" w:type="pct"/>
            <w:shd w:val="clear" w:color="auto" w:fill="auto"/>
            <w:vAlign w:val="center"/>
          </w:tcPr>
          <w:p w14:paraId="7112F93C">
            <w:pPr>
              <w:pStyle w:val="37"/>
              <w:bidi w:val="0"/>
              <w:ind w:firstLine="0" w:firstLineChars="0"/>
              <w:rPr>
                <w:rFonts w:hint="default" w:ascii="Times New Roman" w:hAnsi="Times New Roman" w:eastAsia="宋体" w:cs="Times New Roman"/>
                <w:snapToGrid w:val="0"/>
                <w:color w:val="FF0000"/>
                <w:spacing w:val="6"/>
                <w:sz w:val="21"/>
                <w:szCs w:val="21"/>
                <w:highlight w:val="none"/>
                <w:vertAlign w:val="baseline"/>
                <w:lang w:val="en-US" w:eastAsia="zh-CN" w:bidi="ar-SA"/>
              </w:rPr>
            </w:pPr>
            <w:r>
              <w:rPr>
                <w:rFonts w:hint="default" w:ascii="Times New Roman" w:hAnsi="Times New Roman" w:cs="Times New Roman"/>
                <w:color w:val="auto"/>
                <w:sz w:val="21"/>
                <w:szCs w:val="21"/>
                <w:highlight w:val="none"/>
                <w:lang w:val="en-US" w:eastAsia="zh-CN"/>
              </w:rPr>
              <w:t>400m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/a</w:t>
            </w:r>
          </w:p>
        </w:tc>
        <w:tc>
          <w:tcPr>
            <w:tcW w:w="1224" w:type="pct"/>
            <w:vMerge w:val="continue"/>
          </w:tcPr>
          <w:p w14:paraId="5040A6C5">
            <w:pPr>
              <w:pStyle w:val="37"/>
              <w:bidi w:val="0"/>
              <w:rPr>
                <w:rFonts w:hint="default" w:ascii="Times New Roman" w:hAnsi="Times New Roman" w:cs="Times New Roman"/>
                <w:color w:val="FF0000"/>
                <w:highlight w:val="none"/>
              </w:rPr>
            </w:pPr>
          </w:p>
        </w:tc>
      </w:tr>
    </w:tbl>
    <w:p w14:paraId="4901663E">
      <w:pPr>
        <w:pStyle w:val="13"/>
        <w:rPr>
          <w:rFonts w:hint="default"/>
          <w:lang w:val="en-US" w:eastAsia="zh-CN"/>
        </w:rPr>
        <w:sectPr>
          <w:pgSz w:w="16838" w:h="11906" w:orient="landscape"/>
          <w:pgMar w:top="1417" w:right="1134" w:bottom="1417" w:left="1134" w:header="850"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61F8D46B">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8.2.2排污口规范化管理</w:t>
      </w:r>
    </w:p>
    <w:p w14:paraId="37607C8A">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排污口是企业污染物进入环境或污染环境的通道，强化排污口的管理是实施污染物总量控制的基础工作，也是区域环境管理逐步实现污染物排放科学化、定量化的重要手段。</w:t>
      </w:r>
    </w:p>
    <w:p w14:paraId="1CAC37E7">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（1）排污口规范化管理的基本原则</w:t>
      </w:r>
    </w:p>
    <w:p w14:paraId="3628773D">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向环境排放污染物的排污口必须规范化；排污口应便于采样与计量监测，便于日常现场监督检查。</w:t>
      </w:r>
    </w:p>
    <w:p w14:paraId="6015E9AA">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（2）排污口技术要求</w:t>
      </w:r>
    </w:p>
    <w:p w14:paraId="141C737D">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排污口的位置必须合理，按环监</w:t>
      </w:r>
      <w:r>
        <w:rPr>
          <w:rFonts w:hint="eastAsia" w:ascii="Times New Roman" w:hAnsi="Times New Roman" w:eastAsia="宋体" w:cs="Times New Roman"/>
          <w:color w:val="auto"/>
          <w:spacing w:val="-1"/>
          <w:sz w:val="24"/>
          <w:szCs w:val="24"/>
          <w:lang w:val="en-US" w:eastAsia="zh-CN"/>
        </w:rPr>
        <w:t>〔1996〕470号</w:t>
      </w:r>
      <w:r>
        <w:rPr>
          <w:rFonts w:hint="default" w:ascii="Times New Roman" w:hAnsi="Times New Roman" w:eastAsia="宋体" w:cs="Times New Roman"/>
          <w:color w:val="auto"/>
          <w:spacing w:val="-1"/>
          <w:sz w:val="24"/>
          <w:szCs w:val="24"/>
          <w:lang w:val="en-US" w:eastAsia="zh-CN"/>
        </w:rPr>
        <w:t>文件要求进行规范化管理；排放污染物的采样点设置应按《污染源监测技术规范》要求布设。</w:t>
      </w:r>
    </w:p>
    <w:p w14:paraId="4BDD0A52">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（3）排污口立标管理</w:t>
      </w:r>
    </w:p>
    <w:p w14:paraId="7C5ABBF8">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企业污染物排放口的标志，应按国家《环境保护图形标志排放口》（15562.1-1995）及《环境保护图形标志 固体废物贮存（处置）场》（15562.2-1995）的规定，设置规范的环境保护图形标志牌。见图8</w:t>
      </w:r>
      <w:r>
        <w:rPr>
          <w:rFonts w:hint="eastAsia" w:ascii="Times New Roman" w:hAnsi="Times New Roman" w:eastAsia="宋体" w:cs="Times New Roman"/>
          <w:color w:val="auto"/>
          <w:spacing w:val="-1"/>
          <w:sz w:val="24"/>
          <w:szCs w:val="24"/>
          <w:lang w:val="en-US" w:eastAsia="zh-CN"/>
        </w:rPr>
        <w:t>.2</w:t>
      </w:r>
      <w:r>
        <w:rPr>
          <w:rFonts w:hint="default" w:ascii="Times New Roman" w:hAnsi="Times New Roman" w:eastAsia="宋体" w:cs="Times New Roman"/>
          <w:color w:val="auto"/>
          <w:spacing w:val="-1"/>
          <w:sz w:val="24"/>
          <w:szCs w:val="24"/>
          <w:lang w:val="en-US" w:eastAsia="zh-CN"/>
        </w:rPr>
        <w:t>-1。</w:t>
      </w:r>
    </w:p>
    <w:p w14:paraId="76C4067E">
      <w:pPr>
        <w:autoSpaceDE w:val="0"/>
        <w:autoSpaceDN w:val="0"/>
        <w:adjustRightInd w:val="0"/>
        <w:jc w:val="center"/>
        <w:rPr>
          <w:rFonts w:hint="default" w:ascii="Times New Roman" w:hAnsi="Times New Roman" w:cs="Times New Roman"/>
          <w:color w:val="auto"/>
          <w:kern w:val="0"/>
          <w:sz w:val="24"/>
          <w:szCs w:val="24"/>
          <w:highlight w:val="none"/>
        </w:rPr>
      </w:pPr>
      <w:r>
        <w:rPr>
          <w:rFonts w:hint="default" w:ascii="Times New Roman" w:hAnsi="Times New Roman" w:eastAsia="仿宋_GB2312" w:cs="Times New Roman"/>
          <w:color w:val="auto"/>
          <w:highlight w:val="none"/>
          <w:lang w:val="en-US"/>
        </w:rPr>
        <w:drawing>
          <wp:inline distT="0" distB="0" distL="114300" distR="114300">
            <wp:extent cx="4970780" cy="2634615"/>
            <wp:effectExtent l="0" t="0" r="1270" b="13335"/>
            <wp:docPr id="121" name="图片 1005" descr="123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005" descr="123副本"/>
                    <pic:cNvPicPr>
                      <a:picLocks noChangeAspect="1"/>
                    </pic:cNvPicPr>
                  </pic:nvPicPr>
                  <pic:blipFill>
                    <a:blip r:embed="rId116"/>
                    <a:stretch>
                      <a:fillRect/>
                    </a:stretch>
                  </pic:blipFill>
                  <pic:spPr>
                    <a:xfrm>
                      <a:off x="0" y="0"/>
                      <a:ext cx="4970780" cy="2634615"/>
                    </a:xfrm>
                    <a:prstGeom prst="rect">
                      <a:avLst/>
                    </a:prstGeom>
                    <a:noFill/>
                    <a:ln>
                      <a:noFill/>
                    </a:ln>
                  </pic:spPr>
                </pic:pic>
              </a:graphicData>
            </a:graphic>
          </wp:inline>
        </w:drawing>
      </w:r>
    </w:p>
    <w:p w14:paraId="4832D8ED">
      <w:pPr>
        <w:pStyle w:val="67"/>
        <w:adjustRightInd w:val="0"/>
        <w:snapToGrid w:val="0"/>
        <w:spacing w:line="520" w:lineRule="exact"/>
        <w:textAlignment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w:t>
      </w:r>
      <w:r>
        <w:rPr>
          <w:rFonts w:hint="default" w:ascii="Times New Roman" w:hAnsi="Times New Roman" w:eastAsia="宋体" w:cs="Times New Roman"/>
          <w:b/>
          <w:bCs/>
          <w:color w:val="auto"/>
          <w:sz w:val="24"/>
          <w:szCs w:val="24"/>
          <w:highlight w:val="none"/>
          <w:lang w:val="en-US" w:eastAsia="zh-CN"/>
        </w:rPr>
        <w:t>8.2</w:t>
      </w:r>
      <w:r>
        <w:rPr>
          <w:rFonts w:hint="default" w:ascii="Times New Roman" w:hAnsi="Times New Roman" w:eastAsia="宋体" w:cs="Times New Roman"/>
          <w:b/>
          <w:bCs/>
          <w:color w:val="auto"/>
          <w:sz w:val="24"/>
          <w:szCs w:val="24"/>
          <w:highlight w:val="none"/>
        </w:rPr>
        <w:t>-1  环境保护图形标志</w:t>
      </w:r>
    </w:p>
    <w:p w14:paraId="4BB696B9">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（4）排污口建档管理</w:t>
      </w:r>
    </w:p>
    <w:p w14:paraId="2603F999">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要求使用国家环境保护行政主管部门统一印制的《中华人民共和国规范化排污口标志登记证》的要求填写项目有关内容；根据排污口管理档案内容要求，本项目建成后，应建立各主要污染物种类、数量、浓度、排放方式、排放去向、达标情况的台账，并按环保部门要求及时上报。</w:t>
      </w:r>
    </w:p>
    <w:p w14:paraId="7DF0099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8.2.3信息公开</w:t>
      </w:r>
    </w:p>
    <w:p w14:paraId="2D2F6DA4">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企业应定期对排污情况进行信息公开，包含以下几方面内容：</w:t>
      </w:r>
    </w:p>
    <w:p w14:paraId="78C1221D">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（1）基础信息，包括单位名称、组织机构代码、法定代表人、生产地址、联系方式，以及生产经营和管理服务的主要内容、产品及规模；</w:t>
      </w:r>
    </w:p>
    <w:p w14:paraId="074DD97C">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（2）排污信息，包括主要污染物及特征污染物的名称、排放方式、排放口数量和分布情况、排放浓度和总量、超标情况，以及执行的污染物排放标准、核定的排放总量；</w:t>
      </w:r>
    </w:p>
    <w:p w14:paraId="2EB649DE">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（3）防治污染设施的建设和运行情况；</w:t>
      </w:r>
    </w:p>
    <w:p w14:paraId="4011B902">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（4）建设项目环境影响评价及其他环境保护行政许可情况；</w:t>
      </w:r>
    </w:p>
    <w:p w14:paraId="7DB2F351">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（5）突发环境事件应急预案。</w:t>
      </w:r>
    </w:p>
    <w:p w14:paraId="7EEF710C">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8.2.4排污许可衔接管理</w:t>
      </w:r>
    </w:p>
    <w:p w14:paraId="5ACD0610">
      <w:pPr>
        <w:pStyle w:val="32"/>
        <w:keepNext w:val="0"/>
        <w:keepLines w:val="0"/>
        <w:pageBreakBefore w:val="0"/>
        <w:widowControl w:val="0"/>
        <w:kinsoku/>
        <w:wordWrap/>
        <w:overflowPunct/>
        <w:topLinePunct w:val="0"/>
        <w:autoSpaceDE w:val="0"/>
        <w:autoSpaceDN w:val="0"/>
        <w:bidi w:val="0"/>
        <w:adjustRightInd w:val="0"/>
        <w:snapToGrid/>
        <w:spacing w:line="360" w:lineRule="auto"/>
        <w:ind w:firstLine="476" w:firstLineChars="200"/>
        <w:jc w:val="both"/>
        <w:textAlignment w:val="baseline"/>
        <w:rPr>
          <w:rFonts w:hint="default"/>
          <w:lang w:val="en-US" w:eastAsia="zh-CN"/>
        </w:rPr>
      </w:pPr>
      <w:r>
        <w:rPr>
          <w:rFonts w:hint="eastAsia" w:ascii="Times New Roman" w:hAnsi="Times New Roman" w:eastAsia="宋体" w:cs="Times New Roman"/>
          <w:snapToGrid w:val="0"/>
          <w:color w:val="auto"/>
          <w:spacing w:val="-1"/>
          <w:kern w:val="0"/>
          <w:sz w:val="24"/>
          <w:szCs w:val="24"/>
          <w:lang w:val="en-US" w:eastAsia="zh-CN" w:bidi="ar-SA"/>
        </w:rPr>
        <w:t>本项目应严格按照国家和地方排污许可制度的要求，推进排污及污染源“一证式管理工作，并作为建设单位在生产运营期接受环境监管和环境保护部门实施监管的主要法律文书，单位依法申领排污许可证，按证排污，自证守法。环境影响评价文件及批复中与污染物排放相关的主要内容应当纳入排污许可证，项目建设内容、产品方案、建设规模，采用的工艺流程、工艺技术方案，污染预防和清洁生产措施，环保设施和治理措施，各类污染物排放总量，在线监测和自主监测要求，环境安全防范措施，环境应急体系和应急设施等，全部按装置、设施载入排污许可证，具体内容详见报告书各章节。企业在设计，建设和运营过程中，需按照许可证管理要求进行监测和中报，自证守法；许可证内容发生变更应进行中报，重大变更应重新环评和申请许可证变更。环保管理部门对许可证内容进行定期和不定期的监督核查，排污许可证执行情况应作为环境影响后评价的重要依据，发现产生本环境影响评价文件的情形的，应当组织环境影响的后评价，采取改进措施，并报原环境影响评价文件审批部门和建设项目审批部门备案。</w:t>
      </w:r>
    </w:p>
    <w:p w14:paraId="40B2DC0A">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6"/>
          <w:sz w:val="32"/>
          <w:szCs w:val="32"/>
          <w:highlight w:val="none"/>
          <w:lang w:val="en-US" w:eastAsia="zh-CN"/>
        </w:rPr>
      </w:pPr>
      <w:bookmarkStart w:id="80" w:name="_Toc13546"/>
      <w:r>
        <w:rPr>
          <w:rFonts w:hint="eastAsia" w:ascii="Times New Roman" w:hAnsi="Times New Roman" w:eastAsia="微软雅黑" w:cs="Times New Roman"/>
          <w:color w:val="auto"/>
          <w:spacing w:val="6"/>
          <w:sz w:val="32"/>
          <w:szCs w:val="32"/>
          <w:highlight w:val="none"/>
          <w:lang w:val="en-US" w:eastAsia="zh-CN"/>
        </w:rPr>
        <w:t>8</w:t>
      </w:r>
      <w:r>
        <w:rPr>
          <w:rFonts w:hint="default" w:ascii="Times New Roman" w:hAnsi="Times New Roman" w:eastAsia="微软雅黑" w:cs="Times New Roman"/>
          <w:color w:val="auto"/>
          <w:spacing w:val="6"/>
          <w:sz w:val="32"/>
          <w:szCs w:val="32"/>
          <w:highlight w:val="none"/>
          <w:lang w:val="en-US" w:eastAsia="zh-CN"/>
        </w:rPr>
        <w:t>.</w:t>
      </w:r>
      <w:r>
        <w:rPr>
          <w:rFonts w:hint="eastAsia" w:ascii="Times New Roman" w:hAnsi="Times New Roman" w:eastAsia="微软雅黑" w:cs="Times New Roman"/>
          <w:color w:val="auto"/>
          <w:spacing w:val="6"/>
          <w:sz w:val="32"/>
          <w:szCs w:val="32"/>
          <w:highlight w:val="none"/>
          <w:lang w:val="en-US" w:eastAsia="zh-CN"/>
        </w:rPr>
        <w:t>3</w:t>
      </w:r>
      <w:r>
        <w:rPr>
          <w:rFonts w:hint="default" w:ascii="Times New Roman" w:hAnsi="Times New Roman" w:eastAsia="微软雅黑" w:cs="Times New Roman"/>
          <w:color w:val="auto"/>
          <w:spacing w:val="6"/>
          <w:sz w:val="32"/>
          <w:szCs w:val="32"/>
          <w:highlight w:val="none"/>
          <w:lang w:val="en-US" w:eastAsia="zh-CN"/>
        </w:rPr>
        <w:t xml:space="preserve"> 环境监测计划</w:t>
      </w:r>
      <w:bookmarkEnd w:id="80"/>
    </w:p>
    <w:p w14:paraId="06290F80">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8</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3</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.1环境监测的</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意义</w:t>
      </w:r>
    </w:p>
    <w:p w14:paraId="38920A54">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环境监测是企业环境保护的重要组成部分，也是企业的一项规范化制度。通过环境监测，进行数据整理分析，建立监测档案，可为污染源治理，掌握污染物排放变化规律提供依据，为上级环保部门进行区域环境规划、管理执法提供依据。同时，环境监测也是企业实现污染物总量控制，做到清洁生产的重要保证手段之一。</w:t>
      </w:r>
    </w:p>
    <w:p w14:paraId="1675E5D3">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8</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3</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.2环境监测计划</w:t>
      </w:r>
    </w:p>
    <w:p w14:paraId="350C0D1C">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eastAsia" w:ascii="Times New Roman" w:hAnsi="Times New Roman" w:eastAsia="宋体" w:cs="Times New Roman"/>
          <w:color w:val="auto"/>
          <w:spacing w:val="-1"/>
          <w:sz w:val="24"/>
          <w:szCs w:val="24"/>
          <w:lang w:val="en-US" w:eastAsia="zh-CN"/>
        </w:rPr>
      </w:pPr>
      <w:r>
        <w:rPr>
          <w:rFonts w:hint="eastAsia" w:ascii="Times New Roman" w:hAnsi="Times New Roman" w:eastAsia="宋体" w:cs="Times New Roman"/>
          <w:color w:val="auto"/>
          <w:spacing w:val="-1"/>
          <w:sz w:val="24"/>
          <w:szCs w:val="24"/>
          <w:lang w:val="en-US" w:eastAsia="zh-CN"/>
        </w:rPr>
        <w:t>本项目运行期监测计划按照</w:t>
      </w:r>
      <w:r>
        <w:rPr>
          <w:rFonts w:hint="default" w:ascii="Times New Roman" w:hAnsi="Times New Roman" w:eastAsia="宋体" w:cs="Times New Roman"/>
          <w:color w:val="auto"/>
          <w:spacing w:val="0"/>
          <w:position w:val="0"/>
          <w:sz w:val="24"/>
          <w:szCs w:val="24"/>
          <w:lang w:val="en-US" w:eastAsia="zh-CN"/>
        </w:rPr>
        <w:t>《排污许可证申请与核发技术规范 橡胶和塑料制品业》（HJ1122-2020）</w:t>
      </w:r>
      <w:r>
        <w:rPr>
          <w:rFonts w:hint="eastAsia" w:ascii="Times New Roman" w:hAnsi="Times New Roman" w:eastAsia="宋体" w:cs="Times New Roman"/>
          <w:color w:val="auto"/>
          <w:spacing w:val="-1"/>
          <w:sz w:val="24"/>
          <w:szCs w:val="24"/>
          <w:lang w:val="en-US" w:eastAsia="zh-CN"/>
        </w:rPr>
        <w:t>、</w:t>
      </w:r>
      <w:r>
        <w:rPr>
          <w:rFonts w:hint="default" w:ascii="Times New Roman" w:hAnsi="Times New Roman" w:eastAsia="宋体" w:cs="Times New Roman"/>
          <w:color w:val="auto"/>
          <w:spacing w:val="0"/>
          <w:position w:val="0"/>
          <w:sz w:val="24"/>
          <w:szCs w:val="24"/>
          <w:lang w:val="en-US" w:eastAsia="zh-CN"/>
        </w:rPr>
        <w:t>《排污许可证申请与核发技术规范 汽车制造业》（HJ971—2018）</w:t>
      </w:r>
      <w:r>
        <w:rPr>
          <w:rFonts w:hint="eastAsia" w:ascii="Times New Roman" w:hAnsi="Times New Roman" w:eastAsia="宋体" w:cs="Times New Roman"/>
          <w:color w:val="auto"/>
          <w:spacing w:val="0"/>
          <w:position w:val="0"/>
          <w:sz w:val="24"/>
          <w:szCs w:val="24"/>
          <w:lang w:val="en-US" w:eastAsia="zh-CN"/>
        </w:rPr>
        <w:t>、</w:t>
      </w:r>
      <w:r>
        <w:rPr>
          <w:rFonts w:hint="eastAsia" w:ascii="Times New Roman" w:hAnsi="Times New Roman" w:eastAsia="宋体" w:cs="Times New Roman"/>
          <w:color w:val="auto"/>
          <w:spacing w:val="-1"/>
          <w:sz w:val="24"/>
          <w:szCs w:val="24"/>
          <w:lang w:val="en-US" w:eastAsia="zh-CN"/>
        </w:rPr>
        <w:t>《排污单位自行监测技术指南 总则》（HJ819-2017）及各要素技术导则中监测要求制定，具体监测计划见表8.3-1。若企业不具备监测条件进行上述污染源及环境质量监测，可委托有资质的环境监测单位进行监测。</w:t>
      </w:r>
    </w:p>
    <w:p w14:paraId="30D92274">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b/>
          <w:color w:val="auto"/>
          <w:kern w:val="2"/>
          <w:sz w:val="24"/>
          <w:szCs w:val="24"/>
          <w:highlight w:val="none"/>
        </w:rPr>
      </w:pPr>
      <w:r>
        <w:rPr>
          <w:rFonts w:hint="default" w:ascii="Times New Roman" w:hAnsi="Times New Roman" w:eastAsia="宋体" w:cs="Times New Roman"/>
          <w:b/>
          <w:color w:val="auto"/>
          <w:kern w:val="2"/>
          <w:sz w:val="24"/>
          <w:szCs w:val="24"/>
          <w:highlight w:val="none"/>
        </w:rPr>
        <w:t>表8.3-1</w:t>
      </w:r>
      <w:r>
        <w:rPr>
          <w:rFonts w:hint="default" w:ascii="Times New Roman" w:hAnsi="Times New Roman" w:eastAsia="宋体" w:cs="Times New Roman"/>
          <w:b/>
          <w:color w:val="auto"/>
          <w:kern w:val="2"/>
          <w:sz w:val="24"/>
          <w:szCs w:val="24"/>
          <w:highlight w:val="none"/>
          <w:lang w:val="en-US" w:eastAsia="zh-CN"/>
        </w:rPr>
        <w:t xml:space="preserve"> </w:t>
      </w:r>
      <w:r>
        <w:rPr>
          <w:rFonts w:hint="default" w:ascii="Times New Roman" w:hAnsi="Times New Roman" w:eastAsia="宋体" w:cs="Times New Roman"/>
          <w:b/>
          <w:color w:val="auto"/>
          <w:kern w:val="2"/>
          <w:sz w:val="24"/>
          <w:szCs w:val="24"/>
          <w:highlight w:val="none"/>
        </w:rPr>
        <w:t xml:space="preserve"> 环境监测计划</w:t>
      </w:r>
    </w:p>
    <w:tbl>
      <w:tblPr>
        <w:tblStyle w:val="41"/>
        <w:tblW w:w="0" w:type="auto"/>
        <w:tblInd w:w="0" w:type="dxa"/>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Layout w:type="autofit"/>
        <w:tblCellMar>
          <w:top w:w="0" w:type="dxa"/>
          <w:left w:w="0" w:type="dxa"/>
          <w:bottom w:w="0" w:type="dxa"/>
          <w:right w:w="0" w:type="dxa"/>
        </w:tblCellMar>
      </w:tblPr>
      <w:tblGrid>
        <w:gridCol w:w="952"/>
        <w:gridCol w:w="1455"/>
        <w:gridCol w:w="2625"/>
        <w:gridCol w:w="1334"/>
        <w:gridCol w:w="2706"/>
      </w:tblGrid>
      <w:tr w14:paraId="7D014CD3">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52" w:type="dxa"/>
            <w:tcBorders>
              <w:left w:val="nil"/>
            </w:tcBorders>
            <w:vAlign w:val="center"/>
          </w:tcPr>
          <w:p w14:paraId="0898A085">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监测项目</w:t>
            </w:r>
          </w:p>
        </w:tc>
        <w:tc>
          <w:tcPr>
            <w:tcW w:w="1455" w:type="dxa"/>
            <w:vAlign w:val="center"/>
          </w:tcPr>
          <w:p w14:paraId="1B3B5C44">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监测点位</w:t>
            </w:r>
          </w:p>
        </w:tc>
        <w:tc>
          <w:tcPr>
            <w:tcW w:w="2625" w:type="dxa"/>
            <w:vAlign w:val="center"/>
          </w:tcPr>
          <w:p w14:paraId="076ECF54">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监测因子</w:t>
            </w:r>
          </w:p>
        </w:tc>
        <w:tc>
          <w:tcPr>
            <w:tcW w:w="1334" w:type="dxa"/>
            <w:vAlign w:val="center"/>
          </w:tcPr>
          <w:p w14:paraId="7A1166E6">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监测频次</w:t>
            </w:r>
          </w:p>
        </w:tc>
        <w:tc>
          <w:tcPr>
            <w:tcW w:w="2706" w:type="dxa"/>
            <w:tcBorders>
              <w:right w:val="nil"/>
            </w:tcBorders>
            <w:vAlign w:val="center"/>
          </w:tcPr>
          <w:p w14:paraId="2F35039C">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执行标准</w:t>
            </w:r>
          </w:p>
        </w:tc>
      </w:tr>
      <w:tr w14:paraId="3724128A">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52" w:type="dxa"/>
            <w:vMerge w:val="restart"/>
            <w:tcBorders>
              <w:left w:val="nil"/>
            </w:tcBorders>
            <w:vAlign w:val="center"/>
          </w:tcPr>
          <w:p w14:paraId="4E6F5F4D">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有组织废气</w:t>
            </w:r>
          </w:p>
        </w:tc>
        <w:tc>
          <w:tcPr>
            <w:tcW w:w="1455" w:type="dxa"/>
            <w:vMerge w:val="restart"/>
            <w:vAlign w:val="center"/>
          </w:tcPr>
          <w:p w14:paraId="592B0DF4">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DA001排气筒</w:t>
            </w:r>
          </w:p>
        </w:tc>
        <w:tc>
          <w:tcPr>
            <w:tcW w:w="2625" w:type="dxa"/>
            <w:vAlign w:val="center"/>
          </w:tcPr>
          <w:p w14:paraId="1BFD6840">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非甲烷总烃、苯乙烯、丙烯腈、乙苯、甲苯、1，3-丁二烯、酚类、氯苯类、二氯甲烷、氨</w:t>
            </w:r>
          </w:p>
        </w:tc>
        <w:tc>
          <w:tcPr>
            <w:tcW w:w="1334" w:type="dxa"/>
            <w:vMerge w:val="restart"/>
            <w:vAlign w:val="center"/>
          </w:tcPr>
          <w:p w14:paraId="079E0DB7">
            <w:pPr>
              <w:pStyle w:val="37"/>
              <w:bidi w:val="0"/>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rPr>
              <w:t>1次/</w:t>
            </w:r>
            <w:r>
              <w:rPr>
                <w:rFonts w:hint="default" w:ascii="Times New Roman" w:hAnsi="Times New Roman" w:eastAsia="宋体" w:cs="Times New Roman"/>
                <w:color w:val="auto"/>
                <w:highlight w:val="none"/>
                <w:u w:val="none"/>
                <w:lang w:val="en-US" w:eastAsia="zh-CN"/>
              </w:rPr>
              <w:t>年</w:t>
            </w:r>
          </w:p>
        </w:tc>
        <w:tc>
          <w:tcPr>
            <w:tcW w:w="2706" w:type="dxa"/>
            <w:tcBorders>
              <w:right w:val="nil"/>
            </w:tcBorders>
            <w:vAlign w:val="center"/>
          </w:tcPr>
          <w:p w14:paraId="077CF8C2">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《合成树脂工业污染物排放标准》（GB 31572-2015，含2024年修改单）中表4大气污染物排放限值</w:t>
            </w:r>
          </w:p>
        </w:tc>
      </w:tr>
      <w:tr w14:paraId="7CCEED79">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52" w:type="dxa"/>
            <w:vMerge w:val="continue"/>
            <w:tcBorders>
              <w:left w:val="nil"/>
            </w:tcBorders>
            <w:vAlign w:val="center"/>
          </w:tcPr>
          <w:p w14:paraId="3B8BC71B">
            <w:pPr>
              <w:pStyle w:val="37"/>
              <w:bidi w:val="0"/>
              <w:rPr>
                <w:rFonts w:hint="default" w:ascii="Times New Roman" w:hAnsi="Times New Roman" w:cs="Times New Roman"/>
                <w:color w:val="auto"/>
                <w:highlight w:val="none"/>
                <w:u w:val="none"/>
              </w:rPr>
            </w:pPr>
          </w:p>
        </w:tc>
        <w:tc>
          <w:tcPr>
            <w:tcW w:w="1455" w:type="dxa"/>
            <w:vMerge w:val="continue"/>
            <w:vAlign w:val="center"/>
          </w:tcPr>
          <w:p w14:paraId="4C6BE7B1">
            <w:pPr>
              <w:pStyle w:val="37"/>
              <w:bidi w:val="0"/>
              <w:rPr>
                <w:rFonts w:hint="default" w:ascii="Times New Roman" w:hAnsi="Times New Roman" w:cs="Times New Roman"/>
                <w:color w:val="auto"/>
                <w:highlight w:val="none"/>
                <w:u w:val="none"/>
              </w:rPr>
            </w:pPr>
          </w:p>
        </w:tc>
        <w:tc>
          <w:tcPr>
            <w:tcW w:w="2625" w:type="dxa"/>
            <w:vAlign w:val="center"/>
          </w:tcPr>
          <w:p w14:paraId="1263977A">
            <w:pPr>
              <w:pStyle w:val="37"/>
              <w:bidi w:val="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臭气浓度</w:t>
            </w:r>
          </w:p>
        </w:tc>
        <w:tc>
          <w:tcPr>
            <w:tcW w:w="1334" w:type="dxa"/>
            <w:vMerge w:val="continue"/>
            <w:vAlign w:val="center"/>
          </w:tcPr>
          <w:p w14:paraId="668DDD5B">
            <w:pPr>
              <w:pStyle w:val="37"/>
              <w:bidi w:val="0"/>
              <w:rPr>
                <w:rFonts w:hint="default" w:ascii="Times New Roman" w:hAnsi="Times New Roman" w:cs="Times New Roman"/>
                <w:color w:val="auto"/>
                <w:highlight w:val="none"/>
                <w:u w:val="none"/>
              </w:rPr>
            </w:pPr>
          </w:p>
        </w:tc>
        <w:tc>
          <w:tcPr>
            <w:tcW w:w="2706" w:type="dxa"/>
            <w:tcBorders>
              <w:right w:val="nil"/>
            </w:tcBorders>
            <w:vAlign w:val="center"/>
          </w:tcPr>
          <w:p w14:paraId="4A0EF598">
            <w:pPr>
              <w:pStyle w:val="37"/>
              <w:bidi w:val="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《恶臭污染物排放标准》（GB14554-93）表2排放标准</w:t>
            </w:r>
          </w:p>
        </w:tc>
      </w:tr>
      <w:tr w14:paraId="792AE8D8">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52" w:type="dxa"/>
            <w:vMerge w:val="continue"/>
            <w:tcBorders>
              <w:left w:val="nil"/>
            </w:tcBorders>
            <w:vAlign w:val="center"/>
          </w:tcPr>
          <w:p w14:paraId="6CD414CF">
            <w:pPr>
              <w:pStyle w:val="37"/>
              <w:bidi w:val="0"/>
              <w:rPr>
                <w:rFonts w:hint="default" w:ascii="Times New Roman" w:hAnsi="Times New Roman" w:cs="Times New Roman"/>
                <w:color w:val="FF0000"/>
                <w:highlight w:val="none"/>
                <w:u w:val="none"/>
              </w:rPr>
            </w:pPr>
          </w:p>
        </w:tc>
        <w:tc>
          <w:tcPr>
            <w:tcW w:w="1455" w:type="dxa"/>
            <w:vMerge w:val="restart"/>
            <w:vAlign w:val="center"/>
          </w:tcPr>
          <w:p w14:paraId="7E5D2CFB">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DA002排气筒</w:t>
            </w:r>
          </w:p>
        </w:tc>
        <w:tc>
          <w:tcPr>
            <w:tcW w:w="2625" w:type="dxa"/>
            <w:vAlign w:val="center"/>
          </w:tcPr>
          <w:p w14:paraId="3AD00E66">
            <w:pPr>
              <w:pStyle w:val="37"/>
              <w:bidi w:val="0"/>
              <w:rPr>
                <w:rFonts w:hint="eastAsia" w:ascii="Times New Roman" w:hAnsi="Times New Roman" w:eastAsia="宋体" w:cs="Times New Roman"/>
                <w:color w:val="auto"/>
                <w:highlight w:val="none"/>
                <w:u w:val="none"/>
                <w:lang w:eastAsia="zh-CN"/>
              </w:rPr>
            </w:pPr>
            <w:r>
              <w:rPr>
                <w:rFonts w:hint="eastAsia" w:ascii="Times New Roman" w:hAnsi="Times New Roman" w:eastAsia="宋体" w:cs="Times New Roman"/>
                <w:color w:val="auto"/>
                <w:highlight w:val="none"/>
                <w:u w:val="none"/>
                <w:lang w:val="en-US" w:eastAsia="zh-CN"/>
              </w:rPr>
              <w:t>非甲烷总烃</w:t>
            </w:r>
          </w:p>
        </w:tc>
        <w:tc>
          <w:tcPr>
            <w:tcW w:w="1334" w:type="dxa"/>
            <w:vAlign w:val="center"/>
          </w:tcPr>
          <w:p w14:paraId="71E5713A">
            <w:pPr>
              <w:pStyle w:val="37"/>
              <w:bidi w:val="0"/>
              <w:rPr>
                <w:rFonts w:hint="eastAsia"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rPr>
              <w:t>1次/</w:t>
            </w:r>
            <w:r>
              <w:rPr>
                <w:rFonts w:hint="eastAsia" w:ascii="Times New Roman" w:hAnsi="Times New Roman" w:eastAsia="宋体" w:cs="Times New Roman"/>
                <w:color w:val="auto"/>
                <w:highlight w:val="none"/>
                <w:u w:val="none"/>
                <w:lang w:val="en-US" w:eastAsia="zh-CN"/>
              </w:rPr>
              <w:t>月</w:t>
            </w:r>
          </w:p>
        </w:tc>
        <w:tc>
          <w:tcPr>
            <w:tcW w:w="2706" w:type="dxa"/>
            <w:vMerge w:val="restart"/>
            <w:tcBorders>
              <w:right w:val="nil"/>
            </w:tcBorders>
            <w:vAlign w:val="center"/>
          </w:tcPr>
          <w:p w14:paraId="0C814159">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《大气污染物综合排放标准》（GB16297-1996）表2中二级排放限值</w:t>
            </w:r>
          </w:p>
        </w:tc>
      </w:tr>
      <w:tr w14:paraId="3617B294">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52" w:type="dxa"/>
            <w:vMerge w:val="continue"/>
            <w:tcBorders>
              <w:left w:val="nil"/>
            </w:tcBorders>
            <w:vAlign w:val="center"/>
          </w:tcPr>
          <w:p w14:paraId="3023CF67">
            <w:pPr>
              <w:pStyle w:val="37"/>
              <w:bidi w:val="0"/>
              <w:rPr>
                <w:rFonts w:hint="default" w:ascii="Times New Roman" w:hAnsi="Times New Roman" w:cs="Times New Roman"/>
                <w:color w:val="FF0000"/>
                <w:highlight w:val="none"/>
                <w:u w:val="none"/>
              </w:rPr>
            </w:pPr>
          </w:p>
        </w:tc>
        <w:tc>
          <w:tcPr>
            <w:tcW w:w="1455" w:type="dxa"/>
            <w:vMerge w:val="continue"/>
            <w:vAlign w:val="center"/>
          </w:tcPr>
          <w:p w14:paraId="01905397">
            <w:pPr>
              <w:pStyle w:val="37"/>
              <w:bidi w:val="0"/>
              <w:rPr>
                <w:rFonts w:hint="default" w:ascii="Times New Roman" w:hAnsi="Times New Roman" w:cs="Times New Roman"/>
                <w:color w:val="auto"/>
                <w:highlight w:val="none"/>
                <w:u w:val="none"/>
              </w:rPr>
            </w:pPr>
          </w:p>
        </w:tc>
        <w:tc>
          <w:tcPr>
            <w:tcW w:w="2625" w:type="dxa"/>
            <w:vAlign w:val="center"/>
          </w:tcPr>
          <w:p w14:paraId="22897FC9">
            <w:pPr>
              <w:pStyle w:val="37"/>
              <w:bidi w:val="0"/>
              <w:rPr>
                <w:rFonts w:hint="eastAsia" w:ascii="Times New Roman" w:hAnsi="Times New Roman" w:eastAsia="宋体" w:cs="Times New Roman"/>
                <w:color w:val="auto"/>
                <w:highlight w:val="none"/>
                <w:u w:val="none"/>
                <w:lang w:eastAsia="zh-CN"/>
              </w:rPr>
            </w:pPr>
            <w:r>
              <w:rPr>
                <w:rFonts w:hint="eastAsia" w:ascii="Times New Roman" w:hAnsi="Times New Roman" w:eastAsia="宋体" w:cs="Times New Roman"/>
                <w:color w:val="auto"/>
                <w:highlight w:val="none"/>
                <w:u w:val="none"/>
                <w:lang w:val="en-US" w:eastAsia="zh-CN"/>
              </w:rPr>
              <w:t>颗粒物</w:t>
            </w:r>
          </w:p>
        </w:tc>
        <w:tc>
          <w:tcPr>
            <w:tcW w:w="1334" w:type="dxa"/>
            <w:vAlign w:val="center"/>
          </w:tcPr>
          <w:p w14:paraId="174E116A">
            <w:pPr>
              <w:pStyle w:val="37"/>
              <w:bidi w:val="0"/>
              <w:rPr>
                <w:rFonts w:hint="eastAsia" w:ascii="Times New Roman" w:hAnsi="Times New Roman" w:eastAsia="宋体" w:cs="Times New Roman"/>
                <w:color w:val="auto"/>
                <w:highlight w:val="none"/>
                <w:u w:val="none"/>
                <w:lang w:eastAsia="zh-CN"/>
              </w:rPr>
            </w:pPr>
            <w:r>
              <w:rPr>
                <w:rFonts w:hint="default" w:ascii="Times New Roman" w:hAnsi="Times New Roman" w:cs="Times New Roman"/>
                <w:color w:val="auto"/>
                <w:highlight w:val="none"/>
                <w:u w:val="none"/>
              </w:rPr>
              <w:t>1次/</w:t>
            </w:r>
            <w:r>
              <w:rPr>
                <w:rFonts w:hint="eastAsia" w:ascii="Times New Roman" w:hAnsi="Times New Roman" w:eastAsia="宋体" w:cs="Times New Roman"/>
                <w:color w:val="auto"/>
                <w:highlight w:val="none"/>
                <w:u w:val="none"/>
                <w:lang w:val="en-US" w:eastAsia="zh-CN"/>
              </w:rPr>
              <w:t>季</w:t>
            </w:r>
          </w:p>
        </w:tc>
        <w:tc>
          <w:tcPr>
            <w:tcW w:w="2706" w:type="dxa"/>
            <w:vMerge w:val="continue"/>
            <w:tcBorders>
              <w:right w:val="nil"/>
            </w:tcBorders>
            <w:vAlign w:val="center"/>
          </w:tcPr>
          <w:p w14:paraId="7B573E16">
            <w:pPr>
              <w:pStyle w:val="37"/>
              <w:bidi w:val="0"/>
              <w:rPr>
                <w:rFonts w:hint="default" w:ascii="Times New Roman" w:hAnsi="Times New Roman" w:cs="Times New Roman"/>
                <w:color w:val="FF0000"/>
                <w:highlight w:val="none"/>
                <w:u w:val="none"/>
              </w:rPr>
            </w:pPr>
          </w:p>
        </w:tc>
      </w:tr>
      <w:tr w14:paraId="0793D79E">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52" w:type="dxa"/>
            <w:vMerge w:val="continue"/>
            <w:tcBorders>
              <w:left w:val="nil"/>
            </w:tcBorders>
            <w:vAlign w:val="center"/>
          </w:tcPr>
          <w:p w14:paraId="5C13CBDF">
            <w:pPr>
              <w:pStyle w:val="37"/>
              <w:bidi w:val="0"/>
              <w:rPr>
                <w:rFonts w:hint="default" w:ascii="Times New Roman" w:hAnsi="Times New Roman" w:cs="Times New Roman"/>
                <w:color w:val="FF0000"/>
                <w:highlight w:val="none"/>
                <w:u w:val="none"/>
              </w:rPr>
            </w:pPr>
          </w:p>
        </w:tc>
        <w:tc>
          <w:tcPr>
            <w:tcW w:w="1455" w:type="dxa"/>
            <w:vMerge w:val="restart"/>
            <w:vAlign w:val="center"/>
          </w:tcPr>
          <w:p w14:paraId="3ACB6CDD">
            <w:pPr>
              <w:pStyle w:val="37"/>
              <w:bidi w:val="0"/>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rPr>
              <w:t>DA003</w:t>
            </w:r>
            <w:r>
              <w:rPr>
                <w:rFonts w:hint="default" w:ascii="Times New Roman" w:hAnsi="Times New Roman" w:eastAsia="宋体" w:cs="Times New Roman"/>
                <w:color w:val="auto"/>
                <w:highlight w:val="none"/>
                <w:u w:val="none"/>
                <w:lang w:val="en-US" w:eastAsia="zh-CN"/>
              </w:rPr>
              <w:t>烟囱</w:t>
            </w:r>
          </w:p>
        </w:tc>
        <w:tc>
          <w:tcPr>
            <w:tcW w:w="2625" w:type="dxa"/>
            <w:vAlign w:val="center"/>
          </w:tcPr>
          <w:p w14:paraId="08D9ED9B">
            <w:pPr>
              <w:pStyle w:val="37"/>
              <w:bidi w:val="0"/>
              <w:rPr>
                <w:rFonts w:hint="default" w:ascii="Times New Roman" w:hAnsi="Times New Roman" w:eastAsia="宋体" w:cs="Times New Roman"/>
                <w:color w:val="auto"/>
                <w:highlight w:val="none"/>
                <w:u w:val="none"/>
                <w:lang w:val="en-US" w:eastAsia="zh-CN"/>
              </w:rPr>
            </w:pPr>
            <w:r>
              <w:rPr>
                <w:rFonts w:hint="eastAsia" w:ascii="Times New Roman" w:hAnsi="Times New Roman" w:eastAsia="宋体" w:cs="Times New Roman"/>
                <w:color w:val="auto"/>
                <w:highlight w:val="none"/>
                <w:u w:val="none"/>
                <w:lang w:val="en-US" w:eastAsia="zh-CN"/>
              </w:rPr>
              <w:t>颗粒物、二氧化硫、林格曼黑度</w:t>
            </w:r>
          </w:p>
        </w:tc>
        <w:tc>
          <w:tcPr>
            <w:tcW w:w="1334" w:type="dxa"/>
            <w:vAlign w:val="center"/>
          </w:tcPr>
          <w:p w14:paraId="72D3B1FD">
            <w:pPr>
              <w:pStyle w:val="37"/>
              <w:bidi w:val="0"/>
              <w:rPr>
                <w:rFonts w:hint="eastAsia" w:ascii="Times New Roman" w:hAnsi="Times New Roman" w:eastAsia="宋体" w:cs="Times New Roman"/>
                <w:color w:val="auto"/>
                <w:highlight w:val="none"/>
                <w:u w:val="none"/>
                <w:lang w:eastAsia="zh-CN"/>
              </w:rPr>
            </w:pPr>
            <w:r>
              <w:rPr>
                <w:rFonts w:hint="default" w:ascii="Times New Roman" w:hAnsi="Times New Roman" w:cs="Times New Roman"/>
                <w:color w:val="auto"/>
                <w:highlight w:val="none"/>
                <w:u w:val="none"/>
              </w:rPr>
              <w:t>1次/</w:t>
            </w:r>
            <w:r>
              <w:rPr>
                <w:rFonts w:hint="eastAsia" w:ascii="Times New Roman" w:hAnsi="Times New Roman" w:eastAsia="宋体" w:cs="Times New Roman"/>
                <w:color w:val="auto"/>
                <w:highlight w:val="none"/>
                <w:u w:val="none"/>
                <w:lang w:val="en-US" w:eastAsia="zh-CN"/>
              </w:rPr>
              <w:t>年</w:t>
            </w:r>
          </w:p>
        </w:tc>
        <w:tc>
          <w:tcPr>
            <w:tcW w:w="2706" w:type="dxa"/>
            <w:vMerge w:val="restart"/>
            <w:tcBorders>
              <w:right w:val="nil"/>
            </w:tcBorders>
            <w:vAlign w:val="center"/>
          </w:tcPr>
          <w:p w14:paraId="0351CDD0">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《工业窑炉大气污染物排放标准》(GB 9078-1996)二级标准限值要求</w:t>
            </w:r>
          </w:p>
        </w:tc>
      </w:tr>
      <w:tr w14:paraId="0879E89F">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52" w:type="dxa"/>
            <w:vMerge w:val="continue"/>
            <w:tcBorders>
              <w:left w:val="nil"/>
            </w:tcBorders>
            <w:vAlign w:val="center"/>
          </w:tcPr>
          <w:p w14:paraId="1DDD0721">
            <w:pPr>
              <w:pStyle w:val="37"/>
              <w:bidi w:val="0"/>
              <w:rPr>
                <w:rFonts w:hint="default" w:ascii="Times New Roman" w:hAnsi="Times New Roman" w:cs="Times New Roman"/>
                <w:color w:val="FF0000"/>
                <w:highlight w:val="none"/>
                <w:u w:val="none"/>
              </w:rPr>
            </w:pPr>
          </w:p>
        </w:tc>
        <w:tc>
          <w:tcPr>
            <w:tcW w:w="1455" w:type="dxa"/>
            <w:vMerge w:val="continue"/>
            <w:vAlign w:val="center"/>
          </w:tcPr>
          <w:p w14:paraId="3CBD8248">
            <w:pPr>
              <w:pStyle w:val="37"/>
              <w:bidi w:val="0"/>
              <w:rPr>
                <w:rFonts w:hint="default" w:ascii="Times New Roman" w:hAnsi="Times New Roman" w:cs="Times New Roman"/>
                <w:color w:val="auto"/>
                <w:highlight w:val="none"/>
                <w:u w:val="none"/>
              </w:rPr>
            </w:pPr>
          </w:p>
        </w:tc>
        <w:tc>
          <w:tcPr>
            <w:tcW w:w="2625" w:type="dxa"/>
            <w:vAlign w:val="center"/>
          </w:tcPr>
          <w:p w14:paraId="4256EBE8">
            <w:pPr>
              <w:pStyle w:val="37"/>
              <w:bidi w:val="0"/>
              <w:rPr>
                <w:rFonts w:hint="default" w:ascii="Times New Roman" w:hAnsi="Times New Roman" w:eastAsia="宋体" w:cs="Times New Roman"/>
                <w:color w:val="auto"/>
                <w:highlight w:val="none"/>
                <w:u w:val="none"/>
                <w:lang w:val="en-US" w:eastAsia="zh-CN"/>
              </w:rPr>
            </w:pPr>
            <w:r>
              <w:rPr>
                <w:rFonts w:hint="eastAsia" w:ascii="Times New Roman" w:hAnsi="Times New Roman" w:eastAsia="宋体" w:cs="Times New Roman"/>
                <w:color w:val="auto"/>
                <w:highlight w:val="none"/>
                <w:u w:val="none"/>
                <w:lang w:val="en-US" w:eastAsia="zh-CN"/>
              </w:rPr>
              <w:t>氮氧化物</w:t>
            </w:r>
          </w:p>
        </w:tc>
        <w:tc>
          <w:tcPr>
            <w:tcW w:w="1334" w:type="dxa"/>
            <w:vAlign w:val="center"/>
          </w:tcPr>
          <w:p w14:paraId="2E40E831">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1次/</w:t>
            </w:r>
            <w:r>
              <w:rPr>
                <w:rFonts w:hint="eastAsia" w:ascii="Times New Roman" w:hAnsi="Times New Roman" w:eastAsia="宋体" w:cs="Times New Roman"/>
                <w:color w:val="auto"/>
                <w:highlight w:val="none"/>
                <w:u w:val="none"/>
                <w:lang w:val="en-US" w:eastAsia="zh-CN"/>
              </w:rPr>
              <w:t>月</w:t>
            </w:r>
          </w:p>
        </w:tc>
        <w:tc>
          <w:tcPr>
            <w:tcW w:w="2706" w:type="dxa"/>
            <w:vMerge w:val="continue"/>
            <w:tcBorders>
              <w:right w:val="nil"/>
            </w:tcBorders>
            <w:vAlign w:val="center"/>
          </w:tcPr>
          <w:p w14:paraId="10D8D966">
            <w:pPr>
              <w:pStyle w:val="37"/>
              <w:bidi w:val="0"/>
              <w:rPr>
                <w:rFonts w:hint="default" w:ascii="Times New Roman" w:hAnsi="Times New Roman" w:cs="Times New Roman"/>
                <w:color w:val="FF0000"/>
                <w:highlight w:val="none"/>
                <w:u w:val="none"/>
                <w:lang w:val="en-US" w:eastAsia="zh-CN"/>
              </w:rPr>
            </w:pPr>
          </w:p>
        </w:tc>
      </w:tr>
      <w:tr w14:paraId="6AFC073E">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52" w:type="dxa"/>
            <w:vMerge w:val="continue"/>
            <w:tcBorders>
              <w:left w:val="nil"/>
            </w:tcBorders>
            <w:vAlign w:val="center"/>
          </w:tcPr>
          <w:p w14:paraId="23F656EE">
            <w:pPr>
              <w:pStyle w:val="37"/>
              <w:bidi w:val="0"/>
              <w:rPr>
                <w:rFonts w:hint="default" w:ascii="Times New Roman" w:hAnsi="Times New Roman" w:cs="Times New Roman"/>
                <w:color w:val="FF0000"/>
                <w:highlight w:val="none"/>
                <w:u w:val="none"/>
              </w:rPr>
            </w:pPr>
          </w:p>
        </w:tc>
        <w:tc>
          <w:tcPr>
            <w:tcW w:w="1455" w:type="dxa"/>
            <w:vAlign w:val="center"/>
          </w:tcPr>
          <w:p w14:paraId="5E4089C7">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DA004排气筒</w:t>
            </w:r>
          </w:p>
        </w:tc>
        <w:tc>
          <w:tcPr>
            <w:tcW w:w="2625" w:type="dxa"/>
            <w:vAlign w:val="center"/>
          </w:tcPr>
          <w:p w14:paraId="2E9FEC7C">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非甲烷总烃</w:t>
            </w:r>
          </w:p>
        </w:tc>
        <w:tc>
          <w:tcPr>
            <w:tcW w:w="1334" w:type="dxa"/>
            <w:vAlign w:val="center"/>
          </w:tcPr>
          <w:p w14:paraId="7062F05A">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1次/年</w:t>
            </w:r>
          </w:p>
        </w:tc>
        <w:tc>
          <w:tcPr>
            <w:tcW w:w="2706" w:type="dxa"/>
            <w:tcBorders>
              <w:right w:val="nil"/>
            </w:tcBorders>
            <w:vAlign w:val="center"/>
          </w:tcPr>
          <w:p w14:paraId="46433ED3">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《合成树脂工业污染物排放标准》（GB 31572-2015，含2024年修改单）中表4大气污染物排放限值</w:t>
            </w:r>
          </w:p>
        </w:tc>
      </w:tr>
      <w:tr w14:paraId="4E9B13CE">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52" w:type="dxa"/>
            <w:vMerge w:val="restart"/>
            <w:tcBorders>
              <w:left w:val="nil"/>
            </w:tcBorders>
            <w:vAlign w:val="center"/>
          </w:tcPr>
          <w:p w14:paraId="4C0BA4B0">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无组织废气</w:t>
            </w:r>
          </w:p>
        </w:tc>
        <w:tc>
          <w:tcPr>
            <w:tcW w:w="1455" w:type="dxa"/>
            <w:vMerge w:val="restart"/>
            <w:vAlign w:val="center"/>
          </w:tcPr>
          <w:p w14:paraId="7E839DB9">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厂界四周</w:t>
            </w:r>
          </w:p>
        </w:tc>
        <w:tc>
          <w:tcPr>
            <w:tcW w:w="2625" w:type="dxa"/>
            <w:vAlign w:val="center"/>
          </w:tcPr>
          <w:p w14:paraId="6C88CB3C">
            <w:pPr>
              <w:pStyle w:val="37"/>
              <w:bidi w:val="0"/>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lang w:val="en-US" w:eastAsia="zh-CN"/>
              </w:rPr>
              <w:t>丙烯腈、酚类、氯苯类</w:t>
            </w:r>
          </w:p>
        </w:tc>
        <w:tc>
          <w:tcPr>
            <w:tcW w:w="1334" w:type="dxa"/>
            <w:vAlign w:val="center"/>
          </w:tcPr>
          <w:p w14:paraId="52B90817">
            <w:pPr>
              <w:pStyle w:val="37"/>
              <w:bidi w:val="0"/>
              <w:rPr>
                <w:rFonts w:hint="default" w:ascii="Times New Roman" w:hAnsi="Times New Roman" w:eastAsia="宋体" w:cs="Times New Roman"/>
                <w:color w:val="auto"/>
                <w:highlight w:val="none"/>
                <w:u w:val="none"/>
                <w:lang w:eastAsia="zh-CN"/>
              </w:rPr>
            </w:pPr>
            <w:r>
              <w:rPr>
                <w:rFonts w:hint="default" w:ascii="Times New Roman" w:hAnsi="Times New Roman" w:cs="Times New Roman"/>
                <w:color w:val="auto"/>
                <w:highlight w:val="none"/>
                <w:u w:val="none"/>
              </w:rPr>
              <w:t>1次/</w:t>
            </w:r>
            <w:r>
              <w:rPr>
                <w:rFonts w:hint="eastAsia" w:ascii="Times New Roman" w:hAnsi="Times New Roman" w:eastAsia="宋体" w:cs="Times New Roman"/>
                <w:color w:val="auto"/>
                <w:highlight w:val="none"/>
                <w:u w:val="none"/>
                <w:lang w:val="en-US" w:eastAsia="zh-CN"/>
              </w:rPr>
              <w:t>半</w:t>
            </w:r>
            <w:r>
              <w:rPr>
                <w:rFonts w:hint="default" w:ascii="Times New Roman" w:hAnsi="Times New Roman" w:cs="Times New Roman"/>
                <w:color w:val="auto"/>
                <w:highlight w:val="none"/>
                <w:u w:val="none"/>
                <w:lang w:val="en-US" w:eastAsia="zh-CN"/>
              </w:rPr>
              <w:t>年</w:t>
            </w:r>
          </w:p>
        </w:tc>
        <w:tc>
          <w:tcPr>
            <w:tcW w:w="2706" w:type="dxa"/>
            <w:tcBorders>
              <w:right w:val="nil"/>
            </w:tcBorders>
            <w:vAlign w:val="center"/>
          </w:tcPr>
          <w:p w14:paraId="5D040AB1">
            <w:pPr>
              <w:pStyle w:val="37"/>
              <w:bidi w:val="0"/>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rPr>
              <w:t>《大气污染物综合排放标准》（GB16297-1996）中</w:t>
            </w:r>
            <w:r>
              <w:rPr>
                <w:rFonts w:hint="default" w:ascii="Times New Roman" w:hAnsi="Times New Roman" w:cs="Times New Roman"/>
                <w:color w:val="auto"/>
                <w:highlight w:val="none"/>
                <w:lang w:val="en-US" w:eastAsia="zh-CN"/>
              </w:rPr>
              <w:t>无组织排放标准限值</w:t>
            </w:r>
          </w:p>
        </w:tc>
      </w:tr>
      <w:tr w14:paraId="23CEA54D">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52" w:type="dxa"/>
            <w:vMerge w:val="continue"/>
            <w:tcBorders>
              <w:left w:val="nil"/>
            </w:tcBorders>
            <w:vAlign w:val="center"/>
          </w:tcPr>
          <w:p w14:paraId="1F8F9BB0">
            <w:pPr>
              <w:pStyle w:val="37"/>
              <w:bidi w:val="0"/>
              <w:rPr>
                <w:rFonts w:hint="default" w:ascii="Times New Roman" w:hAnsi="Times New Roman" w:cs="Times New Roman"/>
                <w:color w:val="auto"/>
                <w:highlight w:val="none"/>
                <w:u w:val="none"/>
              </w:rPr>
            </w:pPr>
          </w:p>
        </w:tc>
        <w:tc>
          <w:tcPr>
            <w:tcW w:w="1455" w:type="dxa"/>
            <w:vMerge w:val="continue"/>
            <w:vAlign w:val="center"/>
          </w:tcPr>
          <w:p w14:paraId="5821E0A7">
            <w:pPr>
              <w:pStyle w:val="37"/>
              <w:bidi w:val="0"/>
              <w:rPr>
                <w:rFonts w:hint="default" w:ascii="Times New Roman" w:hAnsi="Times New Roman" w:cs="Times New Roman"/>
                <w:color w:val="auto"/>
                <w:highlight w:val="none"/>
                <w:u w:val="none"/>
              </w:rPr>
            </w:pPr>
          </w:p>
        </w:tc>
        <w:tc>
          <w:tcPr>
            <w:tcW w:w="2625" w:type="dxa"/>
            <w:vAlign w:val="center"/>
          </w:tcPr>
          <w:p w14:paraId="0903CC75">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苯乙烯、臭气浓度、氨</w:t>
            </w:r>
          </w:p>
        </w:tc>
        <w:tc>
          <w:tcPr>
            <w:tcW w:w="1334" w:type="dxa"/>
            <w:vAlign w:val="center"/>
          </w:tcPr>
          <w:p w14:paraId="395728EA">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1次/</w:t>
            </w:r>
            <w:r>
              <w:rPr>
                <w:rFonts w:hint="eastAsia" w:ascii="Times New Roman" w:hAnsi="Times New Roman" w:eastAsia="宋体" w:cs="Times New Roman"/>
                <w:color w:val="auto"/>
                <w:highlight w:val="none"/>
                <w:u w:val="none"/>
                <w:lang w:val="en-US" w:eastAsia="zh-CN"/>
              </w:rPr>
              <w:t>半</w:t>
            </w:r>
            <w:r>
              <w:rPr>
                <w:rFonts w:hint="default" w:ascii="Times New Roman" w:hAnsi="Times New Roman" w:cs="Times New Roman"/>
                <w:color w:val="auto"/>
                <w:highlight w:val="none"/>
                <w:u w:val="none"/>
                <w:lang w:val="en-US" w:eastAsia="zh-CN"/>
              </w:rPr>
              <w:t>年</w:t>
            </w:r>
          </w:p>
        </w:tc>
        <w:tc>
          <w:tcPr>
            <w:tcW w:w="2706" w:type="dxa"/>
            <w:tcBorders>
              <w:right w:val="nil"/>
            </w:tcBorders>
            <w:vAlign w:val="center"/>
          </w:tcPr>
          <w:p w14:paraId="25C0CD81">
            <w:pPr>
              <w:pStyle w:val="37"/>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《恶臭污染物排放标准》（GB14554-93）表1中二级排放标准</w:t>
            </w:r>
          </w:p>
        </w:tc>
      </w:tr>
      <w:tr w14:paraId="1EFF282A">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52" w:type="dxa"/>
            <w:vMerge w:val="continue"/>
            <w:tcBorders>
              <w:left w:val="nil"/>
            </w:tcBorders>
            <w:vAlign w:val="center"/>
          </w:tcPr>
          <w:p w14:paraId="304ED933">
            <w:pPr>
              <w:pStyle w:val="37"/>
              <w:bidi w:val="0"/>
              <w:rPr>
                <w:rFonts w:hint="default" w:ascii="Times New Roman" w:hAnsi="Times New Roman" w:cs="Times New Roman"/>
                <w:color w:val="auto"/>
                <w:highlight w:val="none"/>
                <w:u w:val="none"/>
              </w:rPr>
            </w:pPr>
          </w:p>
        </w:tc>
        <w:tc>
          <w:tcPr>
            <w:tcW w:w="1455" w:type="dxa"/>
            <w:vMerge w:val="continue"/>
            <w:vAlign w:val="center"/>
          </w:tcPr>
          <w:p w14:paraId="50AB9CD1">
            <w:pPr>
              <w:pStyle w:val="37"/>
              <w:bidi w:val="0"/>
              <w:rPr>
                <w:rFonts w:hint="default" w:ascii="Times New Roman" w:hAnsi="Times New Roman" w:cs="Times New Roman"/>
                <w:color w:val="auto"/>
                <w:highlight w:val="none"/>
                <w:u w:val="none"/>
              </w:rPr>
            </w:pPr>
          </w:p>
        </w:tc>
        <w:tc>
          <w:tcPr>
            <w:tcW w:w="2625" w:type="dxa"/>
            <w:vAlign w:val="center"/>
          </w:tcPr>
          <w:p w14:paraId="274067E6">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颗粒物、甲苯、非甲烷总烃</w:t>
            </w:r>
          </w:p>
        </w:tc>
        <w:tc>
          <w:tcPr>
            <w:tcW w:w="1334" w:type="dxa"/>
            <w:vAlign w:val="center"/>
          </w:tcPr>
          <w:p w14:paraId="37AAFBF2">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1次/</w:t>
            </w:r>
            <w:r>
              <w:rPr>
                <w:rFonts w:hint="eastAsia" w:ascii="Times New Roman" w:hAnsi="Times New Roman" w:eastAsia="宋体" w:cs="Times New Roman"/>
                <w:color w:val="auto"/>
                <w:highlight w:val="none"/>
                <w:u w:val="none"/>
                <w:lang w:val="en-US" w:eastAsia="zh-CN"/>
              </w:rPr>
              <w:t>半</w:t>
            </w:r>
            <w:r>
              <w:rPr>
                <w:rFonts w:hint="default" w:ascii="Times New Roman" w:hAnsi="Times New Roman" w:cs="Times New Roman"/>
                <w:color w:val="auto"/>
                <w:highlight w:val="none"/>
                <w:u w:val="none"/>
                <w:lang w:val="en-US" w:eastAsia="zh-CN"/>
              </w:rPr>
              <w:t>年</w:t>
            </w:r>
          </w:p>
        </w:tc>
        <w:tc>
          <w:tcPr>
            <w:tcW w:w="2706" w:type="dxa"/>
            <w:tcBorders>
              <w:right w:val="nil"/>
            </w:tcBorders>
            <w:vAlign w:val="center"/>
          </w:tcPr>
          <w:p w14:paraId="24F1757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《合成树脂工业污染物排放标准》（GB31572-2015）表9企业边界大气污染物浓度限值</w:t>
            </w:r>
          </w:p>
        </w:tc>
      </w:tr>
      <w:tr w14:paraId="1C803E71">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52" w:type="dxa"/>
            <w:vMerge w:val="continue"/>
            <w:tcBorders>
              <w:left w:val="nil"/>
            </w:tcBorders>
            <w:vAlign w:val="center"/>
          </w:tcPr>
          <w:p w14:paraId="2F9E7A03">
            <w:pPr>
              <w:pStyle w:val="37"/>
              <w:bidi w:val="0"/>
              <w:rPr>
                <w:rFonts w:hint="default" w:ascii="Times New Roman" w:hAnsi="Times New Roman" w:cs="Times New Roman"/>
                <w:color w:val="auto"/>
                <w:highlight w:val="none"/>
                <w:u w:val="none"/>
              </w:rPr>
            </w:pPr>
          </w:p>
        </w:tc>
        <w:tc>
          <w:tcPr>
            <w:tcW w:w="1455" w:type="dxa"/>
            <w:vAlign w:val="center"/>
          </w:tcPr>
          <w:p w14:paraId="16B060E9">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厂区内</w:t>
            </w:r>
          </w:p>
        </w:tc>
        <w:tc>
          <w:tcPr>
            <w:tcW w:w="2625" w:type="dxa"/>
            <w:vAlign w:val="center"/>
          </w:tcPr>
          <w:p w14:paraId="2244A344">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非甲烷总烃</w:t>
            </w:r>
          </w:p>
        </w:tc>
        <w:tc>
          <w:tcPr>
            <w:tcW w:w="1334" w:type="dxa"/>
            <w:vAlign w:val="center"/>
          </w:tcPr>
          <w:p w14:paraId="5DE12068">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1次/</w:t>
            </w:r>
            <w:r>
              <w:rPr>
                <w:rFonts w:hint="eastAsia" w:ascii="Times New Roman" w:hAnsi="Times New Roman" w:eastAsia="宋体" w:cs="Times New Roman"/>
                <w:color w:val="auto"/>
                <w:highlight w:val="none"/>
                <w:u w:val="none"/>
                <w:lang w:val="en-US" w:eastAsia="zh-CN"/>
              </w:rPr>
              <w:t>半</w:t>
            </w:r>
            <w:r>
              <w:rPr>
                <w:rFonts w:hint="default" w:ascii="Times New Roman" w:hAnsi="Times New Roman" w:cs="Times New Roman"/>
                <w:color w:val="auto"/>
                <w:highlight w:val="none"/>
                <w:u w:val="none"/>
                <w:lang w:val="en-US" w:eastAsia="zh-CN"/>
              </w:rPr>
              <w:t>年</w:t>
            </w:r>
          </w:p>
        </w:tc>
        <w:tc>
          <w:tcPr>
            <w:tcW w:w="2706" w:type="dxa"/>
            <w:tcBorders>
              <w:right w:val="nil"/>
            </w:tcBorders>
            <w:vAlign w:val="center"/>
          </w:tcPr>
          <w:p w14:paraId="063A087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《挥发性有机物无组织排放控制标准》（GB37822-2019）中表A.1规定的限值</w:t>
            </w:r>
          </w:p>
        </w:tc>
      </w:tr>
      <w:tr w14:paraId="4DC5E82F">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52" w:type="dxa"/>
            <w:tcBorders>
              <w:left w:val="nil"/>
              <w:bottom w:val="single" w:color="000000" w:sz="4" w:space="0"/>
            </w:tcBorders>
            <w:vAlign w:val="center"/>
          </w:tcPr>
          <w:p w14:paraId="5C764565">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噪声</w:t>
            </w:r>
          </w:p>
        </w:tc>
        <w:tc>
          <w:tcPr>
            <w:tcW w:w="1455" w:type="dxa"/>
            <w:tcBorders>
              <w:bottom w:val="single" w:color="000000" w:sz="4" w:space="0"/>
            </w:tcBorders>
            <w:vAlign w:val="center"/>
          </w:tcPr>
          <w:p w14:paraId="1476F5B8">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厂界四周</w:t>
            </w:r>
          </w:p>
        </w:tc>
        <w:tc>
          <w:tcPr>
            <w:tcW w:w="2625" w:type="dxa"/>
            <w:vAlign w:val="center"/>
          </w:tcPr>
          <w:p w14:paraId="66B5E724">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等效连续声级</w:t>
            </w:r>
          </w:p>
        </w:tc>
        <w:tc>
          <w:tcPr>
            <w:tcW w:w="1334" w:type="dxa"/>
            <w:vAlign w:val="center"/>
          </w:tcPr>
          <w:p w14:paraId="2E3B54FC">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1</w:t>
            </w:r>
            <w:r>
              <w:rPr>
                <w:rFonts w:hint="default" w:ascii="Times New Roman" w:hAnsi="Times New Roman" w:cs="Times New Roman"/>
                <w:color w:val="auto"/>
                <w:highlight w:val="none"/>
                <w:u w:val="none"/>
              </w:rPr>
              <w:t>次/季</w:t>
            </w:r>
          </w:p>
        </w:tc>
        <w:tc>
          <w:tcPr>
            <w:tcW w:w="2706" w:type="dxa"/>
            <w:tcBorders>
              <w:right w:val="nil"/>
            </w:tcBorders>
            <w:vAlign w:val="center"/>
          </w:tcPr>
          <w:p w14:paraId="0E27CDFD">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szCs w:val="21"/>
                <w:highlight w:val="none"/>
              </w:rPr>
              <w:t>《工业企业厂界环境噪声排放标准》（GB12348-2008）表1中2类标准</w:t>
            </w:r>
          </w:p>
        </w:tc>
      </w:tr>
      <w:tr w14:paraId="26367B1A">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52" w:type="dxa"/>
            <w:vMerge w:val="restart"/>
            <w:tcBorders>
              <w:top w:val="single" w:color="000000" w:sz="4" w:space="0"/>
              <w:left w:val="nil"/>
              <w:bottom w:val="single" w:color="000000" w:sz="4" w:space="0"/>
            </w:tcBorders>
            <w:vAlign w:val="center"/>
          </w:tcPr>
          <w:p w14:paraId="6B7EC649">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废水</w:t>
            </w:r>
          </w:p>
        </w:tc>
        <w:tc>
          <w:tcPr>
            <w:tcW w:w="1455" w:type="dxa"/>
            <w:vMerge w:val="restart"/>
            <w:tcBorders>
              <w:top w:val="single" w:color="000000" w:sz="4" w:space="0"/>
              <w:bottom w:val="single" w:color="000000" w:sz="4" w:space="0"/>
            </w:tcBorders>
            <w:vAlign w:val="center"/>
          </w:tcPr>
          <w:p w14:paraId="3FBDCD88">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废水</w:t>
            </w:r>
            <w:r>
              <w:rPr>
                <w:rFonts w:hint="default" w:ascii="Times New Roman" w:hAnsi="Times New Roman" w:cs="Times New Roman"/>
                <w:color w:val="auto"/>
                <w:highlight w:val="none"/>
                <w:u w:val="none"/>
                <w:lang w:val="en-US" w:eastAsia="zh-CN"/>
              </w:rPr>
              <w:t>总</w:t>
            </w:r>
            <w:r>
              <w:rPr>
                <w:rFonts w:hint="default" w:ascii="Times New Roman" w:hAnsi="Times New Roman" w:cs="Times New Roman"/>
                <w:color w:val="auto"/>
                <w:highlight w:val="none"/>
                <w:u w:val="none"/>
              </w:rPr>
              <w:t>排放口</w:t>
            </w:r>
          </w:p>
        </w:tc>
        <w:tc>
          <w:tcPr>
            <w:tcW w:w="2625" w:type="dxa"/>
            <w:shd w:val="clear" w:color="auto" w:fill="auto"/>
            <w:vAlign w:val="center"/>
          </w:tcPr>
          <w:p w14:paraId="036E3275">
            <w:pPr>
              <w:pStyle w:val="37"/>
              <w:bidi w:val="0"/>
              <w:ind w:firstLine="0" w:firstLineChars="0"/>
              <w:rPr>
                <w:rFonts w:hint="default" w:ascii="Times New Roman" w:hAnsi="Times New Roman" w:eastAsia="宋体" w:cs="Times New Roman"/>
                <w:snapToGrid w:val="0"/>
                <w:color w:val="auto"/>
                <w:spacing w:val="6"/>
                <w:sz w:val="21"/>
                <w:szCs w:val="21"/>
                <w:highlight w:val="none"/>
                <w:u w:val="none"/>
                <w:lang w:val="en-US" w:eastAsia="zh-CN" w:bidi="ar-SA"/>
              </w:rPr>
            </w:pPr>
            <w:r>
              <w:rPr>
                <w:rFonts w:hint="default" w:ascii="Times New Roman" w:hAnsi="Times New Roman" w:cs="Times New Roman"/>
                <w:color w:val="auto"/>
                <w:highlight w:val="none"/>
                <w:u w:val="none"/>
                <w:lang w:val="en-US" w:eastAsia="zh-CN"/>
              </w:rPr>
              <w:t>流量</w:t>
            </w:r>
          </w:p>
        </w:tc>
        <w:tc>
          <w:tcPr>
            <w:tcW w:w="1334" w:type="dxa"/>
            <w:shd w:val="clear" w:color="auto" w:fill="auto"/>
            <w:vAlign w:val="center"/>
          </w:tcPr>
          <w:p w14:paraId="292DD1F5">
            <w:pPr>
              <w:pStyle w:val="37"/>
              <w:bidi w:val="0"/>
              <w:ind w:firstLine="0" w:firstLineChars="0"/>
              <w:rPr>
                <w:rFonts w:hint="default" w:ascii="Times New Roman" w:hAnsi="Times New Roman" w:eastAsia="宋体" w:cs="Times New Roman"/>
                <w:snapToGrid w:val="0"/>
                <w:color w:val="auto"/>
                <w:spacing w:val="6"/>
                <w:sz w:val="21"/>
                <w:szCs w:val="21"/>
                <w:highlight w:val="none"/>
                <w:u w:val="none"/>
                <w:lang w:val="en-US" w:eastAsia="zh-CN" w:bidi="ar-SA"/>
              </w:rPr>
            </w:pPr>
            <w:r>
              <w:rPr>
                <w:rFonts w:hint="default" w:ascii="Times New Roman" w:hAnsi="Times New Roman" w:cs="Times New Roman"/>
                <w:color w:val="auto"/>
                <w:highlight w:val="none"/>
                <w:u w:val="none"/>
                <w:lang w:val="en-US" w:eastAsia="zh-CN"/>
              </w:rPr>
              <w:t>自动监测</w:t>
            </w:r>
          </w:p>
        </w:tc>
        <w:tc>
          <w:tcPr>
            <w:tcW w:w="2706" w:type="dxa"/>
            <w:vMerge w:val="restart"/>
            <w:tcBorders>
              <w:right w:val="nil"/>
            </w:tcBorders>
            <w:vAlign w:val="center"/>
          </w:tcPr>
          <w:p w14:paraId="7ACD8165">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《污水综合排放标准》（GB8978-1996）表4中三级标准</w:t>
            </w:r>
          </w:p>
        </w:tc>
      </w:tr>
      <w:tr w14:paraId="20432660">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52" w:type="dxa"/>
            <w:vMerge w:val="continue"/>
            <w:tcBorders>
              <w:top w:val="single" w:color="000000" w:sz="4" w:space="0"/>
              <w:left w:val="nil"/>
              <w:bottom w:val="single" w:color="000000" w:sz="4" w:space="0"/>
            </w:tcBorders>
            <w:vAlign w:val="center"/>
          </w:tcPr>
          <w:p w14:paraId="0139B078">
            <w:pPr>
              <w:pStyle w:val="37"/>
              <w:bidi w:val="0"/>
              <w:rPr>
                <w:rFonts w:hint="default" w:ascii="Times New Roman" w:hAnsi="Times New Roman" w:cs="Times New Roman"/>
                <w:color w:val="auto"/>
                <w:highlight w:val="none"/>
                <w:u w:val="none"/>
              </w:rPr>
            </w:pPr>
          </w:p>
        </w:tc>
        <w:tc>
          <w:tcPr>
            <w:tcW w:w="1455" w:type="dxa"/>
            <w:vMerge w:val="continue"/>
            <w:tcBorders>
              <w:top w:val="single" w:color="000000" w:sz="4" w:space="0"/>
              <w:bottom w:val="single" w:color="000000" w:sz="4" w:space="0"/>
            </w:tcBorders>
            <w:vAlign w:val="center"/>
          </w:tcPr>
          <w:p w14:paraId="0ECB0423">
            <w:pPr>
              <w:pStyle w:val="37"/>
              <w:bidi w:val="0"/>
              <w:rPr>
                <w:rFonts w:hint="default" w:ascii="Times New Roman" w:hAnsi="Times New Roman" w:cs="Times New Roman"/>
                <w:color w:val="auto"/>
                <w:highlight w:val="none"/>
                <w:u w:val="none"/>
              </w:rPr>
            </w:pPr>
          </w:p>
        </w:tc>
        <w:tc>
          <w:tcPr>
            <w:tcW w:w="2625" w:type="dxa"/>
            <w:shd w:val="clear" w:color="auto" w:fill="auto"/>
            <w:vAlign w:val="center"/>
          </w:tcPr>
          <w:p w14:paraId="6BC176E7">
            <w:pPr>
              <w:pStyle w:val="37"/>
              <w:bidi w:val="0"/>
              <w:ind w:firstLine="0" w:firstLineChars="0"/>
              <w:rPr>
                <w:rFonts w:hint="default" w:ascii="Times New Roman" w:hAnsi="Times New Roman" w:eastAsia="宋体" w:cs="Times New Roman"/>
                <w:snapToGrid w:val="0"/>
                <w:color w:val="auto"/>
                <w:spacing w:val="6"/>
                <w:sz w:val="21"/>
                <w:szCs w:val="21"/>
                <w:highlight w:val="none"/>
                <w:u w:val="none"/>
                <w:lang w:val="en-US" w:eastAsia="zh-CN" w:bidi="ar-SA"/>
              </w:rPr>
            </w:pPr>
            <w:r>
              <w:rPr>
                <w:rFonts w:hint="default" w:ascii="Times New Roman" w:hAnsi="Times New Roman" w:cs="Times New Roman"/>
                <w:color w:val="auto"/>
                <w:highlight w:val="none"/>
                <w:u w:val="none"/>
                <w:lang w:val="en-US" w:eastAsia="zh-CN"/>
              </w:rPr>
              <w:t>pH、化学需氧量、</w:t>
            </w:r>
            <w:r>
              <w:rPr>
                <w:rFonts w:hint="eastAsia" w:ascii="Times New Roman" w:hAnsi="Times New Roman" w:eastAsia="宋体" w:cs="Times New Roman"/>
                <w:color w:val="auto"/>
                <w:highlight w:val="none"/>
                <w:u w:val="none"/>
                <w:lang w:val="en-US" w:eastAsia="zh-CN"/>
              </w:rPr>
              <w:t>氨氮、磷酸盐</w:t>
            </w:r>
          </w:p>
        </w:tc>
        <w:tc>
          <w:tcPr>
            <w:tcW w:w="1334" w:type="dxa"/>
            <w:shd w:val="clear" w:color="auto" w:fill="auto"/>
            <w:vAlign w:val="center"/>
          </w:tcPr>
          <w:p w14:paraId="00753636">
            <w:pPr>
              <w:pStyle w:val="37"/>
              <w:bidi w:val="0"/>
              <w:ind w:firstLine="0" w:firstLineChars="0"/>
              <w:rPr>
                <w:rFonts w:hint="default" w:ascii="Times New Roman" w:hAnsi="Times New Roman" w:eastAsia="宋体" w:cs="Times New Roman"/>
                <w:snapToGrid w:val="0"/>
                <w:color w:val="auto"/>
                <w:spacing w:val="6"/>
                <w:sz w:val="21"/>
                <w:szCs w:val="21"/>
                <w:highlight w:val="none"/>
                <w:u w:val="none"/>
                <w:lang w:val="en-US" w:eastAsia="zh-CN" w:bidi="ar-SA"/>
              </w:rPr>
            </w:pPr>
            <w:r>
              <w:rPr>
                <w:rFonts w:hint="default" w:ascii="Times New Roman" w:hAnsi="Times New Roman" w:cs="Times New Roman"/>
                <w:color w:val="auto"/>
                <w:highlight w:val="none"/>
                <w:u w:val="none"/>
                <w:lang w:val="en-US" w:eastAsia="zh-CN"/>
              </w:rPr>
              <w:t>自动监测</w:t>
            </w:r>
          </w:p>
        </w:tc>
        <w:tc>
          <w:tcPr>
            <w:tcW w:w="2706" w:type="dxa"/>
            <w:vMerge w:val="continue"/>
            <w:tcBorders>
              <w:right w:val="nil"/>
            </w:tcBorders>
            <w:vAlign w:val="center"/>
          </w:tcPr>
          <w:p w14:paraId="46F55B41">
            <w:pPr>
              <w:pStyle w:val="37"/>
              <w:bidi w:val="0"/>
              <w:rPr>
                <w:rFonts w:hint="default" w:ascii="Times New Roman" w:hAnsi="Times New Roman" w:cs="Times New Roman"/>
                <w:color w:val="auto"/>
                <w:highlight w:val="none"/>
                <w:u w:val="none"/>
              </w:rPr>
            </w:pPr>
          </w:p>
        </w:tc>
      </w:tr>
      <w:tr w14:paraId="4D611C47">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52" w:type="dxa"/>
            <w:vMerge w:val="continue"/>
            <w:tcBorders>
              <w:top w:val="single" w:color="000000" w:sz="4" w:space="0"/>
              <w:left w:val="nil"/>
              <w:bottom w:val="single" w:color="000000" w:sz="4" w:space="0"/>
            </w:tcBorders>
            <w:vAlign w:val="center"/>
          </w:tcPr>
          <w:p w14:paraId="20971F80">
            <w:pPr>
              <w:pStyle w:val="37"/>
              <w:bidi w:val="0"/>
              <w:rPr>
                <w:rFonts w:hint="default" w:ascii="Times New Roman" w:hAnsi="Times New Roman" w:cs="Times New Roman"/>
                <w:color w:val="auto"/>
                <w:highlight w:val="none"/>
                <w:u w:val="none"/>
              </w:rPr>
            </w:pPr>
          </w:p>
        </w:tc>
        <w:tc>
          <w:tcPr>
            <w:tcW w:w="1455" w:type="dxa"/>
            <w:vMerge w:val="continue"/>
            <w:tcBorders>
              <w:top w:val="single" w:color="000000" w:sz="4" w:space="0"/>
              <w:bottom w:val="single" w:color="000000" w:sz="4" w:space="0"/>
            </w:tcBorders>
            <w:vAlign w:val="center"/>
          </w:tcPr>
          <w:p w14:paraId="16CCFD0F">
            <w:pPr>
              <w:pStyle w:val="37"/>
              <w:bidi w:val="0"/>
              <w:rPr>
                <w:rFonts w:hint="default" w:ascii="Times New Roman" w:hAnsi="Times New Roman" w:cs="Times New Roman"/>
                <w:color w:val="auto"/>
                <w:highlight w:val="none"/>
                <w:u w:val="none"/>
              </w:rPr>
            </w:pPr>
          </w:p>
        </w:tc>
        <w:tc>
          <w:tcPr>
            <w:tcW w:w="2625" w:type="dxa"/>
            <w:vAlign w:val="center"/>
          </w:tcPr>
          <w:p w14:paraId="4F4225DF">
            <w:pPr>
              <w:pStyle w:val="37"/>
              <w:bidi w:val="0"/>
              <w:rPr>
                <w:rFonts w:hint="default" w:ascii="Times New Roman" w:hAnsi="Times New Roman" w:eastAsia="宋体" w:cs="Times New Roman"/>
                <w:color w:val="auto"/>
                <w:highlight w:val="none"/>
                <w:u w:val="none"/>
                <w:lang w:val="en-US" w:eastAsia="zh-CN"/>
              </w:rPr>
            </w:pPr>
            <w:r>
              <w:rPr>
                <w:rFonts w:hint="eastAsia" w:ascii="Times New Roman" w:hAnsi="Times New Roman" w:cs="Times New Roman"/>
                <w:color w:val="auto"/>
                <w:highlight w:val="none"/>
                <w:u w:val="none"/>
                <w:lang w:val="en-US" w:eastAsia="zh-CN"/>
              </w:rPr>
              <w:t>BOD</w:t>
            </w:r>
            <w:r>
              <w:rPr>
                <w:rFonts w:hint="eastAsia" w:ascii="Times New Roman" w:hAnsi="Times New Roman" w:cs="Times New Roman"/>
                <w:color w:val="auto"/>
                <w:highlight w:val="none"/>
                <w:u w:val="none"/>
                <w:vertAlign w:val="subscript"/>
                <w:lang w:val="en-US" w:eastAsia="zh-CN"/>
              </w:rPr>
              <w:t>5</w:t>
            </w:r>
            <w:r>
              <w:rPr>
                <w:rFonts w:hint="default" w:ascii="Times New Roman" w:hAnsi="Times New Roman" w:cs="Times New Roman"/>
                <w:color w:val="auto"/>
                <w:highlight w:val="none"/>
                <w:u w:val="none"/>
                <w:lang w:val="en-US" w:eastAsia="zh-CN"/>
              </w:rPr>
              <w:t>、SS、</w:t>
            </w:r>
            <w:r>
              <w:rPr>
                <w:rFonts w:hint="default" w:ascii="Times New Roman" w:hAnsi="Times New Roman" w:cs="Times New Roman"/>
                <w:color w:val="auto"/>
                <w:highlight w:val="none"/>
                <w:u w:val="none"/>
              </w:rPr>
              <w:t>石油类</w:t>
            </w:r>
            <w:r>
              <w:rPr>
                <w:rFonts w:hint="eastAsia" w:ascii="Times New Roman" w:hAnsi="Times New Roman" w:eastAsia="宋体" w:cs="Times New Roman"/>
                <w:color w:val="auto"/>
                <w:highlight w:val="none"/>
                <w:u w:val="none"/>
                <w:lang w:eastAsia="zh-CN"/>
              </w:rPr>
              <w:t>、</w:t>
            </w:r>
            <w:r>
              <w:rPr>
                <w:rFonts w:hint="eastAsia" w:ascii="Times New Roman" w:hAnsi="Times New Roman" w:eastAsia="宋体" w:cs="Times New Roman"/>
                <w:color w:val="auto"/>
                <w:highlight w:val="none"/>
                <w:u w:val="none"/>
                <w:lang w:val="en-US" w:eastAsia="zh-CN"/>
              </w:rPr>
              <w:t>阴离子表面活性剂</w:t>
            </w:r>
          </w:p>
        </w:tc>
        <w:tc>
          <w:tcPr>
            <w:tcW w:w="1334" w:type="dxa"/>
            <w:vAlign w:val="center"/>
          </w:tcPr>
          <w:p w14:paraId="4A4FB067">
            <w:pPr>
              <w:pStyle w:val="37"/>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1次/月</w:t>
            </w:r>
          </w:p>
        </w:tc>
        <w:tc>
          <w:tcPr>
            <w:tcW w:w="2706" w:type="dxa"/>
            <w:vMerge w:val="continue"/>
            <w:tcBorders>
              <w:right w:val="nil"/>
            </w:tcBorders>
            <w:vAlign w:val="center"/>
          </w:tcPr>
          <w:p w14:paraId="12E42CC9">
            <w:pPr>
              <w:pStyle w:val="37"/>
              <w:bidi w:val="0"/>
              <w:rPr>
                <w:rFonts w:hint="default" w:ascii="Times New Roman" w:hAnsi="Times New Roman" w:cs="Times New Roman"/>
                <w:color w:val="FF0000"/>
                <w:highlight w:val="none"/>
                <w:u w:val="none"/>
              </w:rPr>
            </w:pPr>
          </w:p>
        </w:tc>
      </w:tr>
      <w:tr w14:paraId="6126CF1B">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52" w:type="dxa"/>
            <w:tcBorders>
              <w:top w:val="single" w:color="000000" w:sz="4" w:space="0"/>
              <w:left w:val="nil"/>
              <w:bottom w:val="single" w:color="000000" w:sz="4" w:space="0"/>
            </w:tcBorders>
            <w:vAlign w:val="center"/>
          </w:tcPr>
          <w:p w14:paraId="169F5E83">
            <w:pPr>
              <w:pStyle w:val="37"/>
              <w:bidi w:val="0"/>
              <w:ind w:firstLine="0" w:firstLineChars="0"/>
              <w:rPr>
                <w:rFonts w:hint="default" w:ascii="Times New Roman" w:hAnsi="Times New Roman" w:cs="Times New Roman"/>
                <w:color w:val="auto"/>
                <w:highlight w:val="none"/>
                <w:u w:val="none"/>
              </w:rPr>
            </w:pPr>
            <w:r>
              <w:rPr>
                <w:rFonts w:hint="default" w:ascii="Times New Roman" w:hAnsi="Times New Roman" w:cs="Times New Roman"/>
                <w:color w:val="auto"/>
                <w:highlight w:val="none"/>
              </w:rPr>
              <w:t>地下水环境</w:t>
            </w:r>
          </w:p>
        </w:tc>
        <w:tc>
          <w:tcPr>
            <w:tcW w:w="1455" w:type="dxa"/>
            <w:tcBorders>
              <w:top w:val="single" w:color="000000" w:sz="4" w:space="0"/>
              <w:bottom w:val="single" w:color="000000" w:sz="4" w:space="0"/>
            </w:tcBorders>
            <w:vAlign w:val="center"/>
          </w:tcPr>
          <w:p w14:paraId="657C7FB8">
            <w:pPr>
              <w:pStyle w:val="37"/>
              <w:bidi w:val="0"/>
              <w:ind w:firstLine="0" w:firstLineChars="0"/>
              <w:rPr>
                <w:rFonts w:hint="default" w:ascii="Times New Roman" w:hAnsi="Times New Roman" w:cs="Times New Roman"/>
                <w:color w:val="auto"/>
                <w:highlight w:val="none"/>
                <w:u w:val="none"/>
              </w:rPr>
            </w:pPr>
            <w:r>
              <w:rPr>
                <w:rFonts w:hint="default" w:ascii="Times New Roman" w:hAnsi="Times New Roman" w:cs="Times New Roman"/>
                <w:color w:val="auto"/>
                <w:highlight w:val="none"/>
                <w:lang w:val="en-US" w:eastAsia="zh-CN"/>
              </w:rPr>
              <w:t>1个，西侧</w:t>
            </w:r>
            <w:r>
              <w:rPr>
                <w:rFonts w:hint="default" w:ascii="Times New Roman" w:hAnsi="Times New Roman" w:cs="Times New Roman"/>
                <w:color w:val="auto"/>
                <w:highlight w:val="none"/>
              </w:rPr>
              <w:t>厂界内（地下水下游）</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15m深水井</w:t>
            </w:r>
          </w:p>
        </w:tc>
        <w:tc>
          <w:tcPr>
            <w:tcW w:w="2625" w:type="dxa"/>
            <w:vAlign w:val="center"/>
          </w:tcPr>
          <w:p w14:paraId="2AEF90CD">
            <w:pPr>
              <w:pStyle w:val="37"/>
              <w:bidi w:val="0"/>
              <w:ind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pH值、总硬度、</w:t>
            </w:r>
            <w:r>
              <w:rPr>
                <w:rFonts w:hint="eastAsia" w:ascii="Times New Roman" w:hAnsi="Times New Roman" w:cs="Times New Roman"/>
                <w:color w:val="auto"/>
                <w:highlight w:val="none"/>
                <w:u w:val="none"/>
                <w:lang w:val="en-US" w:eastAsia="zh-CN"/>
              </w:rPr>
              <w:t>溶解性总固体</w:t>
            </w:r>
            <w:r>
              <w:rPr>
                <w:rFonts w:hint="default" w:ascii="Times New Roman" w:hAnsi="Times New Roman" w:cs="Times New Roman"/>
                <w:color w:val="auto"/>
                <w:highlight w:val="none"/>
                <w:u w:val="none"/>
                <w:lang w:val="en-US" w:eastAsia="zh-CN"/>
              </w:rPr>
              <w:t>、</w:t>
            </w:r>
            <w:r>
              <w:rPr>
                <w:rFonts w:hint="eastAsia" w:ascii="Times New Roman" w:hAnsi="Times New Roman" w:cs="Times New Roman"/>
                <w:color w:val="auto"/>
                <w:highlight w:val="none"/>
                <w:u w:val="none"/>
                <w:lang w:val="en-US" w:eastAsia="zh-CN"/>
              </w:rPr>
              <w:t>硫酸盐、</w:t>
            </w:r>
            <w:r>
              <w:rPr>
                <w:rFonts w:hint="default" w:ascii="Times New Roman" w:hAnsi="Times New Roman" w:cs="Times New Roman"/>
                <w:color w:val="auto"/>
                <w:highlight w:val="none"/>
                <w:u w:val="none"/>
                <w:lang w:val="en-US" w:eastAsia="zh-CN"/>
              </w:rPr>
              <w:t>氯化物、石油类、砷、汞、铬（六价）、铅、氟、镉、铁、锰</w:t>
            </w:r>
            <w:r>
              <w:rPr>
                <w:rFonts w:hint="eastAsia" w:ascii="Times New Roman" w:hAnsi="Times New Roman" w:cs="Times New Roman"/>
                <w:color w:val="auto"/>
                <w:highlight w:val="none"/>
                <w:u w:val="none"/>
                <w:lang w:val="en-US" w:eastAsia="zh-CN"/>
              </w:rPr>
              <w:t>、</w:t>
            </w:r>
            <w:r>
              <w:rPr>
                <w:rFonts w:hint="default" w:ascii="Times New Roman" w:hAnsi="Times New Roman" w:cs="Times New Roman"/>
                <w:color w:val="auto"/>
                <w:highlight w:val="none"/>
                <w:u w:val="none"/>
                <w:lang w:val="en-US" w:eastAsia="zh-CN"/>
              </w:rPr>
              <w:t>挥发性酚、耗氧量（COD）、硝酸盐氮、亚硝酸盐氮、氨氮、</w:t>
            </w:r>
            <w:r>
              <w:rPr>
                <w:rFonts w:hint="eastAsia" w:ascii="Times New Roman" w:hAnsi="Times New Roman" w:cs="Times New Roman"/>
                <w:color w:val="auto"/>
                <w:highlight w:val="none"/>
                <w:u w:val="none"/>
                <w:lang w:val="en-US" w:eastAsia="zh-CN"/>
              </w:rPr>
              <w:t>氰化物</w:t>
            </w:r>
          </w:p>
        </w:tc>
        <w:tc>
          <w:tcPr>
            <w:tcW w:w="1334" w:type="dxa"/>
            <w:vAlign w:val="center"/>
          </w:tcPr>
          <w:p w14:paraId="638026DA">
            <w:pPr>
              <w:pStyle w:val="37"/>
              <w:bidi w:val="0"/>
              <w:ind w:firstLine="0" w:firstLineChars="0"/>
              <w:rPr>
                <w:rFonts w:hint="default" w:ascii="Times New Roman" w:hAnsi="Times New Roman" w:cs="Times New Roman"/>
                <w:color w:val="FF0000"/>
                <w:highlight w:val="none"/>
                <w:u w:val="none"/>
              </w:rPr>
            </w:pPr>
            <w:r>
              <w:rPr>
                <w:rFonts w:hint="default" w:ascii="Times New Roman" w:hAnsi="Times New Roman" w:cs="Times New Roman"/>
                <w:color w:val="000000" w:themeColor="text1"/>
                <w:highlight w:val="none"/>
                <w14:textFill>
                  <w14:solidFill>
                    <w14:schemeClr w14:val="tx1"/>
                  </w14:solidFill>
                </w14:textFill>
              </w:rPr>
              <w:t>1次/年</w:t>
            </w:r>
          </w:p>
        </w:tc>
        <w:tc>
          <w:tcPr>
            <w:tcW w:w="2706" w:type="dxa"/>
            <w:tcBorders>
              <w:right w:val="nil"/>
            </w:tcBorders>
            <w:vAlign w:val="center"/>
          </w:tcPr>
          <w:p w14:paraId="5CB9D69A">
            <w:pPr>
              <w:pStyle w:val="37"/>
              <w:bidi w:val="0"/>
              <w:ind w:firstLine="0" w:firstLineChars="0"/>
              <w:rPr>
                <w:rFonts w:hint="default" w:ascii="Times New Roman" w:hAnsi="Times New Roman" w:cs="Times New Roman"/>
                <w:color w:val="FF0000"/>
                <w:highlight w:val="none"/>
                <w:u w:val="none"/>
              </w:rPr>
            </w:pPr>
            <w:r>
              <w:rPr>
                <w:rFonts w:hint="default" w:ascii="Times New Roman" w:hAnsi="Times New Roman" w:cs="Times New Roman"/>
                <w:color w:val="000000" w:themeColor="text1"/>
                <w:highlight w:val="none"/>
                <w14:textFill>
                  <w14:solidFill>
                    <w14:schemeClr w14:val="tx1"/>
                  </w14:solidFill>
                </w14:textFill>
              </w:rPr>
              <w:t>《地下水质量标准》（GB/T14848-2017）中Ⅲ类标准</w:t>
            </w:r>
          </w:p>
        </w:tc>
      </w:tr>
      <w:tr w14:paraId="3C9F80BA">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52" w:type="dxa"/>
            <w:tcBorders>
              <w:top w:val="single" w:color="000000" w:sz="4" w:space="0"/>
              <w:left w:val="nil"/>
              <w:bottom w:val="single" w:color="000000" w:sz="12" w:space="0"/>
            </w:tcBorders>
            <w:vAlign w:val="center"/>
          </w:tcPr>
          <w:p w14:paraId="30F0C6EF">
            <w:pPr>
              <w:pStyle w:val="37"/>
              <w:bidi w:val="0"/>
              <w:ind w:firstLine="0" w:firstLineChars="0"/>
              <w:rPr>
                <w:rFonts w:hint="default" w:ascii="Times New Roman" w:hAnsi="Times New Roman" w:cs="Times New Roman"/>
                <w:color w:val="auto"/>
                <w:highlight w:val="none"/>
                <w:u w:val="none"/>
              </w:rPr>
            </w:pPr>
            <w:r>
              <w:rPr>
                <w:rFonts w:hint="default" w:ascii="Times New Roman" w:hAnsi="Times New Roman" w:cs="Times New Roman"/>
                <w:color w:val="auto"/>
                <w:highlight w:val="none"/>
              </w:rPr>
              <w:t>土壤环境</w:t>
            </w:r>
          </w:p>
        </w:tc>
        <w:tc>
          <w:tcPr>
            <w:tcW w:w="1455" w:type="dxa"/>
            <w:tcBorders>
              <w:top w:val="single" w:color="000000" w:sz="4" w:space="0"/>
              <w:bottom w:val="single" w:color="000000" w:sz="12" w:space="0"/>
            </w:tcBorders>
            <w:vAlign w:val="center"/>
          </w:tcPr>
          <w:p w14:paraId="4C058E3B">
            <w:pPr>
              <w:pStyle w:val="37"/>
              <w:bidi w:val="0"/>
              <w:ind w:firstLine="0" w:firstLineChars="0"/>
              <w:rPr>
                <w:rFonts w:hint="default" w:ascii="Times New Roman" w:hAnsi="Times New Roman" w:cs="Times New Roman"/>
                <w:color w:val="auto"/>
                <w:highlight w:val="none"/>
                <w:u w:val="none"/>
              </w:rPr>
            </w:pPr>
            <w:r>
              <w:rPr>
                <w:rFonts w:hint="default" w:ascii="Times New Roman" w:hAnsi="Times New Roman" w:cs="Times New Roman"/>
                <w:color w:val="auto"/>
                <w:highlight w:val="none"/>
              </w:rPr>
              <w:t>区域主导风向下风向东北侧</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厂区内</w:t>
            </w:r>
            <w:r>
              <w:rPr>
                <w:rFonts w:hint="default" w:ascii="Times New Roman" w:hAnsi="Times New Roman" w:cs="Times New Roman"/>
                <w:color w:val="auto"/>
                <w:highlight w:val="none"/>
                <w:lang w:eastAsia="zh-CN"/>
              </w:rPr>
              <w:t>）</w:t>
            </w:r>
          </w:p>
        </w:tc>
        <w:tc>
          <w:tcPr>
            <w:tcW w:w="2625" w:type="dxa"/>
            <w:tcBorders>
              <w:bottom w:val="single" w:color="000000" w:sz="12" w:space="0"/>
            </w:tcBorders>
            <w:vAlign w:val="center"/>
          </w:tcPr>
          <w:p w14:paraId="20A7B6C2">
            <w:pPr>
              <w:pStyle w:val="37"/>
              <w:bidi w:val="0"/>
              <w:ind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砷、镉、铬（六价）、铜、铅、汞、镍</w:t>
            </w:r>
            <w:r>
              <w:rPr>
                <w:rFonts w:hint="eastAsia" w:ascii="Times New Roman" w:hAnsi="Times New Roman" w:cs="Times New Roman"/>
                <w:color w:val="auto"/>
                <w:highlight w:val="none"/>
                <w:u w:val="none"/>
                <w:lang w:val="en-US" w:eastAsia="zh-CN"/>
              </w:rPr>
              <w:t>、石油烃</w:t>
            </w:r>
          </w:p>
        </w:tc>
        <w:tc>
          <w:tcPr>
            <w:tcW w:w="1334" w:type="dxa"/>
            <w:vAlign w:val="center"/>
          </w:tcPr>
          <w:p w14:paraId="4E9220E6">
            <w:pPr>
              <w:pStyle w:val="37"/>
              <w:bidi w:val="0"/>
              <w:ind w:firstLine="0" w:firstLineChars="0"/>
              <w:rPr>
                <w:rFonts w:hint="default" w:ascii="Times New Roman" w:hAnsi="Times New Roman" w:cs="Times New Roman"/>
                <w:color w:val="auto"/>
                <w:highlight w:val="none"/>
                <w:u w:val="none"/>
              </w:rPr>
            </w:pPr>
            <w:r>
              <w:rPr>
                <w:rFonts w:hint="default" w:ascii="Times New Roman" w:hAnsi="Times New Roman" w:cs="Times New Roman"/>
                <w:color w:val="auto"/>
                <w:highlight w:val="none"/>
              </w:rPr>
              <w:t>1次/年</w:t>
            </w:r>
          </w:p>
        </w:tc>
        <w:tc>
          <w:tcPr>
            <w:tcW w:w="2706" w:type="dxa"/>
            <w:tcBorders>
              <w:right w:val="nil"/>
            </w:tcBorders>
            <w:vAlign w:val="center"/>
          </w:tcPr>
          <w:p w14:paraId="277F0E06">
            <w:pPr>
              <w:pStyle w:val="37"/>
              <w:bidi w:val="0"/>
              <w:rPr>
                <w:rFonts w:hint="default" w:ascii="Times New Roman" w:hAnsi="Times New Roman" w:cs="Times New Roman"/>
                <w:color w:val="FF0000"/>
                <w:highlight w:val="none"/>
                <w:u w:val="none"/>
              </w:rPr>
            </w:pPr>
            <w:r>
              <w:rPr>
                <w:rFonts w:hint="default" w:ascii="Times New Roman" w:hAnsi="Times New Roman" w:cs="Times New Roman"/>
                <w:color w:val="000000" w:themeColor="text1"/>
                <w:highlight w:val="none"/>
                <w14:textFill>
                  <w14:solidFill>
                    <w14:schemeClr w14:val="tx1"/>
                  </w14:solidFill>
                </w14:textFill>
              </w:rPr>
              <w:t>《土壤环境质量 建设用地土壤污染风险管控标准（试行）》（GB36600-2018）中第二类用地标准</w:t>
            </w:r>
          </w:p>
        </w:tc>
      </w:tr>
    </w:tbl>
    <w:p w14:paraId="5431D133">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6"/>
          <w:sz w:val="32"/>
          <w:szCs w:val="32"/>
          <w:highlight w:val="none"/>
          <w:lang w:val="en-US" w:eastAsia="zh-CN"/>
        </w:rPr>
      </w:pPr>
      <w:bookmarkStart w:id="81" w:name="_Toc11513"/>
      <w:r>
        <w:rPr>
          <w:rFonts w:hint="eastAsia" w:ascii="Times New Roman" w:hAnsi="Times New Roman" w:eastAsia="微软雅黑" w:cs="Times New Roman"/>
          <w:color w:val="auto"/>
          <w:spacing w:val="6"/>
          <w:sz w:val="32"/>
          <w:szCs w:val="32"/>
          <w:highlight w:val="none"/>
          <w:lang w:val="en-US" w:eastAsia="zh-CN"/>
        </w:rPr>
        <w:t>8</w:t>
      </w:r>
      <w:r>
        <w:rPr>
          <w:rFonts w:hint="default" w:ascii="Times New Roman" w:hAnsi="Times New Roman" w:eastAsia="微软雅黑" w:cs="Times New Roman"/>
          <w:color w:val="auto"/>
          <w:spacing w:val="6"/>
          <w:sz w:val="32"/>
          <w:szCs w:val="32"/>
          <w:highlight w:val="none"/>
          <w:lang w:val="en-US" w:eastAsia="zh-CN"/>
        </w:rPr>
        <w:t>.</w:t>
      </w:r>
      <w:r>
        <w:rPr>
          <w:rFonts w:hint="eastAsia" w:ascii="Times New Roman" w:hAnsi="Times New Roman" w:eastAsia="微软雅黑" w:cs="Times New Roman"/>
          <w:color w:val="auto"/>
          <w:spacing w:val="6"/>
          <w:sz w:val="32"/>
          <w:szCs w:val="32"/>
          <w:highlight w:val="none"/>
          <w:lang w:val="en-US" w:eastAsia="zh-CN"/>
        </w:rPr>
        <w:t>4</w:t>
      </w:r>
      <w:r>
        <w:rPr>
          <w:rFonts w:hint="default" w:ascii="Times New Roman" w:hAnsi="Times New Roman" w:eastAsia="微软雅黑" w:cs="Times New Roman"/>
          <w:color w:val="auto"/>
          <w:spacing w:val="6"/>
          <w:sz w:val="32"/>
          <w:szCs w:val="32"/>
          <w:highlight w:val="none"/>
          <w:lang w:val="en-US" w:eastAsia="zh-CN"/>
        </w:rPr>
        <w:t xml:space="preserve"> “三同时”环保验收</w:t>
      </w:r>
      <w:bookmarkEnd w:id="81"/>
    </w:p>
    <w:p w14:paraId="287E2C2A">
      <w:pPr>
        <w:keepNext w:val="0"/>
        <w:keepLines w:val="0"/>
        <w:pageBreakBefore w:val="0"/>
        <w:widowControl/>
        <w:kinsoku/>
        <w:wordWrap/>
        <w:overflowPunct/>
        <w:topLinePunct w:val="0"/>
        <w:autoSpaceDE w:val="0"/>
        <w:autoSpaceDN w:val="0"/>
        <w:bidi w:val="0"/>
        <w:adjustRightInd w:val="0"/>
        <w:snapToGrid w:val="0"/>
        <w:spacing w:line="360" w:lineRule="auto"/>
        <w:ind w:left="0" w:firstLine="476" w:firstLineChars="200"/>
        <w:jc w:val="both"/>
        <w:textAlignment w:val="baseline"/>
        <w:rPr>
          <w:rFonts w:hint="default" w:ascii="Times New Roman" w:hAnsi="Times New Roman" w:eastAsia="宋体" w:cs="Times New Roman"/>
          <w:color w:val="auto"/>
          <w:spacing w:val="-1"/>
          <w:sz w:val="24"/>
          <w:szCs w:val="24"/>
          <w:lang w:val="en-US" w:eastAsia="zh-CN"/>
        </w:rPr>
      </w:pPr>
      <w:r>
        <w:rPr>
          <w:rFonts w:hint="default" w:ascii="Times New Roman" w:hAnsi="Times New Roman" w:eastAsia="宋体" w:cs="Times New Roman"/>
          <w:color w:val="auto"/>
          <w:spacing w:val="-1"/>
          <w:sz w:val="24"/>
          <w:szCs w:val="24"/>
          <w:lang w:val="en-US" w:eastAsia="zh-CN"/>
        </w:rPr>
        <w:t>根据《建设项目竣工环境保护验收暂行办法》，建设单位是建设项目竣工环境保护验收的责任主体。建设项目竣工后，建设单位应当如实查验、监测、记载建设项目环境保护设施的建设情况，编制验收监测报告。根据《建设项目环境保护管理条例》项目建设与环境保护应实行“三同时”制度，本项目环境保护“三同时”验收一览表见下表</w:t>
      </w:r>
      <w:r>
        <w:rPr>
          <w:rFonts w:hint="eastAsia" w:ascii="Times New Roman" w:hAnsi="Times New Roman" w:eastAsia="宋体" w:cs="Times New Roman"/>
          <w:color w:val="auto"/>
          <w:spacing w:val="-1"/>
          <w:sz w:val="24"/>
          <w:szCs w:val="24"/>
          <w:lang w:val="en-US" w:eastAsia="zh-CN"/>
        </w:rPr>
        <w:t>8.4</w:t>
      </w:r>
      <w:r>
        <w:rPr>
          <w:rFonts w:hint="default" w:ascii="Times New Roman" w:hAnsi="Times New Roman" w:eastAsia="宋体" w:cs="Times New Roman"/>
          <w:color w:val="auto"/>
          <w:spacing w:val="-1"/>
          <w:sz w:val="24"/>
          <w:szCs w:val="24"/>
          <w:lang w:val="en-US" w:eastAsia="zh-CN"/>
        </w:rPr>
        <w:t>-1。</w:t>
      </w:r>
    </w:p>
    <w:p w14:paraId="34EC8D7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color w:val="FF0000"/>
          <w:sz w:val="24"/>
          <w:szCs w:val="24"/>
          <w:lang w:val="en-US" w:eastAsia="zh-CN"/>
        </w:rPr>
        <w:sectPr>
          <w:pgSz w:w="11906" w:h="16838"/>
          <w:pgMar w:top="1134" w:right="1417" w:bottom="1134" w:left="1417" w:header="850"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2FCC0A05">
      <w:pPr>
        <w:pStyle w:val="44"/>
        <w:bidi w:val="0"/>
        <w:rPr>
          <w:rFonts w:hint="eastAsia" w:eastAsia="宋体"/>
          <w:color w:val="auto"/>
          <w:highlight w:val="none"/>
          <w:lang w:eastAsia="zh-CN"/>
        </w:rPr>
      </w:pPr>
      <w:r>
        <w:rPr>
          <w:color w:val="auto"/>
          <w:highlight w:val="none"/>
        </w:rPr>
        <w:t>表</w:t>
      </w:r>
      <w:r>
        <w:rPr>
          <w:rFonts w:hint="eastAsia"/>
          <w:color w:val="auto"/>
          <w:highlight w:val="none"/>
        </w:rPr>
        <w:t>8.</w:t>
      </w:r>
      <w:r>
        <w:rPr>
          <w:rFonts w:hint="eastAsia"/>
          <w:color w:val="auto"/>
          <w:highlight w:val="none"/>
          <w:lang w:val="en-US" w:eastAsia="zh-CN"/>
        </w:rPr>
        <w:t>4</w:t>
      </w:r>
      <w:r>
        <w:rPr>
          <w:rFonts w:hint="eastAsia"/>
          <w:color w:val="auto"/>
          <w:highlight w:val="none"/>
        </w:rPr>
        <w:t>-1</w:t>
      </w:r>
      <w:r>
        <w:rPr>
          <w:rFonts w:hint="eastAsia"/>
          <w:color w:val="auto"/>
          <w:highlight w:val="none"/>
          <w:lang w:val="en-US" w:eastAsia="zh-CN"/>
        </w:rPr>
        <w:t xml:space="preserve"> </w:t>
      </w:r>
      <w:r>
        <w:rPr>
          <w:rFonts w:hint="eastAsia"/>
          <w:color w:val="auto"/>
          <w:highlight w:val="none"/>
        </w:rPr>
        <w:t xml:space="preserve"> </w:t>
      </w:r>
      <w:r>
        <w:rPr>
          <w:color w:val="auto"/>
          <w:highlight w:val="none"/>
        </w:rPr>
        <w:t>环境保护</w:t>
      </w:r>
      <w:r>
        <w:rPr>
          <w:rFonts w:hint="eastAsia"/>
          <w:color w:val="auto"/>
          <w:highlight w:val="none"/>
          <w:lang w:val="en-US" w:eastAsia="zh-CN"/>
        </w:rPr>
        <w:t>设施</w:t>
      </w:r>
      <w:r>
        <w:rPr>
          <w:color w:val="auto"/>
          <w:highlight w:val="none"/>
        </w:rPr>
        <w:t>验收监测一览表</w:t>
      </w:r>
    </w:p>
    <w:tbl>
      <w:tblPr>
        <w:tblStyle w:val="41"/>
        <w:tblW w:w="5000" w:type="pct"/>
        <w:tblInd w:w="0" w:type="dxa"/>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Layout w:type="autofit"/>
        <w:tblCellMar>
          <w:top w:w="0" w:type="dxa"/>
          <w:left w:w="0" w:type="dxa"/>
          <w:bottom w:w="0" w:type="dxa"/>
          <w:right w:w="0" w:type="dxa"/>
        </w:tblCellMar>
      </w:tblPr>
      <w:tblGrid>
        <w:gridCol w:w="655"/>
        <w:gridCol w:w="1726"/>
        <w:gridCol w:w="1971"/>
        <w:gridCol w:w="5460"/>
        <w:gridCol w:w="4758"/>
      </w:tblGrid>
      <w:tr w14:paraId="0B80385E">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5" w:type="pct"/>
            <w:tcBorders>
              <w:left w:val="nil"/>
            </w:tcBorders>
            <w:vAlign w:val="center"/>
          </w:tcPr>
          <w:p w14:paraId="74166881">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项目</w:t>
            </w:r>
          </w:p>
        </w:tc>
        <w:tc>
          <w:tcPr>
            <w:tcW w:w="592" w:type="pct"/>
            <w:vAlign w:val="center"/>
          </w:tcPr>
          <w:p w14:paraId="52FD895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w:t>
            </w:r>
          </w:p>
        </w:tc>
        <w:tc>
          <w:tcPr>
            <w:tcW w:w="676" w:type="pct"/>
            <w:vAlign w:val="center"/>
          </w:tcPr>
          <w:p w14:paraId="63007A0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污染因子</w:t>
            </w:r>
          </w:p>
        </w:tc>
        <w:tc>
          <w:tcPr>
            <w:tcW w:w="1872" w:type="pct"/>
            <w:vAlign w:val="center"/>
          </w:tcPr>
          <w:p w14:paraId="3670AFA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污染防治措施</w:t>
            </w:r>
          </w:p>
        </w:tc>
        <w:tc>
          <w:tcPr>
            <w:tcW w:w="1632" w:type="pct"/>
            <w:tcBorders>
              <w:right w:val="nil"/>
            </w:tcBorders>
            <w:vAlign w:val="center"/>
          </w:tcPr>
          <w:p w14:paraId="244459C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验收内容及要求</w:t>
            </w:r>
          </w:p>
        </w:tc>
      </w:tr>
      <w:tr w14:paraId="03F5E4D4">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5" w:type="pct"/>
            <w:vMerge w:val="restart"/>
            <w:tcBorders>
              <w:left w:val="nil"/>
            </w:tcBorders>
            <w:vAlign w:val="center"/>
          </w:tcPr>
          <w:p w14:paraId="1450A499">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tc>
        <w:tc>
          <w:tcPr>
            <w:tcW w:w="592" w:type="pct"/>
            <w:vAlign w:val="center"/>
          </w:tcPr>
          <w:p w14:paraId="1700310B">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DA001</w:t>
            </w:r>
            <w:r>
              <w:rPr>
                <w:rFonts w:hint="default" w:ascii="Times New Roman" w:hAnsi="Times New Roman" w:eastAsia="宋体" w:cs="Times New Roman"/>
                <w:color w:val="auto"/>
                <w:highlight w:val="none"/>
                <w:lang w:val="en-US" w:eastAsia="zh-CN"/>
              </w:rPr>
              <w:t>注塑废气</w:t>
            </w:r>
            <w:r>
              <w:rPr>
                <w:rFonts w:hint="default" w:ascii="Times New Roman" w:hAnsi="Times New Roman" w:cs="Times New Roman"/>
                <w:color w:val="auto"/>
                <w:highlight w:val="none"/>
                <w:lang w:val="en-US" w:eastAsia="zh-CN"/>
              </w:rPr>
              <w:t>排气筒</w:t>
            </w:r>
          </w:p>
        </w:tc>
        <w:tc>
          <w:tcPr>
            <w:tcW w:w="676" w:type="pct"/>
            <w:vAlign w:val="center"/>
          </w:tcPr>
          <w:p w14:paraId="798F0DC0">
            <w:pPr>
              <w:pStyle w:val="37"/>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非甲烷总烃、苯乙烯、丙烯腈、乙苯、甲苯、1，3-丁二烯、酚类、氯苯类、二氯甲烷、氨</w:t>
            </w:r>
            <w:r>
              <w:rPr>
                <w:rFonts w:hint="eastAsia" w:ascii="Times New Roman" w:hAnsi="Times New Roman" w:cs="Times New Roman"/>
                <w:color w:val="auto"/>
                <w:highlight w:val="none"/>
                <w:lang w:val="en-US" w:eastAsia="zh-CN"/>
              </w:rPr>
              <w:t>、臭气浓度</w:t>
            </w:r>
          </w:p>
        </w:tc>
        <w:tc>
          <w:tcPr>
            <w:tcW w:w="1872" w:type="pct"/>
            <w:vAlign w:val="center"/>
          </w:tcPr>
          <w:p w14:paraId="0974D2D8">
            <w:pPr>
              <w:pStyle w:val="37"/>
              <w:bidi w:val="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集气罩</w:t>
            </w:r>
            <w:r>
              <w:rPr>
                <w:rFonts w:hint="default" w:ascii="Times New Roman" w:hAnsi="Times New Roman" w:cs="Times New Roman"/>
                <w:color w:val="auto"/>
                <w:highlight w:val="none"/>
              </w:rPr>
              <w:t>+</w:t>
            </w:r>
            <w:r>
              <w:rPr>
                <w:rFonts w:hint="default" w:ascii="Times New Roman" w:hAnsi="Times New Roman" w:eastAsia="宋体" w:cs="Times New Roman"/>
                <w:color w:val="auto"/>
                <w:highlight w:val="none"/>
                <w:lang w:val="en-US" w:eastAsia="zh-CN"/>
              </w:rPr>
              <w:t>四级活性炭</w:t>
            </w:r>
            <w:r>
              <w:rPr>
                <w:rFonts w:hint="default" w:ascii="Times New Roman" w:hAnsi="Times New Roman" w:cs="Times New Roman"/>
                <w:color w:val="auto"/>
                <w:highlight w:val="none"/>
              </w:rPr>
              <w:t>吸附装置+15m高排气筒</w:t>
            </w:r>
          </w:p>
        </w:tc>
        <w:tc>
          <w:tcPr>
            <w:tcW w:w="1632" w:type="pct"/>
            <w:tcBorders>
              <w:right w:val="nil"/>
            </w:tcBorders>
            <w:vAlign w:val="center"/>
          </w:tcPr>
          <w:p w14:paraId="360F68F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《合成树脂工业污染物排放标准》（GB 31572-2015，含2024年修改单）中表4大气污染物排放限值</w:t>
            </w:r>
          </w:p>
        </w:tc>
      </w:tr>
      <w:tr w14:paraId="5E9778E5">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5" w:type="pct"/>
            <w:vMerge w:val="continue"/>
            <w:tcBorders>
              <w:left w:val="nil"/>
            </w:tcBorders>
            <w:vAlign w:val="center"/>
          </w:tcPr>
          <w:p w14:paraId="1684D7B9">
            <w:pPr>
              <w:pStyle w:val="37"/>
              <w:bidi w:val="0"/>
              <w:rPr>
                <w:rFonts w:hint="default" w:ascii="Times New Roman" w:hAnsi="Times New Roman" w:cs="Times New Roman"/>
                <w:color w:val="auto"/>
                <w:highlight w:val="none"/>
              </w:rPr>
            </w:pPr>
          </w:p>
        </w:tc>
        <w:tc>
          <w:tcPr>
            <w:tcW w:w="592" w:type="pct"/>
            <w:vAlign w:val="center"/>
          </w:tcPr>
          <w:p w14:paraId="02328C84">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DA002</w:t>
            </w:r>
            <w:r>
              <w:rPr>
                <w:rFonts w:hint="default" w:ascii="Times New Roman" w:hAnsi="Times New Roman" w:cs="Times New Roman"/>
                <w:color w:val="auto"/>
                <w:highlight w:val="none"/>
                <w:lang w:val="en-US" w:eastAsia="zh-CN"/>
              </w:rPr>
              <w:t>喷涂废气（调漆废气、喷漆废气、流平废气、烘干废气）、管路和喷枪清洗废气与丝印废气排气筒</w:t>
            </w:r>
          </w:p>
        </w:tc>
        <w:tc>
          <w:tcPr>
            <w:tcW w:w="676" w:type="pct"/>
            <w:vAlign w:val="center"/>
          </w:tcPr>
          <w:p w14:paraId="12738950">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非甲烷总烃、颗粒物</w:t>
            </w:r>
          </w:p>
        </w:tc>
        <w:tc>
          <w:tcPr>
            <w:tcW w:w="1872" w:type="pct"/>
            <w:vAlign w:val="center"/>
          </w:tcPr>
          <w:p w14:paraId="64F3141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水帘式漆雾净化+沸石转轮吸附+RTO焚烧装置</w:t>
            </w:r>
            <w:r>
              <w:rPr>
                <w:rFonts w:hint="default" w:ascii="Times New Roman" w:hAnsi="Times New Roman" w:cs="Times New Roman"/>
                <w:color w:val="auto"/>
                <w:highlight w:val="none"/>
              </w:rPr>
              <w:t>+</w:t>
            </w:r>
            <w:r>
              <w:rPr>
                <w:rFonts w:hint="default" w:ascii="Times New Roman" w:hAnsi="Times New Roman" w:eastAsia="宋体" w:cs="Times New Roman"/>
                <w:color w:val="auto"/>
                <w:highlight w:val="none"/>
                <w:lang w:val="en-US" w:eastAsia="zh-CN"/>
              </w:rPr>
              <w:t>22.5</w:t>
            </w:r>
            <w:r>
              <w:rPr>
                <w:rFonts w:hint="default" w:ascii="Times New Roman" w:hAnsi="Times New Roman" w:cs="Times New Roman"/>
                <w:color w:val="auto"/>
                <w:highlight w:val="none"/>
              </w:rPr>
              <w:t>m高排气筒</w:t>
            </w:r>
          </w:p>
        </w:tc>
        <w:tc>
          <w:tcPr>
            <w:tcW w:w="1632" w:type="pct"/>
            <w:tcBorders>
              <w:right w:val="nil"/>
            </w:tcBorders>
            <w:vAlign w:val="center"/>
          </w:tcPr>
          <w:p w14:paraId="74614D4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《大气污染物综合排放标准》（GB16297-1996）表2中二级排放限值</w:t>
            </w:r>
          </w:p>
        </w:tc>
      </w:tr>
      <w:tr w14:paraId="76E43360">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5" w:type="pct"/>
            <w:vMerge w:val="continue"/>
            <w:tcBorders>
              <w:left w:val="nil"/>
            </w:tcBorders>
            <w:vAlign w:val="center"/>
          </w:tcPr>
          <w:p w14:paraId="2FEBECF9">
            <w:pPr>
              <w:pStyle w:val="37"/>
              <w:bidi w:val="0"/>
              <w:rPr>
                <w:rFonts w:hint="default" w:ascii="Times New Roman" w:hAnsi="Times New Roman" w:cs="Times New Roman"/>
                <w:color w:val="auto"/>
                <w:highlight w:val="none"/>
              </w:rPr>
            </w:pPr>
          </w:p>
        </w:tc>
        <w:tc>
          <w:tcPr>
            <w:tcW w:w="592" w:type="pct"/>
            <w:vAlign w:val="center"/>
          </w:tcPr>
          <w:p w14:paraId="30270DB4">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DA003</w:t>
            </w:r>
            <w:r>
              <w:rPr>
                <w:rFonts w:hint="default" w:ascii="Times New Roman" w:hAnsi="Times New Roman" w:eastAsia="宋体" w:cs="Times New Roman"/>
                <w:color w:val="auto"/>
                <w:highlight w:val="none"/>
                <w:lang w:val="en-US" w:eastAsia="zh-CN"/>
              </w:rPr>
              <w:t>天然气燃烧废气烟囱</w:t>
            </w:r>
          </w:p>
        </w:tc>
        <w:tc>
          <w:tcPr>
            <w:tcW w:w="676" w:type="pct"/>
            <w:vAlign w:val="center"/>
          </w:tcPr>
          <w:p w14:paraId="5156E8C0">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烟尘、二氧化硫、氮氧化物、烟气黑度</w:t>
            </w:r>
          </w:p>
        </w:tc>
        <w:tc>
          <w:tcPr>
            <w:tcW w:w="1872" w:type="pct"/>
            <w:vAlign w:val="center"/>
          </w:tcPr>
          <w:p w14:paraId="08D3C79F">
            <w:pPr>
              <w:pStyle w:val="37"/>
              <w:bidi w:val="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低氮燃烧</w:t>
            </w:r>
            <w:r>
              <w:rPr>
                <w:rFonts w:hint="default" w:ascii="Times New Roman" w:hAnsi="Times New Roman" w:cs="Times New Roman"/>
                <w:color w:val="auto"/>
                <w:highlight w:val="none"/>
              </w:rPr>
              <w:t>+</w:t>
            </w:r>
            <w:r>
              <w:rPr>
                <w:rFonts w:hint="default" w:ascii="Times New Roman" w:hAnsi="Times New Roman" w:eastAsia="宋体" w:cs="Times New Roman"/>
                <w:color w:val="auto"/>
                <w:highlight w:val="none"/>
                <w:lang w:val="en-US" w:eastAsia="zh-CN"/>
              </w:rPr>
              <w:t>20.5</w:t>
            </w:r>
            <w:r>
              <w:rPr>
                <w:rFonts w:hint="default" w:ascii="Times New Roman" w:hAnsi="Times New Roman" w:cs="Times New Roman"/>
                <w:color w:val="auto"/>
                <w:highlight w:val="none"/>
              </w:rPr>
              <w:t>m高排气筒</w:t>
            </w:r>
          </w:p>
        </w:tc>
        <w:tc>
          <w:tcPr>
            <w:tcW w:w="1632" w:type="pct"/>
            <w:tcBorders>
              <w:right w:val="nil"/>
            </w:tcBorders>
            <w:vAlign w:val="center"/>
          </w:tcPr>
          <w:p w14:paraId="0CF110D3">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《工业窑炉大气污染物排放标准》(GB 9078-1996)二级标准限值要求</w:t>
            </w:r>
          </w:p>
        </w:tc>
      </w:tr>
      <w:tr w14:paraId="3B42D375">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5" w:type="pct"/>
            <w:vMerge w:val="continue"/>
            <w:tcBorders>
              <w:left w:val="nil"/>
            </w:tcBorders>
            <w:vAlign w:val="center"/>
          </w:tcPr>
          <w:p w14:paraId="7DB03406">
            <w:pPr>
              <w:pStyle w:val="37"/>
              <w:bidi w:val="0"/>
              <w:rPr>
                <w:rFonts w:hint="default" w:ascii="Times New Roman" w:hAnsi="Times New Roman" w:cs="Times New Roman"/>
                <w:color w:val="auto"/>
                <w:highlight w:val="none"/>
              </w:rPr>
            </w:pPr>
          </w:p>
        </w:tc>
        <w:tc>
          <w:tcPr>
            <w:tcW w:w="592" w:type="pct"/>
            <w:vAlign w:val="center"/>
          </w:tcPr>
          <w:p w14:paraId="3E78EEAD">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DA004</w:t>
            </w:r>
            <w:r>
              <w:rPr>
                <w:rFonts w:hint="eastAsia" w:ascii="Times New Roman" w:hAnsi="Times New Roman" w:cs="Times New Roman"/>
                <w:color w:val="auto"/>
                <w:highlight w:val="none"/>
                <w:lang w:val="en-US" w:eastAsia="zh-CN"/>
              </w:rPr>
              <w:t>配胶、喷胶及烘干</w:t>
            </w:r>
            <w:r>
              <w:rPr>
                <w:rFonts w:hint="default" w:ascii="Times New Roman" w:hAnsi="Times New Roman" w:cs="Times New Roman"/>
                <w:color w:val="auto"/>
                <w:highlight w:val="none"/>
                <w:lang w:val="en-US" w:eastAsia="zh-CN"/>
              </w:rPr>
              <w:t>废气、发泡废气</w:t>
            </w:r>
          </w:p>
        </w:tc>
        <w:tc>
          <w:tcPr>
            <w:tcW w:w="676" w:type="pct"/>
            <w:vAlign w:val="center"/>
          </w:tcPr>
          <w:p w14:paraId="778C4DF9">
            <w:pPr>
              <w:pStyle w:val="37"/>
              <w:bidi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非甲烷总烃</w:t>
            </w:r>
          </w:p>
        </w:tc>
        <w:tc>
          <w:tcPr>
            <w:tcW w:w="1872" w:type="pct"/>
            <w:vAlign w:val="center"/>
          </w:tcPr>
          <w:p w14:paraId="2D99A7BE">
            <w:pPr>
              <w:pStyle w:val="37"/>
              <w:bidi w:val="0"/>
              <w:rPr>
                <w:rFonts w:hint="default" w:ascii="Times New Roman" w:hAnsi="Times New Roman" w:cs="Times New Roman"/>
                <w:color w:val="auto"/>
                <w:highlight w:val="none"/>
              </w:rPr>
            </w:pPr>
            <w:r>
              <w:rPr>
                <w:rFonts w:hint="eastAsia" w:ascii="Times New Roman" w:hAnsi="Times New Roman" w:eastAsia="宋体" w:cs="Times New Roman"/>
                <w:color w:val="auto"/>
                <w:highlight w:val="none"/>
                <w:lang w:val="en-US" w:eastAsia="zh-CN"/>
              </w:rPr>
              <w:t>集气罩</w:t>
            </w:r>
            <w:r>
              <w:rPr>
                <w:rFonts w:hint="default" w:ascii="Times New Roman" w:hAnsi="Times New Roman" w:cs="Times New Roman"/>
                <w:color w:val="auto"/>
                <w:highlight w:val="none"/>
              </w:rPr>
              <w:t>+</w:t>
            </w:r>
            <w:r>
              <w:rPr>
                <w:rFonts w:hint="default" w:ascii="Times New Roman" w:hAnsi="Times New Roman" w:eastAsia="宋体" w:cs="Times New Roman"/>
                <w:color w:val="auto"/>
                <w:highlight w:val="none"/>
                <w:lang w:val="en-US" w:eastAsia="zh-CN"/>
              </w:rPr>
              <w:t>四级活性炭</w:t>
            </w:r>
            <w:r>
              <w:rPr>
                <w:rFonts w:hint="default" w:ascii="Times New Roman" w:hAnsi="Times New Roman" w:cs="Times New Roman"/>
                <w:color w:val="auto"/>
                <w:highlight w:val="none"/>
              </w:rPr>
              <w:t>吸附装置+15m高排气筒</w:t>
            </w:r>
          </w:p>
        </w:tc>
        <w:tc>
          <w:tcPr>
            <w:tcW w:w="1632" w:type="pct"/>
            <w:tcBorders>
              <w:right w:val="nil"/>
            </w:tcBorders>
            <w:vAlign w:val="center"/>
          </w:tcPr>
          <w:p w14:paraId="6C939031">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《合成树脂工业污染物排放标准》（GB 31572-2015，含2024年修改单）中表4大气污染物排放限值</w:t>
            </w:r>
          </w:p>
        </w:tc>
      </w:tr>
      <w:tr w14:paraId="2B6C534F">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5" w:type="pct"/>
            <w:vMerge w:val="continue"/>
            <w:tcBorders>
              <w:left w:val="nil"/>
            </w:tcBorders>
            <w:vAlign w:val="center"/>
          </w:tcPr>
          <w:p w14:paraId="7281837F">
            <w:pPr>
              <w:pStyle w:val="37"/>
              <w:bidi w:val="0"/>
              <w:rPr>
                <w:rFonts w:hint="default" w:ascii="Times New Roman" w:hAnsi="Times New Roman" w:cs="Times New Roman"/>
                <w:color w:val="auto"/>
                <w:highlight w:val="none"/>
              </w:rPr>
            </w:pPr>
          </w:p>
        </w:tc>
        <w:tc>
          <w:tcPr>
            <w:tcW w:w="592" w:type="pct"/>
            <w:vAlign w:val="center"/>
          </w:tcPr>
          <w:p w14:paraId="1343EBB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生产车间无组织废气</w:t>
            </w:r>
          </w:p>
        </w:tc>
        <w:tc>
          <w:tcPr>
            <w:tcW w:w="676" w:type="pct"/>
            <w:vAlign w:val="center"/>
          </w:tcPr>
          <w:p w14:paraId="1B2A64D7">
            <w:pPr>
              <w:pStyle w:val="37"/>
              <w:bidi w:val="0"/>
              <w:rPr>
                <w:rFonts w:hint="default" w:ascii="Times New Roman" w:hAnsi="Times New Roman" w:cs="Times New Roman"/>
                <w:color w:val="FF0000"/>
                <w:highlight w:val="none"/>
                <w:lang w:val="en-US"/>
              </w:rPr>
            </w:pPr>
            <w:r>
              <w:rPr>
                <w:rFonts w:hint="default" w:ascii="Times New Roman" w:hAnsi="Times New Roman" w:cs="Times New Roman"/>
                <w:color w:val="auto"/>
                <w:highlight w:val="none"/>
                <w:lang w:val="en-US" w:eastAsia="zh-CN"/>
              </w:rPr>
              <w:t>非甲烷总烃、苯乙烯、丙烯腈、乙苯、甲苯、1，3-丁二烯、酚类、氯苯类、二氯甲烷、氨</w:t>
            </w:r>
            <w:r>
              <w:rPr>
                <w:rFonts w:hint="eastAsia" w:ascii="Times New Roman" w:hAnsi="Times New Roman" w:cs="Times New Roman"/>
                <w:color w:val="auto"/>
                <w:highlight w:val="none"/>
                <w:lang w:val="en-US" w:eastAsia="zh-CN"/>
              </w:rPr>
              <w:t>、臭气浓度、颗粒物</w:t>
            </w:r>
          </w:p>
        </w:tc>
        <w:tc>
          <w:tcPr>
            <w:tcW w:w="1872" w:type="pct"/>
            <w:vAlign w:val="center"/>
          </w:tcPr>
          <w:p w14:paraId="7F387D7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物料密闭存放运输、</w:t>
            </w:r>
            <w:r>
              <w:rPr>
                <w:rFonts w:hint="default" w:ascii="Times New Roman" w:hAnsi="Times New Roman" w:cs="Times New Roman"/>
                <w:color w:val="auto"/>
                <w:highlight w:val="none"/>
                <w:lang w:val="en-US" w:eastAsia="zh-CN"/>
              </w:rPr>
              <w:t>负压集气</w:t>
            </w:r>
            <w:r>
              <w:rPr>
                <w:rFonts w:hint="default" w:ascii="Times New Roman" w:hAnsi="Times New Roman" w:cs="Times New Roman"/>
                <w:color w:val="auto"/>
                <w:highlight w:val="none"/>
              </w:rPr>
              <w:t>、车间密闭</w:t>
            </w:r>
          </w:p>
        </w:tc>
        <w:tc>
          <w:tcPr>
            <w:tcW w:w="1632" w:type="pct"/>
            <w:tcBorders>
              <w:right w:val="nil"/>
            </w:tcBorders>
            <w:vAlign w:val="center"/>
          </w:tcPr>
          <w:p w14:paraId="5E291914">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合成树脂工业污染物排放标准》（GB31572-2015）</w:t>
            </w:r>
            <w:r>
              <w:rPr>
                <w:rFonts w:hint="default" w:ascii="Times New Roman" w:hAnsi="Times New Roman" w:cs="Times New Roman"/>
                <w:color w:val="auto"/>
                <w:highlight w:val="none"/>
                <w:lang w:val="en-US" w:eastAsia="zh-CN"/>
              </w:rPr>
              <w:t>表9企业边界大气污染物浓度限值</w:t>
            </w:r>
            <w:r>
              <w:rPr>
                <w:rFonts w:hint="eastAsia" w:ascii="Times New Roman" w:hAnsi="Times New Roman" w:cs="Times New Roman"/>
                <w:color w:val="auto"/>
                <w:highlight w:val="none"/>
                <w:lang w:val="en-US" w:eastAsia="zh-CN"/>
              </w:rPr>
              <w:t>；《恶臭污染物排放标准》（GB14554-93）表1中二级排放标准；</w:t>
            </w:r>
            <w:r>
              <w:rPr>
                <w:rFonts w:hint="default" w:ascii="Times New Roman" w:hAnsi="Times New Roman" w:cs="Times New Roman"/>
                <w:color w:val="auto"/>
                <w:highlight w:val="none"/>
              </w:rPr>
              <w:t>《大气污染物综合排放标准》（GB16297-1996）中</w:t>
            </w:r>
            <w:r>
              <w:rPr>
                <w:rFonts w:hint="default" w:ascii="Times New Roman" w:hAnsi="Times New Roman" w:cs="Times New Roman"/>
                <w:color w:val="auto"/>
                <w:highlight w:val="none"/>
                <w:lang w:val="en-US" w:eastAsia="zh-CN"/>
              </w:rPr>
              <w:t>无组织</w:t>
            </w:r>
            <w:r>
              <w:rPr>
                <w:rFonts w:hint="default" w:ascii="Times New Roman" w:hAnsi="Times New Roman" w:cs="Times New Roman"/>
                <w:color w:val="auto"/>
                <w:highlight w:val="none"/>
              </w:rPr>
              <w:t>排放标准限值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厂内非甲烷总烃执行《挥发性有机物无组织排放控制标准》（GB37822-2019）附录A表A.1中排放限值</w:t>
            </w:r>
          </w:p>
        </w:tc>
      </w:tr>
      <w:tr w14:paraId="2F3B9163">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5" w:type="pct"/>
            <w:tcBorders>
              <w:left w:val="nil"/>
            </w:tcBorders>
            <w:vAlign w:val="center"/>
          </w:tcPr>
          <w:p w14:paraId="620291C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tc>
        <w:tc>
          <w:tcPr>
            <w:tcW w:w="592" w:type="pct"/>
            <w:vAlign w:val="center"/>
          </w:tcPr>
          <w:p w14:paraId="12AC1BC3">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生活污水与冷却塔循环冷却废水</w:t>
            </w:r>
          </w:p>
        </w:tc>
        <w:tc>
          <w:tcPr>
            <w:tcW w:w="676" w:type="pct"/>
            <w:vAlign w:val="center"/>
          </w:tcPr>
          <w:p w14:paraId="689B52C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COD、BOD</w:t>
            </w:r>
            <w:r>
              <w:rPr>
                <w:rFonts w:hint="default" w:ascii="Times New Roman" w:hAnsi="Times New Roman" w:cs="Times New Roman"/>
                <w:color w:val="auto"/>
                <w:highlight w:val="none"/>
                <w:vertAlign w:val="subscript"/>
                <w:lang w:val="en-US" w:eastAsia="zh-CN"/>
              </w:rPr>
              <w:t>5</w:t>
            </w:r>
            <w:r>
              <w:rPr>
                <w:rFonts w:hint="default" w:ascii="Times New Roman" w:hAnsi="Times New Roman" w:cs="Times New Roman"/>
                <w:color w:val="auto"/>
                <w:highlight w:val="none"/>
                <w:lang w:val="en-US" w:eastAsia="zh-CN"/>
              </w:rPr>
              <w:t>、SS、氨氮、动植物油</w:t>
            </w:r>
          </w:p>
        </w:tc>
        <w:tc>
          <w:tcPr>
            <w:tcW w:w="1872" w:type="pct"/>
            <w:vAlign w:val="center"/>
          </w:tcPr>
          <w:p w14:paraId="36E78F26">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szCs w:val="21"/>
                <w:lang w:val="en-US" w:eastAsia="zh-CN"/>
              </w:rPr>
              <w:t>排入市政污水管网，由污水管网排入牛家满族镇污水处理厂</w:t>
            </w:r>
          </w:p>
        </w:tc>
        <w:tc>
          <w:tcPr>
            <w:tcW w:w="1632" w:type="pct"/>
            <w:tcBorders>
              <w:right w:val="nil"/>
            </w:tcBorders>
            <w:vAlign w:val="center"/>
          </w:tcPr>
          <w:p w14:paraId="3E62AEDB">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《污水综合排放标准》（GB8978-1996）三级标准</w:t>
            </w:r>
          </w:p>
        </w:tc>
      </w:tr>
      <w:tr w14:paraId="2102E7DB">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5" w:type="pct"/>
            <w:tcBorders>
              <w:left w:val="nil"/>
            </w:tcBorders>
            <w:vAlign w:val="center"/>
          </w:tcPr>
          <w:p w14:paraId="32995C5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噪声</w:t>
            </w:r>
          </w:p>
        </w:tc>
        <w:tc>
          <w:tcPr>
            <w:tcW w:w="592" w:type="pct"/>
            <w:vAlign w:val="center"/>
          </w:tcPr>
          <w:p w14:paraId="5EA8F7B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生产设备</w:t>
            </w:r>
          </w:p>
        </w:tc>
        <w:tc>
          <w:tcPr>
            <w:tcW w:w="676" w:type="pct"/>
            <w:vAlign w:val="center"/>
          </w:tcPr>
          <w:p w14:paraId="39B9AD33">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连续等效A声</w:t>
            </w:r>
          </w:p>
          <w:p w14:paraId="63C68C67">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级</w:t>
            </w:r>
          </w:p>
        </w:tc>
        <w:tc>
          <w:tcPr>
            <w:tcW w:w="1872" w:type="pct"/>
            <w:vAlign w:val="center"/>
          </w:tcPr>
          <w:p w14:paraId="33592185">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选用低噪声设备，</w:t>
            </w:r>
            <w:r>
              <w:rPr>
                <w:rFonts w:hint="default" w:ascii="Times New Roman" w:hAnsi="Times New Roman" w:cs="Times New Roman"/>
                <w:color w:val="auto"/>
                <w:highlight w:val="none"/>
                <w:lang w:val="en-US" w:eastAsia="zh-CN"/>
              </w:rPr>
              <w:t>风机软连接、</w:t>
            </w:r>
            <w:r>
              <w:rPr>
                <w:rFonts w:hint="default" w:ascii="Times New Roman" w:hAnsi="Times New Roman" w:cs="Times New Roman"/>
                <w:color w:val="auto"/>
                <w:highlight w:val="none"/>
              </w:rPr>
              <w:t>基础减震、隔声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消声等</w:t>
            </w:r>
          </w:p>
        </w:tc>
        <w:tc>
          <w:tcPr>
            <w:tcW w:w="1632" w:type="pct"/>
            <w:tcBorders>
              <w:right w:val="nil"/>
            </w:tcBorders>
            <w:vAlign w:val="center"/>
          </w:tcPr>
          <w:p w14:paraId="0491A9CB">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《工业企业厂界环境噪声排放标准》（GB12348-2008）中</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类标准要求</w:t>
            </w:r>
          </w:p>
        </w:tc>
      </w:tr>
      <w:tr w14:paraId="65C6BD7F">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5" w:type="pct"/>
            <w:vMerge w:val="restart"/>
            <w:tcBorders>
              <w:left w:val="nil"/>
            </w:tcBorders>
            <w:vAlign w:val="center"/>
          </w:tcPr>
          <w:p w14:paraId="3FECF61C">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w:t>
            </w:r>
          </w:p>
        </w:tc>
        <w:tc>
          <w:tcPr>
            <w:tcW w:w="592" w:type="pct"/>
            <w:vMerge w:val="restart"/>
            <w:vAlign w:val="center"/>
          </w:tcPr>
          <w:p w14:paraId="156B5F1F">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生产过程</w:t>
            </w:r>
          </w:p>
        </w:tc>
        <w:tc>
          <w:tcPr>
            <w:tcW w:w="676" w:type="pct"/>
            <w:vAlign w:val="center"/>
          </w:tcPr>
          <w:p w14:paraId="60C8FADF">
            <w:pPr>
              <w:pStyle w:val="37"/>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生活垃圾</w:t>
            </w:r>
          </w:p>
        </w:tc>
        <w:tc>
          <w:tcPr>
            <w:tcW w:w="1872" w:type="pct"/>
            <w:vAlign w:val="center"/>
          </w:tcPr>
          <w:p w14:paraId="4F6C07AA">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交由市政</w:t>
            </w:r>
            <w:r>
              <w:rPr>
                <w:rFonts w:hint="default" w:ascii="Times New Roman" w:hAnsi="Times New Roman" w:cs="Times New Roman"/>
                <w:color w:val="auto"/>
                <w:highlight w:val="none"/>
              </w:rPr>
              <w:t>部门定期清运</w:t>
            </w:r>
            <w:r>
              <w:rPr>
                <w:rFonts w:hint="default" w:ascii="Times New Roman" w:hAnsi="Times New Roman" w:cs="Times New Roman"/>
                <w:color w:val="auto"/>
                <w:highlight w:val="none"/>
                <w:lang w:val="en-US" w:eastAsia="zh-CN"/>
              </w:rPr>
              <w:t>处置</w:t>
            </w:r>
          </w:p>
        </w:tc>
        <w:tc>
          <w:tcPr>
            <w:tcW w:w="1632" w:type="pct"/>
            <w:vMerge w:val="restart"/>
            <w:tcBorders>
              <w:right w:val="nil"/>
            </w:tcBorders>
            <w:vAlign w:val="center"/>
          </w:tcPr>
          <w:p w14:paraId="3B920B1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不对环境造成二次污染</w:t>
            </w:r>
          </w:p>
        </w:tc>
      </w:tr>
      <w:tr w14:paraId="52AB3006">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5" w:type="pct"/>
            <w:vMerge w:val="continue"/>
            <w:tcBorders>
              <w:left w:val="nil"/>
            </w:tcBorders>
            <w:vAlign w:val="center"/>
          </w:tcPr>
          <w:p w14:paraId="435AC04C">
            <w:pPr>
              <w:pStyle w:val="37"/>
              <w:bidi w:val="0"/>
              <w:rPr>
                <w:rFonts w:hint="default" w:ascii="Times New Roman" w:hAnsi="Times New Roman" w:cs="Times New Roman"/>
                <w:color w:val="auto"/>
                <w:highlight w:val="none"/>
              </w:rPr>
            </w:pPr>
          </w:p>
        </w:tc>
        <w:tc>
          <w:tcPr>
            <w:tcW w:w="592" w:type="pct"/>
            <w:vMerge w:val="continue"/>
            <w:vAlign w:val="center"/>
          </w:tcPr>
          <w:p w14:paraId="3EA59D32">
            <w:pPr>
              <w:pStyle w:val="37"/>
              <w:bidi w:val="0"/>
              <w:rPr>
                <w:rFonts w:hint="default" w:ascii="Times New Roman" w:hAnsi="Times New Roman" w:cs="Times New Roman"/>
                <w:color w:val="auto"/>
                <w:highlight w:val="none"/>
                <w:lang w:val="en-US" w:eastAsia="zh-CN"/>
              </w:rPr>
            </w:pPr>
          </w:p>
        </w:tc>
        <w:tc>
          <w:tcPr>
            <w:tcW w:w="676" w:type="pct"/>
            <w:shd w:val="clear" w:color="auto" w:fill="auto"/>
            <w:vAlign w:val="center"/>
          </w:tcPr>
          <w:p w14:paraId="68940C9A">
            <w:pPr>
              <w:pStyle w:val="37"/>
              <w:bidi w:val="0"/>
              <w:ind w:firstLine="0" w:firstLineChars="0"/>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一般固废</w:t>
            </w:r>
          </w:p>
        </w:tc>
        <w:tc>
          <w:tcPr>
            <w:tcW w:w="1872" w:type="pct"/>
            <w:shd w:val="clear" w:color="auto" w:fill="auto"/>
            <w:vAlign w:val="center"/>
          </w:tcPr>
          <w:p w14:paraId="47DE93A1">
            <w:pPr>
              <w:pStyle w:val="37"/>
              <w:bidi w:val="0"/>
              <w:ind w:firstLine="0" w:firstLineChars="0"/>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外售综合利用</w:t>
            </w:r>
          </w:p>
        </w:tc>
        <w:tc>
          <w:tcPr>
            <w:tcW w:w="1632" w:type="pct"/>
            <w:vMerge w:val="continue"/>
            <w:tcBorders>
              <w:right w:val="nil"/>
            </w:tcBorders>
            <w:vAlign w:val="center"/>
          </w:tcPr>
          <w:p w14:paraId="31CC00AA">
            <w:pPr>
              <w:pStyle w:val="37"/>
              <w:bidi w:val="0"/>
              <w:rPr>
                <w:rFonts w:hint="default" w:ascii="Times New Roman" w:hAnsi="Times New Roman" w:cs="Times New Roman"/>
                <w:color w:val="FF0000"/>
                <w:highlight w:val="none"/>
              </w:rPr>
            </w:pPr>
          </w:p>
        </w:tc>
      </w:tr>
      <w:tr w14:paraId="4F12DAC1">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5" w:type="pct"/>
            <w:vMerge w:val="continue"/>
            <w:tcBorders>
              <w:left w:val="nil"/>
            </w:tcBorders>
            <w:vAlign w:val="center"/>
          </w:tcPr>
          <w:p w14:paraId="6BB4AA86">
            <w:pPr>
              <w:pStyle w:val="37"/>
              <w:bidi w:val="0"/>
              <w:rPr>
                <w:rFonts w:hint="default" w:ascii="Times New Roman" w:hAnsi="Times New Roman" w:cs="Times New Roman"/>
                <w:color w:val="FF0000"/>
                <w:highlight w:val="none"/>
              </w:rPr>
            </w:pPr>
          </w:p>
        </w:tc>
        <w:tc>
          <w:tcPr>
            <w:tcW w:w="592" w:type="pct"/>
            <w:vMerge w:val="continue"/>
            <w:vAlign w:val="center"/>
          </w:tcPr>
          <w:p w14:paraId="2095453B">
            <w:pPr>
              <w:pStyle w:val="37"/>
              <w:bidi w:val="0"/>
              <w:rPr>
                <w:rFonts w:hint="default" w:ascii="Times New Roman" w:hAnsi="Times New Roman" w:eastAsia="宋体" w:cs="Times New Roman"/>
                <w:color w:val="FF0000"/>
                <w:highlight w:val="none"/>
                <w:lang w:val="en-US" w:eastAsia="zh-CN"/>
              </w:rPr>
            </w:pPr>
          </w:p>
        </w:tc>
        <w:tc>
          <w:tcPr>
            <w:tcW w:w="676" w:type="pct"/>
            <w:vAlign w:val="center"/>
          </w:tcPr>
          <w:p w14:paraId="2DE84F7F">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危险废物</w:t>
            </w:r>
          </w:p>
        </w:tc>
        <w:tc>
          <w:tcPr>
            <w:tcW w:w="1872" w:type="pct"/>
            <w:vAlign w:val="center"/>
          </w:tcPr>
          <w:p w14:paraId="573D5323">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厂房</w:t>
            </w:r>
            <w:r>
              <w:rPr>
                <w:rFonts w:hint="default" w:ascii="Times New Roman" w:hAnsi="Times New Roman" w:cs="Times New Roman"/>
                <w:color w:val="auto"/>
                <w:highlight w:val="none"/>
              </w:rPr>
              <w:t>内</w:t>
            </w:r>
            <w:r>
              <w:rPr>
                <w:rFonts w:hint="default" w:ascii="Times New Roman" w:hAnsi="Times New Roman" w:cs="Times New Roman"/>
                <w:color w:val="auto"/>
                <w:highlight w:val="none"/>
                <w:lang w:val="en-US" w:eastAsia="zh-CN"/>
              </w:rPr>
              <w:t>设置</w:t>
            </w:r>
            <w:r>
              <w:rPr>
                <w:rFonts w:hint="default" w:ascii="Times New Roman" w:hAnsi="Times New Roman" w:cs="Times New Roman"/>
                <w:color w:val="auto"/>
                <w:highlight w:val="none"/>
              </w:rPr>
              <w:t>1座</w:t>
            </w:r>
            <w:r>
              <w:rPr>
                <w:rFonts w:hint="eastAsia" w:ascii="Times New Roman" w:hAnsi="Times New Roman" w:cs="Times New Roman"/>
                <w:color w:val="auto"/>
                <w:highlight w:val="none"/>
                <w:lang w:val="en-US" w:eastAsia="zh-CN"/>
              </w:rPr>
              <w:t>200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lang w:eastAsia="zh-CN"/>
              </w:rPr>
              <w:t>危险废物贮存库，</w:t>
            </w:r>
            <w:r>
              <w:rPr>
                <w:rFonts w:hint="default" w:ascii="Times New Roman" w:hAnsi="Times New Roman" w:cs="Times New Roman"/>
                <w:color w:val="auto"/>
                <w:highlight w:val="none"/>
                <w:lang w:val="en-US" w:eastAsia="zh-CN"/>
              </w:rPr>
              <w:t>危险废物暂存在危险废物贮存库内，定期交有资质单位处置</w:t>
            </w:r>
          </w:p>
        </w:tc>
        <w:tc>
          <w:tcPr>
            <w:tcW w:w="1632" w:type="pct"/>
            <w:tcBorders>
              <w:right w:val="nil"/>
            </w:tcBorders>
            <w:vAlign w:val="center"/>
          </w:tcPr>
          <w:p w14:paraId="20442CA0">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《危险废物贮存</w:t>
            </w:r>
            <w:r>
              <w:rPr>
                <w:rFonts w:hint="default" w:ascii="Times New Roman" w:hAnsi="Times New Roman" w:cs="Times New Roman"/>
                <w:color w:val="auto"/>
                <w:highlight w:val="none"/>
                <w:lang w:val="en-US" w:eastAsia="zh-CN"/>
              </w:rPr>
              <w:t>污染</w:t>
            </w:r>
            <w:r>
              <w:rPr>
                <w:rFonts w:hint="default" w:ascii="Times New Roman" w:hAnsi="Times New Roman" w:cs="Times New Roman"/>
                <w:color w:val="auto"/>
                <w:highlight w:val="none"/>
              </w:rPr>
              <w:t>控制标准》（GB18597-20</w:t>
            </w:r>
            <w:r>
              <w:rPr>
                <w:rFonts w:hint="default" w:ascii="Times New Roman" w:hAnsi="Times New Roman" w:cs="Times New Roman"/>
                <w:color w:val="auto"/>
                <w:highlight w:val="none"/>
                <w:lang w:val="en-US" w:eastAsia="zh-CN"/>
              </w:rPr>
              <w:t>23</w:t>
            </w:r>
            <w:r>
              <w:rPr>
                <w:rFonts w:hint="default" w:ascii="Times New Roman" w:hAnsi="Times New Roman" w:cs="Times New Roman"/>
                <w:color w:val="auto"/>
                <w:highlight w:val="none"/>
              </w:rPr>
              <w:t>）</w:t>
            </w:r>
          </w:p>
        </w:tc>
      </w:tr>
      <w:tr w14:paraId="37C213B4">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5" w:type="pct"/>
            <w:tcBorders>
              <w:left w:val="nil"/>
            </w:tcBorders>
            <w:vAlign w:val="center"/>
          </w:tcPr>
          <w:p w14:paraId="53BDD29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地下水、土壤</w:t>
            </w:r>
          </w:p>
        </w:tc>
        <w:tc>
          <w:tcPr>
            <w:tcW w:w="3141" w:type="pct"/>
            <w:gridSpan w:val="3"/>
            <w:vAlign w:val="center"/>
          </w:tcPr>
          <w:p w14:paraId="056C7BD7">
            <w:pPr>
              <w:pStyle w:val="37"/>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源头控制；分区防渗：一般</w:t>
            </w:r>
            <w:r>
              <w:rPr>
                <w:rFonts w:hint="default" w:ascii="Times New Roman" w:hAnsi="Times New Roman" w:cs="Times New Roman"/>
                <w:color w:val="auto"/>
                <w:highlight w:val="none"/>
                <w:lang w:val="en-US" w:eastAsia="zh-CN"/>
              </w:rPr>
              <w:t>防渗区</w:t>
            </w:r>
            <w:r>
              <w:rPr>
                <w:rFonts w:hint="default" w:ascii="Times New Roman" w:hAnsi="Times New Roman" w:cs="Times New Roman"/>
                <w:color w:val="auto"/>
                <w:highlight w:val="none"/>
              </w:rPr>
              <w:t>、重点</w:t>
            </w:r>
            <w:r>
              <w:rPr>
                <w:rFonts w:hint="default" w:ascii="Times New Roman" w:hAnsi="Times New Roman" w:cs="Times New Roman"/>
                <w:color w:val="auto"/>
                <w:highlight w:val="none"/>
                <w:lang w:val="en-US" w:eastAsia="zh-CN"/>
              </w:rPr>
              <w:t>防渗区</w:t>
            </w:r>
            <w:r>
              <w:rPr>
                <w:rFonts w:hint="default" w:ascii="Times New Roman" w:hAnsi="Times New Roman" w:cs="Times New Roman"/>
                <w:color w:val="auto"/>
                <w:highlight w:val="none"/>
              </w:rPr>
              <w:t>的防腐、防渗等措施；</w:t>
            </w:r>
            <w:r>
              <w:rPr>
                <w:rFonts w:hint="default" w:ascii="Times New Roman" w:hAnsi="Times New Roman" w:cs="Times New Roman"/>
                <w:color w:val="auto"/>
                <w:highlight w:val="none"/>
                <w:lang w:val="en-US" w:eastAsia="zh-CN"/>
              </w:rPr>
              <w:t>设置一个地下水跟踪监测井</w:t>
            </w:r>
          </w:p>
        </w:tc>
        <w:tc>
          <w:tcPr>
            <w:tcW w:w="1632" w:type="pct"/>
            <w:tcBorders>
              <w:right w:val="nil"/>
            </w:tcBorders>
            <w:vAlign w:val="center"/>
          </w:tcPr>
          <w:p w14:paraId="124ACC6E">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不对地下水、土壤环境造成污染</w:t>
            </w:r>
          </w:p>
        </w:tc>
      </w:tr>
      <w:tr w14:paraId="28ED1F2A">
        <w:tblPrEx>
          <w:tblBorders>
            <w:top w:val="single" w:color="auto" w:sz="12" w:space="0"/>
            <w:left w:val="single" w:color="000000" w:sz="2" w:space="0"/>
            <w:bottom w:val="single" w:color="auto" w:sz="1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25" w:type="pct"/>
            <w:tcBorders>
              <w:left w:val="nil"/>
            </w:tcBorders>
            <w:vAlign w:val="center"/>
          </w:tcPr>
          <w:p w14:paraId="74AD8CA0">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环境风险</w:t>
            </w:r>
          </w:p>
        </w:tc>
        <w:tc>
          <w:tcPr>
            <w:tcW w:w="3141" w:type="pct"/>
            <w:gridSpan w:val="3"/>
            <w:vAlign w:val="center"/>
          </w:tcPr>
          <w:p w14:paraId="08D14FE2">
            <w:pPr>
              <w:pStyle w:val="37"/>
              <w:bidi w:val="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危险废物收集、贮存、运输等过程严格执行相关法律法规和技术规范要求；围堰、导流渠、集液池等风险防范</w:t>
            </w:r>
            <w:r>
              <w:rPr>
                <w:rFonts w:hint="default" w:ascii="Times New Roman" w:hAnsi="Times New Roman" w:cs="Times New Roman"/>
                <w:color w:val="auto"/>
                <w:highlight w:val="none"/>
                <w:lang w:eastAsia="zh-CN"/>
              </w:rPr>
              <w:t>措施</w:t>
            </w:r>
            <w:r>
              <w:rPr>
                <w:rFonts w:hint="default" w:ascii="Times New Roman" w:hAnsi="Times New Roman" w:cs="Times New Roman"/>
                <w:color w:val="auto"/>
                <w:highlight w:val="none"/>
              </w:rPr>
              <w:t>；突发环境事件应急预案</w:t>
            </w:r>
            <w:r>
              <w:rPr>
                <w:rFonts w:hint="eastAsia" w:ascii="Times New Roman" w:hAnsi="Times New Roman" w:eastAsia="宋体" w:cs="Times New Roman"/>
                <w:color w:val="auto"/>
                <w:highlight w:val="none"/>
                <w:lang w:eastAsia="zh-CN"/>
              </w:rPr>
              <w:t>。</w:t>
            </w:r>
          </w:p>
        </w:tc>
        <w:tc>
          <w:tcPr>
            <w:tcW w:w="1632" w:type="pct"/>
            <w:tcBorders>
              <w:right w:val="nil"/>
            </w:tcBorders>
            <w:vAlign w:val="center"/>
          </w:tcPr>
          <w:p w14:paraId="1E6BFF46">
            <w:pPr>
              <w:pStyle w:val="37"/>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环境风险可控</w:t>
            </w:r>
          </w:p>
        </w:tc>
      </w:tr>
    </w:tbl>
    <w:p w14:paraId="2935AA9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color w:val="FF0000"/>
          <w:sz w:val="24"/>
          <w:szCs w:val="24"/>
          <w:lang w:val="en-US" w:eastAsia="zh-CN"/>
        </w:rPr>
        <w:sectPr>
          <w:pgSz w:w="16838" w:h="11906" w:orient="landscape"/>
          <w:pgMar w:top="1417" w:right="1134" w:bottom="1417" w:left="1134" w:header="850"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7E4DC358">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1"/>
        <w:rPr>
          <w:rFonts w:hint="default" w:ascii="Times New Roman" w:hAnsi="Times New Roman" w:eastAsia="微软雅黑" w:cs="Times New Roman"/>
          <w:color w:val="auto"/>
          <w:spacing w:val="6"/>
          <w:sz w:val="32"/>
          <w:szCs w:val="32"/>
          <w:highlight w:val="none"/>
          <w:lang w:val="en-US" w:eastAsia="zh-CN"/>
        </w:rPr>
      </w:pPr>
      <w:bookmarkStart w:id="82" w:name="_Toc19262"/>
      <w:r>
        <w:rPr>
          <w:rFonts w:hint="eastAsia" w:ascii="Times New Roman" w:hAnsi="Times New Roman" w:eastAsia="微软雅黑" w:cs="Times New Roman"/>
          <w:color w:val="auto"/>
          <w:spacing w:val="6"/>
          <w:sz w:val="32"/>
          <w:szCs w:val="32"/>
          <w:highlight w:val="none"/>
          <w:lang w:val="en-US" w:eastAsia="zh-CN"/>
        </w:rPr>
        <w:t xml:space="preserve">8.5 </w:t>
      </w:r>
      <w:r>
        <w:rPr>
          <w:rFonts w:hint="default" w:ascii="Times New Roman" w:hAnsi="Times New Roman" w:eastAsia="微软雅黑" w:cs="Times New Roman"/>
          <w:color w:val="auto"/>
          <w:spacing w:val="6"/>
          <w:sz w:val="32"/>
          <w:szCs w:val="32"/>
          <w:highlight w:val="none"/>
          <w:lang w:val="en-US" w:eastAsia="zh-CN"/>
        </w:rPr>
        <w:t>污染物排放总量控制分析</w:t>
      </w:r>
      <w:bookmarkEnd w:id="82"/>
    </w:p>
    <w:p w14:paraId="3A56BBFC">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8.</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.1总量控制原则</w:t>
      </w:r>
    </w:p>
    <w:p w14:paraId="7E6658B6">
      <w:pPr>
        <w:pStyle w:val="96"/>
        <w:keepNext w:val="0"/>
        <w:keepLines w:val="0"/>
        <w:pageBreakBefore w:val="0"/>
        <w:widowControl w:val="0"/>
        <w:shd w:val="clear" w:color="auto" w:fill="auto"/>
        <w:kinsoku/>
        <w:wordWrap/>
        <w:overflowPunct/>
        <w:topLinePunct w:val="0"/>
        <w:autoSpaceDE/>
        <w:autoSpaceDN/>
        <w:bidi w:val="0"/>
        <w:adjustRightInd/>
        <w:snapToGrid/>
        <w:spacing w:line="480" w:lineRule="exact"/>
        <w:ind w:firstLine="48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本项目总量控制应以哈尔滨市总量控制规划为目标，将本项目投产前后排放的污染物总量变化情况纳入其所在的区域中，实现区域污染物排放总量控制。</w:t>
      </w:r>
    </w:p>
    <w:p w14:paraId="0C27567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8.</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.2总量控制因子</w:t>
      </w:r>
    </w:p>
    <w:p w14:paraId="621C5830">
      <w:pPr>
        <w:pStyle w:val="96"/>
        <w:keepNext w:val="0"/>
        <w:keepLines w:val="0"/>
        <w:pageBreakBefore w:val="0"/>
        <w:widowControl w:val="0"/>
        <w:shd w:val="clear" w:color="auto" w:fill="auto"/>
        <w:kinsoku/>
        <w:wordWrap/>
        <w:overflowPunct/>
        <w:topLinePunct w:val="0"/>
        <w:autoSpaceDE/>
        <w:autoSpaceDN/>
        <w:bidi w:val="0"/>
        <w:adjustRightInd/>
        <w:snapToGrid/>
        <w:spacing w:line="480" w:lineRule="exact"/>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根据本项目排污特征和总量要求，确定本项目污染物排放总量控制因子为：</w:t>
      </w:r>
      <w:r>
        <w:rPr>
          <w:rFonts w:hint="eastAsia" w:ascii="Times New Roman" w:hAnsi="Times New Roman" w:eastAsia="宋体" w:cs="Times New Roman"/>
          <w:color w:val="auto"/>
          <w:sz w:val="24"/>
          <w:szCs w:val="24"/>
          <w:highlight w:val="none"/>
          <w:lang w:val="en-US" w:eastAsia="zh-CN"/>
        </w:rPr>
        <w:t>烟尘、</w:t>
      </w:r>
      <w:r>
        <w:rPr>
          <w:rFonts w:hint="default" w:ascii="Times New Roman" w:hAnsi="Times New Roman" w:cs="Times New Roman"/>
          <w:color w:val="auto"/>
          <w:sz w:val="24"/>
          <w:szCs w:val="24"/>
          <w:highlight w:val="none"/>
        </w:rPr>
        <w:t>SO</w:t>
      </w:r>
      <w:r>
        <w:rPr>
          <w:rFonts w:hint="default" w:ascii="Times New Roman" w:hAnsi="Times New Roman" w:cs="Times New Roman"/>
          <w:color w:val="auto"/>
          <w:sz w:val="24"/>
          <w:szCs w:val="24"/>
          <w:highlight w:val="none"/>
          <w:vertAlign w:val="subscript"/>
        </w:rPr>
        <w:t>2</w:t>
      </w:r>
      <w:r>
        <w:rPr>
          <w:rFonts w:hint="default" w:ascii="Times New Roman" w:hAnsi="Times New Roman" w:cs="Times New Roman"/>
          <w:color w:val="auto"/>
          <w:sz w:val="24"/>
          <w:szCs w:val="24"/>
          <w:highlight w:val="none"/>
        </w:rPr>
        <w:t>、NOx、颗粒物</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非甲烷总烃、COD、氨氮</w:t>
      </w:r>
      <w:r>
        <w:rPr>
          <w:rFonts w:hint="default" w:ascii="Times New Roman" w:hAnsi="Times New Roman" w:cs="Times New Roman"/>
          <w:color w:val="auto"/>
          <w:highlight w:val="none"/>
        </w:rPr>
        <w:t>。</w:t>
      </w:r>
    </w:p>
    <w:p w14:paraId="2E594434">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8.</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.3总量控制指标</w:t>
      </w:r>
    </w:p>
    <w:p w14:paraId="0379362F">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8.5.3.1大气污染物总量控制指标</w:t>
      </w:r>
    </w:p>
    <w:p w14:paraId="16AE6DD2">
      <w:pPr>
        <w:pStyle w:val="79"/>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根据《排污许可证申请与核发技术规范 工业炉窑》（HJ 1121-2020）进行本项目天然气燃烧机的污染物排放总量的核算。本项目采用《排污许可证申请与核发技术规范 工业炉窑》（HJ 1121-2020）中的绩效值法进行计算。本项目天然气</w:t>
      </w:r>
      <w:r>
        <w:rPr>
          <w:rFonts w:hint="eastAsia" w:ascii="Times New Roman" w:hAnsi="Times New Roman" w:eastAsia="宋体" w:cs="Times New Roman"/>
          <w:color w:val="auto"/>
          <w:sz w:val="24"/>
          <w:szCs w:val="24"/>
          <w:lang w:val="en-US" w:eastAsia="zh-CN"/>
        </w:rPr>
        <w:t>燃烧机</w:t>
      </w:r>
      <w:r>
        <w:rPr>
          <w:rFonts w:hint="default" w:ascii="Times New Roman" w:hAnsi="Times New Roman" w:cs="Times New Roman"/>
          <w:color w:val="auto"/>
          <w:sz w:val="24"/>
          <w:szCs w:val="24"/>
        </w:rPr>
        <w:t>大气污染物排放总量核算结果见表8.5-1。</w:t>
      </w:r>
    </w:p>
    <w:p w14:paraId="289D7F1C">
      <w:pPr>
        <w:pStyle w:val="94"/>
        <w:numPr>
          <w:ilvl w:val="0"/>
          <w:numId w:val="0"/>
        </w:numPr>
        <w:spacing w:line="240" w:lineRule="auto"/>
        <w:rPr>
          <w:rFonts w:hint="eastAsia"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t>表8.5-1本项目大气污染物排放总量控制指标表</w:t>
      </w:r>
    </w:p>
    <w:tbl>
      <w:tblPr>
        <w:tblStyle w:val="22"/>
        <w:tblW w:w="48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83"/>
        <w:gridCol w:w="2466"/>
        <w:gridCol w:w="2124"/>
        <w:gridCol w:w="2124"/>
      </w:tblGrid>
      <w:tr w14:paraId="2E6024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310" w:type="pct"/>
            <w:tcBorders>
              <w:tl2br w:val="nil"/>
              <w:tr2bl w:val="nil"/>
            </w:tcBorders>
            <w:vAlign w:val="center"/>
          </w:tcPr>
          <w:p w14:paraId="5A8D082B">
            <w:pPr>
              <w:adjustRightInd w:val="0"/>
              <w:snapToGrid w:val="0"/>
              <w:spacing w:line="240" w:lineRule="auto"/>
              <w:ind w:firstLine="0" w:firstLineChars="0"/>
              <w:jc w:val="center"/>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污染物名称</w:t>
            </w:r>
          </w:p>
        </w:tc>
        <w:tc>
          <w:tcPr>
            <w:tcW w:w="1355" w:type="pct"/>
            <w:tcBorders>
              <w:tl2br w:val="nil"/>
              <w:tr2bl w:val="nil"/>
            </w:tcBorders>
            <w:vAlign w:val="center"/>
          </w:tcPr>
          <w:p w14:paraId="6BEFB599">
            <w:pPr>
              <w:adjustRightInd w:val="0"/>
              <w:snapToGrid w:val="0"/>
              <w:spacing w:line="240" w:lineRule="auto"/>
              <w:ind w:firstLine="0" w:firstLineChars="0"/>
              <w:jc w:val="center"/>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燃料量（</w:t>
            </w: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3</w:t>
            </w:r>
            <w:r>
              <w:rPr>
                <w:rFonts w:hint="default" w:ascii="Times New Roman" w:hAnsi="Times New Roman" w:cs="Times New Roman"/>
                <w:snapToGrid w:val="0"/>
                <w:color w:val="auto"/>
                <w:kern w:val="0"/>
                <w:sz w:val="21"/>
                <w:szCs w:val="21"/>
              </w:rPr>
              <w:t>燃料）</w:t>
            </w:r>
          </w:p>
        </w:tc>
        <w:tc>
          <w:tcPr>
            <w:tcW w:w="1167" w:type="pct"/>
            <w:tcBorders>
              <w:tl2br w:val="nil"/>
              <w:tr2bl w:val="nil"/>
            </w:tcBorders>
            <w:vAlign w:val="center"/>
          </w:tcPr>
          <w:p w14:paraId="7C59317B">
            <w:pPr>
              <w:adjustRightInd w:val="0"/>
              <w:snapToGrid w:val="0"/>
              <w:spacing w:line="240" w:lineRule="auto"/>
              <w:ind w:firstLine="0" w:firstLineChars="0"/>
              <w:jc w:val="center"/>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绩效值（g</w:t>
            </w: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3</w:t>
            </w:r>
            <w:r>
              <w:rPr>
                <w:rFonts w:hint="default" w:ascii="Times New Roman" w:hAnsi="Times New Roman" w:cs="Times New Roman"/>
                <w:snapToGrid w:val="0"/>
                <w:color w:val="auto"/>
                <w:kern w:val="0"/>
                <w:sz w:val="21"/>
                <w:szCs w:val="21"/>
              </w:rPr>
              <w:t>燃料）</w:t>
            </w:r>
          </w:p>
        </w:tc>
        <w:tc>
          <w:tcPr>
            <w:tcW w:w="1167" w:type="pct"/>
            <w:tcBorders>
              <w:tl2br w:val="nil"/>
              <w:tr2bl w:val="nil"/>
            </w:tcBorders>
            <w:vAlign w:val="center"/>
          </w:tcPr>
          <w:p w14:paraId="404424EC">
            <w:pPr>
              <w:adjustRightInd w:val="0"/>
              <w:snapToGrid w:val="0"/>
              <w:spacing w:line="240" w:lineRule="auto"/>
              <w:ind w:firstLine="0" w:firstLineChars="0"/>
              <w:jc w:val="center"/>
              <w:rPr>
                <w:rFonts w:hint="default" w:ascii="Times New Roman" w:hAnsi="Times New Roman" w:cs="Times New Roman"/>
                <w:snapToGrid w:val="0"/>
                <w:color w:val="auto"/>
                <w:kern w:val="0"/>
                <w:sz w:val="21"/>
                <w:szCs w:val="21"/>
              </w:rPr>
            </w:pPr>
            <w:r>
              <w:rPr>
                <w:rFonts w:hint="default" w:ascii="Times New Roman" w:hAnsi="Times New Roman" w:cs="Times New Roman"/>
                <w:snapToGrid w:val="0"/>
                <w:color w:val="auto"/>
                <w:kern w:val="0"/>
                <w:sz w:val="21"/>
                <w:szCs w:val="21"/>
              </w:rPr>
              <w:t>总量（t/a）</w:t>
            </w:r>
          </w:p>
        </w:tc>
      </w:tr>
      <w:tr w14:paraId="601262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1310" w:type="pct"/>
            <w:tcBorders>
              <w:tl2br w:val="nil"/>
              <w:tr2bl w:val="nil"/>
            </w:tcBorders>
            <w:vAlign w:val="center"/>
          </w:tcPr>
          <w:p w14:paraId="25C3D548">
            <w:pPr>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烟尘</w:t>
            </w:r>
          </w:p>
        </w:tc>
        <w:tc>
          <w:tcPr>
            <w:tcW w:w="1355" w:type="pct"/>
            <w:tcBorders>
              <w:tl2br w:val="nil"/>
              <w:tr2bl w:val="nil"/>
            </w:tcBorders>
            <w:vAlign w:val="center"/>
          </w:tcPr>
          <w:p w14:paraId="20D886F9">
            <w:pPr>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rPr>
              <w:t>380000</w:t>
            </w:r>
          </w:p>
        </w:tc>
        <w:tc>
          <w:tcPr>
            <w:tcW w:w="1167" w:type="pct"/>
            <w:tcBorders>
              <w:tl2br w:val="nil"/>
              <w:tr2bl w:val="nil"/>
            </w:tcBorders>
            <w:vAlign w:val="center"/>
          </w:tcPr>
          <w:p w14:paraId="1E8CE7C5">
            <w:pPr>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0.1676</w:t>
            </w:r>
          </w:p>
        </w:tc>
        <w:tc>
          <w:tcPr>
            <w:tcW w:w="1167" w:type="pct"/>
            <w:tcBorders>
              <w:tl2br w:val="nil"/>
              <w:tr2bl w:val="nil"/>
            </w:tcBorders>
            <w:vAlign w:val="center"/>
          </w:tcPr>
          <w:p w14:paraId="2E253D1A">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0.064</w:t>
            </w:r>
          </w:p>
        </w:tc>
      </w:tr>
      <w:tr w14:paraId="516897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0" w:type="pct"/>
            <w:tcBorders>
              <w:tl2br w:val="nil"/>
              <w:tr2bl w:val="nil"/>
            </w:tcBorders>
            <w:vAlign w:val="center"/>
          </w:tcPr>
          <w:p w14:paraId="6D539C82">
            <w:pPr>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二氧化硫</w:t>
            </w:r>
          </w:p>
        </w:tc>
        <w:tc>
          <w:tcPr>
            <w:tcW w:w="1355" w:type="pct"/>
            <w:tcBorders>
              <w:tl2br w:val="nil"/>
              <w:tr2bl w:val="nil"/>
            </w:tcBorders>
            <w:vAlign w:val="center"/>
          </w:tcPr>
          <w:p w14:paraId="7E45AE85">
            <w:pPr>
              <w:snapToGrid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85500</w:t>
            </w:r>
          </w:p>
        </w:tc>
        <w:tc>
          <w:tcPr>
            <w:tcW w:w="1167" w:type="pct"/>
            <w:tcBorders>
              <w:tl2br w:val="nil"/>
              <w:tr2bl w:val="nil"/>
            </w:tcBorders>
            <w:vAlign w:val="center"/>
          </w:tcPr>
          <w:p w14:paraId="5B701ACF">
            <w:pPr>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0.1676</w:t>
            </w:r>
          </w:p>
        </w:tc>
        <w:tc>
          <w:tcPr>
            <w:tcW w:w="1167" w:type="pct"/>
            <w:tcBorders>
              <w:tl2br w:val="nil"/>
              <w:tr2bl w:val="nil"/>
            </w:tcBorders>
            <w:vAlign w:val="center"/>
          </w:tcPr>
          <w:p w14:paraId="21271FE9">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0.064</w:t>
            </w:r>
          </w:p>
        </w:tc>
      </w:tr>
      <w:tr w14:paraId="21D83C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0" w:type="pct"/>
            <w:tcBorders>
              <w:tl2br w:val="nil"/>
              <w:tr2bl w:val="nil"/>
            </w:tcBorders>
            <w:vAlign w:val="center"/>
          </w:tcPr>
          <w:p w14:paraId="1F710399">
            <w:pPr>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氮氧化物</w:t>
            </w:r>
          </w:p>
        </w:tc>
        <w:tc>
          <w:tcPr>
            <w:tcW w:w="1355" w:type="pct"/>
            <w:tcBorders>
              <w:tl2br w:val="nil"/>
              <w:tr2bl w:val="nil"/>
            </w:tcBorders>
            <w:vAlign w:val="center"/>
          </w:tcPr>
          <w:p w14:paraId="66222D06">
            <w:pPr>
              <w:snapToGrid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85500</w:t>
            </w:r>
          </w:p>
        </w:tc>
        <w:tc>
          <w:tcPr>
            <w:tcW w:w="1167" w:type="pct"/>
            <w:tcBorders>
              <w:tl2br w:val="nil"/>
              <w:tr2bl w:val="nil"/>
            </w:tcBorders>
            <w:vAlign w:val="center"/>
          </w:tcPr>
          <w:p w14:paraId="06C044D9">
            <w:pPr>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2.5164</w:t>
            </w:r>
          </w:p>
        </w:tc>
        <w:tc>
          <w:tcPr>
            <w:tcW w:w="1167" w:type="pct"/>
            <w:tcBorders>
              <w:tl2br w:val="nil"/>
              <w:tr2bl w:val="nil"/>
            </w:tcBorders>
            <w:vAlign w:val="center"/>
          </w:tcPr>
          <w:p w14:paraId="79601747">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0.956</w:t>
            </w:r>
          </w:p>
        </w:tc>
      </w:tr>
    </w:tbl>
    <w:p w14:paraId="6A8FE83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eastAsia" w:ascii="Times New Roman" w:hAnsi="Times New Roman" w:cs="Times New Roman"/>
          <w:color w:val="auto"/>
          <w:sz w:val="24"/>
          <w:szCs w:val="24"/>
          <w:lang w:val="en-US" w:eastAsia="zh-CN"/>
        </w:rPr>
        <w:t>DA001</w:t>
      </w:r>
      <w:r>
        <w:rPr>
          <w:rFonts w:hint="default" w:ascii="Times New Roman" w:hAnsi="Times New Roman" w:cs="Times New Roman"/>
          <w:color w:val="auto"/>
          <w:sz w:val="24"/>
          <w:szCs w:val="24"/>
          <w:lang w:val="en-US" w:eastAsia="zh-CN"/>
        </w:rPr>
        <w:t>非甲烷总烃</w:t>
      </w:r>
      <w:r>
        <w:rPr>
          <w:rFonts w:hint="default" w:ascii="Times New Roman" w:hAnsi="Times New Roman" w:cs="Times New Roman"/>
          <w:color w:val="auto"/>
          <w:sz w:val="24"/>
          <w:szCs w:val="24"/>
        </w:rPr>
        <w:t>核定排放量=年废气量×标准浓度限值</w:t>
      </w:r>
    </w:p>
    <w:p w14:paraId="22DCA89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r>
        <w:rPr>
          <w:rFonts w:hint="eastAsia" w:ascii="Times New Roman" w:hAnsi="Times New Roman" w:eastAsia="宋体" w:cs="Times New Roman"/>
          <w:color w:val="auto"/>
          <w:sz w:val="24"/>
          <w:szCs w:val="24"/>
          <w:lang w:val="en-US" w:eastAsia="zh-CN"/>
        </w:rPr>
        <w:t>30000</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/h×</w:t>
      </w:r>
      <w:r>
        <w:rPr>
          <w:rFonts w:hint="eastAsia" w:ascii="Times New Roman" w:hAnsi="Times New Roman" w:eastAsia="宋体" w:cs="Times New Roman"/>
          <w:color w:val="auto"/>
          <w:sz w:val="24"/>
          <w:szCs w:val="24"/>
          <w:lang w:val="en-US" w:eastAsia="zh-CN"/>
        </w:rPr>
        <w:t>6960</w:t>
      </w:r>
      <w:r>
        <w:rPr>
          <w:rFonts w:hint="default" w:ascii="Times New Roman" w:hAnsi="Times New Roman" w:cs="Times New Roman"/>
          <w:color w:val="auto"/>
          <w:sz w:val="24"/>
          <w:szCs w:val="24"/>
        </w:rPr>
        <w:t>h×1</w:t>
      </w:r>
      <w:r>
        <w:rPr>
          <w:rFonts w:hint="eastAsia" w:ascii="Times New Roman" w:hAnsi="Times New Roman" w:eastAsia="宋体" w:cs="Times New Roman"/>
          <w:color w:val="auto"/>
          <w:sz w:val="24"/>
          <w:szCs w:val="24"/>
          <w:lang w:val="en-US" w:eastAsia="zh-CN"/>
        </w:rPr>
        <w:t>0</w:t>
      </w:r>
      <w:r>
        <w:rPr>
          <w:rFonts w:hint="default" w:ascii="Times New Roman" w:hAnsi="Times New Roman" w:cs="Times New Roman"/>
          <w:color w:val="auto"/>
          <w:sz w:val="24"/>
          <w:szCs w:val="24"/>
        </w:rPr>
        <w:t>0mg/m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×10</w:t>
      </w:r>
      <w:r>
        <w:rPr>
          <w:rFonts w:hint="default" w:ascii="Times New Roman" w:hAnsi="Times New Roman" w:cs="Times New Roman"/>
          <w:color w:val="auto"/>
          <w:sz w:val="24"/>
          <w:szCs w:val="24"/>
          <w:vertAlign w:val="superscript"/>
        </w:rPr>
        <w:t>-9</w:t>
      </w:r>
      <w:r>
        <w:rPr>
          <w:rFonts w:hint="default" w:ascii="Times New Roman" w:hAnsi="Times New Roman" w:cs="Times New Roman"/>
          <w:color w:val="auto"/>
          <w:sz w:val="24"/>
          <w:szCs w:val="24"/>
        </w:rPr>
        <w:t>=</w:t>
      </w:r>
      <w:r>
        <w:rPr>
          <w:rFonts w:hint="eastAsia" w:ascii="Times New Roman" w:hAnsi="Times New Roman" w:eastAsia="宋体" w:cs="Times New Roman"/>
          <w:color w:val="auto"/>
          <w:sz w:val="24"/>
          <w:szCs w:val="24"/>
          <w:lang w:val="en-US" w:eastAsia="zh-CN"/>
        </w:rPr>
        <w:t>20.88</w:t>
      </w:r>
      <w:r>
        <w:rPr>
          <w:rFonts w:hint="default" w:ascii="Times New Roman" w:hAnsi="Times New Roman" w:cs="Times New Roman"/>
          <w:color w:val="auto"/>
          <w:sz w:val="24"/>
          <w:szCs w:val="24"/>
        </w:rPr>
        <w:t>t/a</w:t>
      </w:r>
    </w:p>
    <w:p w14:paraId="0BD952E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eastAsia" w:ascii="Times New Roman" w:hAnsi="Times New Roman" w:eastAsia="宋体" w:cs="Times New Roman"/>
          <w:color w:val="auto"/>
          <w:sz w:val="24"/>
          <w:szCs w:val="24"/>
          <w:lang w:val="en-US" w:eastAsia="zh-CN"/>
        </w:rPr>
        <w:t>DA002</w:t>
      </w:r>
      <w:r>
        <w:rPr>
          <w:rFonts w:hint="default" w:ascii="Times New Roman" w:hAnsi="Times New Roman" w:cs="Times New Roman"/>
          <w:color w:val="auto"/>
          <w:sz w:val="24"/>
          <w:szCs w:val="24"/>
        </w:rPr>
        <w:t>颗粒物核定排放量=年废气量×标准浓度限值</w:t>
      </w:r>
    </w:p>
    <w:p w14:paraId="57EDA63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=200</w:t>
      </w:r>
      <w:r>
        <w:rPr>
          <w:rFonts w:hint="eastAsia" w:ascii="Times New Roman" w:hAnsi="Times New Roman" w:eastAsia="宋体" w:cs="Times New Roman"/>
          <w:color w:val="auto"/>
          <w:sz w:val="24"/>
          <w:szCs w:val="24"/>
          <w:lang w:val="en-US" w:eastAsia="zh-CN"/>
        </w:rPr>
        <w:t>0</w:t>
      </w:r>
      <w:r>
        <w:rPr>
          <w:rFonts w:hint="default" w:ascii="Times New Roman" w:hAnsi="Times New Roman" w:cs="Times New Roman"/>
          <w:color w:val="auto"/>
          <w:sz w:val="24"/>
          <w:szCs w:val="24"/>
        </w:rPr>
        <w:t>0m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/h×</w:t>
      </w:r>
      <w:r>
        <w:rPr>
          <w:rFonts w:hint="eastAsia" w:ascii="Times New Roman" w:hAnsi="Times New Roman" w:eastAsia="宋体" w:cs="Times New Roman"/>
          <w:color w:val="auto"/>
          <w:sz w:val="24"/>
          <w:szCs w:val="24"/>
          <w:lang w:val="en-US" w:eastAsia="zh-CN"/>
        </w:rPr>
        <w:t>6960</w:t>
      </w:r>
      <w:r>
        <w:rPr>
          <w:rFonts w:hint="default" w:ascii="Times New Roman" w:hAnsi="Times New Roman" w:cs="Times New Roman"/>
          <w:color w:val="auto"/>
          <w:sz w:val="24"/>
          <w:szCs w:val="24"/>
        </w:rPr>
        <w:t>h×120mg/m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×10</w:t>
      </w:r>
      <w:r>
        <w:rPr>
          <w:rFonts w:hint="default" w:ascii="Times New Roman" w:hAnsi="Times New Roman" w:cs="Times New Roman"/>
          <w:color w:val="auto"/>
          <w:sz w:val="24"/>
          <w:szCs w:val="24"/>
          <w:vertAlign w:val="superscript"/>
        </w:rPr>
        <w:t>-9</w:t>
      </w:r>
      <w:r>
        <w:rPr>
          <w:rFonts w:hint="default" w:ascii="Times New Roman" w:hAnsi="Times New Roman" w:cs="Times New Roman"/>
          <w:color w:val="auto"/>
          <w:sz w:val="24"/>
          <w:szCs w:val="24"/>
        </w:rPr>
        <w:t>=</w:t>
      </w:r>
      <w:r>
        <w:rPr>
          <w:rFonts w:hint="eastAsia" w:ascii="Times New Roman" w:hAnsi="Times New Roman" w:eastAsia="宋体" w:cs="Times New Roman"/>
          <w:color w:val="auto"/>
          <w:sz w:val="24"/>
          <w:szCs w:val="24"/>
          <w:lang w:val="en-US" w:eastAsia="zh-CN"/>
        </w:rPr>
        <w:t>16.704</w:t>
      </w:r>
      <w:r>
        <w:rPr>
          <w:rFonts w:hint="default" w:ascii="Times New Roman" w:hAnsi="Times New Roman" w:cs="Times New Roman"/>
          <w:color w:val="auto"/>
          <w:sz w:val="24"/>
          <w:szCs w:val="24"/>
        </w:rPr>
        <w:t>t/a</w:t>
      </w:r>
    </w:p>
    <w:p w14:paraId="506B0A8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eastAsia" w:ascii="Times New Roman" w:hAnsi="Times New Roman" w:eastAsia="宋体" w:cs="Times New Roman"/>
          <w:color w:val="auto"/>
          <w:sz w:val="24"/>
          <w:szCs w:val="24"/>
          <w:lang w:val="en-US" w:eastAsia="zh-CN"/>
        </w:rPr>
        <w:t>DA002非甲烷总烃</w:t>
      </w:r>
      <w:r>
        <w:rPr>
          <w:rFonts w:hint="default" w:ascii="Times New Roman" w:hAnsi="Times New Roman" w:cs="Times New Roman"/>
          <w:color w:val="auto"/>
          <w:sz w:val="24"/>
          <w:szCs w:val="24"/>
        </w:rPr>
        <w:t>核定排放量=年废气量×标准浓度限值</w:t>
      </w:r>
    </w:p>
    <w:p w14:paraId="29C3211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=20</w:t>
      </w:r>
      <w:r>
        <w:rPr>
          <w:rFonts w:hint="eastAsia" w:ascii="Times New Roman" w:hAnsi="Times New Roman" w:eastAsia="宋体" w:cs="Times New Roman"/>
          <w:color w:val="auto"/>
          <w:sz w:val="24"/>
          <w:szCs w:val="24"/>
          <w:lang w:val="en-US" w:eastAsia="zh-CN"/>
        </w:rPr>
        <w:t>0</w:t>
      </w:r>
      <w:r>
        <w:rPr>
          <w:rFonts w:hint="default" w:ascii="Times New Roman" w:hAnsi="Times New Roman" w:cs="Times New Roman"/>
          <w:color w:val="auto"/>
          <w:sz w:val="24"/>
          <w:szCs w:val="24"/>
        </w:rPr>
        <w:t>00m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/h×</w:t>
      </w:r>
      <w:r>
        <w:rPr>
          <w:rFonts w:hint="eastAsia" w:ascii="Times New Roman" w:hAnsi="Times New Roman" w:eastAsia="宋体" w:cs="Times New Roman"/>
          <w:color w:val="auto"/>
          <w:sz w:val="24"/>
          <w:szCs w:val="24"/>
          <w:lang w:val="en-US" w:eastAsia="zh-CN"/>
        </w:rPr>
        <w:t>6960</w:t>
      </w:r>
      <w:r>
        <w:rPr>
          <w:rFonts w:hint="default" w:ascii="Times New Roman" w:hAnsi="Times New Roman" w:cs="Times New Roman"/>
          <w:color w:val="auto"/>
          <w:sz w:val="24"/>
          <w:szCs w:val="24"/>
        </w:rPr>
        <w:t>h×120mg/m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×10</w:t>
      </w:r>
      <w:r>
        <w:rPr>
          <w:rFonts w:hint="default" w:ascii="Times New Roman" w:hAnsi="Times New Roman" w:cs="Times New Roman"/>
          <w:color w:val="auto"/>
          <w:sz w:val="24"/>
          <w:szCs w:val="24"/>
          <w:vertAlign w:val="superscript"/>
        </w:rPr>
        <w:t>-9</w:t>
      </w:r>
      <w:r>
        <w:rPr>
          <w:rFonts w:hint="default" w:ascii="Times New Roman" w:hAnsi="Times New Roman" w:cs="Times New Roman"/>
          <w:color w:val="auto"/>
          <w:sz w:val="24"/>
          <w:szCs w:val="24"/>
        </w:rPr>
        <w:t>=</w:t>
      </w:r>
      <w:r>
        <w:rPr>
          <w:rFonts w:hint="eastAsia" w:ascii="Times New Roman" w:hAnsi="Times New Roman" w:eastAsia="宋体" w:cs="Times New Roman"/>
          <w:color w:val="auto"/>
          <w:sz w:val="24"/>
          <w:szCs w:val="24"/>
          <w:lang w:val="en-US" w:eastAsia="zh-CN"/>
        </w:rPr>
        <w:t>16.704</w:t>
      </w:r>
      <w:r>
        <w:rPr>
          <w:rFonts w:hint="default" w:ascii="Times New Roman" w:hAnsi="Times New Roman" w:cs="Times New Roman"/>
          <w:color w:val="auto"/>
          <w:sz w:val="24"/>
          <w:szCs w:val="24"/>
        </w:rPr>
        <w:t>t/a</w:t>
      </w:r>
    </w:p>
    <w:p w14:paraId="24D7151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eastAsia" w:ascii="Times New Roman" w:hAnsi="Times New Roman" w:eastAsia="宋体" w:cs="Times New Roman"/>
          <w:color w:val="auto"/>
          <w:sz w:val="24"/>
          <w:szCs w:val="24"/>
          <w:lang w:val="en-US" w:eastAsia="zh-CN"/>
        </w:rPr>
        <w:t>DA004非甲烷总烃</w:t>
      </w:r>
      <w:r>
        <w:rPr>
          <w:rFonts w:hint="default" w:ascii="Times New Roman" w:hAnsi="Times New Roman" w:cs="Times New Roman"/>
          <w:color w:val="auto"/>
          <w:sz w:val="24"/>
          <w:szCs w:val="24"/>
        </w:rPr>
        <w:t>核定排放量=年废气量×标准浓度限值</w:t>
      </w:r>
    </w:p>
    <w:p w14:paraId="7742088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color w:val="auto"/>
        </w:rPr>
      </w:pPr>
      <w:r>
        <w:rPr>
          <w:rFonts w:hint="default" w:ascii="Times New Roman" w:hAnsi="Times New Roman" w:cs="Times New Roman"/>
          <w:color w:val="auto"/>
          <w:sz w:val="24"/>
          <w:szCs w:val="24"/>
        </w:rPr>
        <w:t>=</w:t>
      </w:r>
      <w:r>
        <w:rPr>
          <w:rFonts w:hint="eastAsia" w:ascii="Times New Roman" w:hAnsi="Times New Roman" w:eastAsia="宋体" w:cs="Times New Roman"/>
          <w:color w:val="auto"/>
          <w:sz w:val="24"/>
          <w:szCs w:val="24"/>
          <w:lang w:val="en-US" w:eastAsia="zh-CN"/>
        </w:rPr>
        <w:t>50</w:t>
      </w:r>
      <w:r>
        <w:rPr>
          <w:rFonts w:hint="default" w:ascii="Times New Roman" w:hAnsi="Times New Roman" w:cs="Times New Roman"/>
          <w:color w:val="auto"/>
          <w:sz w:val="24"/>
          <w:szCs w:val="24"/>
        </w:rPr>
        <w:t>00m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/h×</w:t>
      </w:r>
      <w:r>
        <w:rPr>
          <w:rFonts w:hint="eastAsia" w:ascii="Times New Roman" w:hAnsi="Times New Roman" w:eastAsia="宋体" w:cs="Times New Roman"/>
          <w:color w:val="auto"/>
          <w:sz w:val="24"/>
          <w:szCs w:val="24"/>
          <w:lang w:val="en-US" w:eastAsia="zh-CN"/>
        </w:rPr>
        <w:t>6960</w:t>
      </w:r>
      <w:r>
        <w:rPr>
          <w:rFonts w:hint="default" w:ascii="Times New Roman" w:hAnsi="Times New Roman" w:cs="Times New Roman"/>
          <w:color w:val="auto"/>
          <w:sz w:val="24"/>
          <w:szCs w:val="24"/>
        </w:rPr>
        <w:t>h×1</w:t>
      </w:r>
      <w:r>
        <w:rPr>
          <w:rFonts w:hint="eastAsia" w:ascii="Times New Roman" w:hAnsi="Times New Roman" w:eastAsia="宋体" w:cs="Times New Roman"/>
          <w:color w:val="auto"/>
          <w:sz w:val="24"/>
          <w:szCs w:val="24"/>
          <w:lang w:val="en-US" w:eastAsia="zh-CN"/>
        </w:rPr>
        <w:t>0</w:t>
      </w:r>
      <w:r>
        <w:rPr>
          <w:rFonts w:hint="default" w:ascii="Times New Roman" w:hAnsi="Times New Roman" w:cs="Times New Roman"/>
          <w:color w:val="auto"/>
          <w:sz w:val="24"/>
          <w:szCs w:val="24"/>
        </w:rPr>
        <w:t>0mg/m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×10</w:t>
      </w:r>
      <w:r>
        <w:rPr>
          <w:rFonts w:hint="default" w:ascii="Times New Roman" w:hAnsi="Times New Roman" w:cs="Times New Roman"/>
          <w:color w:val="auto"/>
          <w:sz w:val="24"/>
          <w:szCs w:val="24"/>
          <w:vertAlign w:val="superscript"/>
        </w:rPr>
        <w:t>-9</w:t>
      </w:r>
      <w:r>
        <w:rPr>
          <w:rFonts w:hint="default" w:ascii="Times New Roman" w:hAnsi="Times New Roman" w:cs="Times New Roman"/>
          <w:color w:val="auto"/>
          <w:sz w:val="24"/>
          <w:szCs w:val="24"/>
        </w:rPr>
        <w:t>=</w:t>
      </w:r>
      <w:r>
        <w:rPr>
          <w:rFonts w:hint="eastAsia" w:ascii="Times New Roman" w:hAnsi="Times New Roman" w:eastAsia="宋体" w:cs="Times New Roman"/>
          <w:color w:val="auto"/>
          <w:sz w:val="24"/>
          <w:szCs w:val="24"/>
          <w:lang w:val="en-US" w:eastAsia="zh-CN"/>
        </w:rPr>
        <w:t>3.48</w:t>
      </w:r>
      <w:r>
        <w:rPr>
          <w:rFonts w:hint="default" w:ascii="Times New Roman" w:hAnsi="Times New Roman" w:cs="Times New Roman"/>
          <w:color w:val="auto"/>
          <w:sz w:val="24"/>
          <w:szCs w:val="24"/>
        </w:rPr>
        <w:t>t/a</w:t>
      </w:r>
    </w:p>
    <w:p w14:paraId="5E5E204F">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default" w:ascii="Times New Roman" w:hAnsi="Times New Roman" w:eastAsia="Arial" w:cs="Times New Roman"/>
          <w:bCs w:val="0"/>
          <w:snapToGrid w:val="0"/>
          <w:color w:val="auto"/>
          <w:kern w:val="0"/>
          <w:sz w:val="24"/>
          <w:szCs w:val="24"/>
          <w:lang w:val="en-US" w:eastAsia="zh-CN" w:bidi="ar-SA"/>
        </w:rPr>
      </w:pPr>
      <w:r>
        <w:rPr>
          <w:rFonts w:hint="eastAsia" w:ascii="Times New Roman" w:hAnsi="Times New Roman" w:eastAsia="Arial" w:cs="Times New Roman"/>
          <w:bCs w:val="0"/>
          <w:snapToGrid w:val="0"/>
          <w:color w:val="auto"/>
          <w:kern w:val="0"/>
          <w:sz w:val="24"/>
          <w:szCs w:val="24"/>
          <w:lang w:val="en-US" w:eastAsia="zh-CN" w:bidi="ar-SA"/>
        </w:rPr>
        <w:t>无组织颗粒物为3.845t/a，无组织非甲烷为5.347t/a。</w:t>
      </w:r>
    </w:p>
    <w:p w14:paraId="5D7B5B6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本项目大气污染物总量建议指标：</w:t>
      </w:r>
      <w:r>
        <w:rPr>
          <w:rFonts w:hint="eastAsia" w:ascii="Times New Roman" w:hAnsi="Times New Roman" w:eastAsia="宋体" w:cs="Times New Roman"/>
          <w:color w:val="auto"/>
          <w:sz w:val="24"/>
          <w:szCs w:val="24"/>
          <w:lang w:val="en-US" w:eastAsia="zh-CN"/>
        </w:rPr>
        <w:t>烟尘0.064</w:t>
      </w:r>
      <w:r>
        <w:rPr>
          <w:rFonts w:hint="default" w:ascii="Times New Roman" w:hAnsi="Times New Roman" w:cs="Times New Roman"/>
          <w:color w:val="auto"/>
          <w:sz w:val="24"/>
          <w:szCs w:val="24"/>
        </w:rPr>
        <w:t>t/a，二氧化硫</w:t>
      </w:r>
      <w:r>
        <w:rPr>
          <w:rFonts w:hint="eastAsia" w:ascii="Times New Roman" w:hAnsi="Times New Roman" w:eastAsia="宋体" w:cs="Times New Roman"/>
          <w:color w:val="auto"/>
          <w:sz w:val="24"/>
          <w:szCs w:val="24"/>
          <w:lang w:val="en-US" w:eastAsia="zh-CN"/>
        </w:rPr>
        <w:t>0.064</w:t>
      </w:r>
      <w:r>
        <w:rPr>
          <w:rFonts w:hint="default" w:ascii="Times New Roman" w:hAnsi="Times New Roman" w:cs="Times New Roman"/>
          <w:color w:val="auto"/>
          <w:sz w:val="24"/>
          <w:szCs w:val="24"/>
        </w:rPr>
        <w:t>t/a，氮氧化物</w:t>
      </w:r>
      <w:r>
        <w:rPr>
          <w:rFonts w:hint="eastAsia" w:ascii="Times New Roman" w:hAnsi="Times New Roman" w:eastAsia="宋体" w:cs="Times New Roman"/>
          <w:color w:val="auto"/>
          <w:sz w:val="24"/>
          <w:szCs w:val="24"/>
          <w:lang w:val="en-US" w:eastAsia="zh-CN"/>
        </w:rPr>
        <w:t>0.956</w:t>
      </w:r>
      <w:r>
        <w:rPr>
          <w:rFonts w:hint="default" w:ascii="Times New Roman" w:hAnsi="Times New Roman" w:cs="Times New Roman"/>
          <w:color w:val="auto"/>
          <w:sz w:val="24"/>
          <w:szCs w:val="24"/>
        </w:rPr>
        <w:t>t/a，</w:t>
      </w:r>
      <w:r>
        <w:rPr>
          <w:rFonts w:hint="eastAsia" w:ascii="Times New Roman" w:hAnsi="Times New Roman" w:eastAsia="宋体" w:cs="Times New Roman"/>
          <w:color w:val="auto"/>
          <w:sz w:val="24"/>
          <w:szCs w:val="24"/>
          <w:lang w:val="en-US" w:eastAsia="zh-CN"/>
        </w:rPr>
        <w:t>颗粒物20.549</w:t>
      </w:r>
      <w:r>
        <w:rPr>
          <w:rFonts w:hint="default" w:ascii="Times New Roman" w:hAnsi="Times New Roman" w:cs="Times New Roman"/>
          <w:color w:val="auto"/>
          <w:sz w:val="24"/>
          <w:szCs w:val="24"/>
        </w:rPr>
        <w:t>t/a，VOCs</w:t>
      </w:r>
      <w:r>
        <w:rPr>
          <w:rFonts w:hint="eastAsia" w:ascii="Times New Roman" w:hAnsi="Times New Roman" w:eastAsia="宋体" w:cs="Times New Roman"/>
          <w:color w:val="auto"/>
          <w:sz w:val="24"/>
          <w:szCs w:val="24"/>
          <w:lang w:val="en-US" w:eastAsia="zh-CN"/>
        </w:rPr>
        <w:t>46.411</w:t>
      </w:r>
      <w:r>
        <w:rPr>
          <w:rFonts w:hint="default" w:ascii="Times New Roman" w:hAnsi="Times New Roman" w:cs="Times New Roman"/>
          <w:color w:val="auto"/>
          <w:sz w:val="24"/>
          <w:szCs w:val="24"/>
        </w:rPr>
        <w:t>t/a。</w:t>
      </w:r>
    </w:p>
    <w:p w14:paraId="32314FDA">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3"/>
        <w:rPr>
          <w:rFonts w:hint="default" w:ascii="Times New Roman" w:hAnsi="Times New Roman" w:eastAsia="宋体" w:cs="Times New Roman"/>
          <w:b/>
          <w:bCs/>
          <w:color w:val="auto"/>
          <w:sz w:val="28"/>
          <w:szCs w:val="28"/>
          <w:lang w:val="en-US" w:eastAsia="zh-CN"/>
        </w:rPr>
      </w:pPr>
      <w:r>
        <w:rPr>
          <w:rFonts w:hint="eastAsia" w:ascii="Times New Roman" w:hAnsi="Times New Roman" w:eastAsia="宋体" w:cs="Times New Roman"/>
          <w:b/>
          <w:bCs/>
          <w:color w:val="auto"/>
          <w:sz w:val="28"/>
          <w:szCs w:val="28"/>
          <w:lang w:val="en-US" w:eastAsia="zh-CN"/>
        </w:rPr>
        <w:t>8.5.3.2</w:t>
      </w:r>
      <w:r>
        <w:rPr>
          <w:rFonts w:hint="default" w:ascii="Times New Roman" w:hAnsi="Times New Roman" w:eastAsia="宋体" w:cs="Times New Roman"/>
          <w:b/>
          <w:bCs/>
          <w:color w:val="auto"/>
          <w:sz w:val="28"/>
          <w:szCs w:val="28"/>
          <w:lang w:val="en-US" w:eastAsia="zh-CN"/>
        </w:rPr>
        <w:t>水污染物总量控制指标</w:t>
      </w:r>
    </w:p>
    <w:p w14:paraId="7A808D3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w:t>
      </w:r>
      <w:r>
        <w:rPr>
          <w:rFonts w:hint="default" w:ascii="Times New Roman" w:hAnsi="Times New Roman" w:eastAsia="宋体" w:cs="Times New Roman"/>
          <w:color w:val="auto"/>
          <w:kern w:val="0"/>
          <w:sz w:val="24"/>
          <w:szCs w:val="24"/>
        </w:rPr>
        <w:t>目废水排放量为</w:t>
      </w:r>
      <w:r>
        <w:rPr>
          <w:rFonts w:hint="default" w:ascii="Times New Roman" w:hAnsi="Times New Roman" w:eastAsia="宋体" w:cs="Times New Roman"/>
          <w:color w:val="auto"/>
          <w:kern w:val="0"/>
          <w:sz w:val="24"/>
          <w:szCs w:val="24"/>
          <w:lang w:val="en-US" w:eastAsia="zh-CN"/>
        </w:rPr>
        <w:t>8294</w:t>
      </w:r>
      <w:r>
        <w:rPr>
          <w:rFonts w:hint="default" w:ascii="Times New Roman" w:hAnsi="Times New Roman" w:eastAsia="宋体" w:cs="Times New Roman"/>
          <w:color w:val="auto"/>
          <w:kern w:val="0"/>
          <w:sz w:val="24"/>
          <w:szCs w:val="24"/>
        </w:rPr>
        <w:t>t/a</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lang w:val="en-US" w:eastAsia="zh-CN"/>
        </w:rPr>
        <w:t>废水排放标准</w:t>
      </w:r>
      <w:r>
        <w:rPr>
          <w:rFonts w:hint="default" w:ascii="Times New Roman" w:hAnsi="Times New Roman" w:eastAsia="宋体" w:cs="Times New Roman"/>
          <w:color w:val="auto"/>
          <w:kern w:val="0"/>
          <w:sz w:val="24"/>
          <w:szCs w:val="24"/>
        </w:rPr>
        <w:t>COD</w:t>
      </w:r>
      <w:r>
        <w:rPr>
          <w:rFonts w:hint="default" w:ascii="Times New Roman" w:hAnsi="Times New Roman" w:eastAsia="宋体" w:cs="Times New Roman"/>
          <w:color w:val="auto"/>
          <w:kern w:val="0"/>
          <w:sz w:val="24"/>
          <w:szCs w:val="24"/>
          <w:lang w:val="en-US" w:eastAsia="zh-CN"/>
        </w:rPr>
        <w:t>5</w:t>
      </w:r>
      <w:r>
        <w:rPr>
          <w:rFonts w:hint="default" w:ascii="Times New Roman" w:hAnsi="Times New Roman" w:eastAsia="宋体" w:cs="Times New Roman"/>
          <w:color w:val="auto"/>
          <w:kern w:val="0"/>
          <w:sz w:val="24"/>
          <w:szCs w:val="24"/>
        </w:rPr>
        <w:t>00mg/L。</w:t>
      </w:r>
    </w:p>
    <w:p w14:paraId="53A5DC3E">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green"/>
        </w:rPr>
      </w:pPr>
      <w:r>
        <w:rPr>
          <w:rFonts w:hint="eastAsia" w:ascii="Times New Roman" w:hAnsi="Times New Roman" w:eastAsia="宋体" w:cs="Times New Roman"/>
          <w:color w:val="auto"/>
          <w:sz w:val="24"/>
          <w:szCs w:val="24"/>
          <w:highlight w:val="none"/>
          <w:lang w:val="en-US" w:eastAsia="zh-CN"/>
        </w:rPr>
        <w:t>则</w:t>
      </w:r>
      <w:r>
        <w:rPr>
          <w:rFonts w:hint="default" w:ascii="Times New Roman" w:hAnsi="Times New Roman" w:cs="Times New Roman"/>
          <w:color w:val="auto"/>
          <w:sz w:val="24"/>
          <w:szCs w:val="24"/>
          <w:highlight w:val="none"/>
        </w:rPr>
        <w:t>COD</w:t>
      </w:r>
      <w:r>
        <w:rPr>
          <w:rFonts w:hint="eastAsia" w:ascii="Times New Roman" w:hAnsi="Times New Roman" w:eastAsia="宋体" w:cs="Times New Roman"/>
          <w:color w:val="auto"/>
          <w:sz w:val="24"/>
          <w:szCs w:val="24"/>
          <w:highlight w:val="none"/>
          <w:lang w:val="en-US" w:eastAsia="zh-CN"/>
        </w:rPr>
        <w:t>核定排放量</w:t>
      </w:r>
      <w:r>
        <w:rPr>
          <w:rFonts w:hint="default" w:ascii="Times New Roman" w:hAnsi="Times New Roman" w:cs="Times New Roman"/>
          <w:color w:val="auto"/>
          <w:sz w:val="24"/>
          <w:szCs w:val="24"/>
          <w:highlight w:val="none"/>
        </w:rPr>
        <w:t>：</w:t>
      </w:r>
      <w:r>
        <w:rPr>
          <w:rFonts w:hint="eastAsia" w:ascii="Times New Roman" w:hAnsi="Times New Roman" w:eastAsia="等线" w:cs="Times New Roman"/>
          <w:snapToGrid w:val="0"/>
          <w:color w:val="auto"/>
          <w:kern w:val="0"/>
          <w:sz w:val="24"/>
          <w:szCs w:val="24"/>
          <w:highlight w:val="none"/>
          <w:lang w:val="en-US" w:eastAsia="zh-CN"/>
        </w:rPr>
        <w:t>8294</w:t>
      </w:r>
      <w:r>
        <w:rPr>
          <w:rFonts w:hint="default" w:ascii="Times New Roman" w:hAnsi="Times New Roman" w:cs="Times New Roman"/>
          <w:color w:val="auto"/>
          <w:sz w:val="24"/>
          <w:szCs w:val="24"/>
          <w:highlight w:val="none"/>
        </w:rPr>
        <w:t>t/a×</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00mg/L÷1000000=</w:t>
      </w:r>
      <w:r>
        <w:rPr>
          <w:rFonts w:hint="eastAsia" w:ascii="Times New Roman" w:hAnsi="Times New Roman" w:cs="Times New Roman"/>
          <w:color w:val="auto"/>
          <w:sz w:val="24"/>
          <w:szCs w:val="24"/>
          <w:highlight w:val="none"/>
          <w:lang w:val="en-US" w:eastAsia="zh-CN"/>
        </w:rPr>
        <w:t>4.15</w:t>
      </w:r>
      <w:r>
        <w:rPr>
          <w:rFonts w:hint="default" w:ascii="Times New Roman" w:hAnsi="Times New Roman" w:cs="Times New Roman"/>
          <w:color w:val="auto"/>
          <w:sz w:val="24"/>
          <w:szCs w:val="24"/>
          <w:highlight w:val="none"/>
        </w:rPr>
        <w:t>t/a</w:t>
      </w:r>
    </w:p>
    <w:p w14:paraId="36C449B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sectPr>
          <w:pgSz w:w="11906" w:h="16838"/>
          <w:pgMar w:top="1134" w:right="1417" w:bottom="1134" w:left="1417" w:header="850"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default" w:ascii="Times New Roman" w:hAnsi="Times New Roman" w:cs="Times New Roman"/>
          <w:color w:val="auto"/>
          <w:sz w:val="24"/>
          <w:szCs w:val="24"/>
          <w:highlight w:val="none"/>
        </w:rPr>
        <w:t>NH</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-N</w:t>
      </w:r>
      <w:r>
        <w:rPr>
          <w:rFonts w:hint="eastAsia" w:ascii="Times New Roman" w:hAnsi="Times New Roman" w:eastAsia="宋体" w:cs="Times New Roman"/>
          <w:color w:val="auto"/>
          <w:sz w:val="24"/>
          <w:szCs w:val="24"/>
          <w:highlight w:val="none"/>
          <w:lang w:val="en-US" w:eastAsia="zh-CN"/>
        </w:rPr>
        <w:t>核定排放量=预测排放量</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0.26</w:t>
      </w:r>
      <w:r>
        <w:rPr>
          <w:rFonts w:hint="default" w:ascii="Times New Roman" w:hAnsi="Times New Roman" w:cs="Times New Roman"/>
          <w:color w:val="auto"/>
          <w:sz w:val="24"/>
          <w:szCs w:val="24"/>
          <w:highlight w:val="none"/>
        </w:rPr>
        <w:t>t/a</w:t>
      </w:r>
    </w:p>
    <w:p w14:paraId="19A18763">
      <w:pPr>
        <w:keepNext w:val="0"/>
        <w:keepLines w:val="0"/>
        <w:pageBreakBefore/>
        <w:widowControl/>
        <w:kinsoku w:val="0"/>
        <w:wordWrap/>
        <w:overflowPunct/>
        <w:topLinePunct w:val="0"/>
        <w:autoSpaceDE w:val="0"/>
        <w:autoSpaceDN w:val="0"/>
        <w:bidi w:val="0"/>
        <w:adjustRightInd w:val="0"/>
        <w:snapToGrid w:val="0"/>
        <w:spacing w:before="0" w:beforeLines="50" w:after="0" w:afterLines="50" w:line="240" w:lineRule="auto"/>
        <w:ind w:left="0"/>
        <w:textAlignment w:val="baseline"/>
        <w:outlineLvl w:val="0"/>
        <w:rPr>
          <w:rFonts w:hint="eastAsia" w:ascii="Times New Roman" w:hAnsi="Times New Roman" w:eastAsia="微软雅黑" w:cs="Times New Roman"/>
          <w:b w:val="0"/>
          <w:bCs w:val="0"/>
          <w:color w:val="auto"/>
          <w:spacing w:val="0"/>
          <w:position w:val="0"/>
          <w:sz w:val="36"/>
          <w:szCs w:val="36"/>
          <w:lang w:eastAsia="zh-CN"/>
        </w:rPr>
      </w:pPr>
      <w:bookmarkStart w:id="83" w:name="_Toc28230"/>
      <w:r>
        <w:rPr>
          <w:rFonts w:hint="eastAsia" w:ascii="Times New Roman" w:hAnsi="Times New Roman" w:eastAsia="微软雅黑" w:cs="Times New Roman"/>
          <w:b w:val="0"/>
          <w:bCs w:val="0"/>
          <w:color w:val="auto"/>
          <w:spacing w:val="0"/>
          <w:position w:val="0"/>
          <w:sz w:val="36"/>
          <w:szCs w:val="36"/>
          <w:lang w:val="en-US" w:eastAsia="zh-CN"/>
        </w:rPr>
        <w:t>9</w:t>
      </w:r>
      <w:r>
        <w:rPr>
          <w:rFonts w:hint="default" w:ascii="Times New Roman" w:hAnsi="Times New Roman" w:eastAsia="微软雅黑" w:cs="Times New Roman"/>
          <w:b w:val="0"/>
          <w:bCs w:val="0"/>
          <w:color w:val="auto"/>
          <w:spacing w:val="0"/>
          <w:position w:val="0"/>
          <w:sz w:val="36"/>
          <w:szCs w:val="36"/>
        </w:rPr>
        <w:t xml:space="preserve"> 环境影响评价结论</w:t>
      </w:r>
      <w:bookmarkEnd w:id="83"/>
    </w:p>
    <w:p w14:paraId="2C7B6C8F">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jc w:val="both"/>
        <w:textAlignment w:val="baseline"/>
        <w:outlineLvl w:val="1"/>
        <w:rPr>
          <w:rFonts w:hint="default" w:ascii="Times New Roman" w:hAnsi="Times New Roman" w:eastAsia="微软雅黑" w:cs="Times New Roman"/>
          <w:color w:val="auto"/>
          <w:spacing w:val="6"/>
          <w:sz w:val="32"/>
          <w:szCs w:val="32"/>
          <w:highlight w:val="none"/>
          <w:lang w:val="en-US" w:eastAsia="zh-CN"/>
        </w:rPr>
      </w:pPr>
      <w:bookmarkStart w:id="84" w:name="_Toc6165"/>
      <w:r>
        <w:rPr>
          <w:rFonts w:hint="eastAsia" w:ascii="Times New Roman" w:hAnsi="Times New Roman" w:eastAsia="微软雅黑" w:cs="Times New Roman"/>
          <w:color w:val="auto"/>
          <w:spacing w:val="6"/>
          <w:sz w:val="32"/>
          <w:szCs w:val="32"/>
          <w:highlight w:val="none"/>
          <w:lang w:val="en-US" w:eastAsia="zh-CN"/>
        </w:rPr>
        <w:t>9</w:t>
      </w:r>
      <w:r>
        <w:rPr>
          <w:rFonts w:hint="default" w:ascii="Times New Roman" w:hAnsi="Times New Roman" w:eastAsia="微软雅黑" w:cs="Times New Roman"/>
          <w:color w:val="auto"/>
          <w:spacing w:val="6"/>
          <w:sz w:val="32"/>
          <w:szCs w:val="32"/>
          <w:highlight w:val="none"/>
          <w:lang w:val="en-US" w:eastAsia="zh-CN"/>
        </w:rPr>
        <w:t>.1 项目</w:t>
      </w:r>
      <w:r>
        <w:rPr>
          <w:rFonts w:hint="eastAsia" w:ascii="Times New Roman" w:hAnsi="Times New Roman" w:eastAsia="微软雅黑" w:cs="Times New Roman"/>
          <w:color w:val="auto"/>
          <w:spacing w:val="6"/>
          <w:sz w:val="32"/>
          <w:szCs w:val="32"/>
          <w:highlight w:val="none"/>
          <w:lang w:val="en-US" w:eastAsia="zh-CN"/>
        </w:rPr>
        <w:t>建设</w:t>
      </w:r>
      <w:r>
        <w:rPr>
          <w:rFonts w:hint="default" w:ascii="Times New Roman" w:hAnsi="Times New Roman" w:eastAsia="微软雅黑" w:cs="Times New Roman"/>
          <w:color w:val="auto"/>
          <w:spacing w:val="6"/>
          <w:sz w:val="32"/>
          <w:szCs w:val="32"/>
          <w:highlight w:val="none"/>
          <w:lang w:val="en-US" w:eastAsia="zh-CN"/>
        </w:rPr>
        <w:t>概况</w:t>
      </w:r>
      <w:bookmarkEnd w:id="84"/>
    </w:p>
    <w:p w14:paraId="31CA8796">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position w:val="0"/>
          <w:sz w:val="24"/>
          <w:lang w:val="en-US" w:eastAsia="zh-CN"/>
        </w:rPr>
      </w:pPr>
      <w:r>
        <w:rPr>
          <w:rFonts w:hint="eastAsia" w:ascii="Times New Roman" w:hAnsi="Times New Roman" w:eastAsia="宋体" w:cs="Times New Roman"/>
          <w:color w:val="auto"/>
          <w:spacing w:val="0"/>
          <w:position w:val="0"/>
          <w:sz w:val="24"/>
          <w:lang w:val="en-US" w:eastAsia="zh-CN"/>
        </w:rPr>
        <w:t>黑龙江天时利精密科技有限公司新建项目</w:t>
      </w:r>
      <w:r>
        <w:rPr>
          <w:rFonts w:hint="default" w:ascii="Times New Roman" w:hAnsi="Times New Roman" w:eastAsia="宋体" w:cs="Times New Roman"/>
          <w:color w:val="auto"/>
          <w:spacing w:val="0"/>
          <w:position w:val="0"/>
          <w:sz w:val="24"/>
          <w:lang w:val="en-US" w:eastAsia="zh-CN"/>
        </w:rPr>
        <w:t>位于黑龙江</w:t>
      </w:r>
      <w:r>
        <w:rPr>
          <w:rFonts w:hint="eastAsia" w:ascii="Times New Roman" w:hAnsi="Times New Roman" w:eastAsia="宋体" w:cs="Times New Roman"/>
          <w:color w:val="auto"/>
          <w:spacing w:val="0"/>
          <w:position w:val="0"/>
          <w:sz w:val="24"/>
          <w:lang w:val="en-US" w:eastAsia="zh-CN"/>
        </w:rPr>
        <w:t>省哈尔滨市</w:t>
      </w:r>
      <w:r>
        <w:rPr>
          <w:rFonts w:hint="default" w:ascii="Times New Roman" w:hAnsi="Times New Roman" w:eastAsia="宋体" w:cs="Times New Roman"/>
          <w:color w:val="auto"/>
          <w:spacing w:val="0"/>
          <w:position w:val="0"/>
          <w:sz w:val="24"/>
          <w:lang w:val="en-US" w:eastAsia="zh-CN"/>
        </w:rPr>
        <w:t>五常市牛家工业园区宁波路13号</w:t>
      </w:r>
      <w:r>
        <w:rPr>
          <w:rFonts w:hint="eastAsia" w:ascii="Times New Roman" w:hAnsi="Times New Roman" w:eastAsia="宋体" w:cs="Times New Roman"/>
          <w:color w:val="auto"/>
          <w:spacing w:val="0"/>
          <w:position w:val="0"/>
          <w:sz w:val="24"/>
          <w:lang w:val="en-US" w:eastAsia="zh-CN"/>
        </w:rPr>
        <w:t>，</w:t>
      </w:r>
      <w:r>
        <w:rPr>
          <w:rFonts w:hint="eastAsia" w:ascii="Times New Roman" w:hAnsi="Times New Roman" w:eastAsia="宋体" w:cs="Times New Roman"/>
          <w:color w:val="auto"/>
          <w:spacing w:val="-3"/>
          <w:sz w:val="24"/>
          <w:szCs w:val="24"/>
          <w:lang w:val="en-US" w:eastAsia="zh-CN"/>
        </w:rPr>
        <w:t>本项目</w:t>
      </w:r>
      <w:r>
        <w:rPr>
          <w:rFonts w:hint="default" w:ascii="Times New Roman" w:hAnsi="Times New Roman" w:eastAsia="宋体" w:cs="Times New Roman"/>
          <w:color w:val="auto"/>
          <w:spacing w:val="-3"/>
          <w:sz w:val="24"/>
          <w:szCs w:val="24"/>
          <w:lang w:val="en-US" w:eastAsia="zh-CN"/>
        </w:rPr>
        <w:t>占地面积为39999平方米，</w:t>
      </w:r>
      <w:r>
        <w:rPr>
          <w:rFonts w:hint="eastAsia" w:ascii="Times New Roman" w:hAnsi="Times New Roman" w:eastAsia="宋体" w:cs="Times New Roman"/>
          <w:color w:val="auto"/>
          <w:spacing w:val="-3"/>
          <w:sz w:val="24"/>
          <w:szCs w:val="24"/>
          <w:lang w:val="en-US" w:eastAsia="zh-CN"/>
        </w:rPr>
        <w:t>利用现有土地及厂房、办公楼、宿舍楼等进行建设，</w:t>
      </w:r>
      <w:r>
        <w:rPr>
          <w:rFonts w:hint="default" w:ascii="Times New Roman" w:hAnsi="Times New Roman" w:eastAsia="宋体" w:cs="Times New Roman"/>
          <w:color w:val="auto"/>
          <w:spacing w:val="-3"/>
          <w:sz w:val="24"/>
          <w:szCs w:val="24"/>
          <w:lang w:val="en-US" w:eastAsia="zh-CN"/>
        </w:rPr>
        <w:t>建设汽车内外饰装饰零部件产品生产基地，年产量为2000万件汽车装饰零部件</w:t>
      </w:r>
      <w:r>
        <w:rPr>
          <w:rFonts w:hint="eastAsia" w:ascii="Times New Roman" w:hAnsi="Times New Roman" w:eastAsia="宋体" w:cs="Times New Roman"/>
          <w:color w:val="auto"/>
          <w:spacing w:val="-3"/>
          <w:sz w:val="24"/>
          <w:szCs w:val="24"/>
          <w:lang w:val="en-US" w:eastAsia="zh-CN"/>
        </w:rPr>
        <w:t>，总投资为20000万元。</w:t>
      </w:r>
    </w:p>
    <w:p w14:paraId="32F48266">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jc w:val="both"/>
        <w:textAlignment w:val="baseline"/>
        <w:outlineLvl w:val="1"/>
        <w:rPr>
          <w:rFonts w:hint="default" w:ascii="Times New Roman" w:hAnsi="Times New Roman" w:eastAsia="微软雅黑" w:cs="Times New Roman"/>
          <w:color w:val="auto"/>
          <w:spacing w:val="6"/>
          <w:sz w:val="32"/>
          <w:szCs w:val="32"/>
          <w:highlight w:val="none"/>
          <w:lang w:val="en-US" w:eastAsia="zh-CN"/>
        </w:rPr>
      </w:pPr>
      <w:bookmarkStart w:id="85" w:name="_Toc31906"/>
      <w:r>
        <w:rPr>
          <w:rFonts w:hint="eastAsia" w:ascii="Times New Roman" w:hAnsi="Times New Roman" w:eastAsia="微软雅黑" w:cs="Times New Roman"/>
          <w:color w:val="auto"/>
          <w:spacing w:val="6"/>
          <w:sz w:val="32"/>
          <w:szCs w:val="32"/>
          <w:highlight w:val="none"/>
          <w:lang w:val="en-US" w:eastAsia="zh-CN"/>
        </w:rPr>
        <w:t>9</w:t>
      </w:r>
      <w:r>
        <w:rPr>
          <w:rFonts w:hint="default" w:ascii="Times New Roman" w:hAnsi="Times New Roman" w:eastAsia="微软雅黑" w:cs="Times New Roman"/>
          <w:color w:val="auto"/>
          <w:spacing w:val="6"/>
          <w:sz w:val="32"/>
          <w:szCs w:val="32"/>
          <w:highlight w:val="none"/>
          <w:lang w:val="en-US" w:eastAsia="zh-CN"/>
        </w:rPr>
        <w:t>.2 环境质量现状</w:t>
      </w:r>
      <w:bookmarkEnd w:id="85"/>
    </w:p>
    <w:p w14:paraId="6F1213DF">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9</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.2.1环境空气</w:t>
      </w:r>
    </w:p>
    <w:p w14:paraId="443A9D44">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snapToGrid w:val="0"/>
          <w:color w:val="auto"/>
          <w:kern w:val="0"/>
          <w:sz w:val="24"/>
          <w:szCs w:val="24"/>
          <w:lang w:val="en-US" w:eastAsia="zh-CN" w:bidi="ar"/>
        </w:rPr>
      </w:pPr>
      <w:r>
        <w:rPr>
          <w:rFonts w:hint="eastAsia" w:ascii="Times New Roman" w:hAnsi="Times New Roman" w:eastAsia="宋体" w:cs="Times New Roman"/>
          <w:snapToGrid w:val="0"/>
          <w:color w:val="auto"/>
          <w:kern w:val="0"/>
          <w:sz w:val="24"/>
          <w:szCs w:val="24"/>
          <w:lang w:val="en-US" w:eastAsia="zh-CN" w:bidi="ar"/>
        </w:rPr>
        <w:t>本项目</w:t>
      </w:r>
      <w:r>
        <w:rPr>
          <w:rFonts w:hint="default" w:ascii="Times New Roman" w:hAnsi="Times New Roman" w:eastAsia="宋体" w:cs="Times New Roman"/>
          <w:snapToGrid w:val="0"/>
          <w:color w:val="auto"/>
          <w:kern w:val="0"/>
          <w:sz w:val="24"/>
          <w:szCs w:val="24"/>
          <w:lang w:val="en-US" w:eastAsia="zh-CN" w:bidi="ar"/>
        </w:rPr>
        <w:t>位于哈尔滨市五常市，</w:t>
      </w:r>
      <w:r>
        <w:rPr>
          <w:rFonts w:hint="default" w:ascii="Times New Roman" w:hAnsi="Times New Roman" w:cs="Times New Roman"/>
          <w:color w:val="auto"/>
          <w:sz w:val="24"/>
          <w:szCs w:val="24"/>
          <w:highlight w:val="none"/>
          <w:lang w:val="en-US" w:eastAsia="zh-CN"/>
        </w:rPr>
        <w:t>根据《2024年哈尔滨生态环境质量状况年报》，</w:t>
      </w:r>
      <w:r>
        <w:rPr>
          <w:rFonts w:hint="default" w:ascii="Times New Roman" w:hAnsi="Times New Roman" w:cs="Times New Roman"/>
          <w:color w:val="auto"/>
          <w:kern w:val="0"/>
          <w:sz w:val="24"/>
          <w:szCs w:val="24"/>
          <w:highlight w:val="none"/>
          <w:lang w:val="en-US" w:eastAsia="zh-CN"/>
        </w:rPr>
        <w:t>2024年评价全域基本污染物PM</w:t>
      </w:r>
      <w:r>
        <w:rPr>
          <w:rFonts w:hint="default" w:ascii="Times New Roman" w:hAnsi="Times New Roman" w:cs="Times New Roman"/>
          <w:color w:val="auto"/>
          <w:kern w:val="0"/>
          <w:sz w:val="24"/>
          <w:szCs w:val="24"/>
          <w:highlight w:val="none"/>
          <w:vertAlign w:val="subscript"/>
          <w:lang w:val="en-US" w:eastAsia="zh-CN"/>
        </w:rPr>
        <w:t>10</w:t>
      </w:r>
      <w:r>
        <w:rPr>
          <w:rFonts w:hint="default" w:ascii="Times New Roman" w:hAnsi="Times New Roman" w:cs="Times New Roman"/>
          <w:color w:val="auto"/>
          <w:kern w:val="0"/>
          <w:sz w:val="24"/>
          <w:szCs w:val="24"/>
          <w:highlight w:val="none"/>
          <w:lang w:val="en-US" w:eastAsia="zh-CN"/>
        </w:rPr>
        <w:t>、SO</w:t>
      </w:r>
      <w:r>
        <w:rPr>
          <w:rFonts w:hint="default" w:ascii="Times New Roman" w:hAnsi="Times New Roman" w:cs="Times New Roman"/>
          <w:color w:val="auto"/>
          <w:kern w:val="0"/>
          <w:sz w:val="24"/>
          <w:szCs w:val="24"/>
          <w:highlight w:val="none"/>
          <w:vertAlign w:val="subscript"/>
          <w:lang w:val="en-US" w:eastAsia="zh-CN"/>
        </w:rPr>
        <w:t>2</w:t>
      </w:r>
      <w:r>
        <w:rPr>
          <w:rFonts w:hint="default" w:ascii="Times New Roman" w:hAnsi="Times New Roman" w:cs="Times New Roman"/>
          <w:color w:val="auto"/>
          <w:kern w:val="0"/>
          <w:sz w:val="24"/>
          <w:szCs w:val="24"/>
          <w:highlight w:val="none"/>
          <w:lang w:val="en-US" w:eastAsia="zh-CN"/>
        </w:rPr>
        <w:t>、NO</w:t>
      </w:r>
      <w:r>
        <w:rPr>
          <w:rFonts w:hint="default" w:ascii="Times New Roman" w:hAnsi="Times New Roman" w:cs="Times New Roman"/>
          <w:color w:val="auto"/>
          <w:kern w:val="0"/>
          <w:sz w:val="24"/>
          <w:szCs w:val="24"/>
          <w:highlight w:val="none"/>
          <w:vertAlign w:val="subscript"/>
          <w:lang w:val="en-US" w:eastAsia="zh-CN"/>
        </w:rPr>
        <w:t>2</w:t>
      </w:r>
      <w:r>
        <w:rPr>
          <w:rFonts w:hint="default" w:ascii="Times New Roman" w:hAnsi="Times New Roman" w:cs="Times New Roman"/>
          <w:color w:val="auto"/>
          <w:kern w:val="0"/>
          <w:sz w:val="24"/>
          <w:szCs w:val="24"/>
          <w:highlight w:val="none"/>
          <w:lang w:val="en-US" w:eastAsia="zh-CN"/>
        </w:rPr>
        <w:t>年平均浓度值、CO-95per24小时平均浓度、O</w:t>
      </w:r>
      <w:r>
        <w:rPr>
          <w:rFonts w:hint="default" w:ascii="Times New Roman" w:hAnsi="Times New Roman" w:cs="Times New Roman"/>
          <w:color w:val="auto"/>
          <w:kern w:val="0"/>
          <w:sz w:val="24"/>
          <w:szCs w:val="24"/>
          <w:highlight w:val="none"/>
          <w:vertAlign w:val="subscript"/>
          <w:lang w:val="en-US" w:eastAsia="zh-CN"/>
        </w:rPr>
        <w:t>3</w:t>
      </w:r>
      <w:r>
        <w:rPr>
          <w:rFonts w:hint="default" w:ascii="Times New Roman" w:hAnsi="Times New Roman" w:cs="Times New Roman"/>
          <w:color w:val="auto"/>
          <w:kern w:val="0"/>
          <w:sz w:val="24"/>
          <w:szCs w:val="24"/>
          <w:highlight w:val="none"/>
          <w:lang w:val="en-US" w:eastAsia="zh-CN"/>
        </w:rPr>
        <w:t>-90per8小时平均浓度满足《环境空气质量标准》（GB3095-2012）及修改单中二级标准，PM</w:t>
      </w:r>
      <w:r>
        <w:rPr>
          <w:rFonts w:hint="default" w:ascii="Times New Roman" w:hAnsi="Times New Roman" w:cs="Times New Roman"/>
          <w:color w:val="auto"/>
          <w:kern w:val="0"/>
          <w:sz w:val="24"/>
          <w:szCs w:val="24"/>
          <w:highlight w:val="none"/>
          <w:vertAlign w:val="subscript"/>
          <w:lang w:val="en-US" w:eastAsia="zh-CN"/>
        </w:rPr>
        <w:t>2.5</w:t>
      </w:r>
      <w:r>
        <w:rPr>
          <w:rFonts w:hint="default" w:ascii="Times New Roman" w:hAnsi="Times New Roman" w:cs="Times New Roman"/>
          <w:color w:val="auto"/>
          <w:kern w:val="0"/>
          <w:sz w:val="24"/>
          <w:szCs w:val="24"/>
          <w:highlight w:val="none"/>
          <w:lang w:val="en-US" w:eastAsia="zh-CN"/>
        </w:rPr>
        <w:t>年平均浓度值不能满足二级标准，项目所在区域为不达标区。具体超标原因为项目所在区域地处中高纬度地区，冬季易出现逆温和静风天气，导致大气层结稳定，不利于污染物垂直和水平方向扩散。不利于气象扩散条件，加之进入供暖期燃煤排放量急剧增大，导致我市出现采暖期污染明显加重的情况。</w:t>
      </w:r>
    </w:p>
    <w:p w14:paraId="56600B0C">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snapToGrid w:val="0"/>
          <w:color w:val="auto"/>
          <w:sz w:val="24"/>
          <w:szCs w:val="24"/>
          <w:highlight w:val="none"/>
        </w:rPr>
        <w:t>根据</w:t>
      </w:r>
      <w:r>
        <w:rPr>
          <w:rFonts w:hint="eastAsia" w:ascii="Times New Roman" w:hAnsi="Times New Roman" w:eastAsia="宋体" w:cs="Times New Roman"/>
          <w:snapToGrid w:val="0"/>
          <w:color w:val="auto"/>
          <w:sz w:val="24"/>
          <w:szCs w:val="24"/>
          <w:highlight w:val="none"/>
          <w:lang w:eastAsia="zh-CN"/>
        </w:rPr>
        <w:t>补充</w:t>
      </w:r>
      <w:r>
        <w:rPr>
          <w:rFonts w:hint="default" w:ascii="Times New Roman" w:hAnsi="Times New Roman" w:cs="Times New Roman"/>
          <w:snapToGrid w:val="0"/>
          <w:color w:val="auto"/>
          <w:sz w:val="24"/>
          <w:szCs w:val="24"/>
          <w:highlight w:val="none"/>
        </w:rPr>
        <w:t>现状评价结果可知，</w:t>
      </w:r>
      <w:r>
        <w:rPr>
          <w:rFonts w:hint="default" w:ascii="Times New Roman" w:hAnsi="Times New Roman" w:eastAsia="宋体" w:cs="Times New Roman"/>
          <w:snapToGrid w:val="0"/>
          <w:color w:val="auto"/>
          <w:sz w:val="24"/>
          <w:szCs w:val="24"/>
          <w:highlight w:val="none"/>
          <w:lang w:val="en-US" w:eastAsia="zh-CN"/>
        </w:rPr>
        <w:t>监测点</w:t>
      </w:r>
      <w:r>
        <w:rPr>
          <w:rFonts w:hint="eastAsia" w:ascii="Times New Roman" w:hAnsi="Times New Roman" w:eastAsia="宋体" w:cs="Times New Roman"/>
          <w:snapToGrid w:val="0"/>
          <w:color w:val="auto"/>
          <w:sz w:val="24"/>
          <w:szCs w:val="24"/>
          <w:highlight w:val="none"/>
          <w:lang w:val="en-US" w:eastAsia="zh-CN"/>
        </w:rPr>
        <w:t>氨、硫化氢、丙烯腈、苯乙烯、甲苯</w:t>
      </w:r>
      <w:r>
        <w:rPr>
          <w:rFonts w:hint="default" w:ascii="Times New Roman" w:hAnsi="Times New Roman" w:eastAsia="宋体" w:cs="Times New Roman"/>
          <w:snapToGrid w:val="0"/>
          <w:color w:val="auto"/>
          <w:sz w:val="24"/>
          <w:szCs w:val="24"/>
          <w:highlight w:val="none"/>
          <w:lang w:eastAsia="zh-CN"/>
        </w:rPr>
        <w:t>满足《环境影响评价大气导则</w:t>
      </w:r>
      <w:r>
        <w:rPr>
          <w:rFonts w:hint="default" w:ascii="Times New Roman" w:hAnsi="Times New Roman" w:eastAsia="宋体" w:cs="Times New Roman"/>
          <w:snapToGrid w:val="0"/>
          <w:color w:val="auto"/>
          <w:sz w:val="24"/>
          <w:szCs w:val="24"/>
          <w:highlight w:val="none"/>
          <w:lang w:val="en-US" w:eastAsia="zh-CN"/>
        </w:rPr>
        <w:t xml:space="preserve"> </w:t>
      </w:r>
      <w:r>
        <w:rPr>
          <w:rFonts w:hint="default" w:ascii="Times New Roman" w:hAnsi="Times New Roman" w:eastAsia="宋体" w:cs="Times New Roman"/>
          <w:snapToGrid w:val="0"/>
          <w:color w:val="auto"/>
          <w:sz w:val="24"/>
          <w:szCs w:val="24"/>
          <w:highlight w:val="none"/>
          <w:lang w:eastAsia="zh-CN"/>
        </w:rPr>
        <w:t>大气环境》（HJ2.2-2018）附录D相应标准限值要求</w:t>
      </w:r>
      <w:r>
        <w:rPr>
          <w:rFonts w:hint="default" w:ascii="Times New Roman" w:hAnsi="Times New Roman" w:cs="Times New Roman"/>
          <w:color w:val="auto"/>
          <w:sz w:val="24"/>
          <w:szCs w:val="24"/>
          <w:highlight w:val="none"/>
        </w:rPr>
        <w:t>；</w:t>
      </w:r>
      <w:r>
        <w:rPr>
          <w:rFonts w:hint="default" w:ascii="Times New Roman" w:hAnsi="Times New Roman" w:cs="Times New Roman"/>
          <w:snapToGrid w:val="0"/>
          <w:color w:val="auto"/>
          <w:sz w:val="24"/>
          <w:szCs w:val="24"/>
          <w:highlight w:val="none"/>
        </w:rPr>
        <w:t>TSP</w:t>
      </w:r>
      <w:r>
        <w:rPr>
          <w:rFonts w:hint="eastAsia" w:ascii="Times New Roman" w:hAnsi="Times New Roman" w:eastAsia="宋体" w:cs="Times New Roman"/>
          <w:snapToGrid w:val="0"/>
          <w:color w:val="auto"/>
          <w:sz w:val="24"/>
          <w:szCs w:val="24"/>
          <w:highlight w:val="none"/>
          <w:lang w:eastAsia="zh-CN"/>
        </w:rPr>
        <w:t>、</w:t>
      </w:r>
      <w:r>
        <w:rPr>
          <w:rFonts w:hint="eastAsia" w:ascii="Times New Roman" w:hAnsi="Times New Roman" w:eastAsia="宋体" w:cs="Times New Roman"/>
          <w:snapToGrid w:val="0"/>
          <w:color w:val="auto"/>
          <w:sz w:val="24"/>
          <w:szCs w:val="24"/>
          <w:highlight w:val="none"/>
          <w:lang w:val="en-US" w:eastAsia="zh-CN"/>
        </w:rPr>
        <w:t>氮氧化物</w:t>
      </w:r>
      <w:r>
        <w:rPr>
          <w:rFonts w:hint="default" w:ascii="Times New Roman" w:hAnsi="Times New Roman" w:cs="Times New Roman"/>
          <w:snapToGrid w:val="0"/>
          <w:color w:val="auto"/>
          <w:sz w:val="24"/>
          <w:szCs w:val="24"/>
          <w:highlight w:val="none"/>
        </w:rPr>
        <w:t>满足《环境空气质量标准》（GB3095-2012）</w:t>
      </w:r>
      <w:r>
        <w:rPr>
          <w:rFonts w:hint="default" w:ascii="Times New Roman" w:hAnsi="Times New Roman" w:cs="Times New Roman"/>
          <w:snapToGrid w:val="0"/>
          <w:color w:val="auto"/>
          <w:sz w:val="24"/>
          <w:szCs w:val="24"/>
          <w:highlight w:val="none"/>
          <w:lang w:val="en-US" w:eastAsia="zh-CN"/>
        </w:rPr>
        <w:t>及修改单</w:t>
      </w:r>
      <w:r>
        <w:rPr>
          <w:rFonts w:hint="default" w:ascii="Times New Roman" w:hAnsi="Times New Roman" w:cs="Times New Roman"/>
          <w:snapToGrid w:val="0"/>
          <w:color w:val="auto"/>
          <w:sz w:val="24"/>
          <w:szCs w:val="24"/>
          <w:highlight w:val="none"/>
        </w:rPr>
        <w:t>中二级标准</w:t>
      </w:r>
      <w:r>
        <w:rPr>
          <w:rFonts w:hint="default" w:ascii="Times New Roman" w:hAnsi="Times New Roman" w:eastAsia="宋体" w:cs="Times New Roman"/>
          <w:snapToGrid w:val="0"/>
          <w:color w:val="auto"/>
          <w:sz w:val="24"/>
          <w:szCs w:val="24"/>
          <w:highlight w:val="none"/>
          <w:lang w:eastAsia="zh-CN"/>
        </w:rPr>
        <w:t>要求</w:t>
      </w:r>
      <w:r>
        <w:rPr>
          <w:rFonts w:hint="eastAsia" w:ascii="Times New Roman" w:hAnsi="Times New Roman" w:eastAsia="宋体" w:cs="Times New Roman"/>
          <w:snapToGrid w:val="0"/>
          <w:color w:val="auto"/>
          <w:sz w:val="24"/>
          <w:szCs w:val="24"/>
          <w:highlight w:val="none"/>
          <w:lang w:eastAsia="zh-CN"/>
        </w:rPr>
        <w:t>；</w:t>
      </w:r>
      <w:r>
        <w:rPr>
          <w:rFonts w:hint="eastAsia" w:ascii="Times New Roman" w:hAnsi="Times New Roman" w:eastAsia="宋体" w:cs="Times New Roman"/>
          <w:snapToGrid w:val="0"/>
          <w:color w:val="auto"/>
          <w:sz w:val="24"/>
          <w:szCs w:val="24"/>
          <w:highlight w:val="none"/>
          <w:lang w:val="en-US" w:eastAsia="zh-CN"/>
        </w:rPr>
        <w:t>非甲烷总烃满足《大气污染物综合排放标准详解》中的标准。</w:t>
      </w:r>
    </w:p>
    <w:p w14:paraId="5DD760F5">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9</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.2.2地表水</w:t>
      </w:r>
    </w:p>
    <w:p w14:paraId="75311829">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pacing w:val="0"/>
          <w:kern w:val="2"/>
          <w:sz w:val="24"/>
          <w:szCs w:val="24"/>
          <w:highlight w:val="none"/>
          <w:lang w:val="en-US" w:eastAsia="zh-CN" w:bidi="ar-SA"/>
        </w:rPr>
      </w:pPr>
      <w:r>
        <w:rPr>
          <w:rFonts w:hint="eastAsia" w:ascii="Times New Roman" w:hAnsi="Times New Roman" w:cs="Times New Roman"/>
          <w:color w:val="auto"/>
          <w:sz w:val="24"/>
          <w:szCs w:val="24"/>
          <w:lang w:val="en-US" w:eastAsia="zh-CN"/>
        </w:rPr>
        <w:t>本项目纳污水体为拉林河，</w:t>
      </w:r>
      <w:r>
        <w:rPr>
          <w:rFonts w:hint="default" w:ascii="Times New Roman" w:hAnsi="Times New Roman" w:cs="Times New Roman"/>
          <w:color w:val="auto"/>
          <w:spacing w:val="0"/>
          <w:kern w:val="2"/>
          <w:sz w:val="24"/>
          <w:szCs w:val="24"/>
          <w:highlight w:val="none"/>
          <w:lang w:val="en-US" w:eastAsia="zh-CN" w:bidi="ar-SA"/>
        </w:rPr>
        <w:t>根据《2024年哈尔滨生态环境质量状况年报》2024年松花江重点支流拉林河监测的6个断面中，磨盘山水库库尾(水利)断面水质类别符合《地表水环境质量标准》(GB3838-2002)Ⅱ类标准，长胜橡胶坝、兴盛乡、蔡家沟、苗家断面水质类别符合《地表水环境质量标准》(GB3838-2002)Ⅲ类标准。拉林河磨盘山水库（水利）断面未达考核目标（Ⅱ类标准）要求。</w:t>
      </w:r>
    </w:p>
    <w:p w14:paraId="371C69C0">
      <w:pPr>
        <w:bidi w:val="0"/>
        <w:rPr>
          <w:rFonts w:hint="eastAsia"/>
          <w:lang w:val="en-US" w:eastAsia="zh-CN"/>
        </w:rPr>
      </w:pPr>
    </w:p>
    <w:p w14:paraId="1B77BD94">
      <w:pPr>
        <w:bidi w:val="0"/>
        <w:rPr>
          <w:rFonts w:hint="eastAsia"/>
          <w:lang w:val="en-US" w:eastAsia="zh-CN"/>
        </w:rPr>
      </w:pPr>
    </w:p>
    <w:p w14:paraId="1078902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9</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.2.</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3</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地</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下</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水</w:t>
      </w:r>
    </w:p>
    <w:p w14:paraId="2920B763">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default" w:ascii="Times New Roman" w:hAnsi="Times New Roman" w:eastAsia="Arial" w:cs="Times New Roman"/>
          <w:bCs w:val="0"/>
          <w:snapToGrid w:val="0"/>
          <w:color w:val="auto"/>
          <w:spacing w:val="0"/>
          <w:kern w:val="2"/>
          <w:sz w:val="24"/>
          <w:szCs w:val="24"/>
          <w:highlight w:val="none"/>
          <w:lang w:val="en-US" w:eastAsia="zh-CN" w:bidi="ar-SA"/>
        </w:rPr>
      </w:pPr>
      <w:r>
        <w:rPr>
          <w:rFonts w:hint="eastAsia" w:ascii="Times New Roman" w:hAnsi="Times New Roman" w:eastAsia="Arial" w:cs="Times New Roman"/>
          <w:bCs w:val="0"/>
          <w:snapToGrid w:val="0"/>
          <w:color w:val="auto"/>
          <w:spacing w:val="0"/>
          <w:kern w:val="2"/>
          <w:sz w:val="24"/>
          <w:szCs w:val="24"/>
          <w:highlight w:val="none"/>
          <w:lang w:val="en-US" w:eastAsia="zh-CN" w:bidi="ar-SA"/>
        </w:rPr>
        <w:t>项目区域地下水</w:t>
      </w:r>
      <w:r>
        <w:rPr>
          <w:rFonts w:hint="default" w:ascii="Times New Roman" w:hAnsi="Times New Roman" w:eastAsia="Arial" w:cs="Times New Roman"/>
          <w:bCs w:val="0"/>
          <w:snapToGrid w:val="0"/>
          <w:color w:val="auto"/>
          <w:spacing w:val="0"/>
          <w:kern w:val="2"/>
          <w:sz w:val="24"/>
          <w:szCs w:val="24"/>
          <w:highlight w:val="none"/>
          <w:lang w:val="en-US" w:eastAsia="zh-CN" w:bidi="ar-SA"/>
        </w:rPr>
        <w:t>在监测时段内1#、2#监测点锰超标。其他监测因子指标均满足《地下水质量标准》（GB/T14848-2017）中的Ⅲ类标准限值要求</w:t>
      </w:r>
      <w:r>
        <w:rPr>
          <w:rFonts w:hint="eastAsia" w:ascii="Times New Roman" w:hAnsi="Times New Roman" w:eastAsia="Arial" w:cs="Times New Roman"/>
          <w:bCs w:val="0"/>
          <w:snapToGrid w:val="0"/>
          <w:color w:val="auto"/>
          <w:spacing w:val="0"/>
          <w:kern w:val="2"/>
          <w:sz w:val="24"/>
          <w:szCs w:val="24"/>
          <w:highlight w:val="none"/>
          <w:lang w:val="en-US" w:eastAsia="zh-CN" w:bidi="ar-SA"/>
        </w:rPr>
        <w:t>，</w:t>
      </w:r>
      <w:r>
        <w:rPr>
          <w:rFonts w:hint="default" w:ascii="Times New Roman" w:hAnsi="Times New Roman" w:eastAsia="Arial" w:cs="Times New Roman"/>
          <w:bCs w:val="0"/>
          <w:snapToGrid w:val="0"/>
          <w:color w:val="auto"/>
          <w:spacing w:val="0"/>
          <w:kern w:val="2"/>
          <w:sz w:val="24"/>
          <w:szCs w:val="24"/>
          <w:highlight w:val="none"/>
          <w:lang w:val="en-US" w:eastAsia="zh-CN" w:bidi="ar-SA"/>
        </w:rPr>
        <w:t>石油类满足《地表水环境质量标准》（GB3838-2002）中Ⅲ类标准要求</w:t>
      </w:r>
      <w:r>
        <w:rPr>
          <w:rFonts w:hint="eastAsia" w:ascii="Times New Roman" w:hAnsi="Times New Roman" w:eastAsia="Arial" w:cs="Times New Roman"/>
          <w:bCs w:val="0"/>
          <w:snapToGrid w:val="0"/>
          <w:color w:val="auto"/>
          <w:spacing w:val="0"/>
          <w:kern w:val="2"/>
          <w:sz w:val="24"/>
          <w:szCs w:val="24"/>
          <w:highlight w:val="none"/>
          <w:lang w:val="en-US" w:eastAsia="zh-CN" w:bidi="ar-SA"/>
        </w:rPr>
        <w:t>。</w:t>
      </w:r>
      <w:r>
        <w:rPr>
          <w:rFonts w:hint="default" w:ascii="Times New Roman" w:hAnsi="Times New Roman" w:eastAsia="Arial" w:cs="Times New Roman"/>
          <w:bCs w:val="0"/>
          <w:snapToGrid w:val="0"/>
          <w:color w:val="auto"/>
          <w:spacing w:val="0"/>
          <w:kern w:val="2"/>
          <w:sz w:val="24"/>
          <w:szCs w:val="24"/>
          <w:highlight w:val="none"/>
          <w:lang w:val="en-US" w:eastAsia="zh-CN" w:bidi="ar-SA"/>
        </w:rPr>
        <w:t>超标原因为受原生地质环境影响所致。</w:t>
      </w:r>
    </w:p>
    <w:p w14:paraId="52CB445E">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9</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.2.4土壤</w:t>
      </w:r>
    </w:p>
    <w:p w14:paraId="41B01BA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szCs w:val="22"/>
          <w:highlight w:val="none"/>
          <w:lang w:val="en-US" w:eastAsia="zh-CN"/>
        </w:rPr>
        <w:t>根据评价结果可知，本项目厂界内土壤满足《土壤环境质量 建设用地土壤污染风险管控标准（试行）》（GB36600-2018）表1中第二类用地筛选值指标，评价范围内居民点满足《土壤环境质量 建设用地土壤污染风险管控标准（试行）》（GB36600-2018）表1中第一类用地筛选值指标，评价范围内耕地满足《土壤环境质量 农用地土壤污染风险管控标准（试行）》（GB15618-2018）表1农用地土壤污染风险筛选值要求。</w:t>
      </w:r>
    </w:p>
    <w:p w14:paraId="0AB862D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9</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.2.5声环境</w:t>
      </w:r>
    </w:p>
    <w:p w14:paraId="2E89A231">
      <w:pPr>
        <w:keepNext w:val="0"/>
        <w:keepLines w:val="0"/>
        <w:pageBreakBefore w:val="0"/>
        <w:widowControl/>
        <w:kinsoku/>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color w:val="auto"/>
          <w:spacing w:val="0"/>
          <w:position w:val="0"/>
          <w:sz w:val="24"/>
          <w:szCs w:val="24"/>
          <w:lang w:val="en-US" w:eastAsia="zh-CN"/>
        </w:rPr>
        <w:t>根据现状监测结果，</w:t>
      </w:r>
      <w:r>
        <w:rPr>
          <w:rFonts w:hint="eastAsia" w:ascii="Times New Roman" w:hAnsi="Times New Roman" w:eastAsia="宋体" w:cs="Times New Roman"/>
          <w:color w:val="auto"/>
          <w:spacing w:val="0"/>
          <w:position w:val="0"/>
          <w:sz w:val="24"/>
          <w:szCs w:val="24"/>
          <w:lang w:val="en-US" w:eastAsia="zh-CN"/>
        </w:rPr>
        <w:t>厂界及敏感点</w:t>
      </w:r>
      <w:r>
        <w:rPr>
          <w:rFonts w:hint="default" w:ascii="Times New Roman" w:hAnsi="Times New Roman" w:eastAsia="宋体" w:cs="Times New Roman"/>
          <w:color w:val="auto"/>
          <w:spacing w:val="0"/>
          <w:position w:val="0"/>
          <w:sz w:val="24"/>
          <w:szCs w:val="24"/>
          <w:lang w:val="en-US" w:eastAsia="zh-CN"/>
        </w:rPr>
        <w:t>环境噪声昼夜值满足《声环境质量标准》（GB3096-2008）中的2类标准。区域内声环境质量较好。</w:t>
      </w:r>
    </w:p>
    <w:p w14:paraId="79619BDC">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jc w:val="both"/>
        <w:textAlignment w:val="baseline"/>
        <w:outlineLvl w:val="1"/>
        <w:rPr>
          <w:rFonts w:hint="default" w:ascii="Times New Roman" w:hAnsi="Times New Roman" w:eastAsia="微软雅黑" w:cs="Times New Roman"/>
          <w:color w:val="auto"/>
          <w:spacing w:val="6"/>
          <w:sz w:val="32"/>
          <w:szCs w:val="32"/>
          <w:highlight w:val="none"/>
          <w:lang w:val="en-US" w:eastAsia="zh-CN"/>
        </w:rPr>
      </w:pPr>
      <w:bookmarkStart w:id="86" w:name="_Toc6394"/>
      <w:r>
        <w:rPr>
          <w:rFonts w:hint="eastAsia" w:ascii="Times New Roman" w:hAnsi="Times New Roman" w:eastAsia="微软雅黑" w:cs="Times New Roman"/>
          <w:color w:val="auto"/>
          <w:spacing w:val="6"/>
          <w:sz w:val="32"/>
          <w:szCs w:val="32"/>
          <w:highlight w:val="none"/>
          <w:lang w:val="en-US" w:eastAsia="zh-CN"/>
        </w:rPr>
        <w:t>9</w:t>
      </w:r>
      <w:r>
        <w:rPr>
          <w:rFonts w:hint="default" w:ascii="Times New Roman" w:hAnsi="Times New Roman" w:eastAsia="微软雅黑" w:cs="Times New Roman"/>
          <w:color w:val="auto"/>
          <w:spacing w:val="6"/>
          <w:sz w:val="32"/>
          <w:szCs w:val="32"/>
          <w:highlight w:val="none"/>
          <w:lang w:val="en-US" w:eastAsia="zh-CN"/>
        </w:rPr>
        <w:t xml:space="preserve">.3 </w:t>
      </w:r>
      <w:r>
        <w:rPr>
          <w:rFonts w:hint="eastAsia" w:ascii="Times New Roman" w:hAnsi="Times New Roman" w:eastAsia="微软雅黑" w:cs="Times New Roman"/>
          <w:color w:val="auto"/>
          <w:spacing w:val="6"/>
          <w:sz w:val="32"/>
          <w:szCs w:val="32"/>
          <w:highlight w:val="none"/>
          <w:lang w:val="en-US" w:eastAsia="zh-CN"/>
        </w:rPr>
        <w:t>污染物排放情况及主要影响</w:t>
      </w:r>
      <w:bookmarkEnd w:id="86"/>
    </w:p>
    <w:p w14:paraId="0B0E158C">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9</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.3.1大气环境影响</w:t>
      </w:r>
    </w:p>
    <w:p w14:paraId="517DD3B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本项目产生的废气主要为注塑废气、除尘废气、破碎粉尘、喷涂废气（调漆废气、喷漆废气、流平废气、烘干废气）、管道及喷枪清洗废气、丝印废气、天然气燃烧机废气、打磨及抛光粉尘、配胶、喷胶及烘干废气及焊接废气。</w:t>
      </w:r>
    </w:p>
    <w:p w14:paraId="0DDFEA7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contextualSpacing/>
        <w:textAlignment w:val="baseline"/>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通过AERSCREEN模型估算结果可知，项目各污染物最大落地浓度占标率均低于10%，不进行进一步预测与评价，项目不设置大气环境防护距离。在采取本报告提出的各项措施后，大气污染物对大气环境影响可接受。</w:t>
      </w:r>
    </w:p>
    <w:p w14:paraId="14D561E2">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9</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.3.2地表水环境</w:t>
      </w:r>
    </w:p>
    <w:p w14:paraId="641FFEC7">
      <w:pPr>
        <w:keepNext w:val="0"/>
        <w:keepLines w:val="0"/>
        <w:pageBreakBefore w:val="0"/>
        <w:widowControl w:val="0"/>
        <w:kinsoku w:val="0"/>
        <w:wordWrap/>
        <w:overflowPunct/>
        <w:topLinePunct w:val="0"/>
        <w:autoSpaceDE w:val="0"/>
        <w:autoSpaceDN w:val="0"/>
        <w:bidi w:val="0"/>
        <w:adjustRightInd w:val="0"/>
        <w:snapToGrid w:val="0"/>
        <w:spacing w:line="360" w:lineRule="auto"/>
        <w:ind w:left="0" w:firstLine="480" w:firstLineChars="200"/>
        <w:jc w:val="both"/>
        <w:textAlignment w:val="baseline"/>
        <w:rPr>
          <w:rFonts w:hint="default" w:ascii="Times New Roman" w:hAnsi="Times New Roman" w:eastAsia="宋体" w:cs="Times New Roman"/>
          <w:color w:val="auto"/>
          <w:spacing w:val="-5"/>
          <w:sz w:val="24"/>
          <w:szCs w:val="24"/>
          <w:lang w:val="en-US" w:eastAsia="zh-CN"/>
        </w:rPr>
      </w:pPr>
      <w:r>
        <w:rPr>
          <w:rFonts w:hint="eastAsia" w:ascii="Times New Roman" w:hAnsi="Times New Roman" w:eastAsia="宋体" w:cs="Times New Roman"/>
          <w:color w:val="auto"/>
          <w:sz w:val="24"/>
          <w:szCs w:val="24"/>
          <w:lang w:val="en-US" w:eastAsia="zh-CN"/>
        </w:rPr>
        <w:t>本项目</w:t>
      </w:r>
      <w:r>
        <w:rPr>
          <w:rFonts w:hint="default" w:ascii="Times New Roman" w:hAnsi="Times New Roman" w:eastAsia="宋体" w:cs="Times New Roman"/>
          <w:color w:val="auto"/>
          <w:sz w:val="24"/>
          <w:szCs w:val="24"/>
          <w:lang w:val="en-US" w:eastAsia="zh-CN"/>
        </w:rPr>
        <w:t>生活污水</w:t>
      </w:r>
      <w:r>
        <w:rPr>
          <w:rFonts w:hint="eastAsia" w:eastAsia="宋体" w:cs="Times New Roman"/>
          <w:color w:val="auto"/>
          <w:sz w:val="24"/>
          <w:szCs w:val="24"/>
          <w:lang w:val="en-US" w:eastAsia="zh-CN"/>
        </w:rPr>
        <w:t>与冷却塔循环冷却废水</w:t>
      </w:r>
      <w:r>
        <w:rPr>
          <w:rFonts w:hint="default" w:ascii="Times New Roman" w:hAnsi="Times New Roman" w:eastAsia="宋体" w:cs="Times New Roman"/>
          <w:color w:val="auto"/>
          <w:sz w:val="24"/>
          <w:szCs w:val="24"/>
          <w:lang w:val="en-US" w:eastAsia="zh-CN"/>
        </w:rPr>
        <w:t>达到《污水综合排放标准》（GB8978-1996）三级标准，</w:t>
      </w:r>
      <w:r>
        <w:rPr>
          <w:rFonts w:hint="default" w:ascii="Times New Roman" w:hAnsi="Times New Roman" w:eastAsia="宋体" w:cs="Times New Roman"/>
          <w:color w:val="auto"/>
          <w:sz w:val="24"/>
          <w:szCs w:val="24"/>
        </w:rPr>
        <w:t>一同排入五常市牛家满族镇污水处理厂，经五常市牛家满族镇污水处理厂处理达标后，排入拉林河</w:t>
      </w:r>
      <w:r>
        <w:rPr>
          <w:rFonts w:hint="eastAsia" w:eastAsia="宋体" w:cs="Times New Roman"/>
          <w:color w:val="auto"/>
          <w:sz w:val="24"/>
          <w:szCs w:val="24"/>
          <w:lang w:eastAsia="zh-CN"/>
        </w:rPr>
        <w:t>。对地表水影响可接受。</w:t>
      </w:r>
    </w:p>
    <w:p w14:paraId="4B7B601F">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9</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.3.3声环境</w:t>
      </w:r>
    </w:p>
    <w:p w14:paraId="598759F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lang w:val="en-US" w:eastAsia="zh-CN"/>
        </w:rPr>
      </w:pPr>
      <w:r>
        <w:rPr>
          <w:rFonts w:hint="default" w:ascii="Times New Roman" w:hAnsi="Times New Roman" w:eastAsia="宋体" w:cs="Times New Roman"/>
          <w:color w:val="auto"/>
          <w:sz w:val="24"/>
          <w:szCs w:val="24"/>
          <w:lang w:val="en-US" w:eastAsia="zh-CN"/>
        </w:rPr>
        <w:t>本项目噪声污染源主要为各类设备运行噪声，项目采用减振、隔声措施后，能有效减低噪声环境影响。</w:t>
      </w:r>
      <w:r>
        <w:rPr>
          <w:rFonts w:hint="default" w:ascii="Times New Roman" w:hAnsi="Times New Roman" w:cs="Times New Roman"/>
          <w:color w:val="auto"/>
          <w:sz w:val="24"/>
          <w:szCs w:val="24"/>
          <w:lang w:eastAsia="zh-CN"/>
        </w:rPr>
        <w:t>由预测结果可知，本项目运营期</w:t>
      </w:r>
      <w:r>
        <w:rPr>
          <w:rFonts w:hint="eastAsia" w:ascii="Times New Roman" w:hAnsi="Times New Roman" w:cs="Times New Roman"/>
          <w:color w:val="auto"/>
          <w:sz w:val="24"/>
          <w:szCs w:val="24"/>
          <w:lang w:val="en-US" w:eastAsia="zh-CN"/>
        </w:rPr>
        <w:t>厂界噪声</w:t>
      </w:r>
      <w:r>
        <w:rPr>
          <w:rFonts w:hint="default" w:ascii="Times New Roman" w:hAnsi="Times New Roman" w:cs="Times New Roman"/>
          <w:color w:val="auto"/>
          <w:sz w:val="24"/>
          <w:szCs w:val="24"/>
          <w:lang w:eastAsia="zh-CN"/>
        </w:rPr>
        <w:t>均可满足《工业企业厂界环境噪声排放标准》（GB12348-2008）2类标准要求，</w:t>
      </w:r>
      <w:r>
        <w:rPr>
          <w:rFonts w:hint="eastAsia" w:ascii="Times New Roman" w:hAnsi="Times New Roman" w:cs="Times New Roman"/>
          <w:color w:val="auto"/>
          <w:sz w:val="24"/>
          <w:szCs w:val="24"/>
          <w:lang w:val="en-US" w:eastAsia="zh-CN"/>
        </w:rPr>
        <w:t>保护目标</w:t>
      </w:r>
      <w:r>
        <w:rPr>
          <w:rFonts w:hint="default" w:ascii="Times New Roman" w:hAnsi="Times New Roman" w:cs="Times New Roman"/>
          <w:color w:val="auto"/>
          <w:sz w:val="24"/>
          <w:szCs w:val="24"/>
          <w:lang w:eastAsia="zh-CN"/>
        </w:rPr>
        <w:t>声环境满足《声环境质量标准》（GB3096-2008）2类标准，因此，项目产生的噪声对环境影响较小。</w:t>
      </w:r>
    </w:p>
    <w:p w14:paraId="2B0CE5AA">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9</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.3.4固体废物影响</w:t>
      </w:r>
    </w:p>
    <w:p w14:paraId="0DE01A91">
      <w:pPr>
        <w:pStyle w:val="13"/>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eastAsia="宋体" w:cs="Times New Roman"/>
          <w:color w:val="auto"/>
          <w:spacing w:val="-5"/>
          <w:sz w:val="24"/>
          <w:szCs w:val="24"/>
          <w:lang w:val="en-US" w:eastAsia="zh-CN"/>
        </w:rPr>
      </w:pPr>
      <w:r>
        <w:rPr>
          <w:rFonts w:hint="default" w:ascii="Times New Roman" w:hAnsi="Times New Roman" w:eastAsia="宋体" w:cs="Times New Roman"/>
          <w:color w:val="auto"/>
          <w:sz w:val="24"/>
          <w:szCs w:val="24"/>
          <w:lang w:val="en-US" w:eastAsia="zh-CN"/>
        </w:rPr>
        <w:t>项目运营期产生的固体废物主要包括危险废物、一般工业固体废物以及员工生活垃圾。一般工业固体废物主要为废包装材料、注塑工序不合格品、废布料、</w:t>
      </w:r>
      <w:r>
        <w:rPr>
          <w:rFonts w:hint="eastAsia" w:ascii="Times New Roman" w:hAnsi="Times New Roman" w:eastAsia="宋体" w:cs="Times New Roman"/>
          <w:snapToGrid w:val="0"/>
          <w:color w:val="auto"/>
          <w:kern w:val="0"/>
          <w:sz w:val="24"/>
          <w:szCs w:val="24"/>
          <w:lang w:val="en-US" w:eastAsia="zh-CN" w:bidi="ar-SA"/>
        </w:rPr>
        <w:t>陶瓷蓄热体、修整检验工序产生的废边角料及不合格品</w:t>
      </w:r>
      <w:r>
        <w:rPr>
          <w:rFonts w:hint="default" w:ascii="Times New Roman" w:hAnsi="Times New Roman" w:eastAsia="宋体" w:cs="Times New Roman"/>
          <w:color w:val="auto"/>
          <w:sz w:val="24"/>
          <w:szCs w:val="24"/>
          <w:lang w:val="en-US" w:eastAsia="zh-CN"/>
        </w:rPr>
        <w:t>；危险废物主要为除尘器收集粉尘、废布袋</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废包装桶、漆渣、废清洗溶剂、水帘废水、废</w:t>
      </w:r>
      <w:r>
        <w:rPr>
          <w:rFonts w:hint="eastAsia" w:ascii="Times New Roman" w:hAnsi="Times New Roman" w:eastAsia="宋体" w:cs="Times New Roman"/>
          <w:color w:val="auto"/>
          <w:sz w:val="24"/>
          <w:szCs w:val="24"/>
          <w:lang w:val="en-US" w:eastAsia="zh-CN"/>
        </w:rPr>
        <w:t>UV</w:t>
      </w:r>
      <w:r>
        <w:rPr>
          <w:rFonts w:hint="default" w:ascii="Times New Roman" w:hAnsi="Times New Roman" w:eastAsia="宋体" w:cs="Times New Roman"/>
          <w:color w:val="auto"/>
          <w:sz w:val="24"/>
          <w:szCs w:val="24"/>
          <w:lang w:val="en-US" w:eastAsia="zh-CN"/>
        </w:rPr>
        <w:t>灯管、废活性炭、</w:t>
      </w:r>
      <w:r>
        <w:rPr>
          <w:rFonts w:hint="default" w:ascii="Times New Roman" w:hAnsi="Times New Roman" w:eastAsia="宋体" w:cs="Times New Roman"/>
          <w:snapToGrid w:val="0"/>
          <w:color w:val="auto"/>
          <w:kern w:val="0"/>
          <w:sz w:val="24"/>
          <w:szCs w:val="24"/>
          <w:lang w:val="en-US" w:eastAsia="zh-CN" w:bidi="ar-SA"/>
        </w:rPr>
        <w:t>废润滑油</w:t>
      </w:r>
      <w:r>
        <w:rPr>
          <w:rFonts w:hint="eastAsia" w:ascii="Times New Roman" w:hAnsi="Times New Roman" w:eastAsia="宋体" w:cs="Times New Roman"/>
          <w:snapToGrid w:val="0"/>
          <w:color w:val="auto"/>
          <w:kern w:val="0"/>
          <w:sz w:val="24"/>
          <w:szCs w:val="24"/>
          <w:lang w:val="en-US" w:eastAsia="zh-CN" w:bidi="ar-SA"/>
        </w:rPr>
        <w:t>及</w:t>
      </w:r>
      <w:r>
        <w:rPr>
          <w:rFonts w:hint="default" w:ascii="Times New Roman" w:hAnsi="Times New Roman" w:eastAsia="宋体" w:cs="Times New Roman"/>
          <w:snapToGrid w:val="0"/>
          <w:color w:val="auto"/>
          <w:kern w:val="0"/>
          <w:sz w:val="24"/>
          <w:szCs w:val="24"/>
          <w:lang w:val="en-US" w:eastAsia="zh-CN" w:bidi="ar-SA"/>
        </w:rPr>
        <w:t>废润滑油桶、含油抹布、含油手套</w:t>
      </w:r>
      <w:r>
        <w:rPr>
          <w:rFonts w:hint="default" w:ascii="Times New Roman" w:hAnsi="Times New Roman" w:eastAsia="宋体" w:cs="Times New Roman"/>
          <w:color w:val="auto"/>
          <w:sz w:val="24"/>
          <w:szCs w:val="24"/>
          <w:lang w:val="en-US" w:eastAsia="zh-CN"/>
        </w:rPr>
        <w:t>。危险废物暂存在危险废物贮存库内，定期交由有资质单位处置；一般固废集中收集，定期处置或综合利用</w:t>
      </w:r>
      <w:r>
        <w:rPr>
          <w:rFonts w:hint="default" w:ascii="Times New Roman" w:hAnsi="Times New Roman" w:eastAsia="宋体" w:cs="Times New Roman"/>
          <w:color w:val="auto"/>
          <w:sz w:val="24"/>
          <w:szCs w:val="24"/>
        </w:rPr>
        <w:t>。生活垃圾由市政环卫部门集中收集</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统一处理</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pacing w:val="-5"/>
          <w:sz w:val="24"/>
          <w:szCs w:val="24"/>
          <w:lang w:val="en-US" w:eastAsia="zh-CN"/>
        </w:rPr>
        <w:t>本项目运行期间产生的固体废物处置得当，综合利用率达100%，对外环境几乎没有影响。</w:t>
      </w:r>
    </w:p>
    <w:p w14:paraId="7C22AF47">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9</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.3.5地下水环境</w:t>
      </w:r>
    </w:p>
    <w:p w14:paraId="7A3BFDE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eastAsiaTheme="minorEastAsia"/>
          <w:color w:val="auto"/>
          <w:sz w:val="24"/>
          <w:szCs w:val="24"/>
          <w:highlight w:val="none"/>
        </w:rPr>
        <w:t>由预测结果可知，</w:t>
      </w:r>
      <w:r>
        <w:rPr>
          <w:rFonts w:hint="default" w:ascii="Times New Roman" w:hAnsi="Times New Roman" w:cs="Times New Roman" w:eastAsiaTheme="minorEastAsia"/>
          <w:color w:val="auto"/>
          <w:sz w:val="24"/>
          <w:szCs w:val="24"/>
          <w:highlight w:val="none"/>
          <w:lang w:val="en-US" w:eastAsia="zh-CN"/>
        </w:rPr>
        <w:t>本项目地下水发生泄漏后</w:t>
      </w:r>
      <w:r>
        <w:rPr>
          <w:rFonts w:hint="eastAsia" w:ascii="Times New Roman" w:hAnsi="Times New Roman" w:cs="Times New Roman" w:eastAsiaTheme="minorEastAsia"/>
          <w:color w:val="auto"/>
          <w:sz w:val="24"/>
          <w:szCs w:val="24"/>
          <w:highlight w:val="none"/>
          <w:lang w:val="en-US" w:eastAsia="zh-CN"/>
        </w:rPr>
        <w:t>，100天时，预测的最大值为36.75325mg/L，位于下游8m，预测超标距离最远为21m；影响距离最远为29m。1000天时，预测的最大值为10.16946mg/L，位于下游54m，预测超标距离最远为84m；影响距离最远为118m。3000天时，预测的最大值为5.797065mg/L，位于下游154m，预测超标距离最远为193m；影响距离最远为260m。</w:t>
      </w:r>
      <w:r>
        <w:rPr>
          <w:rFonts w:hint="default" w:ascii="Times New Roman" w:hAnsi="Times New Roman" w:cs="Times New Roman"/>
          <w:color w:val="auto"/>
          <w:sz w:val="24"/>
          <w:szCs w:val="24"/>
          <w:lang w:val="en-US" w:eastAsia="en-US"/>
        </w:rPr>
        <w:t>本项目在厂区地下水下游方向布设地下水跟踪监测井，可监测反映</w:t>
      </w:r>
      <w:r>
        <w:rPr>
          <w:rFonts w:hint="default" w:ascii="Times New Roman" w:hAnsi="Times New Roman" w:cs="Times New Roman"/>
          <w:color w:val="auto"/>
          <w:sz w:val="24"/>
          <w:szCs w:val="24"/>
          <w:lang w:val="en-US" w:eastAsia="zh-CN"/>
        </w:rPr>
        <w:t>废水及油漆库</w:t>
      </w:r>
      <w:r>
        <w:rPr>
          <w:rFonts w:hint="default" w:ascii="Times New Roman" w:hAnsi="Times New Roman" w:cs="Times New Roman"/>
          <w:color w:val="auto"/>
          <w:sz w:val="24"/>
          <w:szCs w:val="24"/>
          <w:lang w:val="en-US" w:eastAsia="en-US"/>
        </w:rPr>
        <w:t>渗漏现象，及时采取相应处理措施，避免对下游其他区域地下水环境造成影响。</w:t>
      </w:r>
    </w:p>
    <w:p w14:paraId="7E0A20E5">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9</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.3.6土壤环境影响</w:t>
      </w:r>
    </w:p>
    <w:p w14:paraId="264DF4AB">
      <w:pPr>
        <w:pStyle w:val="13"/>
        <w:keepNext w:val="0"/>
        <w:keepLines w:val="0"/>
        <w:pageBreakBefore w:val="0"/>
        <w:widowControl/>
        <w:kinsoku w:val="0"/>
        <w:wordWrap/>
        <w:overflowPunct/>
        <w:topLinePunct w:val="0"/>
        <w:autoSpaceDE w:val="0"/>
        <w:autoSpaceDN w:val="0"/>
        <w:bidi w:val="0"/>
        <w:adjustRightInd w:val="0"/>
        <w:snapToGrid w:val="0"/>
        <w:spacing w:line="360" w:lineRule="auto"/>
        <w:jc w:val="both"/>
        <w:textAlignment w:val="baseline"/>
        <w:rPr>
          <w:rFonts w:hint="default" w:ascii="Times New Roman" w:hAnsi="Times New Roman" w:eastAsia="宋体" w:cs="Times New Roman"/>
          <w:b w:val="0"/>
          <w:bCs w:val="0"/>
          <w:color w:val="auto"/>
          <w:sz w:val="24"/>
          <w:szCs w:val="24"/>
          <w:lang w:val="en-US" w:eastAsia="zh-CN"/>
        </w:rPr>
      </w:pPr>
      <w:r>
        <w:rPr>
          <w:rFonts w:hint="eastAsia"/>
          <w:color w:val="auto"/>
          <w:sz w:val="24"/>
          <w:szCs w:val="24"/>
          <w:highlight w:val="none"/>
          <w:lang w:eastAsia="zh-CN"/>
        </w:rPr>
        <w:t>本项目正常工况不会对土壤通过垂直入渗产生影响，正常工况仅为大气沉降对周边土壤环境产生影响。根据大气沉降预测结果，</w:t>
      </w:r>
      <w:r>
        <w:rPr>
          <w:rFonts w:hint="default" w:ascii="Times New Roman" w:hAnsi="Times New Roman" w:cs="Times New Roman"/>
          <w:color w:val="auto"/>
          <w:sz w:val="24"/>
          <w:szCs w:val="24"/>
        </w:rPr>
        <w:t>由</w:t>
      </w:r>
      <w:r>
        <w:rPr>
          <w:rFonts w:hint="default" w:ascii="Times New Roman" w:hAnsi="Times New Roman" w:cs="Times New Roman"/>
          <w:color w:val="auto"/>
          <w:sz w:val="24"/>
          <w:szCs w:val="24"/>
          <w:lang w:val="en-US" w:eastAsia="zh-CN"/>
        </w:rPr>
        <w:t>预测结果</w:t>
      </w:r>
      <w:r>
        <w:rPr>
          <w:rFonts w:hint="default" w:ascii="Times New Roman" w:hAnsi="Times New Roman" w:cs="Times New Roman"/>
          <w:color w:val="auto"/>
          <w:sz w:val="24"/>
          <w:szCs w:val="24"/>
        </w:rPr>
        <w:t>可知，本项目排放废气中的</w:t>
      </w:r>
      <w:r>
        <w:rPr>
          <w:rFonts w:hint="default" w:ascii="Times New Roman" w:hAnsi="Times New Roman" w:eastAsia="宋体" w:cs="Times New Roman"/>
          <w:color w:val="auto"/>
          <w:sz w:val="24"/>
          <w:szCs w:val="21"/>
          <w:highlight w:val="none"/>
          <w:lang w:val="en-US" w:eastAsia="zh-CN"/>
        </w:rPr>
        <w:t>甲烷总烃、</w:t>
      </w:r>
      <w:r>
        <w:rPr>
          <w:rFonts w:hint="eastAsia" w:ascii="Times New Roman" w:hAnsi="Times New Roman" w:eastAsia="宋体" w:cs="Times New Roman"/>
          <w:color w:val="auto"/>
          <w:sz w:val="24"/>
          <w:szCs w:val="21"/>
          <w:highlight w:val="none"/>
          <w:lang w:val="en-US" w:eastAsia="zh-CN"/>
        </w:rPr>
        <w:t>甲苯、</w:t>
      </w:r>
      <w:r>
        <w:rPr>
          <w:rFonts w:hint="default" w:ascii="Times New Roman" w:hAnsi="Times New Roman" w:eastAsia="宋体" w:cs="Times New Roman"/>
          <w:color w:val="auto"/>
          <w:sz w:val="24"/>
          <w:szCs w:val="21"/>
          <w:highlight w:val="none"/>
          <w:lang w:val="en-US" w:eastAsia="zh-CN"/>
        </w:rPr>
        <w:t>苯乙烯</w:t>
      </w:r>
      <w:r>
        <w:rPr>
          <w:rFonts w:hint="default" w:ascii="Times New Roman" w:hAnsi="Times New Roman" w:cs="Times New Roman"/>
          <w:color w:val="auto"/>
          <w:sz w:val="24"/>
          <w:szCs w:val="24"/>
        </w:rPr>
        <w:t>很小，经20年沉降累积土壤中</w:t>
      </w:r>
      <w:r>
        <w:rPr>
          <w:rFonts w:hint="default" w:ascii="Times New Roman" w:hAnsi="Times New Roman" w:eastAsia="宋体" w:cs="Times New Roman"/>
          <w:color w:val="auto"/>
          <w:sz w:val="24"/>
          <w:szCs w:val="21"/>
          <w:highlight w:val="none"/>
          <w:lang w:val="en-US" w:eastAsia="zh-CN"/>
        </w:rPr>
        <w:t>甲烷总烃、</w:t>
      </w:r>
      <w:r>
        <w:rPr>
          <w:rFonts w:hint="eastAsia" w:ascii="Times New Roman" w:hAnsi="Times New Roman" w:eastAsia="宋体" w:cs="Times New Roman"/>
          <w:color w:val="auto"/>
          <w:sz w:val="24"/>
          <w:szCs w:val="21"/>
          <w:highlight w:val="none"/>
          <w:lang w:val="en-US" w:eastAsia="zh-CN"/>
        </w:rPr>
        <w:t>甲苯、</w:t>
      </w:r>
      <w:r>
        <w:rPr>
          <w:rFonts w:hint="default" w:ascii="Times New Roman" w:hAnsi="Times New Roman" w:eastAsia="宋体" w:cs="Times New Roman"/>
          <w:color w:val="auto"/>
          <w:sz w:val="24"/>
          <w:szCs w:val="21"/>
          <w:highlight w:val="none"/>
          <w:lang w:val="en-US" w:eastAsia="zh-CN"/>
        </w:rPr>
        <w:t>苯乙烯</w:t>
      </w:r>
      <w:r>
        <w:rPr>
          <w:rFonts w:hint="default" w:ascii="Times New Roman" w:hAnsi="Times New Roman" w:cs="Times New Roman"/>
          <w:color w:val="auto"/>
          <w:sz w:val="24"/>
          <w:szCs w:val="24"/>
        </w:rPr>
        <w:t>的增量甚微，</w:t>
      </w:r>
      <w:r>
        <w:rPr>
          <w:rFonts w:hint="eastAsia" w:ascii="Times New Roman" w:hAnsi="Times New Roman" w:eastAsia="宋体" w:cs="Times New Roman"/>
          <w:color w:val="auto"/>
          <w:sz w:val="24"/>
          <w:szCs w:val="24"/>
          <w:lang w:val="en-US" w:eastAsia="zh-CN"/>
        </w:rPr>
        <w:t>土壤</w:t>
      </w:r>
      <w:r>
        <w:rPr>
          <w:rFonts w:hint="default" w:ascii="Times New Roman" w:hAnsi="Times New Roman" w:cs="Times New Roman"/>
          <w:color w:val="auto"/>
          <w:sz w:val="24"/>
          <w:szCs w:val="24"/>
        </w:rPr>
        <w:t>可以满足《土壤环境质量标准 建设用地土壤污染风险管控标准（试行）》（GB36600-2018）筛选值</w:t>
      </w:r>
      <w:r>
        <w:rPr>
          <w:rFonts w:hint="eastAsia" w:ascii="Times New Roman" w:hAnsi="Times New Roman" w:eastAsia="宋体" w:cs="Times New Roman"/>
          <w:color w:val="auto"/>
          <w:sz w:val="24"/>
          <w:szCs w:val="24"/>
          <w:lang w:eastAsia="zh-CN"/>
        </w:rPr>
        <w:t>。</w:t>
      </w:r>
      <w:r>
        <w:rPr>
          <w:rFonts w:hint="eastAsia"/>
          <w:color w:val="auto"/>
          <w:sz w:val="24"/>
          <w:szCs w:val="24"/>
          <w:highlight w:val="none"/>
          <w:lang w:eastAsia="zh-CN"/>
        </w:rPr>
        <w:t>企业应加强监管和巡查，采取合理的土壤污染防治措施，从源头控制和过程防控等方面严格控制，降低项目土壤环境影响，定期进行跟踪监测，掌握土壤污染情况，及时应对，采取风险事故应急措施，制定应急预案并定期演练，采取以上措施后，对周围土壤环境质量影响较小，土壤环境影响可以接受。</w:t>
      </w:r>
    </w:p>
    <w:p w14:paraId="4A143BF6">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9</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.3.</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10</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环境风险</w:t>
      </w:r>
    </w:p>
    <w:p w14:paraId="6AD399F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imes New Roman" w:hAnsi="Times New Roman" w:eastAsia="宋体" w:cs="Times New Roman"/>
          <w:snapToGrid/>
          <w:color w:val="auto"/>
          <w:spacing w:val="-5"/>
          <w:kern w:val="0"/>
          <w:sz w:val="24"/>
          <w:szCs w:val="24"/>
          <w:lang w:val="en-US" w:eastAsia="zh-CN" w:bidi="ar-SA"/>
        </w:rPr>
      </w:pPr>
      <w:r>
        <w:rPr>
          <w:rFonts w:hint="default" w:ascii="Times New Roman" w:hAnsi="Times New Roman" w:eastAsia="宋体" w:cs="Times New Roman"/>
          <w:b w:val="0"/>
          <w:bCs w:val="0"/>
          <w:color w:val="auto"/>
          <w:kern w:val="2"/>
          <w:sz w:val="24"/>
          <w:szCs w:val="24"/>
          <w:highlight w:val="none"/>
        </w:rPr>
        <w:t>本项目环境风险事故主要是原辅材料泄漏、废气事故排放、火灾和爆炸等风险</w:t>
      </w:r>
      <w:r>
        <w:rPr>
          <w:rFonts w:hint="eastAsia" w:ascii="Times New Roman" w:hAnsi="Times New Roman" w:eastAsia="宋体" w:cs="Times New Roman"/>
          <w:b w:val="0"/>
          <w:bCs w:val="0"/>
          <w:color w:val="auto"/>
          <w:kern w:val="2"/>
          <w:sz w:val="24"/>
          <w:szCs w:val="24"/>
          <w:highlight w:val="none"/>
          <w:lang w:eastAsia="zh-CN"/>
        </w:rPr>
        <w:t>。</w:t>
      </w:r>
      <w:r>
        <w:rPr>
          <w:rFonts w:hint="eastAsia" w:ascii="Times New Roman" w:hAnsi="Times New Roman" w:eastAsia="宋体" w:cs="Times New Roman"/>
          <w:snapToGrid/>
          <w:color w:val="auto"/>
          <w:spacing w:val="-5"/>
          <w:kern w:val="0"/>
          <w:sz w:val="24"/>
          <w:szCs w:val="24"/>
          <w:lang w:val="en-US" w:eastAsia="zh-CN" w:bidi="ar-SA"/>
        </w:rPr>
        <w:t>项目采取分区防渗措施，事故情况下，对地表水、地下水环境影响较小。</w:t>
      </w:r>
    </w:p>
    <w:p w14:paraId="441F8B77">
      <w:pPr>
        <w:keepNext w:val="0"/>
        <w:keepLines w:val="0"/>
        <w:pageBreakBefore w:val="0"/>
        <w:widowControl/>
        <w:kinsoku w:val="0"/>
        <w:wordWrap/>
        <w:overflowPunct/>
        <w:topLinePunct w:val="0"/>
        <w:autoSpaceDE w:val="0"/>
        <w:autoSpaceDN w:val="0"/>
        <w:bidi w:val="0"/>
        <w:adjustRightInd w:val="0"/>
        <w:snapToGrid w:val="0"/>
        <w:spacing w:line="360" w:lineRule="auto"/>
        <w:ind w:firstLine="460" w:firstLineChars="200"/>
        <w:textAlignment w:val="baseline"/>
        <w:rPr>
          <w:rFonts w:hint="default"/>
          <w:color w:val="auto"/>
          <w:lang w:val="en-US" w:eastAsia="zh-CN"/>
        </w:rPr>
      </w:pPr>
      <w:r>
        <w:rPr>
          <w:rFonts w:hint="eastAsia" w:ascii="Times New Roman" w:hAnsi="Times New Roman" w:eastAsia="宋体" w:cs="Times New Roman"/>
          <w:snapToGrid/>
          <w:color w:val="auto"/>
          <w:spacing w:val="-5"/>
          <w:kern w:val="0"/>
          <w:sz w:val="24"/>
          <w:szCs w:val="24"/>
          <w:lang w:val="en-US" w:eastAsia="zh-CN" w:bidi="ar-SA"/>
        </w:rPr>
        <w:t>建设单位应认真落实环评提出的各项环境风险防范对策措施，生产过程中加强环境风险管控，编制环境风险应急预案，定期进行应急演练。在做好以上各项安全和环境风险防范措施的前提下，项目的环境风险可接受。</w:t>
      </w:r>
    </w:p>
    <w:p w14:paraId="7B20DBA4">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jc w:val="both"/>
        <w:textAlignment w:val="baseline"/>
        <w:outlineLvl w:val="1"/>
        <w:rPr>
          <w:rFonts w:hint="default" w:ascii="Times New Roman" w:hAnsi="Times New Roman" w:eastAsia="微软雅黑" w:cs="Times New Roman"/>
          <w:color w:val="auto"/>
          <w:spacing w:val="6"/>
          <w:sz w:val="32"/>
          <w:szCs w:val="32"/>
          <w:highlight w:val="none"/>
          <w:lang w:val="en-US" w:eastAsia="zh-CN"/>
        </w:rPr>
      </w:pPr>
      <w:bookmarkStart w:id="87" w:name="_Toc22056"/>
      <w:r>
        <w:rPr>
          <w:rFonts w:hint="eastAsia" w:ascii="Times New Roman" w:hAnsi="Times New Roman" w:eastAsia="微软雅黑" w:cs="Times New Roman"/>
          <w:color w:val="auto"/>
          <w:spacing w:val="6"/>
          <w:sz w:val="32"/>
          <w:szCs w:val="32"/>
          <w:highlight w:val="none"/>
          <w:lang w:val="en-US" w:eastAsia="zh-CN"/>
        </w:rPr>
        <w:t>9</w:t>
      </w:r>
      <w:r>
        <w:rPr>
          <w:rFonts w:hint="default" w:ascii="Times New Roman" w:hAnsi="Times New Roman" w:eastAsia="微软雅黑" w:cs="Times New Roman"/>
          <w:color w:val="auto"/>
          <w:spacing w:val="6"/>
          <w:sz w:val="32"/>
          <w:szCs w:val="32"/>
          <w:highlight w:val="none"/>
          <w:lang w:val="en-US" w:eastAsia="zh-CN"/>
        </w:rPr>
        <w:t>.</w:t>
      </w:r>
      <w:r>
        <w:rPr>
          <w:rFonts w:hint="eastAsia" w:ascii="Times New Roman" w:hAnsi="Times New Roman" w:eastAsia="微软雅黑" w:cs="Times New Roman"/>
          <w:color w:val="auto"/>
          <w:spacing w:val="6"/>
          <w:sz w:val="32"/>
          <w:szCs w:val="32"/>
          <w:highlight w:val="none"/>
          <w:lang w:val="en-US" w:eastAsia="zh-CN"/>
        </w:rPr>
        <w:t>4</w:t>
      </w:r>
      <w:r>
        <w:rPr>
          <w:rFonts w:hint="default" w:ascii="Times New Roman" w:hAnsi="Times New Roman" w:eastAsia="微软雅黑" w:cs="Times New Roman"/>
          <w:color w:val="auto"/>
          <w:spacing w:val="6"/>
          <w:sz w:val="32"/>
          <w:szCs w:val="32"/>
          <w:highlight w:val="none"/>
          <w:lang w:val="en-US" w:eastAsia="zh-CN"/>
        </w:rPr>
        <w:t xml:space="preserve"> 公众意见采纳情况</w:t>
      </w:r>
      <w:bookmarkEnd w:id="87"/>
    </w:p>
    <w:p w14:paraId="12E31FBC">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60" w:firstLineChars="200"/>
        <w:jc w:val="both"/>
        <w:textAlignment w:val="baseline"/>
        <w:rPr>
          <w:rFonts w:hint="default" w:ascii="Times New Roman" w:hAnsi="Times New Roman" w:eastAsia="宋体" w:cs="Times New Roman"/>
          <w:color w:val="auto"/>
          <w:spacing w:val="-5"/>
          <w:sz w:val="24"/>
          <w:szCs w:val="24"/>
          <w:lang w:val="en-US" w:eastAsia="zh-CN"/>
        </w:rPr>
      </w:pPr>
      <w:r>
        <w:rPr>
          <w:rFonts w:hint="default" w:ascii="Times New Roman" w:hAnsi="Times New Roman" w:eastAsia="宋体" w:cs="Times New Roman"/>
          <w:color w:val="auto"/>
          <w:spacing w:val="-5"/>
          <w:sz w:val="24"/>
          <w:szCs w:val="24"/>
          <w:lang w:val="en-US" w:eastAsia="zh-CN"/>
        </w:rPr>
        <w:t>在本报告书编制过程中，建设单位按照《环境影响评价公众参与办法》（生态环境部令第4号）的有关规定组织开展了公众参与工作，公众参与期间，建设单位未收到公众对本项目提出的环境影响相关意见。</w:t>
      </w:r>
    </w:p>
    <w:p w14:paraId="453FD917">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jc w:val="both"/>
        <w:textAlignment w:val="baseline"/>
        <w:outlineLvl w:val="1"/>
        <w:rPr>
          <w:rFonts w:hint="default" w:ascii="Times New Roman" w:hAnsi="Times New Roman" w:eastAsia="微软雅黑" w:cs="Times New Roman"/>
          <w:color w:val="auto"/>
          <w:spacing w:val="6"/>
          <w:sz w:val="32"/>
          <w:szCs w:val="32"/>
          <w:highlight w:val="none"/>
          <w:lang w:val="en-US" w:eastAsia="zh-CN"/>
        </w:rPr>
      </w:pPr>
      <w:bookmarkStart w:id="88" w:name="_Toc22381"/>
      <w:r>
        <w:rPr>
          <w:rFonts w:hint="eastAsia" w:ascii="Times New Roman" w:hAnsi="Times New Roman" w:eastAsia="微软雅黑" w:cs="Times New Roman"/>
          <w:color w:val="auto"/>
          <w:spacing w:val="6"/>
          <w:sz w:val="32"/>
          <w:szCs w:val="32"/>
          <w:highlight w:val="none"/>
          <w:lang w:val="en-US" w:eastAsia="zh-CN"/>
        </w:rPr>
        <w:t>9</w:t>
      </w:r>
      <w:r>
        <w:rPr>
          <w:rFonts w:hint="default" w:ascii="Times New Roman" w:hAnsi="Times New Roman" w:eastAsia="微软雅黑" w:cs="Times New Roman"/>
          <w:color w:val="auto"/>
          <w:spacing w:val="6"/>
          <w:sz w:val="32"/>
          <w:szCs w:val="32"/>
          <w:highlight w:val="none"/>
          <w:lang w:val="en-US" w:eastAsia="zh-CN"/>
        </w:rPr>
        <w:t>.</w:t>
      </w:r>
      <w:r>
        <w:rPr>
          <w:rFonts w:hint="eastAsia" w:ascii="Times New Roman" w:hAnsi="Times New Roman" w:eastAsia="微软雅黑" w:cs="Times New Roman"/>
          <w:color w:val="auto"/>
          <w:spacing w:val="6"/>
          <w:sz w:val="32"/>
          <w:szCs w:val="32"/>
          <w:highlight w:val="none"/>
          <w:lang w:val="en-US" w:eastAsia="zh-CN"/>
        </w:rPr>
        <w:t>5</w:t>
      </w:r>
      <w:r>
        <w:rPr>
          <w:rFonts w:hint="default" w:ascii="Times New Roman" w:hAnsi="Times New Roman" w:eastAsia="微软雅黑" w:cs="Times New Roman"/>
          <w:color w:val="auto"/>
          <w:spacing w:val="6"/>
          <w:sz w:val="32"/>
          <w:szCs w:val="32"/>
          <w:highlight w:val="none"/>
          <w:lang w:val="en-US" w:eastAsia="zh-CN"/>
        </w:rPr>
        <w:t xml:space="preserve"> 环境保护措施</w:t>
      </w:r>
      <w:bookmarkEnd w:id="88"/>
    </w:p>
    <w:p w14:paraId="5730EF6B">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9</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.1</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废气污染防治措施</w:t>
      </w:r>
    </w:p>
    <w:p w14:paraId="4D6A61BE">
      <w:pPr>
        <w:pStyle w:val="28"/>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360" w:lineRule="auto"/>
        <w:ind w:firstLine="480" w:firstLineChars="200"/>
        <w:jc w:val="both"/>
        <w:textAlignment w:val="center"/>
        <w:rPr>
          <w:rFonts w:hint="eastAsia" w:ascii="Times New Roman" w:hAnsi="Times New Roman" w:eastAsia="宋体" w:cs="Times New Roman"/>
          <w:bCs w:val="0"/>
          <w:snapToGrid w:val="0"/>
          <w:color w:val="auto"/>
          <w:kern w:val="2"/>
          <w:sz w:val="24"/>
          <w:szCs w:val="24"/>
          <w:highlight w:val="none"/>
          <w:lang w:val="en-US" w:eastAsia="zh-CN" w:bidi="ar-SA"/>
        </w:rPr>
      </w:pPr>
      <w:r>
        <w:rPr>
          <w:rFonts w:hint="default" w:ascii="Times New Roman" w:hAnsi="Times New Roman" w:eastAsia="宋体" w:cs="Times New Roman"/>
          <w:color w:val="auto"/>
          <w:sz w:val="24"/>
          <w:szCs w:val="24"/>
          <w:lang w:val="en-US" w:eastAsia="zh-CN"/>
        </w:rPr>
        <w:t>项目在每台注塑机出口设置集气罩对注塑废气进行收集，然后汇入一套“四级活性炭”装置处理后，尾气通过一根15m高排气筒(DA001)排放</w:t>
      </w:r>
      <w:r>
        <w:rPr>
          <w:rFonts w:hint="eastAsia" w:ascii="Times New Roman" w:hAnsi="Times New Roman" w:eastAsia="宋体" w:cs="Times New Roman"/>
          <w:color w:val="auto"/>
          <w:sz w:val="24"/>
          <w:szCs w:val="24"/>
          <w:lang w:val="en-US" w:eastAsia="zh-CN"/>
        </w:rPr>
        <w:t>，</w:t>
      </w:r>
      <w:r>
        <w:rPr>
          <w:rFonts w:hint="eastAsia" w:ascii="Times New Roman" w:hAnsi="Times New Roman" w:eastAsia="宋体" w:cs="Times New Roman"/>
          <w:bCs w:val="0"/>
          <w:snapToGrid w:val="0"/>
          <w:color w:val="auto"/>
          <w:spacing w:val="-5"/>
          <w:kern w:val="0"/>
          <w:sz w:val="24"/>
          <w:szCs w:val="24"/>
          <w:lang w:val="en-US" w:eastAsia="zh-CN" w:bidi="ar-SA"/>
        </w:rPr>
        <w:t>有组织非甲烷总烃、苯乙烯、丙烯腈、乙苯、甲苯、1，3-丁二烯、酚类、氯苯类、二氯甲烷、氨排放执行《合成树脂工业污染物排放标准》（GB 31572-2015，含2024年修改单）中表4大气污染物排放限值，臭气浓度执行《恶臭污染物排放标准》（GB14554-93）表2排放标准。</w:t>
      </w:r>
      <w:r>
        <w:rPr>
          <w:rFonts w:hint="default" w:ascii="Times New Roman" w:hAnsi="Times New Roman" w:eastAsia="宋体" w:cs="Times New Roman"/>
          <w:color w:val="auto"/>
          <w:sz w:val="24"/>
          <w:szCs w:val="24"/>
          <w:lang w:val="en-US" w:eastAsia="zh-CN"/>
        </w:rPr>
        <w:t>喷涂废气（调漆废气、喷漆废气、流平废气、烘干废气）、管路和喷枪清洗废气与丝印废气经水帘式漆雾净化+沸石转轮吸附+RTO焚烧装置处理后经一根22.5m高排气筒（DA002）排放</w:t>
      </w:r>
      <w:r>
        <w:rPr>
          <w:rFonts w:hint="eastAsia" w:ascii="Times New Roman" w:hAnsi="Times New Roman" w:eastAsia="宋体" w:cs="Times New Roman"/>
          <w:color w:val="auto"/>
          <w:sz w:val="24"/>
          <w:szCs w:val="24"/>
          <w:lang w:val="en-US" w:eastAsia="zh-CN"/>
        </w:rPr>
        <w:t>，</w:t>
      </w:r>
      <w:r>
        <w:rPr>
          <w:rFonts w:hint="eastAsia" w:ascii="Times New Roman" w:hAnsi="Times New Roman" w:eastAsia="宋体" w:cs="Times New Roman"/>
          <w:bCs w:val="0"/>
          <w:snapToGrid w:val="0"/>
          <w:color w:val="auto"/>
          <w:kern w:val="2"/>
          <w:sz w:val="24"/>
          <w:szCs w:val="24"/>
          <w:highlight w:val="none"/>
          <w:lang w:val="en-US" w:eastAsia="zh-CN" w:bidi="ar-SA"/>
        </w:rPr>
        <w:t>废气处理后可满足</w:t>
      </w:r>
      <w:r>
        <w:rPr>
          <w:rFonts w:hint="eastAsia" w:ascii="Times New Roman" w:hAnsi="Times New Roman" w:eastAsia="宋体" w:cs="Times New Roman"/>
          <w:color w:val="auto"/>
          <w:spacing w:val="0"/>
          <w:position w:val="0"/>
          <w:sz w:val="24"/>
          <w:szCs w:val="24"/>
          <w:lang w:val="en-US" w:eastAsia="zh-CN"/>
        </w:rPr>
        <w:t>《大气污染物综合排放标准》（GB16297-1996）表2中二级排放限值。</w:t>
      </w:r>
      <w:r>
        <w:rPr>
          <w:rFonts w:hint="default" w:ascii="Times New Roman" w:hAnsi="Times New Roman" w:eastAsia="宋体" w:cs="Times New Roman"/>
          <w:bCs/>
          <w:snapToGrid w:val="0"/>
          <w:color w:val="auto"/>
          <w:spacing w:val="0"/>
          <w:kern w:val="0"/>
          <w:position w:val="0"/>
          <w:sz w:val="24"/>
          <w:szCs w:val="24"/>
          <w:lang w:val="en-US" w:eastAsia="zh-CN" w:bidi="ar-SA"/>
        </w:rPr>
        <w:t>天然气燃烧废气经</w:t>
      </w:r>
      <w:r>
        <w:rPr>
          <w:rFonts w:hint="eastAsia" w:ascii="Times New Roman" w:hAnsi="Times New Roman" w:eastAsia="宋体" w:cs="Times New Roman"/>
          <w:bCs/>
          <w:snapToGrid w:val="0"/>
          <w:color w:val="auto"/>
          <w:spacing w:val="0"/>
          <w:kern w:val="0"/>
          <w:position w:val="0"/>
          <w:sz w:val="24"/>
          <w:szCs w:val="24"/>
          <w:lang w:val="en-US" w:eastAsia="zh-CN" w:bidi="ar-SA"/>
        </w:rPr>
        <w:t>低氮燃烧后经</w:t>
      </w:r>
      <w:r>
        <w:rPr>
          <w:rFonts w:hint="default" w:ascii="Times New Roman" w:hAnsi="Times New Roman" w:eastAsia="宋体" w:cs="Times New Roman"/>
          <w:bCs/>
          <w:snapToGrid w:val="0"/>
          <w:color w:val="auto"/>
          <w:spacing w:val="0"/>
          <w:kern w:val="0"/>
          <w:position w:val="0"/>
          <w:sz w:val="24"/>
          <w:szCs w:val="24"/>
          <w:lang w:val="en-US" w:eastAsia="zh-CN" w:bidi="ar-SA"/>
        </w:rPr>
        <w:t>20.5m高烟囱（DA003）排放，满足《工业窑炉大气污染物排放标准》(GB 9078-1996)二级标准限值要求。</w:t>
      </w:r>
      <w:r>
        <w:rPr>
          <w:rFonts w:hint="eastAsia" w:ascii="Times New Roman" w:hAnsi="Times New Roman" w:eastAsia="宋体" w:cs="Times New Roman"/>
          <w:color w:val="auto"/>
          <w:sz w:val="24"/>
          <w:szCs w:val="24"/>
          <w:lang w:val="en-US" w:eastAsia="zh-CN"/>
        </w:rPr>
        <w:t>配胶、喷胶及烘干</w:t>
      </w:r>
      <w:r>
        <w:rPr>
          <w:rFonts w:hint="default" w:ascii="Times New Roman" w:hAnsi="Times New Roman" w:eastAsia="宋体" w:cs="Times New Roman"/>
          <w:color w:val="auto"/>
          <w:sz w:val="24"/>
          <w:szCs w:val="24"/>
          <w:lang w:val="en-US" w:eastAsia="zh-CN"/>
        </w:rPr>
        <w:t>废气、发泡废气收集后经四级活性炭吸附装置处理后于1根15m高排气筒（DA004）排放</w:t>
      </w:r>
      <w:r>
        <w:rPr>
          <w:rFonts w:hint="eastAsia" w:ascii="Times New Roman" w:hAnsi="Times New Roman" w:eastAsia="宋体" w:cs="Times New Roman"/>
          <w:color w:val="auto"/>
          <w:sz w:val="24"/>
          <w:szCs w:val="24"/>
          <w:lang w:val="en-US" w:eastAsia="zh-CN"/>
        </w:rPr>
        <w:t>，</w:t>
      </w:r>
      <w:r>
        <w:rPr>
          <w:rFonts w:hint="eastAsia" w:ascii="Times New Roman" w:hAnsi="Times New Roman" w:eastAsia="宋体" w:cs="Times New Roman"/>
          <w:snapToGrid w:val="0"/>
          <w:color w:val="auto"/>
          <w:kern w:val="2"/>
          <w:sz w:val="24"/>
          <w:szCs w:val="24"/>
          <w:lang w:val="en-US" w:eastAsia="zh-CN" w:bidi="ar-SA"/>
        </w:rPr>
        <w:t>非甲烷总烃排放可满足《合成树脂工业污染物排放标准》（GB 31572-2015，含2024年修改单）中表4大气污染物排放限值。</w:t>
      </w:r>
      <w:r>
        <w:rPr>
          <w:rFonts w:hint="eastAsia" w:ascii="Times New Roman" w:hAnsi="Times New Roman" w:eastAsia="宋体" w:cs="Times New Roman"/>
          <w:bCs w:val="0"/>
          <w:snapToGrid w:val="0"/>
          <w:color w:val="auto"/>
          <w:kern w:val="2"/>
          <w:sz w:val="24"/>
          <w:szCs w:val="24"/>
          <w:highlight w:val="none"/>
          <w:lang w:val="en-US" w:eastAsia="zh-CN" w:bidi="ar-SA"/>
        </w:rPr>
        <w:t>打磨抛光粉尘自带布袋除尘器，除尘过程废气产生量少，除尘废气在车间内无组织排放；破碎机破碎时是完全密闭的，且设有专门的密闭破碎间，破碎粉尘产生量较少，在车间内无组织排放；危险废物贮存库密闭贮存危险废物，及时转运，挥发出极少量的有机废气，在厂区内无组织排放。</w:t>
      </w:r>
      <w:r>
        <w:rPr>
          <w:rFonts w:hint="eastAsia" w:ascii="Times New Roman" w:hAnsi="Times New Roman" w:eastAsia="宋体" w:cs="Times New Roman"/>
          <w:color w:val="auto"/>
          <w:spacing w:val="0"/>
          <w:position w:val="0"/>
          <w:sz w:val="24"/>
          <w:szCs w:val="24"/>
          <w:lang w:val="en-US" w:eastAsia="zh-CN"/>
        </w:rPr>
        <w:t>厂区内非甲烷总烃无组织排放监控点浓度执行《挥发性有机物无组织排放控制标准》（GB37822-2019）中表A.1规定的限值；厂界无组织丙烯腈、酚类、氯苯类参考《大气污染物综合排放标准》（GB16297-1996）无组织限值要求；厂界苯乙烯、臭气浓度、氨执行《恶臭污染物排放标准》（GB14554-93）表1中二级排放标准；厂界无组织颗粒物、甲苯、非甲烷总烃执行《合成树脂工业污染物排放标准》（GB31572-2015）表9企业边界大气污染物浓度限值。</w:t>
      </w:r>
    </w:p>
    <w:p w14:paraId="43EF6C8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sz w:val="24"/>
          <w:szCs w:val="24"/>
          <w:lang w:val="en-US" w:eastAsia="zh-CN"/>
        </w:rPr>
      </w:pPr>
      <w:r>
        <w:rPr>
          <w:rFonts w:hint="eastAsia"/>
          <w:sz w:val="24"/>
          <w:szCs w:val="24"/>
          <w:lang w:val="en-US" w:eastAsia="zh-CN"/>
        </w:rPr>
        <w:t>综上所述，本项目建成运营后，采取严格的污染防治措施，废气均可以达标排放，对周围环境空气质量影响可以接受。</w:t>
      </w:r>
    </w:p>
    <w:p w14:paraId="5D2C00C2">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9</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.2</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废水污染防治措施</w:t>
      </w:r>
    </w:p>
    <w:p w14:paraId="4AD304B9">
      <w:pPr>
        <w:pStyle w:val="89"/>
        <w:keepNext w:val="0"/>
        <w:keepLines w:val="0"/>
        <w:pageBreakBefore w:val="0"/>
        <w:widowControl/>
        <w:kinsoku w:val="0"/>
        <w:wordWrap/>
        <w:overflowPunct/>
        <w:topLinePunct w:val="0"/>
        <w:autoSpaceDE w:val="0"/>
        <w:autoSpaceDN w:val="0"/>
        <w:bidi w:val="0"/>
        <w:adjustRightInd w:val="0"/>
        <w:snapToGrid w:val="0"/>
        <w:textAlignment w:val="baseline"/>
        <w:rPr>
          <w:rFonts w:hint="eastAsia"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本项目</w:t>
      </w:r>
      <w:r>
        <w:rPr>
          <w:rFonts w:hint="default" w:ascii="Times New Roman" w:hAnsi="Times New Roman" w:eastAsia="宋体" w:cs="Times New Roman"/>
          <w:color w:val="auto"/>
          <w:sz w:val="24"/>
          <w:szCs w:val="24"/>
          <w:lang w:val="en-US" w:eastAsia="zh-CN"/>
        </w:rPr>
        <w:t>生活污水</w:t>
      </w:r>
      <w:r>
        <w:rPr>
          <w:rFonts w:hint="eastAsia" w:eastAsia="宋体" w:cs="Times New Roman"/>
          <w:color w:val="auto"/>
          <w:sz w:val="24"/>
          <w:szCs w:val="24"/>
          <w:lang w:val="en-US" w:eastAsia="zh-CN"/>
        </w:rPr>
        <w:t>与冷却塔循环冷却废水</w:t>
      </w:r>
      <w:r>
        <w:rPr>
          <w:rFonts w:hint="default" w:ascii="Times New Roman" w:hAnsi="Times New Roman" w:eastAsia="宋体" w:cs="Times New Roman"/>
          <w:color w:val="auto"/>
          <w:sz w:val="24"/>
          <w:szCs w:val="24"/>
          <w:lang w:val="en-US" w:eastAsia="zh-CN"/>
        </w:rPr>
        <w:t>达到《污水综合排放标准》（GB8978-1996）三级标准，</w:t>
      </w:r>
      <w:r>
        <w:rPr>
          <w:rFonts w:hint="default" w:ascii="Times New Roman" w:hAnsi="Times New Roman" w:eastAsia="宋体" w:cs="Times New Roman"/>
          <w:color w:val="auto"/>
          <w:sz w:val="24"/>
          <w:szCs w:val="24"/>
        </w:rPr>
        <w:t>一同排入五常市牛家满族镇污水处理厂，经五常市牛家满族镇污水处理厂处理达标后，排入拉林河</w:t>
      </w:r>
      <w:r>
        <w:rPr>
          <w:rFonts w:hint="eastAsia" w:eastAsia="宋体" w:cs="Times New Roman"/>
          <w:color w:val="auto"/>
          <w:sz w:val="24"/>
          <w:szCs w:val="24"/>
          <w:lang w:eastAsia="zh-CN"/>
        </w:rPr>
        <w:t>。</w:t>
      </w:r>
    </w:p>
    <w:p w14:paraId="54ECF717">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9</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.3</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噪声污染防治措施</w:t>
      </w:r>
    </w:p>
    <w:p w14:paraId="767E30A9">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b/>
          <w:bCs/>
          <w:snapToGrid w:val="0"/>
          <w:color w:val="FF0000"/>
          <w:spacing w:val="0"/>
          <w:kern w:val="0"/>
          <w:position w:val="0"/>
          <w:sz w:val="30"/>
          <w:szCs w:val="30"/>
          <w:highlight w:val="none"/>
          <w:lang w:val="en-US" w:eastAsia="zh-CN" w:bidi="ar-SA"/>
        </w:rPr>
      </w:pPr>
      <w:r>
        <w:rPr>
          <w:rFonts w:hint="default" w:ascii="Times New Roman" w:hAnsi="Times New Roman" w:eastAsia="宋体" w:cs="Times New Roman"/>
          <w:snapToGrid w:val="0"/>
          <w:color w:val="auto"/>
          <w:kern w:val="2"/>
          <w:sz w:val="24"/>
          <w:szCs w:val="24"/>
          <w:highlight w:val="none"/>
          <w:lang w:val="en-US" w:eastAsia="zh-CN" w:bidi="ar-SA"/>
        </w:rPr>
        <w:t>本项目优先选用低噪声设备，采用减震、消声、隔声等防治措施处理，同时加强设备的维护管理，经距离衰减到达厂界处可以达到《工业企业厂界环境噪声排放标准》（GB12348-2008）表1中2类标准。</w:t>
      </w:r>
    </w:p>
    <w:p w14:paraId="3607487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9</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.4</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固体废物污染防治措施</w:t>
      </w:r>
    </w:p>
    <w:p w14:paraId="4B40775F">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baseline"/>
        <w:rPr>
          <w:rFonts w:hint="default" w:ascii="Times New Roman" w:hAnsi="Times New Roman" w:eastAsia="宋体" w:cs="Times New Roman"/>
          <w:snapToGrid w:val="0"/>
          <w:color w:val="auto"/>
          <w:kern w:val="2"/>
          <w:sz w:val="24"/>
          <w:szCs w:val="24"/>
          <w:highlight w:val="none"/>
          <w:lang w:val="en-US" w:eastAsia="zh-CN" w:bidi="ar-SA"/>
        </w:rPr>
      </w:pPr>
      <w:r>
        <w:rPr>
          <w:rFonts w:hint="eastAsia" w:ascii="Times New Roman" w:hAnsi="Times New Roman" w:eastAsia="宋体" w:cs="Times New Roman"/>
          <w:snapToGrid w:val="0"/>
          <w:color w:val="auto"/>
          <w:kern w:val="2"/>
          <w:sz w:val="24"/>
          <w:szCs w:val="24"/>
          <w:highlight w:val="none"/>
          <w:lang w:val="en-US" w:eastAsia="zh-CN" w:bidi="ar-SA"/>
        </w:rPr>
        <w:t>危险废物在危险废物贮存库</w:t>
      </w:r>
      <w:r>
        <w:rPr>
          <w:rFonts w:hint="default" w:ascii="Times New Roman" w:hAnsi="Times New Roman" w:eastAsia="宋体" w:cs="Times New Roman"/>
          <w:snapToGrid w:val="0"/>
          <w:color w:val="auto"/>
          <w:kern w:val="2"/>
          <w:sz w:val="24"/>
          <w:szCs w:val="24"/>
          <w:highlight w:val="none"/>
          <w:lang w:val="en-US" w:eastAsia="zh-CN" w:bidi="ar-SA"/>
        </w:rPr>
        <w:t>暂存后定期由资质单位处置</w:t>
      </w:r>
      <w:r>
        <w:rPr>
          <w:rFonts w:hint="eastAsia" w:ascii="Times New Roman" w:hAnsi="Times New Roman" w:eastAsia="宋体" w:cs="Times New Roman"/>
          <w:snapToGrid w:val="0"/>
          <w:color w:val="auto"/>
          <w:kern w:val="2"/>
          <w:sz w:val="24"/>
          <w:szCs w:val="24"/>
          <w:highlight w:val="none"/>
          <w:lang w:val="en-US" w:eastAsia="zh-CN" w:bidi="ar-SA"/>
        </w:rPr>
        <w:t>；</w:t>
      </w:r>
      <w:r>
        <w:rPr>
          <w:rFonts w:hint="default" w:ascii="Times New Roman" w:hAnsi="Times New Roman" w:eastAsia="宋体" w:cs="Times New Roman"/>
          <w:snapToGrid w:val="0"/>
          <w:color w:val="auto"/>
          <w:kern w:val="2"/>
          <w:sz w:val="24"/>
          <w:szCs w:val="24"/>
          <w:highlight w:val="none"/>
          <w:lang w:val="en-US" w:eastAsia="zh-CN" w:bidi="ar-SA"/>
        </w:rPr>
        <w:t>一般工业固体废物定期处置或综合利用</w:t>
      </w:r>
      <w:r>
        <w:rPr>
          <w:rFonts w:hint="eastAsia" w:ascii="Times New Roman" w:hAnsi="Times New Roman" w:eastAsia="宋体" w:cs="Times New Roman"/>
          <w:snapToGrid w:val="0"/>
          <w:color w:val="auto"/>
          <w:kern w:val="2"/>
          <w:sz w:val="24"/>
          <w:szCs w:val="24"/>
          <w:highlight w:val="none"/>
          <w:lang w:val="en-US" w:eastAsia="zh-CN" w:bidi="ar-SA"/>
        </w:rPr>
        <w:t>。</w:t>
      </w:r>
      <w:r>
        <w:rPr>
          <w:rFonts w:hint="default" w:ascii="Times New Roman" w:hAnsi="Times New Roman" w:eastAsia="宋体" w:cs="Times New Roman"/>
          <w:snapToGrid w:val="0"/>
          <w:color w:val="auto"/>
          <w:kern w:val="2"/>
          <w:sz w:val="24"/>
          <w:szCs w:val="24"/>
          <w:highlight w:val="none"/>
          <w:lang w:val="en-US" w:eastAsia="zh-CN" w:bidi="ar-SA"/>
        </w:rPr>
        <w:t>项目厂内设1</w:t>
      </w:r>
      <w:r>
        <w:rPr>
          <w:rFonts w:hint="eastAsia" w:ascii="Times New Roman" w:hAnsi="Times New Roman" w:eastAsia="宋体" w:cs="Times New Roman"/>
          <w:snapToGrid w:val="0"/>
          <w:color w:val="auto"/>
          <w:kern w:val="2"/>
          <w:sz w:val="24"/>
          <w:szCs w:val="24"/>
          <w:highlight w:val="none"/>
          <w:lang w:val="en-US" w:eastAsia="zh-CN" w:bidi="ar-SA"/>
        </w:rPr>
        <w:t>座200m</w:t>
      </w:r>
      <w:r>
        <w:rPr>
          <w:rFonts w:hint="eastAsia" w:ascii="Times New Roman" w:hAnsi="Times New Roman" w:eastAsia="宋体" w:cs="Times New Roman"/>
          <w:snapToGrid w:val="0"/>
          <w:color w:val="auto"/>
          <w:kern w:val="2"/>
          <w:sz w:val="24"/>
          <w:szCs w:val="24"/>
          <w:highlight w:val="none"/>
          <w:vertAlign w:val="superscript"/>
          <w:lang w:val="en-US" w:eastAsia="zh-CN" w:bidi="ar-SA"/>
        </w:rPr>
        <w:t>2</w:t>
      </w:r>
      <w:r>
        <w:rPr>
          <w:rFonts w:hint="eastAsia" w:ascii="Times New Roman" w:hAnsi="Times New Roman" w:eastAsia="宋体" w:cs="Times New Roman"/>
          <w:snapToGrid w:val="0"/>
          <w:color w:val="auto"/>
          <w:kern w:val="2"/>
          <w:sz w:val="24"/>
          <w:szCs w:val="24"/>
          <w:highlight w:val="none"/>
          <w:lang w:val="en-US" w:eastAsia="zh-CN" w:bidi="ar-SA"/>
        </w:rPr>
        <w:t>危险废物贮存库，危险废物贮存库采取</w:t>
      </w:r>
      <w:r>
        <w:rPr>
          <w:rFonts w:hint="default" w:ascii="Times New Roman" w:hAnsi="Times New Roman" w:eastAsia="宋体" w:cs="Times New Roman"/>
          <w:snapToGrid w:val="0"/>
          <w:color w:val="auto"/>
          <w:kern w:val="2"/>
          <w:sz w:val="24"/>
          <w:szCs w:val="24"/>
          <w:highlight w:val="none"/>
          <w:lang w:val="en-US" w:eastAsia="zh-CN" w:bidi="ar-SA"/>
        </w:rPr>
        <w:t>基础防渗，防渗层为至少1m厚粘土层（渗透</w:t>
      </w:r>
      <w:r>
        <w:rPr>
          <w:rFonts w:hint="eastAsia" w:ascii="Times New Roman" w:hAnsi="Times New Roman" w:eastAsia="宋体" w:cs="Times New Roman"/>
          <w:snapToGrid w:val="0"/>
          <w:color w:val="auto"/>
          <w:kern w:val="2"/>
          <w:sz w:val="24"/>
          <w:szCs w:val="24"/>
          <w:highlight w:val="none"/>
          <w:lang w:val="en-US" w:eastAsia="zh-CN" w:bidi="ar-SA"/>
        </w:rPr>
        <w:t>系数</w:t>
      </w:r>
      <w:r>
        <w:rPr>
          <w:rFonts w:hint="default" w:ascii="Times New Roman" w:hAnsi="Times New Roman" w:eastAsia="宋体" w:cs="Times New Roman"/>
          <w:snapToGrid w:val="0"/>
          <w:color w:val="auto"/>
          <w:kern w:val="2"/>
          <w:sz w:val="24"/>
          <w:szCs w:val="24"/>
          <w:highlight w:val="none"/>
          <w:lang w:val="en-US" w:eastAsia="zh-CN" w:bidi="ar-SA"/>
        </w:rPr>
        <w:t>≤10</w:t>
      </w:r>
      <w:r>
        <w:rPr>
          <w:rFonts w:hint="default" w:ascii="Times New Roman" w:hAnsi="Times New Roman" w:eastAsia="宋体" w:cs="Times New Roman"/>
          <w:snapToGrid w:val="0"/>
          <w:color w:val="auto"/>
          <w:kern w:val="2"/>
          <w:sz w:val="24"/>
          <w:szCs w:val="24"/>
          <w:highlight w:val="none"/>
          <w:vertAlign w:val="superscript"/>
          <w:lang w:val="en-US" w:eastAsia="zh-CN" w:bidi="ar-SA"/>
        </w:rPr>
        <w:t>-7</w:t>
      </w:r>
      <w:r>
        <w:rPr>
          <w:rFonts w:hint="default" w:ascii="Times New Roman" w:hAnsi="Times New Roman" w:eastAsia="宋体" w:cs="Times New Roman"/>
          <w:snapToGrid w:val="0"/>
          <w:color w:val="auto"/>
          <w:kern w:val="2"/>
          <w:sz w:val="24"/>
          <w:szCs w:val="24"/>
          <w:highlight w:val="none"/>
          <w:lang w:val="en-US" w:eastAsia="zh-CN" w:bidi="ar-SA"/>
        </w:rPr>
        <w:t>cm/s），或2mm厚高密度聚乙烯</w:t>
      </w:r>
      <w:r>
        <w:rPr>
          <w:rFonts w:hint="eastAsia" w:ascii="Times New Roman" w:hAnsi="Times New Roman" w:eastAsia="宋体" w:cs="Times New Roman"/>
          <w:snapToGrid w:val="0"/>
          <w:color w:val="auto"/>
          <w:kern w:val="2"/>
          <w:sz w:val="24"/>
          <w:szCs w:val="24"/>
          <w:highlight w:val="none"/>
          <w:lang w:val="en-US" w:eastAsia="zh-CN" w:bidi="ar-SA"/>
        </w:rPr>
        <w:t>膜等人工材料（</w:t>
      </w:r>
      <w:r>
        <w:rPr>
          <w:rFonts w:hint="default" w:ascii="Times New Roman" w:hAnsi="Times New Roman" w:eastAsia="宋体" w:cs="Times New Roman"/>
          <w:snapToGrid w:val="0"/>
          <w:color w:val="auto"/>
          <w:kern w:val="2"/>
          <w:sz w:val="24"/>
          <w:szCs w:val="24"/>
          <w:highlight w:val="none"/>
          <w:lang w:val="en-US" w:eastAsia="zh-CN" w:bidi="ar-SA"/>
        </w:rPr>
        <w:t>渗透</w:t>
      </w:r>
      <w:r>
        <w:rPr>
          <w:rFonts w:hint="eastAsia" w:ascii="Times New Roman" w:hAnsi="Times New Roman" w:eastAsia="宋体" w:cs="Times New Roman"/>
          <w:snapToGrid w:val="0"/>
          <w:color w:val="auto"/>
          <w:kern w:val="2"/>
          <w:sz w:val="24"/>
          <w:szCs w:val="24"/>
          <w:highlight w:val="none"/>
          <w:lang w:val="en-US" w:eastAsia="zh-CN" w:bidi="ar-SA"/>
        </w:rPr>
        <w:t>系数</w:t>
      </w:r>
      <w:r>
        <w:rPr>
          <w:rFonts w:hint="default" w:ascii="Times New Roman" w:hAnsi="Times New Roman" w:eastAsia="宋体" w:cs="Times New Roman"/>
          <w:snapToGrid w:val="0"/>
          <w:color w:val="auto"/>
          <w:kern w:val="2"/>
          <w:sz w:val="24"/>
          <w:szCs w:val="24"/>
          <w:highlight w:val="none"/>
          <w:lang w:val="en-US" w:eastAsia="zh-CN" w:bidi="ar-SA"/>
        </w:rPr>
        <w:t>≤10</w:t>
      </w:r>
      <w:r>
        <w:rPr>
          <w:rFonts w:hint="default" w:ascii="Times New Roman" w:hAnsi="Times New Roman" w:eastAsia="宋体" w:cs="Times New Roman"/>
          <w:snapToGrid w:val="0"/>
          <w:color w:val="auto"/>
          <w:kern w:val="2"/>
          <w:sz w:val="24"/>
          <w:szCs w:val="24"/>
          <w:highlight w:val="none"/>
          <w:vertAlign w:val="superscript"/>
          <w:lang w:val="en-US" w:eastAsia="zh-CN" w:bidi="ar-SA"/>
        </w:rPr>
        <w:t>-</w:t>
      </w:r>
      <w:r>
        <w:rPr>
          <w:rFonts w:hint="eastAsia" w:ascii="Times New Roman" w:hAnsi="Times New Roman" w:eastAsia="宋体" w:cs="Times New Roman"/>
          <w:snapToGrid w:val="0"/>
          <w:color w:val="auto"/>
          <w:kern w:val="2"/>
          <w:sz w:val="24"/>
          <w:szCs w:val="24"/>
          <w:highlight w:val="none"/>
          <w:vertAlign w:val="superscript"/>
          <w:lang w:val="en-US" w:eastAsia="zh-CN" w:bidi="ar-SA"/>
        </w:rPr>
        <w:t>10</w:t>
      </w:r>
      <w:r>
        <w:rPr>
          <w:rFonts w:hint="default" w:ascii="Times New Roman" w:hAnsi="Times New Roman" w:eastAsia="宋体" w:cs="Times New Roman"/>
          <w:snapToGrid w:val="0"/>
          <w:color w:val="auto"/>
          <w:kern w:val="2"/>
          <w:sz w:val="24"/>
          <w:szCs w:val="24"/>
          <w:highlight w:val="none"/>
          <w:lang w:val="en-US" w:eastAsia="zh-CN" w:bidi="ar-SA"/>
        </w:rPr>
        <w:t>cm/s</w:t>
      </w:r>
      <w:r>
        <w:rPr>
          <w:rFonts w:hint="eastAsia" w:ascii="Times New Roman" w:hAnsi="Times New Roman" w:eastAsia="宋体" w:cs="Times New Roman"/>
          <w:snapToGrid w:val="0"/>
          <w:color w:val="auto"/>
          <w:kern w:val="2"/>
          <w:sz w:val="24"/>
          <w:szCs w:val="24"/>
          <w:highlight w:val="none"/>
          <w:lang w:val="en-US" w:eastAsia="zh-CN" w:bidi="ar-SA"/>
        </w:rPr>
        <w:t>）</w:t>
      </w:r>
      <w:r>
        <w:rPr>
          <w:rFonts w:hint="default" w:ascii="Times New Roman" w:hAnsi="Times New Roman" w:eastAsia="宋体" w:cs="Times New Roman"/>
          <w:snapToGrid w:val="0"/>
          <w:color w:val="auto"/>
          <w:kern w:val="2"/>
          <w:sz w:val="24"/>
          <w:szCs w:val="24"/>
          <w:highlight w:val="none"/>
          <w:lang w:val="en-US" w:eastAsia="zh-CN" w:bidi="ar-SA"/>
        </w:rPr>
        <w:t>，或</w:t>
      </w:r>
      <w:r>
        <w:rPr>
          <w:rFonts w:hint="eastAsia" w:ascii="Times New Roman" w:hAnsi="Times New Roman" w:eastAsia="宋体" w:cs="Times New Roman"/>
          <w:snapToGrid w:val="0"/>
          <w:color w:val="auto"/>
          <w:kern w:val="2"/>
          <w:sz w:val="24"/>
          <w:szCs w:val="24"/>
          <w:highlight w:val="none"/>
          <w:lang w:val="en-US" w:eastAsia="zh-CN" w:bidi="ar-SA"/>
        </w:rPr>
        <w:t>其他防渗性能等效的</w:t>
      </w:r>
      <w:r>
        <w:rPr>
          <w:rFonts w:hint="default" w:ascii="Times New Roman" w:hAnsi="Times New Roman" w:eastAsia="宋体" w:cs="Times New Roman"/>
          <w:snapToGrid w:val="0"/>
          <w:color w:val="auto"/>
          <w:kern w:val="2"/>
          <w:sz w:val="24"/>
          <w:szCs w:val="24"/>
          <w:highlight w:val="none"/>
          <w:lang w:val="en-US" w:eastAsia="zh-CN" w:bidi="ar-SA"/>
        </w:rPr>
        <w:t>材料，满足《危险废物贮存污染控制标准》（GB18597-20</w:t>
      </w:r>
      <w:r>
        <w:rPr>
          <w:rFonts w:hint="eastAsia" w:ascii="Times New Roman" w:hAnsi="Times New Roman" w:eastAsia="宋体" w:cs="Times New Roman"/>
          <w:snapToGrid w:val="0"/>
          <w:color w:val="auto"/>
          <w:kern w:val="2"/>
          <w:sz w:val="24"/>
          <w:szCs w:val="24"/>
          <w:highlight w:val="none"/>
          <w:lang w:val="en-US" w:eastAsia="zh-CN" w:bidi="ar-SA"/>
        </w:rPr>
        <w:t>23</w:t>
      </w:r>
      <w:r>
        <w:rPr>
          <w:rFonts w:hint="default" w:ascii="Times New Roman" w:hAnsi="Times New Roman" w:eastAsia="宋体" w:cs="Times New Roman"/>
          <w:snapToGrid w:val="0"/>
          <w:color w:val="auto"/>
          <w:kern w:val="2"/>
          <w:sz w:val="24"/>
          <w:szCs w:val="24"/>
          <w:highlight w:val="none"/>
          <w:lang w:val="en-US" w:eastAsia="zh-CN" w:bidi="ar-SA"/>
        </w:rPr>
        <w:t>）</w:t>
      </w:r>
      <w:r>
        <w:rPr>
          <w:rFonts w:hint="eastAsia" w:ascii="Times New Roman" w:hAnsi="Times New Roman" w:eastAsia="宋体" w:cs="Times New Roman"/>
          <w:snapToGrid w:val="0"/>
          <w:color w:val="auto"/>
          <w:kern w:val="2"/>
          <w:sz w:val="24"/>
          <w:szCs w:val="24"/>
          <w:highlight w:val="none"/>
          <w:lang w:val="en-US" w:eastAsia="zh-CN" w:bidi="ar-SA"/>
        </w:rPr>
        <w:t>基础防渗</w:t>
      </w:r>
      <w:r>
        <w:rPr>
          <w:rFonts w:hint="default" w:ascii="Times New Roman" w:hAnsi="Times New Roman" w:eastAsia="宋体" w:cs="Times New Roman"/>
          <w:snapToGrid w:val="0"/>
          <w:color w:val="auto"/>
          <w:kern w:val="2"/>
          <w:sz w:val="24"/>
          <w:szCs w:val="24"/>
          <w:highlight w:val="none"/>
          <w:lang w:val="en-US" w:eastAsia="zh-CN" w:bidi="ar-SA"/>
        </w:rPr>
        <w:t>要求</w:t>
      </w:r>
      <w:r>
        <w:rPr>
          <w:rFonts w:hint="eastAsia" w:ascii="Times New Roman" w:hAnsi="Times New Roman" w:eastAsia="宋体" w:cs="Times New Roman"/>
          <w:snapToGrid w:val="0"/>
          <w:color w:val="auto"/>
          <w:kern w:val="2"/>
          <w:sz w:val="24"/>
          <w:szCs w:val="24"/>
          <w:highlight w:val="none"/>
          <w:lang w:val="en-US" w:eastAsia="zh-CN" w:bidi="ar-SA"/>
        </w:rPr>
        <w:t>。</w:t>
      </w:r>
    </w:p>
    <w:p w14:paraId="7A0E3ACD">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9</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.5</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地下水、土壤污染防治措施</w:t>
      </w:r>
    </w:p>
    <w:p w14:paraId="12E178CB">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baseline"/>
        <w:rPr>
          <w:rFonts w:hint="default" w:ascii="Times New Roman" w:hAnsi="Times New Roman" w:eastAsia="宋体" w:cs="Times New Roman"/>
          <w:b w:val="0"/>
          <w:bCs w:val="0"/>
          <w:color w:val="auto"/>
          <w:spacing w:val="-5"/>
          <w:sz w:val="24"/>
          <w:szCs w:val="24"/>
          <w:lang w:val="en-US" w:eastAsia="zh-CN"/>
        </w:rPr>
      </w:pPr>
      <w:r>
        <w:rPr>
          <w:rFonts w:hint="default" w:ascii="Times New Roman" w:hAnsi="Times New Roman" w:eastAsia="宋体" w:cs="Times New Roman"/>
          <w:snapToGrid w:val="0"/>
          <w:color w:val="auto"/>
          <w:kern w:val="2"/>
          <w:sz w:val="24"/>
          <w:szCs w:val="24"/>
          <w:highlight w:val="none"/>
          <w:lang w:val="en-US" w:eastAsia="zh-CN" w:bidi="ar-SA"/>
        </w:rPr>
        <w:t>本项目</w:t>
      </w:r>
      <w:r>
        <w:rPr>
          <w:rFonts w:hint="eastAsia" w:ascii="Times New Roman" w:hAnsi="Times New Roman" w:eastAsia="宋体" w:cs="Times New Roman"/>
          <w:snapToGrid w:val="0"/>
          <w:color w:val="auto"/>
          <w:kern w:val="2"/>
          <w:sz w:val="24"/>
          <w:szCs w:val="24"/>
          <w:highlight w:val="none"/>
          <w:lang w:val="en-US" w:eastAsia="zh-CN" w:bidi="ar-SA"/>
        </w:rPr>
        <w:t>按照</w:t>
      </w:r>
      <w:r>
        <w:rPr>
          <w:rFonts w:hint="default" w:ascii="Times New Roman" w:hAnsi="Times New Roman" w:eastAsia="宋体" w:cs="Times New Roman"/>
          <w:snapToGrid w:val="0"/>
          <w:color w:val="auto"/>
          <w:kern w:val="2"/>
          <w:sz w:val="24"/>
          <w:szCs w:val="24"/>
          <w:highlight w:val="none"/>
          <w:lang w:val="en-US" w:eastAsia="zh-CN" w:bidi="ar-SA"/>
        </w:rPr>
        <w:t>《环境影响评价技术导则  地下水环境》（HJ610-2016）</w:t>
      </w:r>
      <w:r>
        <w:rPr>
          <w:rFonts w:hint="eastAsia" w:ascii="Times New Roman" w:hAnsi="Times New Roman" w:eastAsia="宋体" w:cs="Times New Roman"/>
          <w:snapToGrid w:val="0"/>
          <w:color w:val="auto"/>
          <w:kern w:val="2"/>
          <w:sz w:val="24"/>
          <w:szCs w:val="24"/>
          <w:highlight w:val="none"/>
          <w:lang w:val="en-US" w:eastAsia="zh-CN" w:bidi="ar-SA"/>
        </w:rPr>
        <w:t>要求采取</w:t>
      </w:r>
      <w:r>
        <w:rPr>
          <w:rFonts w:hint="default" w:ascii="Times New Roman" w:hAnsi="Times New Roman" w:eastAsia="宋体" w:cs="Times New Roman"/>
          <w:snapToGrid w:val="0"/>
          <w:color w:val="auto"/>
          <w:kern w:val="2"/>
          <w:sz w:val="24"/>
          <w:szCs w:val="24"/>
          <w:highlight w:val="none"/>
          <w:lang w:val="en-US" w:eastAsia="zh-CN" w:bidi="ar-SA"/>
        </w:rPr>
        <w:t>分区防渗</w:t>
      </w:r>
      <w:r>
        <w:rPr>
          <w:rFonts w:hint="eastAsia" w:ascii="Times New Roman" w:hAnsi="Times New Roman" w:eastAsia="宋体" w:cs="Times New Roman"/>
          <w:snapToGrid w:val="0"/>
          <w:color w:val="auto"/>
          <w:kern w:val="2"/>
          <w:sz w:val="24"/>
          <w:szCs w:val="24"/>
          <w:highlight w:val="none"/>
          <w:lang w:val="en-US" w:eastAsia="zh-CN" w:bidi="ar-SA"/>
        </w:rPr>
        <w:t>措施</w:t>
      </w:r>
      <w:r>
        <w:rPr>
          <w:rFonts w:hint="default" w:ascii="Times New Roman" w:hAnsi="Times New Roman" w:eastAsia="宋体" w:cs="Times New Roman"/>
          <w:snapToGrid w:val="0"/>
          <w:color w:val="auto"/>
          <w:kern w:val="2"/>
          <w:sz w:val="24"/>
          <w:szCs w:val="24"/>
          <w:highlight w:val="none"/>
          <w:lang w:val="en-US" w:eastAsia="zh-CN" w:bidi="ar-SA"/>
        </w:rPr>
        <w:t>，危险废物</w:t>
      </w:r>
      <w:r>
        <w:rPr>
          <w:rFonts w:hint="eastAsia" w:ascii="Times New Roman" w:hAnsi="Times New Roman" w:eastAsia="宋体" w:cs="Times New Roman"/>
          <w:snapToGrid w:val="0"/>
          <w:color w:val="auto"/>
          <w:kern w:val="2"/>
          <w:sz w:val="24"/>
          <w:szCs w:val="24"/>
          <w:highlight w:val="none"/>
          <w:lang w:val="en-US" w:eastAsia="zh-CN" w:bidi="ar-SA"/>
        </w:rPr>
        <w:t>贮存库</w:t>
      </w:r>
      <w:r>
        <w:rPr>
          <w:rFonts w:hint="default" w:ascii="Times New Roman" w:hAnsi="Times New Roman" w:eastAsia="宋体" w:cs="Times New Roman"/>
          <w:snapToGrid w:val="0"/>
          <w:color w:val="auto"/>
          <w:kern w:val="2"/>
          <w:sz w:val="24"/>
          <w:szCs w:val="24"/>
          <w:highlight w:val="none"/>
          <w:lang w:val="en-US" w:eastAsia="zh-CN" w:bidi="ar-SA"/>
        </w:rPr>
        <w:t>按照</w:t>
      </w:r>
      <w:r>
        <w:rPr>
          <w:rFonts w:hint="eastAsia" w:ascii="Times New Roman" w:hAnsi="Times New Roman" w:eastAsia="宋体" w:cs="Times New Roman"/>
          <w:snapToGrid w:val="0"/>
          <w:color w:val="auto"/>
          <w:kern w:val="2"/>
          <w:sz w:val="24"/>
          <w:szCs w:val="24"/>
          <w:highlight w:val="none"/>
          <w:lang w:val="en-US" w:eastAsia="zh-CN" w:bidi="ar-SA"/>
        </w:rPr>
        <w:t>《危险废物贮存污染控制标准》（GB18597-2023）</w:t>
      </w:r>
      <w:r>
        <w:rPr>
          <w:rFonts w:hint="default" w:ascii="Times New Roman" w:hAnsi="Times New Roman" w:eastAsia="宋体" w:cs="Times New Roman"/>
          <w:snapToGrid w:val="0"/>
          <w:color w:val="auto"/>
          <w:kern w:val="2"/>
          <w:sz w:val="24"/>
          <w:szCs w:val="24"/>
          <w:highlight w:val="none"/>
          <w:lang w:val="en-US" w:eastAsia="zh-CN" w:bidi="ar-SA"/>
        </w:rPr>
        <w:t>要求进行防渗。定期对土壤和地下水进行跟踪监测。</w:t>
      </w:r>
    </w:p>
    <w:p w14:paraId="254F9188">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baseline"/>
        <w:outlineLvl w:val="2"/>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pP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9</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5</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w:t>
      </w:r>
      <w:r>
        <w:rPr>
          <w:rFonts w:hint="eastAsia" w:ascii="Times New Roman" w:hAnsi="Times New Roman" w:eastAsia="宋体" w:cs="Times New Roman"/>
          <w:b/>
          <w:bCs/>
          <w:snapToGrid w:val="0"/>
          <w:color w:val="auto"/>
          <w:spacing w:val="0"/>
          <w:kern w:val="0"/>
          <w:position w:val="0"/>
          <w:sz w:val="30"/>
          <w:szCs w:val="30"/>
          <w:highlight w:val="none"/>
          <w:lang w:val="en-US" w:eastAsia="zh-CN" w:bidi="ar-SA"/>
        </w:rPr>
        <w:t>6</w:t>
      </w:r>
      <w:r>
        <w:rPr>
          <w:rFonts w:hint="default" w:ascii="Times New Roman" w:hAnsi="Times New Roman" w:eastAsia="宋体" w:cs="Times New Roman"/>
          <w:b/>
          <w:bCs/>
          <w:snapToGrid w:val="0"/>
          <w:color w:val="auto"/>
          <w:spacing w:val="0"/>
          <w:kern w:val="0"/>
          <w:position w:val="0"/>
          <w:sz w:val="30"/>
          <w:szCs w:val="30"/>
          <w:highlight w:val="none"/>
          <w:lang w:val="en-US" w:eastAsia="zh-CN" w:bidi="ar-SA"/>
        </w:rPr>
        <w:t>风险防范措施</w:t>
      </w:r>
    </w:p>
    <w:p w14:paraId="3A3854BF">
      <w:pPr>
        <w:pStyle w:val="32"/>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baseline"/>
        <w:rPr>
          <w:rFonts w:hint="default" w:ascii="Times New Roman" w:hAnsi="Times New Roman" w:eastAsia="宋体" w:cs="Times New Roman"/>
          <w:color w:val="auto"/>
          <w:spacing w:val="-5"/>
          <w:sz w:val="24"/>
          <w:szCs w:val="24"/>
          <w:lang w:val="en-US" w:eastAsia="zh-CN"/>
        </w:rPr>
      </w:pPr>
      <w:r>
        <w:rPr>
          <w:rFonts w:hint="eastAsia" w:ascii="Times New Roman" w:hAnsi="Times New Roman" w:eastAsia="宋体" w:cs="Times New Roman"/>
          <w:snapToGrid w:val="0"/>
          <w:color w:val="auto"/>
          <w:kern w:val="2"/>
          <w:sz w:val="24"/>
          <w:szCs w:val="24"/>
          <w:highlight w:val="none"/>
          <w:lang w:val="en-US" w:eastAsia="zh-CN" w:bidi="ar-SA"/>
        </w:rPr>
        <w:t>根据环评要求项目采取了严格的环境风险防范措施，制定环境风险应急预案，本项目厂区西侧、南侧紧邻园区道路，交通便利，有利于环境风险事故发生时采取疏散应急响应，本项目厂区位于</w:t>
      </w:r>
      <w:r>
        <w:rPr>
          <w:rFonts w:hint="eastAsia" w:ascii="Times New Roman" w:hAnsi="Times New Roman" w:eastAsia="宋体" w:cs="Times New Roman"/>
          <w:color w:val="auto"/>
          <w:spacing w:val="0"/>
          <w:position w:val="0"/>
          <w:sz w:val="24"/>
          <w:lang w:val="en-US" w:eastAsia="zh-CN"/>
        </w:rPr>
        <w:t>黑龙江五常经济开发区</w:t>
      </w:r>
      <w:r>
        <w:rPr>
          <w:rFonts w:hint="eastAsia" w:ascii="Times New Roman" w:hAnsi="Times New Roman" w:eastAsia="宋体" w:cs="Times New Roman"/>
          <w:snapToGrid w:val="0"/>
          <w:color w:val="auto"/>
          <w:kern w:val="2"/>
          <w:sz w:val="24"/>
          <w:szCs w:val="24"/>
          <w:highlight w:val="none"/>
          <w:lang w:val="en-US" w:eastAsia="zh-CN" w:bidi="ar-SA"/>
        </w:rPr>
        <w:t>内，本项目环境风险防控及预案系统应与</w:t>
      </w:r>
      <w:r>
        <w:rPr>
          <w:rFonts w:hint="eastAsia" w:ascii="Times New Roman" w:hAnsi="Times New Roman" w:eastAsia="宋体" w:cs="Times New Roman"/>
          <w:color w:val="auto"/>
          <w:spacing w:val="0"/>
          <w:position w:val="0"/>
          <w:sz w:val="24"/>
          <w:lang w:val="en-US" w:eastAsia="zh-CN"/>
        </w:rPr>
        <w:t>黑龙江五常经济开发区</w:t>
      </w:r>
      <w:r>
        <w:rPr>
          <w:rFonts w:hint="eastAsia" w:ascii="Times New Roman" w:hAnsi="Times New Roman" w:eastAsia="宋体" w:cs="Times New Roman"/>
          <w:snapToGrid w:val="0"/>
          <w:color w:val="auto"/>
          <w:kern w:val="2"/>
          <w:sz w:val="24"/>
          <w:szCs w:val="24"/>
          <w:highlight w:val="none"/>
          <w:lang w:val="en-US" w:eastAsia="zh-CN" w:bidi="ar-SA"/>
        </w:rPr>
        <w:t>环境防控体系对接，当项目发生的环境风险影响范围扩散到厂外，应及时上报</w:t>
      </w:r>
      <w:r>
        <w:rPr>
          <w:rFonts w:hint="eastAsia" w:ascii="Times New Roman" w:hAnsi="Times New Roman" w:eastAsia="宋体" w:cs="Times New Roman"/>
          <w:color w:val="auto"/>
          <w:spacing w:val="0"/>
          <w:position w:val="0"/>
          <w:sz w:val="24"/>
          <w:lang w:val="en-US" w:eastAsia="zh-CN"/>
        </w:rPr>
        <w:t>黑龙江五常经济开发区</w:t>
      </w:r>
      <w:r>
        <w:rPr>
          <w:rFonts w:hint="eastAsia" w:ascii="Times New Roman" w:hAnsi="Times New Roman" w:eastAsia="宋体" w:cs="Times New Roman"/>
          <w:snapToGrid w:val="0"/>
          <w:color w:val="auto"/>
          <w:kern w:val="2"/>
          <w:sz w:val="24"/>
          <w:szCs w:val="24"/>
          <w:highlight w:val="none"/>
          <w:lang w:val="en-US" w:eastAsia="zh-CN" w:bidi="ar-SA"/>
        </w:rPr>
        <w:t>启动开发区环境风险防范体系，当环境风险影响范围扩大至开发区外时，应及时上报五常市人民政府启动区域环境风险防范体系。</w:t>
      </w:r>
    </w:p>
    <w:p w14:paraId="2B0C3AE1">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jc w:val="both"/>
        <w:textAlignment w:val="baseline"/>
        <w:outlineLvl w:val="1"/>
        <w:rPr>
          <w:rFonts w:hint="default" w:ascii="Times New Roman" w:hAnsi="Times New Roman" w:eastAsia="微软雅黑" w:cs="Times New Roman"/>
          <w:color w:val="auto"/>
          <w:spacing w:val="6"/>
          <w:sz w:val="32"/>
          <w:szCs w:val="32"/>
          <w:highlight w:val="none"/>
          <w:lang w:val="en-US" w:eastAsia="zh-CN"/>
        </w:rPr>
      </w:pPr>
      <w:bookmarkStart w:id="89" w:name="_Toc6878"/>
      <w:r>
        <w:rPr>
          <w:rFonts w:hint="eastAsia" w:ascii="Times New Roman" w:hAnsi="Times New Roman" w:eastAsia="微软雅黑" w:cs="Times New Roman"/>
          <w:color w:val="auto"/>
          <w:spacing w:val="6"/>
          <w:sz w:val="32"/>
          <w:szCs w:val="32"/>
          <w:highlight w:val="none"/>
          <w:lang w:val="en-US" w:eastAsia="zh-CN"/>
        </w:rPr>
        <w:t>9</w:t>
      </w:r>
      <w:r>
        <w:rPr>
          <w:rFonts w:hint="default" w:ascii="Times New Roman" w:hAnsi="Times New Roman" w:eastAsia="微软雅黑" w:cs="Times New Roman"/>
          <w:color w:val="auto"/>
          <w:spacing w:val="6"/>
          <w:sz w:val="32"/>
          <w:szCs w:val="32"/>
          <w:highlight w:val="none"/>
          <w:lang w:val="en-US" w:eastAsia="zh-CN"/>
        </w:rPr>
        <w:t>.6 环境影响经济损益分析结论</w:t>
      </w:r>
      <w:bookmarkEnd w:id="89"/>
    </w:p>
    <w:p w14:paraId="090EFD8A">
      <w:pPr>
        <w:widowControl w:val="0"/>
        <w:adjustRightInd/>
        <w:spacing w:after="0" w:line="500" w:lineRule="exact"/>
        <w:ind w:firstLine="480" w:firstLineChars="200"/>
        <w:jc w:val="both"/>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本项目如认真落实本环评提出的各项环境保护措施，保证项目的环境可行性，将具有较为良好的经济效益、社会效益及环境效益。项目的建设运行，有利于增强地方经济实力、财力，增加就业机会；增强企业的盈利能力和资源综合利用水平；有利于地方产业结构的调整；大大改善了环境资源的利用效率。因此，在社会效益、经济效益和环境效益三个方面都是可行的。</w:t>
      </w:r>
    </w:p>
    <w:p w14:paraId="7DF43D1E">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jc w:val="both"/>
        <w:textAlignment w:val="baseline"/>
        <w:outlineLvl w:val="1"/>
        <w:rPr>
          <w:rFonts w:hint="default" w:ascii="Times New Roman" w:hAnsi="Times New Roman" w:eastAsia="微软雅黑" w:cs="Times New Roman"/>
          <w:color w:val="auto"/>
          <w:spacing w:val="6"/>
          <w:sz w:val="32"/>
          <w:szCs w:val="32"/>
          <w:highlight w:val="none"/>
          <w:lang w:val="en-US" w:eastAsia="zh-CN"/>
        </w:rPr>
      </w:pPr>
      <w:bookmarkStart w:id="90" w:name="_Toc26049"/>
      <w:bookmarkStart w:id="91" w:name="_Toc6953"/>
      <w:bookmarkStart w:id="92" w:name="_Toc11679"/>
      <w:r>
        <w:rPr>
          <w:rFonts w:hint="eastAsia" w:ascii="Times New Roman" w:hAnsi="Times New Roman" w:eastAsia="微软雅黑" w:cs="Times New Roman"/>
          <w:color w:val="auto"/>
          <w:spacing w:val="6"/>
          <w:sz w:val="32"/>
          <w:szCs w:val="32"/>
          <w:highlight w:val="none"/>
          <w:lang w:val="en-US" w:eastAsia="zh-CN"/>
        </w:rPr>
        <w:t xml:space="preserve">9.7 </w:t>
      </w:r>
      <w:r>
        <w:rPr>
          <w:rFonts w:hint="default" w:ascii="Times New Roman" w:hAnsi="Times New Roman" w:eastAsia="微软雅黑" w:cs="Times New Roman"/>
          <w:color w:val="auto"/>
          <w:spacing w:val="6"/>
          <w:sz w:val="32"/>
          <w:szCs w:val="32"/>
          <w:highlight w:val="none"/>
          <w:lang w:val="en-US" w:eastAsia="zh-CN"/>
        </w:rPr>
        <w:t>环境管理与监测计划</w:t>
      </w:r>
      <w:bookmarkEnd w:id="90"/>
      <w:bookmarkEnd w:id="91"/>
      <w:bookmarkEnd w:id="92"/>
    </w:p>
    <w:p w14:paraId="18D89623">
      <w:pPr>
        <w:widowControl w:val="0"/>
        <w:adjustRightInd/>
        <w:spacing w:after="0" w:line="500" w:lineRule="exact"/>
        <w:ind w:firstLine="480" w:firstLineChars="200"/>
        <w:jc w:val="both"/>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本项目加强运营期环境管理，制定运营期环境监测计划，排放口实行规范化管理，严格执行“三同时”制度，确保运营期各项污染物能够达标排放，并按要求对项目环保设施进行验收。</w:t>
      </w:r>
    </w:p>
    <w:p w14:paraId="12679C57">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jc w:val="both"/>
        <w:textAlignment w:val="baseline"/>
        <w:outlineLvl w:val="1"/>
        <w:rPr>
          <w:rFonts w:hint="eastAsia" w:ascii="Times New Roman" w:hAnsi="Times New Roman" w:eastAsia="微软雅黑" w:cs="Times New Roman"/>
          <w:color w:val="auto"/>
          <w:spacing w:val="6"/>
          <w:sz w:val="32"/>
          <w:szCs w:val="32"/>
          <w:highlight w:val="none"/>
          <w:lang w:val="en-US" w:eastAsia="zh-CN"/>
        </w:rPr>
      </w:pPr>
      <w:bookmarkStart w:id="93" w:name="_Toc17573"/>
      <w:bookmarkStart w:id="94" w:name="_Toc7861"/>
      <w:bookmarkStart w:id="95" w:name="_Toc21521"/>
      <w:r>
        <w:rPr>
          <w:rFonts w:hint="eastAsia" w:ascii="Times New Roman" w:hAnsi="Times New Roman" w:eastAsia="微软雅黑" w:cs="Times New Roman"/>
          <w:color w:val="auto"/>
          <w:spacing w:val="6"/>
          <w:sz w:val="32"/>
          <w:szCs w:val="32"/>
          <w:highlight w:val="none"/>
          <w:lang w:val="en-US" w:eastAsia="zh-CN"/>
        </w:rPr>
        <w:t>9.8 产业政策符合性结论</w:t>
      </w:r>
      <w:bookmarkEnd w:id="93"/>
      <w:bookmarkEnd w:id="94"/>
      <w:bookmarkEnd w:id="95"/>
    </w:p>
    <w:p w14:paraId="59CEE28F">
      <w:pPr>
        <w:widowControl w:val="0"/>
        <w:adjustRightInd/>
        <w:spacing w:after="0" w:line="500" w:lineRule="exact"/>
        <w:ind w:firstLine="480" w:firstLineChars="200"/>
        <w:jc w:val="both"/>
        <w:rPr>
          <w:rFonts w:hint="eastAsia"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lang w:val="en-US" w:eastAsia="zh-CN"/>
        </w:rPr>
        <w:t>本项目属于汽车零部件制造业，对照《产业结构调整指导目录（2024本），不在其限制和淘汰类项目之列，属允许类产业。</w:t>
      </w:r>
      <w:r>
        <w:rPr>
          <w:rFonts w:hint="eastAsia" w:ascii="Times New Roman" w:hAnsi="Times New Roman" w:eastAsia="宋体" w:cs="Times New Roman"/>
          <w:color w:val="auto"/>
          <w:kern w:val="2"/>
          <w:sz w:val="24"/>
          <w:szCs w:val="24"/>
          <w:highlight w:val="none"/>
          <w:lang w:val="en-US" w:eastAsia="zh-CN"/>
        </w:rPr>
        <w:t>因此，</w:t>
      </w:r>
      <w:r>
        <w:rPr>
          <w:rFonts w:hint="default" w:ascii="Times New Roman" w:hAnsi="Times New Roman" w:eastAsia="宋体" w:cs="Times New Roman"/>
          <w:color w:val="auto"/>
          <w:kern w:val="2"/>
          <w:sz w:val="24"/>
          <w:szCs w:val="24"/>
          <w:highlight w:val="none"/>
        </w:rPr>
        <w:t>本项目的建设与国家产业政策相符合。</w:t>
      </w:r>
    </w:p>
    <w:p w14:paraId="22600B20">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jc w:val="both"/>
        <w:textAlignment w:val="baseline"/>
        <w:outlineLvl w:val="1"/>
        <w:rPr>
          <w:rFonts w:hint="eastAsia" w:ascii="Times New Roman" w:hAnsi="Times New Roman" w:eastAsia="微软雅黑" w:cs="Times New Roman"/>
          <w:color w:val="auto"/>
          <w:spacing w:val="6"/>
          <w:sz w:val="32"/>
          <w:szCs w:val="32"/>
          <w:highlight w:val="none"/>
          <w:lang w:val="en-US" w:eastAsia="zh-CN"/>
        </w:rPr>
      </w:pPr>
      <w:bookmarkStart w:id="96" w:name="_Toc14349"/>
      <w:bookmarkStart w:id="97" w:name="_Toc11201"/>
      <w:bookmarkStart w:id="98" w:name="_Toc25808"/>
      <w:r>
        <w:rPr>
          <w:rFonts w:hint="eastAsia" w:ascii="Times New Roman" w:hAnsi="Times New Roman" w:eastAsia="微软雅黑" w:cs="Times New Roman"/>
          <w:color w:val="auto"/>
          <w:spacing w:val="6"/>
          <w:sz w:val="32"/>
          <w:szCs w:val="32"/>
          <w:highlight w:val="none"/>
          <w:lang w:val="en-US" w:eastAsia="zh-CN"/>
        </w:rPr>
        <w:t>9.9 选址合理性结论</w:t>
      </w:r>
      <w:bookmarkEnd w:id="96"/>
      <w:bookmarkEnd w:id="97"/>
      <w:bookmarkEnd w:id="98"/>
    </w:p>
    <w:p w14:paraId="2696A4C1">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eastAsia"/>
          <w:color w:val="FF0000"/>
          <w:highlight w:val="none"/>
        </w:rPr>
      </w:pPr>
      <w:r>
        <w:rPr>
          <w:rFonts w:hint="default" w:ascii="Times New Roman" w:hAnsi="Times New Roman" w:eastAsia="宋体" w:cs="Times New Roman"/>
          <w:snapToGrid w:val="0"/>
          <w:color w:val="auto"/>
          <w:kern w:val="0"/>
          <w:sz w:val="24"/>
          <w:szCs w:val="24"/>
          <w:lang w:val="en-US" w:eastAsia="zh-CN" w:bidi="ar"/>
        </w:rPr>
        <w:t>本项目位于</w:t>
      </w:r>
      <w:r>
        <w:rPr>
          <w:rFonts w:hint="eastAsia" w:ascii="Times New Roman" w:hAnsi="Times New Roman" w:eastAsia="宋体" w:cs="Times New Roman"/>
          <w:color w:val="auto"/>
          <w:spacing w:val="0"/>
          <w:position w:val="0"/>
          <w:sz w:val="24"/>
          <w:lang w:val="en-US" w:eastAsia="zh-CN"/>
        </w:rPr>
        <w:t>哈尔滨市</w:t>
      </w:r>
      <w:r>
        <w:rPr>
          <w:rFonts w:hint="default" w:ascii="Times New Roman" w:hAnsi="Times New Roman" w:eastAsia="宋体" w:cs="Times New Roman"/>
          <w:color w:val="auto"/>
          <w:spacing w:val="0"/>
          <w:position w:val="0"/>
          <w:sz w:val="24"/>
          <w:lang w:val="en-US" w:eastAsia="zh-CN"/>
        </w:rPr>
        <w:t>五常市牛家工业园区</w:t>
      </w:r>
      <w:r>
        <w:rPr>
          <w:rFonts w:hint="default" w:ascii="Times New Roman" w:hAnsi="Times New Roman" w:eastAsia="宋体" w:cs="Times New Roman"/>
          <w:snapToGrid w:val="0"/>
          <w:color w:val="auto"/>
          <w:kern w:val="0"/>
          <w:sz w:val="24"/>
          <w:szCs w:val="24"/>
          <w:lang w:val="en-US" w:eastAsia="zh-CN" w:bidi="ar"/>
        </w:rPr>
        <w:t>，</w:t>
      </w:r>
      <w:r>
        <w:rPr>
          <w:rFonts w:hint="eastAsia" w:ascii="Times New Roman" w:hAnsi="Times New Roman" w:eastAsia="宋体" w:cs="Times New Roman"/>
          <w:snapToGrid w:val="0"/>
          <w:color w:val="auto"/>
          <w:kern w:val="0"/>
          <w:sz w:val="24"/>
          <w:szCs w:val="24"/>
          <w:lang w:val="en-US" w:eastAsia="zh-CN" w:bidi="ar"/>
        </w:rPr>
        <w:t>项目</w:t>
      </w:r>
      <w:r>
        <w:rPr>
          <w:rFonts w:hint="eastAsia" w:ascii="Times New Roman" w:hAnsi="Times New Roman" w:eastAsia="宋体" w:cs="Times New Roman"/>
          <w:color w:val="auto"/>
          <w:spacing w:val="0"/>
          <w:position w:val="0"/>
          <w:sz w:val="24"/>
          <w:lang w:val="en-US" w:eastAsia="zh-CN"/>
        </w:rPr>
        <w:t>购买哈尔滨乐金华奥斯知音门窗有限公司的土地及厂房进行建设</w:t>
      </w:r>
      <w:r>
        <w:rPr>
          <w:rFonts w:hint="eastAsia" w:ascii="Times New Roman" w:hAnsi="Times New Roman" w:eastAsia="宋体" w:cs="Times New Roman"/>
          <w:snapToGrid w:val="0"/>
          <w:color w:val="auto"/>
          <w:kern w:val="0"/>
          <w:sz w:val="24"/>
          <w:szCs w:val="24"/>
          <w:lang w:val="en-US" w:eastAsia="zh-CN" w:bidi="ar"/>
        </w:rPr>
        <w:t>，</w:t>
      </w:r>
      <w:r>
        <w:rPr>
          <w:rFonts w:hint="default" w:ascii="Times New Roman" w:hAnsi="Times New Roman" w:eastAsia="宋体" w:cs="Times New Roman"/>
          <w:snapToGrid w:val="0"/>
          <w:color w:val="auto"/>
          <w:kern w:val="0"/>
          <w:sz w:val="24"/>
          <w:szCs w:val="24"/>
          <w:lang w:val="en-US" w:eastAsia="zh-CN" w:bidi="ar"/>
        </w:rPr>
        <w:t>厂区用地性质为工业用地，厂区</w:t>
      </w:r>
      <w:r>
        <w:rPr>
          <w:rFonts w:hint="eastAsia" w:ascii="Times New Roman" w:hAnsi="Times New Roman" w:eastAsia="宋体" w:cs="Times New Roman"/>
          <w:snapToGrid w:val="0"/>
          <w:color w:val="auto"/>
          <w:kern w:val="0"/>
          <w:sz w:val="24"/>
          <w:szCs w:val="24"/>
          <w:lang w:val="en-US" w:eastAsia="zh-CN" w:bidi="ar"/>
        </w:rPr>
        <w:t>东</w:t>
      </w:r>
      <w:r>
        <w:rPr>
          <w:rFonts w:hint="default" w:ascii="Times New Roman" w:hAnsi="Times New Roman" w:eastAsia="宋体" w:cs="Times New Roman"/>
          <w:snapToGrid w:val="0"/>
          <w:color w:val="auto"/>
          <w:kern w:val="0"/>
          <w:sz w:val="24"/>
          <w:szCs w:val="24"/>
          <w:lang w:val="en-US" w:eastAsia="zh-CN" w:bidi="ar"/>
        </w:rPr>
        <w:t>北侧为</w:t>
      </w:r>
      <w:r>
        <w:rPr>
          <w:rFonts w:hint="eastAsia" w:ascii="Times New Roman" w:hAnsi="Times New Roman" w:eastAsia="宋体" w:cs="Times New Roman"/>
          <w:snapToGrid w:val="0"/>
          <w:color w:val="auto"/>
          <w:kern w:val="0"/>
          <w:sz w:val="24"/>
          <w:szCs w:val="24"/>
          <w:lang w:val="en-US" w:eastAsia="zh-CN" w:bidi="ar"/>
        </w:rPr>
        <w:t>哈尔滨振飞科技工业有限公司</w:t>
      </w:r>
      <w:r>
        <w:rPr>
          <w:rFonts w:hint="default" w:ascii="Times New Roman" w:hAnsi="Times New Roman" w:eastAsia="宋体" w:cs="Times New Roman"/>
          <w:snapToGrid w:val="0"/>
          <w:color w:val="auto"/>
          <w:kern w:val="0"/>
          <w:sz w:val="24"/>
          <w:szCs w:val="24"/>
          <w:lang w:val="en-US" w:eastAsia="zh-CN" w:bidi="ar"/>
        </w:rPr>
        <w:t>，东</w:t>
      </w:r>
      <w:r>
        <w:rPr>
          <w:rFonts w:hint="eastAsia" w:ascii="Times New Roman" w:hAnsi="Times New Roman" w:eastAsia="宋体" w:cs="Times New Roman"/>
          <w:snapToGrid w:val="0"/>
          <w:color w:val="auto"/>
          <w:kern w:val="0"/>
          <w:sz w:val="24"/>
          <w:szCs w:val="24"/>
          <w:lang w:val="en-US" w:eastAsia="zh-CN" w:bidi="ar"/>
        </w:rPr>
        <w:t>南</w:t>
      </w:r>
      <w:r>
        <w:rPr>
          <w:rFonts w:hint="default" w:ascii="Times New Roman" w:hAnsi="Times New Roman" w:eastAsia="宋体" w:cs="Times New Roman"/>
          <w:snapToGrid w:val="0"/>
          <w:color w:val="auto"/>
          <w:kern w:val="0"/>
          <w:sz w:val="24"/>
          <w:szCs w:val="24"/>
          <w:lang w:val="en-US" w:eastAsia="zh-CN" w:bidi="ar"/>
        </w:rPr>
        <w:t>侧</w:t>
      </w:r>
      <w:r>
        <w:rPr>
          <w:rFonts w:hint="eastAsia" w:ascii="Times New Roman" w:hAnsi="Times New Roman" w:eastAsia="宋体" w:cs="Times New Roman"/>
          <w:snapToGrid w:val="0"/>
          <w:color w:val="auto"/>
          <w:kern w:val="0"/>
          <w:sz w:val="24"/>
          <w:szCs w:val="24"/>
          <w:lang w:val="en-US" w:eastAsia="zh-CN" w:bidi="ar"/>
        </w:rPr>
        <w:t>隔宁波街（支路）</w:t>
      </w:r>
      <w:r>
        <w:rPr>
          <w:rFonts w:hint="default" w:ascii="Times New Roman" w:hAnsi="Times New Roman" w:eastAsia="宋体" w:cs="Times New Roman"/>
          <w:snapToGrid w:val="0"/>
          <w:color w:val="auto"/>
          <w:kern w:val="0"/>
          <w:sz w:val="24"/>
          <w:szCs w:val="24"/>
          <w:lang w:val="en-US" w:eastAsia="zh-CN" w:bidi="ar"/>
        </w:rPr>
        <w:t>为</w:t>
      </w:r>
      <w:r>
        <w:rPr>
          <w:rFonts w:hint="eastAsia" w:ascii="Times New Roman" w:hAnsi="Times New Roman" w:eastAsia="宋体" w:cs="Times New Roman"/>
          <w:snapToGrid w:val="0"/>
          <w:color w:val="auto"/>
          <w:kern w:val="0"/>
          <w:sz w:val="24"/>
          <w:szCs w:val="24"/>
          <w:lang w:val="en-US" w:eastAsia="zh-CN" w:bidi="ar"/>
        </w:rPr>
        <w:t>耕地</w:t>
      </w:r>
      <w:r>
        <w:rPr>
          <w:rFonts w:hint="default" w:ascii="Times New Roman" w:hAnsi="Times New Roman" w:eastAsia="宋体" w:cs="Times New Roman"/>
          <w:snapToGrid w:val="0"/>
          <w:color w:val="auto"/>
          <w:kern w:val="0"/>
          <w:sz w:val="24"/>
          <w:szCs w:val="24"/>
          <w:lang w:val="en-US" w:eastAsia="zh-CN" w:bidi="ar"/>
        </w:rPr>
        <w:t>，</w:t>
      </w:r>
      <w:r>
        <w:rPr>
          <w:rFonts w:hint="eastAsia" w:ascii="Times New Roman" w:hAnsi="Times New Roman" w:eastAsia="宋体" w:cs="Times New Roman"/>
          <w:snapToGrid w:val="0"/>
          <w:color w:val="auto"/>
          <w:kern w:val="0"/>
          <w:sz w:val="24"/>
          <w:szCs w:val="24"/>
          <w:lang w:val="en-US" w:eastAsia="zh-CN" w:bidi="ar"/>
        </w:rPr>
        <w:t>西</w:t>
      </w:r>
      <w:r>
        <w:rPr>
          <w:rFonts w:hint="default" w:ascii="Times New Roman" w:hAnsi="Times New Roman" w:eastAsia="宋体" w:cs="Times New Roman"/>
          <w:snapToGrid w:val="0"/>
          <w:color w:val="auto"/>
          <w:kern w:val="0"/>
          <w:sz w:val="24"/>
          <w:szCs w:val="24"/>
          <w:lang w:val="en-US" w:eastAsia="zh-CN" w:bidi="ar"/>
        </w:rPr>
        <w:t>南侧隔</w:t>
      </w:r>
      <w:r>
        <w:rPr>
          <w:rFonts w:hint="eastAsia" w:ascii="Times New Roman" w:hAnsi="Times New Roman" w:eastAsia="宋体" w:cs="Times New Roman"/>
          <w:snapToGrid w:val="0"/>
          <w:color w:val="auto"/>
          <w:kern w:val="0"/>
          <w:sz w:val="24"/>
          <w:szCs w:val="24"/>
          <w:lang w:val="en-US" w:eastAsia="zh-CN" w:bidi="ar"/>
        </w:rPr>
        <w:t>滨南路</w:t>
      </w:r>
      <w:r>
        <w:rPr>
          <w:rFonts w:hint="default" w:ascii="Times New Roman" w:hAnsi="Times New Roman" w:eastAsia="宋体" w:cs="Times New Roman"/>
          <w:snapToGrid w:val="0"/>
          <w:color w:val="auto"/>
          <w:kern w:val="0"/>
          <w:sz w:val="24"/>
          <w:szCs w:val="24"/>
          <w:lang w:val="en-US" w:eastAsia="zh-CN" w:bidi="ar"/>
        </w:rPr>
        <w:t>（支路）为</w:t>
      </w:r>
      <w:r>
        <w:rPr>
          <w:rFonts w:hint="eastAsia" w:ascii="Times New Roman" w:hAnsi="Times New Roman" w:eastAsia="宋体" w:cs="Times New Roman"/>
          <w:snapToGrid w:val="0"/>
          <w:color w:val="auto"/>
          <w:kern w:val="0"/>
          <w:sz w:val="24"/>
          <w:szCs w:val="24"/>
          <w:lang w:val="en-US" w:eastAsia="zh-CN" w:bidi="ar"/>
        </w:rPr>
        <w:t>耕地</w:t>
      </w:r>
      <w:r>
        <w:rPr>
          <w:rFonts w:hint="default" w:ascii="Times New Roman" w:hAnsi="Times New Roman" w:eastAsia="宋体" w:cs="Times New Roman"/>
          <w:snapToGrid w:val="0"/>
          <w:color w:val="auto"/>
          <w:kern w:val="0"/>
          <w:sz w:val="24"/>
          <w:szCs w:val="24"/>
          <w:lang w:val="en-US" w:eastAsia="zh-CN" w:bidi="ar"/>
        </w:rPr>
        <w:t>，西</w:t>
      </w:r>
      <w:r>
        <w:rPr>
          <w:rFonts w:hint="eastAsia" w:ascii="Times New Roman" w:hAnsi="Times New Roman" w:eastAsia="宋体" w:cs="Times New Roman"/>
          <w:snapToGrid w:val="0"/>
          <w:color w:val="auto"/>
          <w:kern w:val="0"/>
          <w:sz w:val="24"/>
          <w:szCs w:val="24"/>
          <w:lang w:val="en-US" w:eastAsia="zh-CN" w:bidi="ar"/>
        </w:rPr>
        <w:t>北</w:t>
      </w:r>
      <w:r>
        <w:rPr>
          <w:rFonts w:hint="default" w:ascii="Times New Roman" w:hAnsi="Times New Roman" w:eastAsia="宋体" w:cs="Times New Roman"/>
          <w:snapToGrid w:val="0"/>
          <w:color w:val="auto"/>
          <w:kern w:val="0"/>
          <w:sz w:val="24"/>
          <w:szCs w:val="24"/>
          <w:lang w:val="en-US" w:eastAsia="zh-CN" w:bidi="ar"/>
        </w:rPr>
        <w:t>侧为</w:t>
      </w:r>
      <w:r>
        <w:rPr>
          <w:rFonts w:hint="eastAsia" w:ascii="Times New Roman" w:hAnsi="Times New Roman" w:eastAsia="宋体" w:cs="Times New Roman"/>
          <w:snapToGrid w:val="0"/>
          <w:color w:val="auto"/>
          <w:kern w:val="0"/>
          <w:sz w:val="24"/>
          <w:szCs w:val="24"/>
          <w:lang w:val="en-US" w:eastAsia="zh-CN" w:bidi="ar"/>
        </w:rPr>
        <w:t>黑龙江浩鑫科技发展有限公司</w:t>
      </w:r>
      <w:r>
        <w:rPr>
          <w:rFonts w:hint="default" w:ascii="Times New Roman" w:hAnsi="Times New Roman" w:eastAsia="宋体" w:cs="Times New Roman"/>
          <w:snapToGrid w:val="0"/>
          <w:color w:val="auto"/>
          <w:kern w:val="0"/>
          <w:sz w:val="24"/>
          <w:szCs w:val="24"/>
          <w:lang w:val="en-US" w:eastAsia="zh-CN" w:bidi="ar"/>
        </w:rPr>
        <w:t>，距项目最近的环境敏感点为东</w:t>
      </w:r>
      <w:r>
        <w:rPr>
          <w:rFonts w:hint="eastAsia" w:ascii="Times New Roman" w:hAnsi="Times New Roman" w:eastAsia="宋体" w:cs="Times New Roman"/>
          <w:snapToGrid w:val="0"/>
          <w:color w:val="auto"/>
          <w:kern w:val="0"/>
          <w:sz w:val="24"/>
          <w:szCs w:val="24"/>
          <w:lang w:val="en-US" w:eastAsia="zh-CN" w:bidi="ar"/>
        </w:rPr>
        <w:t>南</w:t>
      </w:r>
      <w:r>
        <w:rPr>
          <w:rFonts w:hint="default" w:ascii="Times New Roman" w:hAnsi="Times New Roman" w:eastAsia="宋体" w:cs="Times New Roman"/>
          <w:snapToGrid w:val="0"/>
          <w:color w:val="auto"/>
          <w:kern w:val="0"/>
          <w:sz w:val="24"/>
          <w:szCs w:val="24"/>
          <w:lang w:val="en-US" w:eastAsia="zh-CN" w:bidi="ar"/>
        </w:rPr>
        <w:t>侧</w:t>
      </w:r>
      <w:r>
        <w:rPr>
          <w:rFonts w:hint="eastAsia" w:ascii="Times New Roman" w:hAnsi="Times New Roman" w:eastAsia="宋体" w:cs="Times New Roman"/>
          <w:snapToGrid w:val="0"/>
          <w:color w:val="auto"/>
          <w:kern w:val="0"/>
          <w:sz w:val="24"/>
          <w:szCs w:val="24"/>
          <w:lang w:val="en-US" w:eastAsia="zh-CN" w:bidi="ar"/>
        </w:rPr>
        <w:t>190</w:t>
      </w:r>
      <w:r>
        <w:rPr>
          <w:rFonts w:hint="default" w:ascii="Times New Roman" w:hAnsi="Times New Roman" w:eastAsia="宋体" w:cs="Times New Roman"/>
          <w:snapToGrid w:val="0"/>
          <w:color w:val="auto"/>
          <w:kern w:val="0"/>
          <w:sz w:val="24"/>
          <w:szCs w:val="24"/>
          <w:lang w:val="en-US" w:eastAsia="zh-CN" w:bidi="ar"/>
        </w:rPr>
        <w:t>m处的</w:t>
      </w:r>
      <w:r>
        <w:rPr>
          <w:rFonts w:hint="eastAsia" w:ascii="Times New Roman" w:hAnsi="Times New Roman" w:eastAsia="宋体" w:cs="Times New Roman"/>
          <w:snapToGrid w:val="0"/>
          <w:color w:val="auto"/>
          <w:kern w:val="0"/>
          <w:sz w:val="24"/>
          <w:szCs w:val="24"/>
          <w:lang w:val="en-US" w:eastAsia="zh-CN" w:bidi="ar"/>
        </w:rPr>
        <w:t>张达屯</w:t>
      </w:r>
      <w:r>
        <w:rPr>
          <w:rFonts w:hint="default" w:ascii="Times New Roman" w:hAnsi="Times New Roman" w:eastAsia="宋体" w:cs="Times New Roman"/>
          <w:snapToGrid w:val="0"/>
          <w:color w:val="auto"/>
          <w:kern w:val="0"/>
          <w:sz w:val="24"/>
          <w:szCs w:val="24"/>
          <w:lang w:val="en-US" w:eastAsia="zh-CN" w:bidi="ar"/>
        </w:rPr>
        <w:t>。本各项污染物在采取有效治理措施后，污染物均能达标排放，污染物排放较少，污染较轻，故本项目建成后对周围环境影响可接受。综合分析，本项目选址从环境角度分析是可接受的，选址是合理的。</w:t>
      </w:r>
    </w:p>
    <w:p w14:paraId="7D34A93E">
      <w:pPr>
        <w:keepNext w:val="0"/>
        <w:keepLines w:val="0"/>
        <w:pageBreakBefore w:val="0"/>
        <w:widowControl w:val="0"/>
        <w:kinsoku w:val="0"/>
        <w:wordWrap/>
        <w:overflowPunct/>
        <w:topLinePunct w:val="0"/>
        <w:autoSpaceDE w:val="0"/>
        <w:autoSpaceDN w:val="0"/>
        <w:bidi w:val="0"/>
        <w:adjustRightInd w:val="0"/>
        <w:snapToGrid w:val="0"/>
        <w:spacing w:before="0" w:beforeLines="50" w:after="0" w:afterLines="50" w:line="240" w:lineRule="auto"/>
        <w:ind w:left="0"/>
        <w:jc w:val="both"/>
        <w:textAlignment w:val="baseline"/>
        <w:outlineLvl w:val="1"/>
        <w:rPr>
          <w:rFonts w:hint="default" w:ascii="Times New Roman" w:hAnsi="Times New Roman" w:eastAsia="微软雅黑" w:cs="Times New Roman"/>
          <w:color w:val="auto"/>
          <w:spacing w:val="6"/>
          <w:sz w:val="32"/>
          <w:szCs w:val="32"/>
          <w:highlight w:val="none"/>
          <w:lang w:val="en-US" w:eastAsia="zh-CN"/>
        </w:rPr>
      </w:pPr>
      <w:bookmarkStart w:id="99" w:name="_Toc18824"/>
      <w:r>
        <w:rPr>
          <w:rFonts w:hint="eastAsia" w:ascii="Times New Roman" w:hAnsi="Times New Roman" w:eastAsia="微软雅黑" w:cs="Times New Roman"/>
          <w:color w:val="auto"/>
          <w:spacing w:val="6"/>
          <w:sz w:val="32"/>
          <w:szCs w:val="32"/>
          <w:highlight w:val="none"/>
          <w:lang w:val="en-US" w:eastAsia="zh-CN"/>
        </w:rPr>
        <w:t>9</w:t>
      </w:r>
      <w:r>
        <w:rPr>
          <w:rFonts w:hint="default" w:ascii="Times New Roman" w:hAnsi="Times New Roman" w:eastAsia="微软雅黑" w:cs="Times New Roman"/>
          <w:color w:val="auto"/>
          <w:spacing w:val="6"/>
          <w:sz w:val="32"/>
          <w:szCs w:val="32"/>
          <w:highlight w:val="none"/>
          <w:lang w:val="en-US" w:eastAsia="zh-CN"/>
        </w:rPr>
        <w:t>.</w:t>
      </w:r>
      <w:r>
        <w:rPr>
          <w:rFonts w:hint="eastAsia" w:ascii="Times New Roman" w:hAnsi="Times New Roman" w:eastAsia="微软雅黑" w:cs="Times New Roman"/>
          <w:color w:val="auto"/>
          <w:spacing w:val="6"/>
          <w:sz w:val="32"/>
          <w:szCs w:val="32"/>
          <w:highlight w:val="none"/>
          <w:lang w:val="en-US" w:eastAsia="zh-CN"/>
        </w:rPr>
        <w:t>10</w:t>
      </w:r>
      <w:r>
        <w:rPr>
          <w:rFonts w:hint="default" w:ascii="Times New Roman" w:hAnsi="Times New Roman" w:eastAsia="微软雅黑" w:cs="Times New Roman"/>
          <w:color w:val="auto"/>
          <w:spacing w:val="6"/>
          <w:sz w:val="32"/>
          <w:szCs w:val="32"/>
          <w:highlight w:val="none"/>
          <w:lang w:val="en-US" w:eastAsia="zh-CN"/>
        </w:rPr>
        <w:t xml:space="preserve"> 综合结论</w:t>
      </w:r>
      <w:bookmarkEnd w:id="99"/>
    </w:p>
    <w:p w14:paraId="6A9D7242">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firstLine="480" w:firstLineChars="200"/>
        <w:jc w:val="both"/>
        <w:textAlignment w:val="baseline"/>
        <w:rPr>
          <w:rFonts w:hint="eastAsia" w:ascii="Times New Roman" w:hAnsi="Times New Roman" w:eastAsia="宋体" w:cs="Times New Roman"/>
          <w:snapToGrid w:val="0"/>
          <w:color w:val="auto"/>
          <w:kern w:val="0"/>
          <w:sz w:val="24"/>
          <w:szCs w:val="24"/>
          <w:lang w:val="en-US" w:eastAsia="zh-CN" w:bidi="ar"/>
        </w:rPr>
        <w:sectPr>
          <w:pgSz w:w="11906" w:h="16839"/>
          <w:pgMar w:top="1440" w:right="1800" w:bottom="1440" w:left="1800" w:header="907" w:footer="913" w:gutter="0"/>
          <w:pgBorders>
            <w:top w:val="none" w:sz="0" w:space="0"/>
            <w:left w:val="none" w:sz="0" w:space="0"/>
            <w:bottom w:val="none" w:sz="0" w:space="0"/>
            <w:right w:val="none" w:sz="0" w:space="0"/>
          </w:pgBorders>
          <w:pgNumType w:fmt="decimal"/>
          <w:cols w:space="720" w:num="1"/>
        </w:sectPr>
      </w:pPr>
      <w:r>
        <w:rPr>
          <w:rFonts w:hint="eastAsia" w:ascii="Times New Roman" w:hAnsi="Times New Roman" w:eastAsia="宋体" w:cs="Times New Roman"/>
          <w:snapToGrid w:val="0"/>
          <w:color w:val="auto"/>
          <w:kern w:val="0"/>
          <w:sz w:val="24"/>
          <w:szCs w:val="24"/>
          <w:lang w:val="en-US" w:eastAsia="zh-CN" w:bidi="ar"/>
        </w:rPr>
        <w:t>综上所述，本项目符合国家产业政策要求，符合生态环境分区管控相关要求，符合相关环境保护政策要求；项目所采用的污染防治措施技术经济可行，能保证各种污染物稳定达标排放，预测表明该工程正常排放的污染物对周围环境和环境保护目标的影响较小。在充分落实本报告书提出的各项工程环保措施、风险控制措施及环境监督管理措施，严格执行环保“三同时”的前提下，从环境影响角度分析，拟建项目建设是可行的。</w:t>
      </w:r>
    </w:p>
    <w:p w14:paraId="06C9BAB0">
      <w:pPr>
        <w:adjustRightInd/>
        <w:snapToGrid/>
        <w:spacing w:after="0"/>
        <w:jc w:val="both"/>
        <w:outlineLvl w:val="0"/>
        <w:rPr>
          <w:rFonts w:hint="eastAsia" w:ascii="Times New Roman" w:hAnsi="Times New Roman" w:eastAsia="宋体" w:cs="Times New Roman"/>
          <w:b/>
          <w:smallCaps/>
          <w:snapToGrid w:val="0"/>
          <w:color w:val="auto"/>
          <w:kern w:val="2"/>
          <w:sz w:val="21"/>
          <w:szCs w:val="21"/>
          <w:highlight w:val="none"/>
          <w:lang w:val="en-US" w:eastAsia="zh-CN"/>
        </w:rPr>
      </w:pPr>
      <w:bookmarkStart w:id="100" w:name="_Toc11504"/>
      <w:r>
        <w:rPr>
          <w:rFonts w:hint="eastAsia" w:ascii="Times New Roman" w:hAnsi="Times New Roman" w:eastAsia="宋体" w:cs="Times New Roman"/>
          <w:b/>
          <w:smallCaps/>
          <w:snapToGrid w:val="0"/>
          <w:color w:val="auto"/>
          <w:kern w:val="2"/>
          <w:sz w:val="21"/>
          <w:szCs w:val="21"/>
          <w:highlight w:val="none"/>
          <w:lang w:val="en-US" w:eastAsia="zh-CN"/>
        </w:rPr>
        <w:t>附表</w:t>
      </w:r>
      <w:bookmarkEnd w:id="100"/>
    </w:p>
    <w:p w14:paraId="1AFAD356">
      <w:pPr>
        <w:keepNext w:val="0"/>
        <w:keepLines w:val="0"/>
        <w:pageBreakBefore w:val="0"/>
        <w:widowControl/>
        <w:kinsoku w:val="0"/>
        <w:wordWrap/>
        <w:overflowPunct/>
        <w:topLinePunct w:val="0"/>
        <w:autoSpaceDE w:val="0"/>
        <w:autoSpaceDN w:val="0"/>
        <w:bidi w:val="0"/>
        <w:adjustRightInd/>
        <w:snapToGrid/>
        <w:spacing w:after="0"/>
        <w:ind w:left="0" w:firstLine="0"/>
        <w:jc w:val="center"/>
        <w:textAlignment w:val="baseline"/>
        <w:outlineLvl w:val="0"/>
        <w:rPr>
          <w:rFonts w:hint="default" w:ascii="Times New Roman" w:hAnsi="Times New Roman" w:eastAsia="宋体" w:cs="Times New Roman"/>
          <w:b/>
          <w:smallCaps/>
          <w:snapToGrid w:val="0"/>
          <w:color w:val="auto"/>
          <w:kern w:val="2"/>
          <w:sz w:val="21"/>
          <w:szCs w:val="21"/>
          <w:highlight w:val="none"/>
        </w:rPr>
      </w:pPr>
      <w:bookmarkStart w:id="101" w:name="_Toc19008"/>
      <w:r>
        <w:rPr>
          <w:rFonts w:hint="default" w:ascii="Times New Roman" w:hAnsi="Times New Roman" w:eastAsia="宋体" w:cs="Times New Roman"/>
          <w:b/>
          <w:smallCaps/>
          <w:snapToGrid w:val="0"/>
          <w:color w:val="auto"/>
          <w:kern w:val="2"/>
          <w:sz w:val="21"/>
          <w:szCs w:val="21"/>
          <w:highlight w:val="none"/>
        </w:rPr>
        <w:t>附表1</w:t>
      </w:r>
      <w:r>
        <w:rPr>
          <w:rFonts w:hint="default" w:ascii="Times New Roman" w:hAnsi="Times New Roman" w:eastAsia="宋体" w:cs="Times New Roman"/>
          <w:b/>
          <w:smallCaps/>
          <w:snapToGrid w:val="0"/>
          <w:color w:val="auto"/>
          <w:kern w:val="2"/>
          <w:sz w:val="21"/>
          <w:szCs w:val="21"/>
          <w:highlight w:val="none"/>
          <w:lang w:val="en-US" w:eastAsia="zh-CN"/>
        </w:rPr>
        <w:t xml:space="preserve">  </w:t>
      </w:r>
      <w:r>
        <w:rPr>
          <w:rFonts w:hint="default" w:ascii="Times New Roman" w:hAnsi="Times New Roman" w:eastAsia="宋体" w:cs="Times New Roman"/>
          <w:b/>
          <w:smallCaps/>
          <w:snapToGrid w:val="0"/>
          <w:color w:val="auto"/>
          <w:kern w:val="2"/>
          <w:sz w:val="21"/>
          <w:szCs w:val="21"/>
          <w:highlight w:val="none"/>
        </w:rPr>
        <w:t>建设项目大气环境影响评价自查表</w:t>
      </w:r>
      <w:bookmarkEnd w:id="101"/>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3"/>
        <w:gridCol w:w="1547"/>
        <w:gridCol w:w="867"/>
        <w:gridCol w:w="535"/>
        <w:gridCol w:w="115"/>
        <w:gridCol w:w="437"/>
        <w:gridCol w:w="660"/>
        <w:gridCol w:w="46"/>
        <w:gridCol w:w="596"/>
        <w:gridCol w:w="56"/>
        <w:gridCol w:w="377"/>
        <w:gridCol w:w="142"/>
        <w:gridCol w:w="17"/>
        <w:gridCol w:w="319"/>
        <w:gridCol w:w="257"/>
        <w:gridCol w:w="140"/>
        <w:gridCol w:w="127"/>
        <w:gridCol w:w="9"/>
        <w:gridCol w:w="534"/>
        <w:gridCol w:w="654"/>
      </w:tblGrid>
      <w:tr w14:paraId="0324E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0" w:type="dxa"/>
            <w:gridSpan w:val="2"/>
            <w:vAlign w:val="center"/>
          </w:tcPr>
          <w:p w14:paraId="7B26B840">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工作内容</w:t>
            </w:r>
          </w:p>
        </w:tc>
        <w:tc>
          <w:tcPr>
            <w:tcW w:w="5888" w:type="dxa"/>
            <w:gridSpan w:val="18"/>
            <w:vAlign w:val="center"/>
          </w:tcPr>
          <w:p w14:paraId="7D539C30">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自查项目</w:t>
            </w:r>
          </w:p>
        </w:tc>
      </w:tr>
      <w:tr w14:paraId="5E7C4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restart"/>
            <w:vAlign w:val="center"/>
          </w:tcPr>
          <w:p w14:paraId="00132902">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评价等级与范围</w:t>
            </w:r>
          </w:p>
        </w:tc>
        <w:tc>
          <w:tcPr>
            <w:tcW w:w="1547" w:type="dxa"/>
            <w:vAlign w:val="center"/>
          </w:tcPr>
          <w:p w14:paraId="6DCE9147">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评价等级</w:t>
            </w:r>
          </w:p>
        </w:tc>
        <w:tc>
          <w:tcPr>
            <w:tcW w:w="1954" w:type="dxa"/>
            <w:gridSpan w:val="4"/>
            <w:vAlign w:val="center"/>
          </w:tcPr>
          <w:p w14:paraId="7B7BB93A">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一级</w:t>
            </w:r>
            <w:r>
              <w:rPr>
                <w:rFonts w:hint="default" w:ascii="Times New Roman" w:hAnsi="Times New Roman" w:eastAsia="宋体" w:cs="Times New Roman"/>
                <w:color w:val="auto"/>
                <w:kern w:val="2"/>
                <w:sz w:val="18"/>
                <w:szCs w:val="18"/>
                <w:highlight w:val="none"/>
              </w:rPr>
              <w:sym w:font="Wingdings" w:char="00A8"/>
            </w:r>
          </w:p>
        </w:tc>
        <w:tc>
          <w:tcPr>
            <w:tcW w:w="2213" w:type="dxa"/>
            <w:gridSpan w:val="8"/>
            <w:vAlign w:val="center"/>
          </w:tcPr>
          <w:p w14:paraId="4C0AE84D">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二级</w:t>
            </w:r>
            <w:r>
              <w:rPr>
                <w:rFonts w:hint="default" w:ascii="Times New Roman" w:hAnsi="Times New Roman" w:eastAsia="宋体" w:cs="Times New Roman"/>
                <w:color w:val="auto"/>
                <w:kern w:val="2"/>
                <w:sz w:val="18"/>
                <w:szCs w:val="18"/>
                <w:highlight w:val="none"/>
              </w:rPr>
              <w:sym w:font="Wingdings" w:char="00FE"/>
            </w:r>
          </w:p>
        </w:tc>
        <w:tc>
          <w:tcPr>
            <w:tcW w:w="1721" w:type="dxa"/>
            <w:gridSpan w:val="6"/>
            <w:vAlign w:val="center"/>
          </w:tcPr>
          <w:p w14:paraId="46439B4E">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三级</w:t>
            </w:r>
            <w:r>
              <w:rPr>
                <w:rFonts w:hint="default" w:ascii="Times New Roman" w:hAnsi="Times New Roman" w:eastAsia="宋体" w:cs="Times New Roman"/>
                <w:color w:val="auto"/>
                <w:kern w:val="2"/>
                <w:sz w:val="18"/>
                <w:szCs w:val="18"/>
                <w:highlight w:val="none"/>
              </w:rPr>
              <w:sym w:font="Wingdings" w:char="00A8"/>
            </w:r>
          </w:p>
        </w:tc>
      </w:tr>
      <w:tr w14:paraId="0679B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continue"/>
            <w:vAlign w:val="center"/>
          </w:tcPr>
          <w:p w14:paraId="61784B1C">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1547" w:type="dxa"/>
            <w:vAlign w:val="center"/>
          </w:tcPr>
          <w:p w14:paraId="23EA9D6A">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评价范围</w:t>
            </w:r>
          </w:p>
        </w:tc>
        <w:tc>
          <w:tcPr>
            <w:tcW w:w="1954" w:type="dxa"/>
            <w:gridSpan w:val="4"/>
            <w:vAlign w:val="center"/>
          </w:tcPr>
          <w:p w14:paraId="1EE46125">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边长=50km</w:t>
            </w:r>
            <w:r>
              <w:rPr>
                <w:rFonts w:hint="default" w:ascii="Times New Roman" w:hAnsi="Times New Roman" w:eastAsia="宋体" w:cs="Times New Roman"/>
                <w:color w:val="auto"/>
                <w:kern w:val="2"/>
                <w:sz w:val="18"/>
                <w:szCs w:val="18"/>
                <w:highlight w:val="none"/>
              </w:rPr>
              <w:sym w:font="Wingdings" w:char="00A8"/>
            </w:r>
          </w:p>
        </w:tc>
        <w:tc>
          <w:tcPr>
            <w:tcW w:w="2213" w:type="dxa"/>
            <w:gridSpan w:val="8"/>
            <w:vAlign w:val="center"/>
          </w:tcPr>
          <w:p w14:paraId="3D4D8F6E">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边长5~50km</w:t>
            </w:r>
            <w:r>
              <w:rPr>
                <w:rFonts w:hint="default" w:ascii="Times New Roman" w:hAnsi="Times New Roman" w:eastAsia="宋体" w:cs="Times New Roman"/>
                <w:color w:val="auto"/>
                <w:kern w:val="2"/>
                <w:sz w:val="18"/>
                <w:szCs w:val="18"/>
                <w:highlight w:val="none"/>
              </w:rPr>
              <w:sym w:font="Wingdings" w:char="00A8"/>
            </w:r>
          </w:p>
        </w:tc>
        <w:tc>
          <w:tcPr>
            <w:tcW w:w="1721" w:type="dxa"/>
            <w:gridSpan w:val="6"/>
            <w:vAlign w:val="center"/>
          </w:tcPr>
          <w:p w14:paraId="3FCD496C">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边长=5km</w:t>
            </w:r>
            <w:r>
              <w:rPr>
                <w:rFonts w:hint="default" w:ascii="Times New Roman" w:hAnsi="Times New Roman" w:eastAsia="宋体" w:cs="Times New Roman"/>
                <w:color w:val="auto"/>
                <w:kern w:val="2"/>
                <w:sz w:val="18"/>
                <w:szCs w:val="18"/>
                <w:highlight w:val="none"/>
              </w:rPr>
              <w:sym w:font="Wingdings" w:char="00FE"/>
            </w:r>
          </w:p>
        </w:tc>
      </w:tr>
      <w:tr w14:paraId="1EFCF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restart"/>
            <w:vAlign w:val="center"/>
          </w:tcPr>
          <w:p w14:paraId="780B3C3D">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评价因子</w:t>
            </w:r>
          </w:p>
        </w:tc>
        <w:tc>
          <w:tcPr>
            <w:tcW w:w="1547" w:type="dxa"/>
            <w:vAlign w:val="center"/>
          </w:tcPr>
          <w:p w14:paraId="197FBF6E">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SO</w:t>
            </w:r>
            <w:r>
              <w:rPr>
                <w:rFonts w:hint="default" w:ascii="Times New Roman" w:hAnsi="Times New Roman" w:eastAsia="宋体" w:cs="Times New Roman"/>
                <w:color w:val="auto"/>
                <w:kern w:val="2"/>
                <w:sz w:val="18"/>
                <w:szCs w:val="18"/>
                <w:highlight w:val="none"/>
                <w:vertAlign w:val="subscript"/>
              </w:rPr>
              <w:t>2</w:t>
            </w:r>
            <w:r>
              <w:rPr>
                <w:rFonts w:hint="default" w:ascii="Times New Roman" w:hAnsi="Times New Roman" w:eastAsia="宋体" w:cs="Times New Roman"/>
                <w:color w:val="auto"/>
                <w:kern w:val="2"/>
                <w:sz w:val="18"/>
                <w:szCs w:val="18"/>
                <w:highlight w:val="none"/>
              </w:rPr>
              <w:t>+NO</w:t>
            </w:r>
            <w:r>
              <w:rPr>
                <w:rFonts w:hint="default" w:ascii="Times New Roman" w:hAnsi="Times New Roman" w:eastAsia="宋体" w:cs="Times New Roman"/>
                <w:color w:val="auto"/>
                <w:kern w:val="2"/>
                <w:sz w:val="18"/>
                <w:szCs w:val="18"/>
                <w:highlight w:val="none"/>
                <w:vertAlign w:val="subscript"/>
              </w:rPr>
              <w:t>X</w:t>
            </w:r>
            <w:r>
              <w:rPr>
                <w:rFonts w:hint="default" w:ascii="Times New Roman" w:hAnsi="Times New Roman" w:eastAsia="宋体" w:cs="Times New Roman"/>
                <w:color w:val="auto"/>
                <w:kern w:val="2"/>
                <w:sz w:val="18"/>
                <w:szCs w:val="18"/>
                <w:highlight w:val="none"/>
              </w:rPr>
              <w:t>排放量</w:t>
            </w:r>
          </w:p>
        </w:tc>
        <w:tc>
          <w:tcPr>
            <w:tcW w:w="1954" w:type="dxa"/>
            <w:gridSpan w:val="4"/>
            <w:vAlign w:val="center"/>
          </w:tcPr>
          <w:p w14:paraId="47D2B030">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≧2000t/a</w:t>
            </w:r>
            <w:r>
              <w:rPr>
                <w:rFonts w:hint="default" w:ascii="Times New Roman" w:hAnsi="Times New Roman" w:eastAsia="宋体" w:cs="Times New Roman"/>
                <w:color w:val="auto"/>
                <w:kern w:val="2"/>
                <w:sz w:val="18"/>
                <w:szCs w:val="18"/>
                <w:highlight w:val="none"/>
              </w:rPr>
              <w:sym w:font="Wingdings" w:char="00A8"/>
            </w:r>
          </w:p>
        </w:tc>
        <w:tc>
          <w:tcPr>
            <w:tcW w:w="2213" w:type="dxa"/>
            <w:gridSpan w:val="8"/>
            <w:vAlign w:val="center"/>
          </w:tcPr>
          <w:p w14:paraId="0BA93AE4">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500~2000t/a</w:t>
            </w:r>
            <w:r>
              <w:rPr>
                <w:rFonts w:hint="default" w:ascii="Times New Roman" w:hAnsi="Times New Roman" w:eastAsia="宋体" w:cs="Times New Roman"/>
                <w:color w:val="auto"/>
                <w:kern w:val="2"/>
                <w:sz w:val="18"/>
                <w:szCs w:val="18"/>
                <w:highlight w:val="none"/>
              </w:rPr>
              <w:sym w:font="Wingdings" w:char="00A8"/>
            </w:r>
          </w:p>
        </w:tc>
        <w:tc>
          <w:tcPr>
            <w:tcW w:w="1721" w:type="dxa"/>
            <w:gridSpan w:val="6"/>
            <w:vAlign w:val="center"/>
          </w:tcPr>
          <w:p w14:paraId="709AE2AC">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&lt;500t/a</w:t>
            </w:r>
            <w:r>
              <w:rPr>
                <w:rFonts w:hint="default" w:ascii="Times New Roman" w:hAnsi="Times New Roman" w:eastAsia="宋体" w:cs="Times New Roman"/>
                <w:color w:val="auto"/>
                <w:kern w:val="2"/>
                <w:sz w:val="18"/>
                <w:szCs w:val="18"/>
                <w:highlight w:val="none"/>
              </w:rPr>
              <w:sym w:font="Wingdings" w:char="00A8"/>
            </w:r>
          </w:p>
        </w:tc>
      </w:tr>
      <w:tr w14:paraId="548BF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continue"/>
            <w:vAlign w:val="center"/>
          </w:tcPr>
          <w:p w14:paraId="3C81E6B1">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1547" w:type="dxa"/>
            <w:vAlign w:val="center"/>
          </w:tcPr>
          <w:p w14:paraId="515E4C65">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评价因子</w:t>
            </w:r>
          </w:p>
        </w:tc>
        <w:tc>
          <w:tcPr>
            <w:tcW w:w="3689" w:type="dxa"/>
            <w:gridSpan w:val="9"/>
            <w:vAlign w:val="center"/>
          </w:tcPr>
          <w:p w14:paraId="4A834083">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基本污染物（SO</w:t>
            </w:r>
            <w:r>
              <w:rPr>
                <w:rFonts w:hint="default" w:ascii="Times New Roman" w:hAnsi="Times New Roman" w:eastAsia="宋体" w:cs="Times New Roman"/>
                <w:color w:val="auto"/>
                <w:kern w:val="2"/>
                <w:sz w:val="18"/>
                <w:szCs w:val="18"/>
                <w:highlight w:val="none"/>
                <w:vertAlign w:val="subscript"/>
              </w:rPr>
              <w:t>2</w:t>
            </w:r>
            <w:r>
              <w:rPr>
                <w:rFonts w:hint="default" w:ascii="Times New Roman" w:hAnsi="Times New Roman" w:eastAsia="宋体" w:cs="Times New Roman"/>
                <w:color w:val="auto"/>
                <w:kern w:val="2"/>
                <w:sz w:val="18"/>
                <w:szCs w:val="18"/>
                <w:highlight w:val="none"/>
              </w:rPr>
              <w:t>、NO</w:t>
            </w:r>
            <w:r>
              <w:rPr>
                <w:rFonts w:hint="default" w:ascii="Times New Roman" w:hAnsi="Times New Roman" w:eastAsia="宋体" w:cs="Times New Roman"/>
                <w:color w:val="auto"/>
                <w:kern w:val="2"/>
                <w:sz w:val="18"/>
                <w:szCs w:val="18"/>
                <w:highlight w:val="none"/>
                <w:vertAlign w:val="subscript"/>
              </w:rPr>
              <w:t>2</w:t>
            </w:r>
            <w:r>
              <w:rPr>
                <w:rFonts w:hint="default" w:ascii="Times New Roman" w:hAnsi="Times New Roman" w:eastAsia="宋体" w:cs="Times New Roman"/>
                <w:color w:val="auto"/>
                <w:kern w:val="2"/>
                <w:sz w:val="18"/>
                <w:szCs w:val="18"/>
                <w:highlight w:val="none"/>
              </w:rPr>
              <w:t>、PM</w:t>
            </w:r>
            <w:r>
              <w:rPr>
                <w:rFonts w:hint="default" w:ascii="Times New Roman" w:hAnsi="Times New Roman" w:eastAsia="宋体" w:cs="Times New Roman"/>
                <w:color w:val="auto"/>
                <w:kern w:val="2"/>
                <w:sz w:val="18"/>
                <w:szCs w:val="18"/>
                <w:highlight w:val="none"/>
                <w:vertAlign w:val="subscript"/>
              </w:rPr>
              <w:t>10</w:t>
            </w:r>
            <w:r>
              <w:rPr>
                <w:rFonts w:hint="default" w:ascii="Times New Roman" w:hAnsi="Times New Roman" w:eastAsia="宋体" w:cs="Times New Roman"/>
                <w:color w:val="auto"/>
                <w:kern w:val="2"/>
                <w:sz w:val="18"/>
                <w:szCs w:val="18"/>
                <w:highlight w:val="none"/>
              </w:rPr>
              <w:t>、PM</w:t>
            </w:r>
            <w:r>
              <w:rPr>
                <w:rFonts w:hint="default" w:ascii="Times New Roman" w:hAnsi="Times New Roman" w:eastAsia="宋体" w:cs="Times New Roman"/>
                <w:color w:val="auto"/>
                <w:kern w:val="2"/>
                <w:sz w:val="18"/>
                <w:szCs w:val="18"/>
                <w:highlight w:val="none"/>
                <w:vertAlign w:val="subscript"/>
              </w:rPr>
              <w:t>2.5</w:t>
            </w:r>
            <w:r>
              <w:rPr>
                <w:rFonts w:hint="default" w:ascii="Times New Roman" w:hAnsi="Times New Roman" w:eastAsia="宋体" w:cs="Times New Roman"/>
                <w:color w:val="auto"/>
                <w:kern w:val="2"/>
                <w:sz w:val="18"/>
                <w:szCs w:val="18"/>
                <w:highlight w:val="none"/>
              </w:rPr>
              <w:t>、O</w:t>
            </w:r>
            <w:r>
              <w:rPr>
                <w:rFonts w:hint="default" w:ascii="Times New Roman" w:hAnsi="Times New Roman" w:eastAsia="宋体" w:cs="Times New Roman"/>
                <w:color w:val="auto"/>
                <w:kern w:val="2"/>
                <w:sz w:val="18"/>
                <w:szCs w:val="18"/>
                <w:highlight w:val="none"/>
                <w:vertAlign w:val="subscript"/>
              </w:rPr>
              <w:t>3</w:t>
            </w:r>
            <w:r>
              <w:rPr>
                <w:rFonts w:hint="default" w:ascii="Times New Roman" w:hAnsi="Times New Roman" w:eastAsia="宋体" w:cs="Times New Roman"/>
                <w:color w:val="auto"/>
                <w:kern w:val="2"/>
                <w:sz w:val="18"/>
                <w:szCs w:val="18"/>
                <w:highlight w:val="none"/>
              </w:rPr>
              <w:t>、CO）</w:t>
            </w:r>
          </w:p>
          <w:p w14:paraId="0D7F7EFE">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其他污染物（TSP</w:t>
            </w:r>
            <w:r>
              <w:rPr>
                <w:rFonts w:hint="default" w:ascii="Times New Roman" w:hAnsi="Times New Roman" w:eastAsia="宋体" w:cs="Times New Roman"/>
                <w:color w:val="auto"/>
                <w:kern w:val="2"/>
                <w:sz w:val="18"/>
                <w:szCs w:val="18"/>
                <w:highlight w:val="none"/>
                <w:lang w:val="en-US" w:eastAsia="zh-CN"/>
              </w:rPr>
              <w:t>、非甲烷总烃、NOx、苯乙烯、甲苯、丙烯腈、NH</w:t>
            </w:r>
            <w:r>
              <w:rPr>
                <w:rFonts w:hint="default" w:ascii="Times New Roman" w:hAnsi="Times New Roman" w:eastAsia="宋体" w:cs="Times New Roman"/>
                <w:color w:val="auto"/>
                <w:kern w:val="2"/>
                <w:sz w:val="18"/>
                <w:szCs w:val="18"/>
                <w:highlight w:val="none"/>
                <w:vertAlign w:val="subscript"/>
                <w:lang w:val="en-US" w:eastAsia="zh-CN"/>
              </w:rPr>
              <w:t>3</w:t>
            </w:r>
            <w:r>
              <w:rPr>
                <w:rFonts w:hint="default" w:ascii="Times New Roman" w:hAnsi="Times New Roman" w:eastAsia="宋体" w:cs="Times New Roman"/>
                <w:color w:val="auto"/>
                <w:kern w:val="2"/>
                <w:sz w:val="18"/>
                <w:szCs w:val="18"/>
                <w:highlight w:val="none"/>
                <w:lang w:val="en-US" w:eastAsia="zh-CN"/>
              </w:rPr>
              <w:t>、H</w:t>
            </w:r>
            <w:r>
              <w:rPr>
                <w:rFonts w:hint="default" w:ascii="Times New Roman" w:hAnsi="Times New Roman" w:eastAsia="宋体" w:cs="Times New Roman"/>
                <w:color w:val="auto"/>
                <w:kern w:val="2"/>
                <w:sz w:val="18"/>
                <w:szCs w:val="18"/>
                <w:highlight w:val="none"/>
                <w:vertAlign w:val="subscript"/>
                <w:lang w:val="en-US" w:eastAsia="zh-CN"/>
              </w:rPr>
              <w:t>2</w:t>
            </w:r>
            <w:r>
              <w:rPr>
                <w:rFonts w:hint="default" w:ascii="Times New Roman" w:hAnsi="Times New Roman" w:eastAsia="宋体" w:cs="Times New Roman"/>
                <w:color w:val="auto"/>
                <w:kern w:val="2"/>
                <w:sz w:val="18"/>
                <w:szCs w:val="18"/>
                <w:highlight w:val="none"/>
                <w:lang w:val="en-US" w:eastAsia="zh-CN"/>
              </w:rPr>
              <w:t>S</w:t>
            </w:r>
            <w:r>
              <w:rPr>
                <w:rFonts w:hint="default" w:ascii="Times New Roman" w:hAnsi="Times New Roman" w:eastAsia="宋体" w:cs="Times New Roman"/>
                <w:color w:val="auto"/>
                <w:kern w:val="2"/>
                <w:sz w:val="18"/>
                <w:szCs w:val="18"/>
                <w:highlight w:val="none"/>
              </w:rPr>
              <w:t>）</w:t>
            </w:r>
          </w:p>
        </w:tc>
        <w:tc>
          <w:tcPr>
            <w:tcW w:w="2199" w:type="dxa"/>
            <w:gridSpan w:val="9"/>
            <w:vAlign w:val="center"/>
          </w:tcPr>
          <w:p w14:paraId="7ED07F43">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包括二次PM</w:t>
            </w:r>
            <w:r>
              <w:rPr>
                <w:rFonts w:hint="default" w:ascii="Times New Roman" w:hAnsi="Times New Roman" w:eastAsia="宋体" w:cs="Times New Roman"/>
                <w:color w:val="auto"/>
                <w:kern w:val="2"/>
                <w:sz w:val="18"/>
                <w:szCs w:val="18"/>
                <w:highlight w:val="none"/>
                <w:vertAlign w:val="subscript"/>
              </w:rPr>
              <w:t>2.5</w:t>
            </w:r>
            <w:r>
              <w:rPr>
                <w:rFonts w:hint="default" w:ascii="Times New Roman" w:hAnsi="Times New Roman" w:eastAsia="宋体" w:cs="Times New Roman"/>
                <w:color w:val="auto"/>
                <w:kern w:val="2"/>
                <w:sz w:val="18"/>
                <w:szCs w:val="18"/>
                <w:highlight w:val="none"/>
              </w:rPr>
              <w:sym w:font="Wingdings" w:char="00A8"/>
            </w:r>
          </w:p>
          <w:p w14:paraId="451B5178">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不包括二次PM</w:t>
            </w:r>
            <w:r>
              <w:rPr>
                <w:rFonts w:hint="default" w:ascii="Times New Roman" w:hAnsi="Times New Roman" w:eastAsia="宋体" w:cs="Times New Roman"/>
                <w:color w:val="auto"/>
                <w:kern w:val="2"/>
                <w:sz w:val="18"/>
                <w:szCs w:val="18"/>
                <w:highlight w:val="none"/>
                <w:vertAlign w:val="subscript"/>
              </w:rPr>
              <w:t>2.</w:t>
            </w:r>
            <w:r>
              <w:rPr>
                <w:rFonts w:hint="default" w:ascii="Times New Roman" w:hAnsi="Times New Roman" w:eastAsia="宋体" w:cs="Times New Roman"/>
                <w:color w:val="auto"/>
                <w:kern w:val="2"/>
                <w:sz w:val="18"/>
                <w:szCs w:val="18"/>
                <w:highlight w:val="none"/>
              </w:rPr>
              <w:sym w:font="Wingdings" w:char="00FE"/>
            </w:r>
          </w:p>
        </w:tc>
      </w:tr>
      <w:tr w14:paraId="38927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Align w:val="center"/>
          </w:tcPr>
          <w:p w14:paraId="1C60F43F">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评价标准</w:t>
            </w:r>
          </w:p>
        </w:tc>
        <w:tc>
          <w:tcPr>
            <w:tcW w:w="1547" w:type="dxa"/>
            <w:vAlign w:val="center"/>
          </w:tcPr>
          <w:p w14:paraId="00B61EAA">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评价标准</w:t>
            </w:r>
          </w:p>
        </w:tc>
        <w:tc>
          <w:tcPr>
            <w:tcW w:w="1954" w:type="dxa"/>
            <w:gridSpan w:val="4"/>
            <w:vAlign w:val="center"/>
          </w:tcPr>
          <w:p w14:paraId="0283244D">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国家标准</w:t>
            </w:r>
            <w:r>
              <w:rPr>
                <w:rFonts w:hint="default" w:ascii="Times New Roman" w:hAnsi="Times New Roman" w:eastAsia="宋体" w:cs="Times New Roman"/>
                <w:color w:val="auto"/>
                <w:kern w:val="2"/>
                <w:sz w:val="18"/>
                <w:szCs w:val="18"/>
                <w:highlight w:val="none"/>
              </w:rPr>
              <w:sym w:font="Wingdings" w:char="00FE"/>
            </w:r>
          </w:p>
        </w:tc>
        <w:tc>
          <w:tcPr>
            <w:tcW w:w="1302" w:type="dxa"/>
            <w:gridSpan w:val="3"/>
            <w:vAlign w:val="center"/>
          </w:tcPr>
          <w:p w14:paraId="402102DF">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地方标准</w:t>
            </w:r>
            <w:r>
              <w:rPr>
                <w:rFonts w:hint="default" w:ascii="Times New Roman" w:hAnsi="Times New Roman" w:eastAsia="宋体" w:cs="Times New Roman"/>
                <w:color w:val="auto"/>
                <w:kern w:val="2"/>
                <w:sz w:val="18"/>
                <w:szCs w:val="18"/>
                <w:highlight w:val="none"/>
              </w:rPr>
              <w:sym w:font="Wingdings" w:char="00A8"/>
            </w:r>
          </w:p>
        </w:tc>
        <w:tc>
          <w:tcPr>
            <w:tcW w:w="1444" w:type="dxa"/>
            <w:gridSpan w:val="9"/>
            <w:vAlign w:val="center"/>
          </w:tcPr>
          <w:p w14:paraId="03450565">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附录D</w:t>
            </w:r>
            <w:r>
              <w:rPr>
                <w:rFonts w:hint="default" w:ascii="Times New Roman" w:hAnsi="Times New Roman" w:eastAsia="宋体" w:cs="Times New Roman"/>
                <w:color w:val="auto"/>
                <w:kern w:val="2"/>
                <w:sz w:val="18"/>
                <w:szCs w:val="18"/>
                <w:highlight w:val="none"/>
              </w:rPr>
              <w:sym w:font="Wingdings" w:char="00FE"/>
            </w:r>
          </w:p>
        </w:tc>
        <w:tc>
          <w:tcPr>
            <w:tcW w:w="1188" w:type="dxa"/>
            <w:gridSpan w:val="2"/>
            <w:vAlign w:val="center"/>
          </w:tcPr>
          <w:p w14:paraId="276FB450">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其他标准</w:t>
            </w:r>
            <w:r>
              <w:rPr>
                <w:rFonts w:hint="default" w:ascii="Times New Roman" w:hAnsi="Times New Roman" w:eastAsia="宋体" w:cs="Times New Roman"/>
                <w:color w:val="auto"/>
                <w:kern w:val="2"/>
                <w:sz w:val="18"/>
                <w:szCs w:val="18"/>
                <w:highlight w:val="none"/>
              </w:rPr>
              <w:sym w:font="Wingdings" w:char="00A8"/>
            </w:r>
          </w:p>
        </w:tc>
      </w:tr>
      <w:tr w14:paraId="1B416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restart"/>
            <w:vAlign w:val="center"/>
          </w:tcPr>
          <w:p w14:paraId="3DED3F19">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现状评价</w:t>
            </w:r>
          </w:p>
        </w:tc>
        <w:tc>
          <w:tcPr>
            <w:tcW w:w="1547" w:type="dxa"/>
            <w:vAlign w:val="center"/>
          </w:tcPr>
          <w:p w14:paraId="1DA72ACF">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环境功能区</w:t>
            </w:r>
          </w:p>
        </w:tc>
        <w:tc>
          <w:tcPr>
            <w:tcW w:w="1954" w:type="dxa"/>
            <w:gridSpan w:val="4"/>
            <w:vAlign w:val="center"/>
          </w:tcPr>
          <w:p w14:paraId="567A3601">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一类区</w:t>
            </w:r>
            <w:r>
              <w:rPr>
                <w:rFonts w:hint="default" w:ascii="Times New Roman" w:hAnsi="Times New Roman" w:eastAsia="宋体" w:cs="Times New Roman"/>
                <w:color w:val="auto"/>
                <w:kern w:val="2"/>
                <w:sz w:val="18"/>
                <w:szCs w:val="18"/>
                <w:highlight w:val="none"/>
              </w:rPr>
              <w:sym w:font="Wingdings" w:char="00A8"/>
            </w:r>
          </w:p>
        </w:tc>
        <w:tc>
          <w:tcPr>
            <w:tcW w:w="2213" w:type="dxa"/>
            <w:gridSpan w:val="8"/>
            <w:vAlign w:val="center"/>
          </w:tcPr>
          <w:p w14:paraId="7AF6A8DA">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二类区</w:t>
            </w:r>
            <w:r>
              <w:rPr>
                <w:rFonts w:hint="default" w:ascii="Times New Roman" w:hAnsi="Times New Roman" w:eastAsia="宋体" w:cs="Times New Roman"/>
                <w:color w:val="auto"/>
                <w:kern w:val="2"/>
                <w:sz w:val="18"/>
                <w:szCs w:val="18"/>
                <w:highlight w:val="none"/>
              </w:rPr>
              <w:sym w:font="Wingdings" w:char="00FE"/>
            </w:r>
          </w:p>
        </w:tc>
        <w:tc>
          <w:tcPr>
            <w:tcW w:w="1721" w:type="dxa"/>
            <w:gridSpan w:val="6"/>
            <w:vAlign w:val="center"/>
          </w:tcPr>
          <w:p w14:paraId="1119BE43">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一类区和二类区</w:t>
            </w:r>
            <w:r>
              <w:rPr>
                <w:rFonts w:hint="default" w:ascii="Times New Roman" w:hAnsi="Times New Roman" w:eastAsia="宋体" w:cs="Times New Roman"/>
                <w:color w:val="auto"/>
                <w:kern w:val="2"/>
                <w:sz w:val="18"/>
                <w:szCs w:val="18"/>
                <w:highlight w:val="none"/>
              </w:rPr>
              <w:sym w:font="Wingdings" w:char="00A8"/>
            </w:r>
          </w:p>
        </w:tc>
      </w:tr>
      <w:tr w14:paraId="5D88B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continue"/>
            <w:vAlign w:val="center"/>
          </w:tcPr>
          <w:p w14:paraId="4BCC4F08">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1547" w:type="dxa"/>
            <w:vAlign w:val="center"/>
          </w:tcPr>
          <w:p w14:paraId="36897A06">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评价基准年</w:t>
            </w:r>
          </w:p>
        </w:tc>
        <w:tc>
          <w:tcPr>
            <w:tcW w:w="5888" w:type="dxa"/>
            <w:gridSpan w:val="18"/>
            <w:vAlign w:val="center"/>
          </w:tcPr>
          <w:p w14:paraId="1A3BAD59">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（20</w:t>
            </w:r>
            <w:r>
              <w:rPr>
                <w:rFonts w:hint="default" w:ascii="Times New Roman" w:hAnsi="Times New Roman" w:eastAsia="宋体" w:cs="Times New Roman"/>
                <w:color w:val="auto"/>
                <w:kern w:val="2"/>
                <w:sz w:val="18"/>
                <w:szCs w:val="18"/>
                <w:highlight w:val="none"/>
                <w:lang w:val="en-US" w:eastAsia="zh-CN"/>
              </w:rPr>
              <w:t>2</w:t>
            </w:r>
            <w:r>
              <w:rPr>
                <w:rFonts w:hint="eastAsia" w:ascii="Times New Roman" w:hAnsi="Times New Roman" w:eastAsia="宋体" w:cs="Times New Roman"/>
                <w:color w:val="auto"/>
                <w:kern w:val="2"/>
                <w:sz w:val="18"/>
                <w:szCs w:val="18"/>
                <w:highlight w:val="none"/>
                <w:lang w:val="en-US" w:eastAsia="zh-CN"/>
              </w:rPr>
              <w:t>4</w:t>
            </w:r>
            <w:r>
              <w:rPr>
                <w:rFonts w:hint="default" w:ascii="Times New Roman" w:hAnsi="Times New Roman" w:eastAsia="宋体" w:cs="Times New Roman"/>
                <w:color w:val="auto"/>
                <w:kern w:val="2"/>
                <w:sz w:val="18"/>
                <w:szCs w:val="18"/>
                <w:highlight w:val="none"/>
              </w:rPr>
              <w:t>）年</w:t>
            </w:r>
          </w:p>
        </w:tc>
      </w:tr>
      <w:tr w14:paraId="57187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continue"/>
            <w:vAlign w:val="center"/>
          </w:tcPr>
          <w:p w14:paraId="0190AE9F">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1547" w:type="dxa"/>
            <w:vAlign w:val="center"/>
          </w:tcPr>
          <w:p w14:paraId="3D1D4360">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环境空气质量</w:t>
            </w:r>
          </w:p>
          <w:p w14:paraId="49F8729D">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现状调查数据来源</w:t>
            </w:r>
          </w:p>
        </w:tc>
        <w:tc>
          <w:tcPr>
            <w:tcW w:w="1954" w:type="dxa"/>
            <w:gridSpan w:val="4"/>
            <w:vAlign w:val="center"/>
          </w:tcPr>
          <w:p w14:paraId="2ECF34CF">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长期例行监测数据</w:t>
            </w:r>
            <w:r>
              <w:rPr>
                <w:rFonts w:hint="default" w:ascii="Times New Roman" w:hAnsi="Times New Roman" w:eastAsia="宋体" w:cs="Times New Roman"/>
                <w:color w:val="auto"/>
                <w:kern w:val="2"/>
                <w:sz w:val="18"/>
                <w:szCs w:val="18"/>
                <w:highlight w:val="none"/>
              </w:rPr>
              <w:sym w:font="Wingdings" w:char="00A8"/>
            </w:r>
          </w:p>
        </w:tc>
        <w:tc>
          <w:tcPr>
            <w:tcW w:w="2213" w:type="dxa"/>
            <w:gridSpan w:val="8"/>
            <w:vAlign w:val="center"/>
          </w:tcPr>
          <w:p w14:paraId="44278770">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主管部门发布的数据</w:t>
            </w:r>
            <w:r>
              <w:rPr>
                <w:rFonts w:hint="default" w:ascii="Times New Roman" w:hAnsi="Times New Roman" w:eastAsia="宋体" w:cs="Times New Roman"/>
                <w:color w:val="auto"/>
                <w:kern w:val="2"/>
                <w:sz w:val="18"/>
                <w:szCs w:val="18"/>
                <w:highlight w:val="none"/>
              </w:rPr>
              <w:sym w:font="Wingdings" w:char="00FE"/>
            </w:r>
          </w:p>
        </w:tc>
        <w:tc>
          <w:tcPr>
            <w:tcW w:w="1721" w:type="dxa"/>
            <w:gridSpan w:val="6"/>
            <w:vAlign w:val="center"/>
          </w:tcPr>
          <w:p w14:paraId="17B48740">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现状补充监测</w:t>
            </w:r>
            <w:r>
              <w:rPr>
                <w:rFonts w:hint="default" w:ascii="Times New Roman" w:hAnsi="Times New Roman" w:eastAsia="宋体" w:cs="Times New Roman"/>
                <w:color w:val="auto"/>
                <w:kern w:val="2"/>
                <w:sz w:val="18"/>
                <w:szCs w:val="18"/>
                <w:highlight w:val="none"/>
              </w:rPr>
              <w:sym w:font="Wingdings" w:char="00FE"/>
            </w:r>
          </w:p>
        </w:tc>
      </w:tr>
      <w:tr w14:paraId="43C0A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continue"/>
            <w:vAlign w:val="center"/>
          </w:tcPr>
          <w:p w14:paraId="201CCF0F">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1547" w:type="dxa"/>
            <w:vAlign w:val="center"/>
          </w:tcPr>
          <w:p w14:paraId="7035D616">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现状评价</w:t>
            </w:r>
          </w:p>
        </w:tc>
        <w:tc>
          <w:tcPr>
            <w:tcW w:w="3312" w:type="dxa"/>
            <w:gridSpan w:val="8"/>
            <w:vAlign w:val="center"/>
          </w:tcPr>
          <w:p w14:paraId="3D847845">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达标区</w:t>
            </w:r>
            <w:r>
              <w:rPr>
                <w:rFonts w:hint="default" w:ascii="Times New Roman" w:hAnsi="Times New Roman" w:eastAsia="宋体" w:cs="Times New Roman"/>
                <w:color w:val="auto"/>
                <w:kern w:val="2"/>
                <w:sz w:val="18"/>
                <w:szCs w:val="18"/>
                <w:highlight w:val="none"/>
              </w:rPr>
              <w:sym w:font="Wingdings" w:char="00A8"/>
            </w:r>
          </w:p>
        </w:tc>
        <w:tc>
          <w:tcPr>
            <w:tcW w:w="2576" w:type="dxa"/>
            <w:gridSpan w:val="10"/>
            <w:vAlign w:val="center"/>
          </w:tcPr>
          <w:p w14:paraId="2696C94A">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不达标区</w:t>
            </w:r>
            <w:r>
              <w:rPr>
                <w:rFonts w:hint="default" w:ascii="Times New Roman" w:hAnsi="Times New Roman" w:eastAsia="宋体" w:cs="Times New Roman"/>
                <w:color w:val="auto"/>
                <w:kern w:val="2"/>
                <w:sz w:val="18"/>
                <w:szCs w:val="18"/>
                <w:highlight w:val="none"/>
              </w:rPr>
              <w:sym w:font="Wingdings" w:char="00FE"/>
            </w:r>
          </w:p>
        </w:tc>
      </w:tr>
      <w:tr w14:paraId="0AD57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Align w:val="center"/>
          </w:tcPr>
          <w:p w14:paraId="64D83D28">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污染源</w:t>
            </w:r>
          </w:p>
          <w:p w14:paraId="49B5E388">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调查</w:t>
            </w:r>
          </w:p>
        </w:tc>
        <w:tc>
          <w:tcPr>
            <w:tcW w:w="1547" w:type="dxa"/>
            <w:vAlign w:val="center"/>
          </w:tcPr>
          <w:p w14:paraId="7E73F7AB">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调查内容</w:t>
            </w:r>
          </w:p>
        </w:tc>
        <w:tc>
          <w:tcPr>
            <w:tcW w:w="1954" w:type="dxa"/>
            <w:gridSpan w:val="4"/>
            <w:vAlign w:val="center"/>
          </w:tcPr>
          <w:p w14:paraId="589E7BF7">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本项目正常排放源</w:t>
            </w:r>
            <w:r>
              <w:rPr>
                <w:rFonts w:hint="default" w:ascii="Times New Roman" w:hAnsi="Times New Roman" w:eastAsia="宋体" w:cs="Times New Roman"/>
                <w:color w:val="auto"/>
                <w:kern w:val="2"/>
                <w:sz w:val="18"/>
                <w:szCs w:val="18"/>
                <w:highlight w:val="none"/>
              </w:rPr>
              <w:sym w:font="Wingdings" w:char="00FE"/>
            </w:r>
          </w:p>
          <w:p w14:paraId="43AA4FAB">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本项目非正常排放源</w:t>
            </w:r>
            <w:r>
              <w:rPr>
                <w:rFonts w:hint="default" w:ascii="Times New Roman" w:hAnsi="Times New Roman" w:eastAsia="宋体" w:cs="Times New Roman"/>
                <w:color w:val="auto"/>
                <w:kern w:val="2"/>
                <w:sz w:val="18"/>
                <w:szCs w:val="18"/>
                <w:highlight w:val="none"/>
              </w:rPr>
              <w:sym w:font="Wingdings" w:char="00FE"/>
            </w:r>
          </w:p>
          <w:p w14:paraId="25F6A83F">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现有污染源</w:t>
            </w:r>
            <w:r>
              <w:rPr>
                <w:rFonts w:hint="default" w:ascii="Times New Roman" w:hAnsi="Times New Roman" w:eastAsia="宋体" w:cs="Times New Roman"/>
                <w:color w:val="auto"/>
                <w:kern w:val="2"/>
                <w:sz w:val="18"/>
                <w:szCs w:val="18"/>
                <w:highlight w:val="none"/>
              </w:rPr>
              <w:sym w:font="Wingdings" w:char="00FE"/>
            </w:r>
          </w:p>
        </w:tc>
        <w:tc>
          <w:tcPr>
            <w:tcW w:w="1358" w:type="dxa"/>
            <w:gridSpan w:val="4"/>
            <w:vAlign w:val="center"/>
          </w:tcPr>
          <w:p w14:paraId="556BE18D">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拟替代的污染源</w:t>
            </w:r>
            <w:r>
              <w:rPr>
                <w:rFonts w:hint="default" w:ascii="Times New Roman" w:hAnsi="Times New Roman" w:eastAsia="宋体" w:cs="Times New Roman"/>
                <w:color w:val="auto"/>
                <w:kern w:val="2"/>
                <w:sz w:val="18"/>
                <w:szCs w:val="18"/>
                <w:highlight w:val="none"/>
              </w:rPr>
              <w:sym w:font="Wingdings" w:char="00A8"/>
            </w:r>
          </w:p>
        </w:tc>
        <w:tc>
          <w:tcPr>
            <w:tcW w:w="1388" w:type="dxa"/>
            <w:gridSpan w:val="8"/>
            <w:vAlign w:val="center"/>
          </w:tcPr>
          <w:p w14:paraId="66C43C56">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其他在建、拟建项目污染源</w:t>
            </w:r>
            <w:r>
              <w:rPr>
                <w:rFonts w:hint="default" w:ascii="Times New Roman" w:hAnsi="Times New Roman" w:eastAsia="宋体" w:cs="Times New Roman"/>
                <w:color w:val="auto"/>
                <w:kern w:val="2"/>
                <w:sz w:val="18"/>
                <w:szCs w:val="18"/>
                <w:highlight w:val="none"/>
              </w:rPr>
              <w:sym w:font="Wingdings" w:char="00A8"/>
            </w:r>
          </w:p>
        </w:tc>
        <w:tc>
          <w:tcPr>
            <w:tcW w:w="1188" w:type="dxa"/>
            <w:gridSpan w:val="2"/>
            <w:vAlign w:val="center"/>
          </w:tcPr>
          <w:p w14:paraId="51859C6A">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区域污染源</w:t>
            </w:r>
            <w:r>
              <w:rPr>
                <w:rFonts w:hint="default" w:ascii="Times New Roman" w:hAnsi="Times New Roman" w:eastAsia="宋体" w:cs="Times New Roman"/>
                <w:color w:val="auto"/>
                <w:kern w:val="2"/>
                <w:sz w:val="18"/>
                <w:szCs w:val="18"/>
                <w:highlight w:val="none"/>
              </w:rPr>
              <w:sym w:font="Wingdings" w:char="00A8"/>
            </w:r>
          </w:p>
        </w:tc>
      </w:tr>
      <w:tr w14:paraId="4725E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restart"/>
            <w:vAlign w:val="center"/>
          </w:tcPr>
          <w:p w14:paraId="502422B8">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大气环境影响预测与评价</w:t>
            </w:r>
          </w:p>
        </w:tc>
        <w:tc>
          <w:tcPr>
            <w:tcW w:w="1547" w:type="dxa"/>
            <w:vAlign w:val="center"/>
          </w:tcPr>
          <w:p w14:paraId="39DEA8A0">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预测模型</w:t>
            </w:r>
          </w:p>
        </w:tc>
        <w:tc>
          <w:tcPr>
            <w:tcW w:w="867" w:type="dxa"/>
            <w:vAlign w:val="center"/>
          </w:tcPr>
          <w:p w14:paraId="7F350B09">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AERMOD</w:t>
            </w:r>
            <w:r>
              <w:rPr>
                <w:rFonts w:hint="default" w:ascii="Times New Roman" w:hAnsi="Times New Roman" w:eastAsia="宋体" w:cs="Times New Roman"/>
                <w:color w:val="auto"/>
                <w:kern w:val="2"/>
                <w:sz w:val="18"/>
                <w:szCs w:val="18"/>
                <w:highlight w:val="none"/>
              </w:rPr>
              <w:sym w:font="Wingdings" w:char="00FE"/>
            </w:r>
          </w:p>
        </w:tc>
        <w:tc>
          <w:tcPr>
            <w:tcW w:w="650" w:type="dxa"/>
            <w:gridSpan w:val="2"/>
            <w:vAlign w:val="center"/>
          </w:tcPr>
          <w:p w14:paraId="7F78154E">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ADMS</w:t>
            </w:r>
            <w:r>
              <w:rPr>
                <w:rFonts w:hint="default" w:ascii="Times New Roman" w:hAnsi="Times New Roman" w:eastAsia="宋体" w:cs="Times New Roman"/>
                <w:color w:val="auto"/>
                <w:kern w:val="2"/>
                <w:sz w:val="18"/>
                <w:szCs w:val="18"/>
                <w:highlight w:val="none"/>
              </w:rPr>
              <w:sym w:font="Wingdings" w:char="00A8"/>
            </w:r>
          </w:p>
        </w:tc>
        <w:tc>
          <w:tcPr>
            <w:tcW w:w="1097" w:type="dxa"/>
            <w:gridSpan w:val="2"/>
            <w:vAlign w:val="center"/>
          </w:tcPr>
          <w:p w14:paraId="3C74C869">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AUSTAL2000</w:t>
            </w:r>
            <w:r>
              <w:rPr>
                <w:rFonts w:hint="default" w:ascii="Times New Roman" w:hAnsi="Times New Roman" w:eastAsia="宋体" w:cs="Times New Roman"/>
                <w:color w:val="auto"/>
                <w:kern w:val="2"/>
                <w:sz w:val="18"/>
                <w:szCs w:val="18"/>
                <w:highlight w:val="none"/>
              </w:rPr>
              <w:sym w:font="Wingdings" w:char="00A8"/>
            </w:r>
          </w:p>
        </w:tc>
        <w:tc>
          <w:tcPr>
            <w:tcW w:w="1075" w:type="dxa"/>
            <w:gridSpan w:val="4"/>
            <w:vAlign w:val="center"/>
          </w:tcPr>
          <w:p w14:paraId="2A5F6907">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EDMS/AEDT</w:t>
            </w:r>
            <w:r>
              <w:rPr>
                <w:rFonts w:hint="default" w:ascii="Times New Roman" w:hAnsi="Times New Roman" w:eastAsia="宋体" w:cs="Times New Roman"/>
                <w:color w:val="auto"/>
                <w:kern w:val="2"/>
                <w:sz w:val="18"/>
                <w:szCs w:val="18"/>
                <w:highlight w:val="none"/>
              </w:rPr>
              <w:sym w:font="Wingdings" w:char="00A8"/>
            </w:r>
          </w:p>
        </w:tc>
        <w:tc>
          <w:tcPr>
            <w:tcW w:w="735" w:type="dxa"/>
            <w:gridSpan w:val="4"/>
            <w:vAlign w:val="center"/>
          </w:tcPr>
          <w:p w14:paraId="77A7D379">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CALPUFF</w:t>
            </w:r>
            <w:r>
              <w:rPr>
                <w:rFonts w:hint="default" w:ascii="Times New Roman" w:hAnsi="Times New Roman" w:eastAsia="宋体" w:cs="Times New Roman"/>
                <w:color w:val="auto"/>
                <w:kern w:val="2"/>
                <w:sz w:val="18"/>
                <w:szCs w:val="18"/>
                <w:highlight w:val="none"/>
              </w:rPr>
              <w:sym w:font="Wingdings" w:char="00A8"/>
            </w:r>
          </w:p>
        </w:tc>
        <w:tc>
          <w:tcPr>
            <w:tcW w:w="810" w:type="dxa"/>
            <w:gridSpan w:val="4"/>
            <w:vAlign w:val="center"/>
          </w:tcPr>
          <w:p w14:paraId="6F8672AA">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网络模型</w:t>
            </w:r>
            <w:r>
              <w:rPr>
                <w:rFonts w:hint="default" w:ascii="Times New Roman" w:hAnsi="Times New Roman" w:eastAsia="宋体" w:cs="Times New Roman"/>
                <w:color w:val="auto"/>
                <w:kern w:val="2"/>
                <w:sz w:val="18"/>
                <w:szCs w:val="18"/>
                <w:highlight w:val="none"/>
              </w:rPr>
              <w:sym w:font="Wingdings" w:char="00A8"/>
            </w:r>
          </w:p>
        </w:tc>
        <w:tc>
          <w:tcPr>
            <w:tcW w:w="654" w:type="dxa"/>
            <w:vAlign w:val="center"/>
          </w:tcPr>
          <w:p w14:paraId="1C7C49AE">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其他</w:t>
            </w:r>
            <w:r>
              <w:rPr>
                <w:rFonts w:hint="default" w:ascii="Times New Roman" w:hAnsi="Times New Roman" w:eastAsia="宋体" w:cs="Times New Roman"/>
                <w:color w:val="auto"/>
                <w:kern w:val="2"/>
                <w:sz w:val="18"/>
                <w:szCs w:val="18"/>
                <w:highlight w:val="none"/>
              </w:rPr>
              <w:sym w:font="Wingdings" w:char="00A8"/>
            </w:r>
          </w:p>
        </w:tc>
      </w:tr>
      <w:tr w14:paraId="60E9E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continue"/>
            <w:vAlign w:val="center"/>
          </w:tcPr>
          <w:p w14:paraId="074E52C1">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1547" w:type="dxa"/>
            <w:vAlign w:val="center"/>
          </w:tcPr>
          <w:p w14:paraId="499E438D">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预测范围</w:t>
            </w:r>
          </w:p>
        </w:tc>
        <w:tc>
          <w:tcPr>
            <w:tcW w:w="1954" w:type="dxa"/>
            <w:gridSpan w:val="4"/>
            <w:vAlign w:val="center"/>
          </w:tcPr>
          <w:p w14:paraId="18F8938E">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边长≧50km</w:t>
            </w:r>
            <w:r>
              <w:rPr>
                <w:rFonts w:hint="default" w:ascii="Times New Roman" w:hAnsi="Times New Roman" w:eastAsia="宋体" w:cs="Times New Roman"/>
                <w:color w:val="auto"/>
                <w:kern w:val="2"/>
                <w:sz w:val="18"/>
                <w:szCs w:val="18"/>
                <w:highlight w:val="none"/>
              </w:rPr>
              <w:sym w:font="Wingdings" w:char="00A8"/>
            </w:r>
          </w:p>
        </w:tc>
        <w:tc>
          <w:tcPr>
            <w:tcW w:w="2213" w:type="dxa"/>
            <w:gridSpan w:val="8"/>
            <w:vAlign w:val="center"/>
          </w:tcPr>
          <w:p w14:paraId="1258D5A4">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边长5~50km</w:t>
            </w:r>
            <w:r>
              <w:rPr>
                <w:rFonts w:hint="default" w:ascii="Times New Roman" w:hAnsi="Times New Roman" w:eastAsia="宋体" w:cs="Times New Roman"/>
                <w:color w:val="auto"/>
                <w:kern w:val="2"/>
                <w:sz w:val="18"/>
                <w:szCs w:val="18"/>
                <w:highlight w:val="none"/>
              </w:rPr>
              <w:sym w:font="Wingdings" w:char="00A8"/>
            </w:r>
          </w:p>
        </w:tc>
        <w:tc>
          <w:tcPr>
            <w:tcW w:w="1721" w:type="dxa"/>
            <w:gridSpan w:val="6"/>
            <w:vAlign w:val="center"/>
          </w:tcPr>
          <w:p w14:paraId="32B7FD28">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边长=5km</w:t>
            </w:r>
            <w:r>
              <w:rPr>
                <w:rFonts w:hint="default" w:ascii="Times New Roman" w:hAnsi="Times New Roman" w:eastAsia="宋体" w:cs="Times New Roman"/>
                <w:color w:val="auto"/>
                <w:kern w:val="2"/>
                <w:sz w:val="18"/>
                <w:szCs w:val="18"/>
                <w:highlight w:val="none"/>
              </w:rPr>
              <w:sym w:font="Wingdings" w:char="00FE"/>
            </w:r>
          </w:p>
        </w:tc>
      </w:tr>
      <w:tr w14:paraId="45D3D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continue"/>
            <w:vAlign w:val="center"/>
          </w:tcPr>
          <w:p w14:paraId="7F1939A4">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1547" w:type="dxa"/>
            <w:vAlign w:val="center"/>
          </w:tcPr>
          <w:p w14:paraId="30B9E309">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预测因子</w:t>
            </w:r>
          </w:p>
        </w:tc>
        <w:tc>
          <w:tcPr>
            <w:tcW w:w="2614" w:type="dxa"/>
            <w:gridSpan w:val="5"/>
            <w:vAlign w:val="center"/>
          </w:tcPr>
          <w:p w14:paraId="6650FE6F">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预测因子（非甲烷总烃</w:t>
            </w:r>
            <w:r>
              <w:rPr>
                <w:rFonts w:hint="eastAsia" w:ascii="Times New Roman" w:hAnsi="Times New Roman" w:eastAsia="宋体" w:cs="Times New Roman"/>
                <w:color w:val="auto"/>
                <w:kern w:val="2"/>
                <w:sz w:val="18"/>
                <w:szCs w:val="18"/>
                <w:highlight w:val="none"/>
                <w:lang w:eastAsia="zh-CN"/>
              </w:rPr>
              <w:t>、甲苯、</w:t>
            </w:r>
            <w:r>
              <w:rPr>
                <w:rFonts w:hint="default" w:ascii="Times New Roman" w:hAnsi="Times New Roman" w:eastAsia="宋体" w:cs="Times New Roman"/>
                <w:color w:val="auto"/>
                <w:kern w:val="2"/>
                <w:sz w:val="18"/>
                <w:szCs w:val="18"/>
                <w:highlight w:val="none"/>
                <w:lang w:val="en-US" w:eastAsia="zh-CN"/>
              </w:rPr>
              <w:t>NOx、苯乙烯、丙烯腈、</w:t>
            </w:r>
            <w:r>
              <w:rPr>
                <w:rFonts w:hint="eastAsia" w:ascii="Times New Roman" w:hAnsi="Times New Roman" w:eastAsia="宋体" w:cs="Times New Roman"/>
                <w:color w:val="auto"/>
                <w:kern w:val="2"/>
                <w:sz w:val="18"/>
                <w:szCs w:val="18"/>
                <w:highlight w:val="none"/>
                <w:lang w:val="en-US" w:eastAsia="zh-CN"/>
              </w:rPr>
              <w:t>TSP、PM</w:t>
            </w:r>
            <w:r>
              <w:rPr>
                <w:rFonts w:hint="eastAsia" w:ascii="Times New Roman" w:hAnsi="Times New Roman" w:eastAsia="宋体" w:cs="Times New Roman"/>
                <w:color w:val="auto"/>
                <w:kern w:val="2"/>
                <w:sz w:val="18"/>
                <w:szCs w:val="18"/>
                <w:highlight w:val="none"/>
                <w:vertAlign w:val="subscript"/>
                <w:lang w:val="en-US" w:eastAsia="zh-CN"/>
              </w:rPr>
              <w:t>10</w:t>
            </w:r>
            <w:r>
              <w:rPr>
                <w:rFonts w:hint="eastAsia" w:ascii="Times New Roman" w:hAnsi="Times New Roman" w:eastAsia="宋体" w:cs="Times New Roman"/>
                <w:color w:val="auto"/>
                <w:kern w:val="2"/>
                <w:sz w:val="18"/>
                <w:szCs w:val="18"/>
                <w:highlight w:val="none"/>
                <w:lang w:val="en-US" w:eastAsia="zh-CN"/>
              </w:rPr>
              <w:t>、二氧化硫</w:t>
            </w:r>
            <w:r>
              <w:rPr>
                <w:rFonts w:hint="default" w:ascii="Times New Roman" w:hAnsi="Times New Roman" w:eastAsia="宋体" w:cs="Times New Roman"/>
                <w:color w:val="auto"/>
                <w:kern w:val="2"/>
                <w:sz w:val="18"/>
                <w:szCs w:val="18"/>
                <w:highlight w:val="none"/>
              </w:rPr>
              <w:t>）</w:t>
            </w:r>
          </w:p>
        </w:tc>
        <w:tc>
          <w:tcPr>
            <w:tcW w:w="3274" w:type="dxa"/>
            <w:gridSpan w:val="13"/>
            <w:vAlign w:val="center"/>
          </w:tcPr>
          <w:p w14:paraId="4AC3D1DA">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包括二次PM</w:t>
            </w:r>
            <w:r>
              <w:rPr>
                <w:rFonts w:hint="default" w:ascii="Times New Roman" w:hAnsi="Times New Roman" w:eastAsia="宋体" w:cs="Times New Roman"/>
                <w:color w:val="auto"/>
                <w:kern w:val="2"/>
                <w:sz w:val="18"/>
                <w:szCs w:val="18"/>
                <w:highlight w:val="none"/>
                <w:vertAlign w:val="subscript"/>
              </w:rPr>
              <w:t>2.5</w:t>
            </w:r>
            <w:r>
              <w:rPr>
                <w:rFonts w:hint="default" w:ascii="Times New Roman" w:hAnsi="Times New Roman" w:eastAsia="宋体" w:cs="Times New Roman"/>
                <w:color w:val="auto"/>
                <w:kern w:val="2"/>
                <w:sz w:val="18"/>
                <w:szCs w:val="18"/>
                <w:highlight w:val="none"/>
              </w:rPr>
              <w:sym w:font="Wingdings" w:char="00A8"/>
            </w:r>
          </w:p>
          <w:p w14:paraId="5D523DE1">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不包括二次PM</w:t>
            </w:r>
            <w:r>
              <w:rPr>
                <w:rFonts w:hint="default" w:ascii="Times New Roman" w:hAnsi="Times New Roman" w:eastAsia="宋体" w:cs="Times New Roman"/>
                <w:color w:val="auto"/>
                <w:kern w:val="2"/>
                <w:sz w:val="18"/>
                <w:szCs w:val="18"/>
                <w:highlight w:val="none"/>
                <w:vertAlign w:val="subscript"/>
              </w:rPr>
              <w:t>2.5</w:t>
            </w:r>
            <w:r>
              <w:rPr>
                <w:rFonts w:hint="default" w:ascii="Times New Roman" w:hAnsi="Times New Roman" w:eastAsia="宋体" w:cs="Times New Roman"/>
                <w:color w:val="auto"/>
                <w:kern w:val="2"/>
                <w:sz w:val="18"/>
                <w:szCs w:val="18"/>
                <w:highlight w:val="none"/>
              </w:rPr>
              <w:sym w:font="Wingdings" w:char="00FE"/>
            </w:r>
          </w:p>
        </w:tc>
      </w:tr>
      <w:tr w14:paraId="613C8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continue"/>
            <w:vAlign w:val="center"/>
          </w:tcPr>
          <w:p w14:paraId="02664362">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1547" w:type="dxa"/>
            <w:vAlign w:val="center"/>
          </w:tcPr>
          <w:p w14:paraId="3522DC3E">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正常排放短期浓度贡献值</w:t>
            </w:r>
          </w:p>
        </w:tc>
        <w:tc>
          <w:tcPr>
            <w:tcW w:w="2614" w:type="dxa"/>
            <w:gridSpan w:val="5"/>
            <w:vAlign w:val="center"/>
          </w:tcPr>
          <w:p w14:paraId="143D69A5">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C</w:t>
            </w:r>
            <w:r>
              <w:rPr>
                <w:rFonts w:hint="default" w:ascii="Times New Roman" w:hAnsi="Times New Roman" w:eastAsia="宋体" w:cs="Times New Roman"/>
                <w:color w:val="auto"/>
                <w:kern w:val="2"/>
                <w:sz w:val="18"/>
                <w:szCs w:val="18"/>
                <w:highlight w:val="none"/>
                <w:vertAlign w:val="subscript"/>
              </w:rPr>
              <w:t>本项目</w:t>
            </w:r>
            <w:r>
              <w:rPr>
                <w:rFonts w:hint="default" w:ascii="Times New Roman" w:hAnsi="Times New Roman" w:eastAsia="宋体" w:cs="Times New Roman"/>
                <w:color w:val="auto"/>
                <w:kern w:val="2"/>
                <w:sz w:val="18"/>
                <w:szCs w:val="18"/>
                <w:highlight w:val="none"/>
              </w:rPr>
              <w:t>最大占标率≦100%</w:t>
            </w:r>
            <w:r>
              <w:rPr>
                <w:rFonts w:hint="default" w:ascii="Times New Roman" w:hAnsi="Times New Roman" w:eastAsia="宋体" w:cs="Times New Roman"/>
                <w:color w:val="auto"/>
                <w:kern w:val="2"/>
                <w:sz w:val="18"/>
                <w:szCs w:val="18"/>
                <w:highlight w:val="none"/>
              </w:rPr>
              <w:sym w:font="Wingdings" w:char="00FE"/>
            </w:r>
          </w:p>
        </w:tc>
        <w:tc>
          <w:tcPr>
            <w:tcW w:w="3274" w:type="dxa"/>
            <w:gridSpan w:val="13"/>
            <w:vAlign w:val="center"/>
          </w:tcPr>
          <w:p w14:paraId="21CDC23D">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C</w:t>
            </w:r>
            <w:r>
              <w:rPr>
                <w:rFonts w:hint="default" w:ascii="Times New Roman" w:hAnsi="Times New Roman" w:eastAsia="宋体" w:cs="Times New Roman"/>
                <w:color w:val="auto"/>
                <w:kern w:val="2"/>
                <w:sz w:val="18"/>
                <w:szCs w:val="18"/>
                <w:highlight w:val="none"/>
                <w:vertAlign w:val="subscript"/>
              </w:rPr>
              <w:t>本项目</w:t>
            </w:r>
            <w:r>
              <w:rPr>
                <w:rFonts w:hint="default" w:ascii="Times New Roman" w:hAnsi="Times New Roman" w:eastAsia="宋体" w:cs="Times New Roman"/>
                <w:color w:val="auto"/>
                <w:kern w:val="2"/>
                <w:sz w:val="18"/>
                <w:szCs w:val="18"/>
                <w:highlight w:val="none"/>
              </w:rPr>
              <w:t>最大占标率&gt;100%</w:t>
            </w:r>
            <w:r>
              <w:rPr>
                <w:rFonts w:hint="default" w:ascii="Times New Roman" w:hAnsi="Times New Roman" w:eastAsia="宋体" w:cs="Times New Roman"/>
                <w:color w:val="auto"/>
                <w:kern w:val="2"/>
                <w:sz w:val="18"/>
                <w:szCs w:val="18"/>
                <w:highlight w:val="none"/>
              </w:rPr>
              <w:sym w:font="Wingdings" w:char="00A8"/>
            </w:r>
          </w:p>
        </w:tc>
      </w:tr>
      <w:tr w14:paraId="63580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continue"/>
            <w:vAlign w:val="center"/>
          </w:tcPr>
          <w:p w14:paraId="4541535E">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1547" w:type="dxa"/>
            <w:vMerge w:val="restart"/>
            <w:vAlign w:val="center"/>
          </w:tcPr>
          <w:p w14:paraId="4E9F8BD3">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正常排放年均浓度贡献值</w:t>
            </w:r>
          </w:p>
        </w:tc>
        <w:tc>
          <w:tcPr>
            <w:tcW w:w="1517" w:type="dxa"/>
            <w:gridSpan w:val="3"/>
            <w:vAlign w:val="center"/>
          </w:tcPr>
          <w:p w14:paraId="655C1B37">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一类区</w:t>
            </w:r>
          </w:p>
        </w:tc>
        <w:tc>
          <w:tcPr>
            <w:tcW w:w="2314" w:type="dxa"/>
            <w:gridSpan w:val="7"/>
            <w:vAlign w:val="center"/>
          </w:tcPr>
          <w:p w14:paraId="7B79B549">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C</w:t>
            </w:r>
            <w:r>
              <w:rPr>
                <w:rFonts w:hint="default" w:ascii="Times New Roman" w:hAnsi="Times New Roman" w:eastAsia="宋体" w:cs="Times New Roman"/>
                <w:color w:val="auto"/>
                <w:kern w:val="2"/>
                <w:sz w:val="18"/>
                <w:szCs w:val="18"/>
                <w:highlight w:val="none"/>
                <w:vertAlign w:val="subscript"/>
              </w:rPr>
              <w:t>本项目</w:t>
            </w:r>
            <w:r>
              <w:rPr>
                <w:rFonts w:hint="default" w:ascii="Times New Roman" w:hAnsi="Times New Roman" w:eastAsia="宋体" w:cs="Times New Roman"/>
                <w:color w:val="auto"/>
                <w:kern w:val="2"/>
                <w:sz w:val="18"/>
                <w:szCs w:val="18"/>
                <w:highlight w:val="none"/>
              </w:rPr>
              <w:t>最大占标率≦10%</w:t>
            </w:r>
            <w:r>
              <w:rPr>
                <w:rFonts w:hint="default" w:ascii="Times New Roman" w:hAnsi="Times New Roman" w:eastAsia="宋体" w:cs="Times New Roman"/>
                <w:color w:val="auto"/>
                <w:kern w:val="2"/>
                <w:sz w:val="18"/>
                <w:szCs w:val="18"/>
                <w:highlight w:val="none"/>
              </w:rPr>
              <w:sym w:font="Wingdings" w:char="00A8"/>
            </w:r>
          </w:p>
        </w:tc>
        <w:tc>
          <w:tcPr>
            <w:tcW w:w="2057" w:type="dxa"/>
            <w:gridSpan w:val="8"/>
            <w:vAlign w:val="center"/>
          </w:tcPr>
          <w:p w14:paraId="3DC13FA2">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C</w:t>
            </w:r>
            <w:r>
              <w:rPr>
                <w:rFonts w:hint="default" w:ascii="Times New Roman" w:hAnsi="Times New Roman" w:eastAsia="宋体" w:cs="Times New Roman"/>
                <w:color w:val="auto"/>
                <w:kern w:val="2"/>
                <w:sz w:val="18"/>
                <w:szCs w:val="18"/>
                <w:highlight w:val="none"/>
                <w:vertAlign w:val="subscript"/>
              </w:rPr>
              <w:t>本项目</w:t>
            </w:r>
            <w:r>
              <w:rPr>
                <w:rFonts w:hint="default" w:ascii="Times New Roman" w:hAnsi="Times New Roman" w:eastAsia="宋体" w:cs="Times New Roman"/>
                <w:color w:val="auto"/>
                <w:kern w:val="2"/>
                <w:sz w:val="18"/>
                <w:szCs w:val="18"/>
                <w:highlight w:val="none"/>
              </w:rPr>
              <w:t>最大占标率＞10%</w:t>
            </w:r>
            <w:r>
              <w:rPr>
                <w:rFonts w:hint="default" w:ascii="Times New Roman" w:hAnsi="Times New Roman" w:eastAsia="宋体" w:cs="Times New Roman"/>
                <w:color w:val="auto"/>
                <w:kern w:val="2"/>
                <w:sz w:val="18"/>
                <w:szCs w:val="18"/>
                <w:highlight w:val="none"/>
              </w:rPr>
              <w:sym w:font="Wingdings" w:char="00A8"/>
            </w:r>
          </w:p>
        </w:tc>
      </w:tr>
      <w:tr w14:paraId="4191A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continue"/>
            <w:vAlign w:val="center"/>
          </w:tcPr>
          <w:p w14:paraId="31D6939D">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1547" w:type="dxa"/>
            <w:vMerge w:val="continue"/>
            <w:vAlign w:val="center"/>
          </w:tcPr>
          <w:p w14:paraId="13511734">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1517" w:type="dxa"/>
            <w:gridSpan w:val="3"/>
            <w:vAlign w:val="center"/>
          </w:tcPr>
          <w:p w14:paraId="3913FF48">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二类区</w:t>
            </w:r>
          </w:p>
        </w:tc>
        <w:tc>
          <w:tcPr>
            <w:tcW w:w="2314" w:type="dxa"/>
            <w:gridSpan w:val="7"/>
            <w:vAlign w:val="center"/>
          </w:tcPr>
          <w:p w14:paraId="0E5ABA7A">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C</w:t>
            </w:r>
            <w:r>
              <w:rPr>
                <w:rFonts w:hint="default" w:ascii="Times New Roman" w:hAnsi="Times New Roman" w:eastAsia="宋体" w:cs="Times New Roman"/>
                <w:color w:val="auto"/>
                <w:kern w:val="2"/>
                <w:sz w:val="18"/>
                <w:szCs w:val="18"/>
                <w:highlight w:val="none"/>
                <w:vertAlign w:val="subscript"/>
              </w:rPr>
              <w:t>本项目</w:t>
            </w:r>
            <w:r>
              <w:rPr>
                <w:rFonts w:hint="default" w:ascii="Times New Roman" w:hAnsi="Times New Roman" w:eastAsia="宋体" w:cs="Times New Roman"/>
                <w:color w:val="auto"/>
                <w:kern w:val="2"/>
                <w:sz w:val="18"/>
                <w:szCs w:val="18"/>
                <w:highlight w:val="none"/>
              </w:rPr>
              <w:t>最大占标率≦30%</w:t>
            </w:r>
            <w:r>
              <w:rPr>
                <w:rFonts w:hint="default" w:ascii="Times New Roman" w:hAnsi="Times New Roman" w:eastAsia="宋体" w:cs="Times New Roman"/>
                <w:color w:val="auto"/>
                <w:kern w:val="2"/>
                <w:sz w:val="18"/>
                <w:szCs w:val="18"/>
                <w:highlight w:val="none"/>
              </w:rPr>
              <w:sym w:font="Wingdings" w:char="00FE"/>
            </w:r>
          </w:p>
        </w:tc>
        <w:tc>
          <w:tcPr>
            <w:tcW w:w="2057" w:type="dxa"/>
            <w:gridSpan w:val="8"/>
            <w:vAlign w:val="center"/>
          </w:tcPr>
          <w:p w14:paraId="318C80C8">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C</w:t>
            </w:r>
            <w:r>
              <w:rPr>
                <w:rFonts w:hint="default" w:ascii="Times New Roman" w:hAnsi="Times New Roman" w:eastAsia="宋体" w:cs="Times New Roman"/>
                <w:color w:val="auto"/>
                <w:kern w:val="2"/>
                <w:sz w:val="18"/>
                <w:szCs w:val="18"/>
                <w:highlight w:val="none"/>
                <w:vertAlign w:val="subscript"/>
              </w:rPr>
              <w:t>本项目</w:t>
            </w:r>
            <w:r>
              <w:rPr>
                <w:rFonts w:hint="default" w:ascii="Times New Roman" w:hAnsi="Times New Roman" w:eastAsia="宋体" w:cs="Times New Roman"/>
                <w:color w:val="auto"/>
                <w:kern w:val="2"/>
                <w:sz w:val="18"/>
                <w:szCs w:val="18"/>
                <w:highlight w:val="none"/>
              </w:rPr>
              <w:t>最大占标率＞30%</w:t>
            </w:r>
            <w:r>
              <w:rPr>
                <w:rFonts w:hint="default" w:ascii="Times New Roman" w:hAnsi="Times New Roman" w:eastAsia="宋体" w:cs="Times New Roman"/>
                <w:color w:val="auto"/>
                <w:kern w:val="2"/>
                <w:sz w:val="18"/>
                <w:szCs w:val="18"/>
                <w:highlight w:val="none"/>
              </w:rPr>
              <w:sym w:font="Wingdings" w:char="00A8"/>
            </w:r>
          </w:p>
        </w:tc>
      </w:tr>
      <w:tr w14:paraId="30D5C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continue"/>
            <w:vAlign w:val="center"/>
          </w:tcPr>
          <w:p w14:paraId="7CFC5A45">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1547" w:type="dxa"/>
            <w:vAlign w:val="center"/>
          </w:tcPr>
          <w:p w14:paraId="22A4FA8C">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非正常排放1h浓度贡献值</w:t>
            </w:r>
          </w:p>
        </w:tc>
        <w:tc>
          <w:tcPr>
            <w:tcW w:w="1954" w:type="dxa"/>
            <w:gridSpan w:val="4"/>
            <w:vAlign w:val="center"/>
          </w:tcPr>
          <w:p w14:paraId="40A6057D">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非正常持续时长（）h</w:t>
            </w:r>
          </w:p>
        </w:tc>
        <w:tc>
          <w:tcPr>
            <w:tcW w:w="2213" w:type="dxa"/>
            <w:gridSpan w:val="8"/>
            <w:vAlign w:val="center"/>
          </w:tcPr>
          <w:p w14:paraId="161C0DCB">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C非正常占标率≦100%</w:t>
            </w:r>
            <w:r>
              <w:rPr>
                <w:rFonts w:hint="default" w:ascii="Times New Roman" w:hAnsi="Times New Roman" w:eastAsia="宋体" w:cs="Times New Roman"/>
                <w:color w:val="auto"/>
                <w:kern w:val="2"/>
                <w:sz w:val="18"/>
                <w:szCs w:val="18"/>
                <w:highlight w:val="none"/>
              </w:rPr>
              <w:sym w:font="Wingdings" w:char="00A8"/>
            </w:r>
          </w:p>
        </w:tc>
        <w:tc>
          <w:tcPr>
            <w:tcW w:w="1721" w:type="dxa"/>
            <w:gridSpan w:val="6"/>
            <w:vAlign w:val="center"/>
          </w:tcPr>
          <w:p w14:paraId="36EAE09F">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C非正常占标率&gt;100%</w:t>
            </w:r>
            <w:r>
              <w:rPr>
                <w:rFonts w:hint="default" w:ascii="Times New Roman" w:hAnsi="Times New Roman" w:eastAsia="宋体" w:cs="Times New Roman"/>
                <w:color w:val="auto"/>
                <w:kern w:val="2"/>
                <w:sz w:val="18"/>
                <w:szCs w:val="18"/>
                <w:highlight w:val="none"/>
              </w:rPr>
              <w:sym w:font="Wingdings" w:char="00A8"/>
            </w:r>
          </w:p>
        </w:tc>
      </w:tr>
      <w:tr w14:paraId="107AF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continue"/>
            <w:vAlign w:val="center"/>
          </w:tcPr>
          <w:p w14:paraId="695C8869">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1547" w:type="dxa"/>
            <w:vAlign w:val="center"/>
          </w:tcPr>
          <w:p w14:paraId="072D9788">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保证率日平均浓度和年评价浓度叠加值</w:t>
            </w:r>
          </w:p>
        </w:tc>
        <w:tc>
          <w:tcPr>
            <w:tcW w:w="2614" w:type="dxa"/>
            <w:gridSpan w:val="5"/>
            <w:vAlign w:val="center"/>
          </w:tcPr>
          <w:p w14:paraId="562CC31D">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C叠加达标</w:t>
            </w:r>
            <w:r>
              <w:rPr>
                <w:rFonts w:hint="default" w:ascii="Times New Roman" w:hAnsi="Times New Roman" w:eastAsia="宋体" w:cs="Times New Roman"/>
                <w:color w:val="auto"/>
                <w:kern w:val="2"/>
                <w:sz w:val="18"/>
                <w:szCs w:val="18"/>
                <w:highlight w:val="none"/>
              </w:rPr>
              <w:sym w:font="Wingdings" w:char="00A8"/>
            </w:r>
          </w:p>
        </w:tc>
        <w:tc>
          <w:tcPr>
            <w:tcW w:w="3274" w:type="dxa"/>
            <w:gridSpan w:val="13"/>
            <w:vAlign w:val="center"/>
          </w:tcPr>
          <w:p w14:paraId="08EF790D">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C叠加不达标</w:t>
            </w:r>
            <w:r>
              <w:rPr>
                <w:rFonts w:hint="default" w:ascii="Times New Roman" w:hAnsi="Times New Roman" w:eastAsia="宋体" w:cs="Times New Roman"/>
                <w:color w:val="auto"/>
                <w:kern w:val="2"/>
                <w:sz w:val="18"/>
                <w:szCs w:val="18"/>
                <w:highlight w:val="none"/>
              </w:rPr>
              <w:sym w:font="Wingdings" w:char="00A8"/>
            </w:r>
          </w:p>
        </w:tc>
      </w:tr>
      <w:tr w14:paraId="58E1E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continue"/>
            <w:vAlign w:val="center"/>
          </w:tcPr>
          <w:p w14:paraId="7D9ED072">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1547" w:type="dxa"/>
            <w:vAlign w:val="center"/>
          </w:tcPr>
          <w:p w14:paraId="64A9A7C3">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区域环境质量的整体变化情况</w:t>
            </w:r>
          </w:p>
        </w:tc>
        <w:tc>
          <w:tcPr>
            <w:tcW w:w="2614" w:type="dxa"/>
            <w:gridSpan w:val="5"/>
            <w:vAlign w:val="center"/>
          </w:tcPr>
          <w:p w14:paraId="62590D7A">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k≦-20%</w:t>
            </w:r>
            <w:r>
              <w:rPr>
                <w:rFonts w:hint="default" w:ascii="Times New Roman" w:hAnsi="Times New Roman" w:eastAsia="宋体" w:cs="Times New Roman"/>
                <w:color w:val="auto"/>
                <w:kern w:val="2"/>
                <w:sz w:val="18"/>
                <w:szCs w:val="18"/>
                <w:highlight w:val="none"/>
              </w:rPr>
              <w:sym w:font="Wingdings" w:char="00A8"/>
            </w:r>
          </w:p>
        </w:tc>
        <w:tc>
          <w:tcPr>
            <w:tcW w:w="3274" w:type="dxa"/>
            <w:gridSpan w:val="13"/>
            <w:vAlign w:val="center"/>
          </w:tcPr>
          <w:p w14:paraId="48AFC56F">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K&gt;-20%</w:t>
            </w:r>
            <w:r>
              <w:rPr>
                <w:rFonts w:hint="default" w:ascii="Times New Roman" w:hAnsi="Times New Roman" w:eastAsia="宋体" w:cs="Times New Roman"/>
                <w:color w:val="auto"/>
                <w:kern w:val="2"/>
                <w:sz w:val="18"/>
                <w:szCs w:val="18"/>
                <w:highlight w:val="none"/>
              </w:rPr>
              <w:sym w:font="Wingdings" w:char="00A8"/>
            </w:r>
          </w:p>
        </w:tc>
      </w:tr>
      <w:tr w14:paraId="641A7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restart"/>
            <w:vAlign w:val="center"/>
          </w:tcPr>
          <w:p w14:paraId="6BF75986">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环境监测计划</w:t>
            </w:r>
          </w:p>
        </w:tc>
        <w:tc>
          <w:tcPr>
            <w:tcW w:w="1547" w:type="dxa"/>
            <w:vAlign w:val="center"/>
          </w:tcPr>
          <w:p w14:paraId="2401C535">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污染源监测</w:t>
            </w:r>
          </w:p>
        </w:tc>
        <w:tc>
          <w:tcPr>
            <w:tcW w:w="2614" w:type="dxa"/>
            <w:gridSpan w:val="5"/>
            <w:vAlign w:val="center"/>
          </w:tcPr>
          <w:p w14:paraId="5EF96398">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lang w:val="en-US"/>
              </w:rPr>
            </w:pPr>
            <w:r>
              <w:rPr>
                <w:rFonts w:hint="default" w:ascii="Times New Roman" w:hAnsi="Times New Roman" w:eastAsia="宋体" w:cs="Times New Roman"/>
                <w:color w:val="auto"/>
                <w:kern w:val="2"/>
                <w:sz w:val="18"/>
                <w:szCs w:val="18"/>
                <w:highlight w:val="none"/>
              </w:rPr>
              <w:t>监测因子：</w:t>
            </w:r>
            <w:r>
              <w:rPr>
                <w:rFonts w:hint="default" w:ascii="Times New Roman" w:hAnsi="Times New Roman" w:eastAsia="宋体" w:cs="Times New Roman"/>
                <w:color w:val="auto"/>
                <w:kern w:val="2"/>
                <w:sz w:val="18"/>
                <w:szCs w:val="18"/>
                <w:highlight w:val="none"/>
                <w:lang w:val="en-US" w:eastAsia="zh-CN"/>
              </w:rPr>
              <w:t>非甲烷总烃、苯乙烯、丙烯腈、乙苯、甲苯、1，3-丁二烯、酚类、氯苯类、二氯甲烷、氨</w:t>
            </w:r>
            <w:r>
              <w:rPr>
                <w:rFonts w:hint="eastAsia" w:ascii="Times New Roman" w:hAnsi="Times New Roman" w:eastAsia="宋体" w:cs="Times New Roman"/>
                <w:color w:val="auto"/>
                <w:kern w:val="2"/>
                <w:sz w:val="18"/>
                <w:szCs w:val="18"/>
                <w:highlight w:val="none"/>
                <w:lang w:val="en-US" w:eastAsia="zh-CN"/>
              </w:rPr>
              <w:t>、臭气浓度、颗粒物、二氧化硫、林格曼黑度、氮氧化物</w:t>
            </w:r>
          </w:p>
        </w:tc>
        <w:tc>
          <w:tcPr>
            <w:tcW w:w="1950" w:type="dxa"/>
            <w:gridSpan w:val="9"/>
            <w:vAlign w:val="center"/>
          </w:tcPr>
          <w:p w14:paraId="107E1677">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有组织废气监测</w:t>
            </w:r>
            <w:r>
              <w:rPr>
                <w:rFonts w:hint="default" w:ascii="Times New Roman" w:hAnsi="Times New Roman" w:eastAsia="宋体" w:cs="Times New Roman"/>
                <w:color w:val="auto"/>
                <w:kern w:val="2"/>
                <w:sz w:val="18"/>
                <w:szCs w:val="18"/>
                <w:highlight w:val="none"/>
              </w:rPr>
              <w:sym w:font="Wingdings" w:char="00FE"/>
            </w:r>
          </w:p>
          <w:p w14:paraId="288ADC2B">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无组织废气监测</w:t>
            </w:r>
            <w:r>
              <w:rPr>
                <w:rFonts w:hint="default" w:ascii="Times New Roman" w:hAnsi="Times New Roman" w:eastAsia="宋体" w:cs="Times New Roman"/>
                <w:color w:val="auto"/>
                <w:kern w:val="2"/>
                <w:sz w:val="18"/>
                <w:szCs w:val="18"/>
                <w:highlight w:val="none"/>
              </w:rPr>
              <w:sym w:font="Wingdings" w:char="00FE"/>
            </w:r>
          </w:p>
        </w:tc>
        <w:tc>
          <w:tcPr>
            <w:tcW w:w="1324" w:type="dxa"/>
            <w:gridSpan w:val="4"/>
            <w:vAlign w:val="center"/>
          </w:tcPr>
          <w:p w14:paraId="752B09F5">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无监测</w:t>
            </w:r>
            <w:r>
              <w:rPr>
                <w:rFonts w:hint="default" w:ascii="Times New Roman" w:hAnsi="Times New Roman" w:eastAsia="宋体" w:cs="Times New Roman"/>
                <w:color w:val="auto"/>
                <w:kern w:val="2"/>
                <w:sz w:val="18"/>
                <w:szCs w:val="18"/>
                <w:highlight w:val="none"/>
              </w:rPr>
              <w:sym w:font="Wingdings" w:char="00A8"/>
            </w:r>
          </w:p>
        </w:tc>
      </w:tr>
      <w:tr w14:paraId="7F97D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continue"/>
            <w:vAlign w:val="center"/>
          </w:tcPr>
          <w:p w14:paraId="3EE85EC0">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1547" w:type="dxa"/>
            <w:vAlign w:val="center"/>
          </w:tcPr>
          <w:p w14:paraId="1C6289D5">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环境质量监测</w:t>
            </w:r>
          </w:p>
        </w:tc>
        <w:tc>
          <w:tcPr>
            <w:tcW w:w="2614" w:type="dxa"/>
            <w:gridSpan w:val="5"/>
            <w:vAlign w:val="center"/>
          </w:tcPr>
          <w:p w14:paraId="2B304FC6">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监测因子：（）</w:t>
            </w:r>
          </w:p>
        </w:tc>
        <w:tc>
          <w:tcPr>
            <w:tcW w:w="1950" w:type="dxa"/>
            <w:gridSpan w:val="9"/>
            <w:vAlign w:val="center"/>
          </w:tcPr>
          <w:p w14:paraId="6B16884D">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监测点位数（）</w:t>
            </w:r>
          </w:p>
        </w:tc>
        <w:tc>
          <w:tcPr>
            <w:tcW w:w="1324" w:type="dxa"/>
            <w:gridSpan w:val="4"/>
            <w:vAlign w:val="center"/>
          </w:tcPr>
          <w:p w14:paraId="652BDD0F">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无监测</w:t>
            </w:r>
            <w:r>
              <w:rPr>
                <w:rFonts w:hint="default" w:ascii="Times New Roman" w:hAnsi="Times New Roman" w:eastAsia="宋体" w:cs="Times New Roman"/>
                <w:color w:val="auto"/>
                <w:kern w:val="2"/>
                <w:sz w:val="18"/>
                <w:szCs w:val="18"/>
                <w:highlight w:val="none"/>
              </w:rPr>
              <w:sym w:font="Wingdings" w:char="00FE"/>
            </w:r>
          </w:p>
        </w:tc>
      </w:tr>
      <w:tr w14:paraId="32C33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restart"/>
            <w:vAlign w:val="center"/>
          </w:tcPr>
          <w:p w14:paraId="20F3708C">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环评结论</w:t>
            </w:r>
          </w:p>
        </w:tc>
        <w:tc>
          <w:tcPr>
            <w:tcW w:w="1547" w:type="dxa"/>
            <w:vAlign w:val="center"/>
          </w:tcPr>
          <w:p w14:paraId="07D1A622">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环境影响</w:t>
            </w:r>
          </w:p>
        </w:tc>
        <w:tc>
          <w:tcPr>
            <w:tcW w:w="5888" w:type="dxa"/>
            <w:gridSpan w:val="18"/>
            <w:vAlign w:val="center"/>
          </w:tcPr>
          <w:p w14:paraId="515A9AD7">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可以接受</w:t>
            </w:r>
            <w:r>
              <w:rPr>
                <w:rFonts w:hint="default" w:ascii="Times New Roman" w:hAnsi="Times New Roman" w:eastAsia="宋体" w:cs="Times New Roman"/>
                <w:color w:val="auto"/>
                <w:kern w:val="2"/>
                <w:sz w:val="18"/>
                <w:szCs w:val="18"/>
                <w:highlight w:val="none"/>
              </w:rPr>
              <w:sym w:font="Wingdings" w:char="00FE"/>
            </w:r>
            <w:r>
              <w:rPr>
                <w:rFonts w:hint="default" w:ascii="Times New Roman" w:hAnsi="Times New Roman" w:eastAsia="宋体" w:cs="Times New Roman"/>
                <w:color w:val="auto"/>
                <w:kern w:val="2"/>
                <w:sz w:val="18"/>
                <w:szCs w:val="18"/>
                <w:highlight w:val="none"/>
              </w:rPr>
              <w:t xml:space="preserve">     不可以接受</w:t>
            </w:r>
            <w:r>
              <w:rPr>
                <w:rFonts w:hint="default" w:ascii="Times New Roman" w:hAnsi="Times New Roman" w:eastAsia="宋体" w:cs="Times New Roman"/>
                <w:color w:val="auto"/>
                <w:kern w:val="2"/>
                <w:sz w:val="18"/>
                <w:szCs w:val="18"/>
                <w:highlight w:val="none"/>
              </w:rPr>
              <w:sym w:font="Wingdings" w:char="00A8"/>
            </w:r>
          </w:p>
        </w:tc>
      </w:tr>
      <w:tr w14:paraId="50FF5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continue"/>
            <w:vAlign w:val="center"/>
          </w:tcPr>
          <w:p w14:paraId="32275C8C">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1547" w:type="dxa"/>
            <w:vAlign w:val="center"/>
          </w:tcPr>
          <w:p w14:paraId="357DF641">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大气环境防护距离</w:t>
            </w:r>
          </w:p>
        </w:tc>
        <w:tc>
          <w:tcPr>
            <w:tcW w:w="5888" w:type="dxa"/>
            <w:gridSpan w:val="18"/>
            <w:vAlign w:val="center"/>
          </w:tcPr>
          <w:p w14:paraId="0353B5A1">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无</w:t>
            </w:r>
          </w:p>
        </w:tc>
      </w:tr>
      <w:tr w14:paraId="5D8A8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continue"/>
            <w:vAlign w:val="center"/>
          </w:tcPr>
          <w:p w14:paraId="6D83C5E7">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1547" w:type="dxa"/>
            <w:vAlign w:val="center"/>
          </w:tcPr>
          <w:p w14:paraId="759083F6">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污染源年排放量</w:t>
            </w:r>
          </w:p>
        </w:tc>
        <w:tc>
          <w:tcPr>
            <w:tcW w:w="1402" w:type="dxa"/>
            <w:gridSpan w:val="2"/>
            <w:vAlign w:val="center"/>
          </w:tcPr>
          <w:p w14:paraId="1BD380E0">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颗粒物：（</w:t>
            </w:r>
            <w:r>
              <w:rPr>
                <w:rFonts w:hint="eastAsia" w:ascii="Times New Roman" w:hAnsi="Times New Roman" w:eastAsia="宋体" w:cs="Times New Roman"/>
                <w:color w:val="auto"/>
                <w:kern w:val="2"/>
                <w:sz w:val="18"/>
                <w:szCs w:val="18"/>
                <w:highlight w:val="none"/>
                <w:lang w:val="en-US" w:eastAsia="zh-CN"/>
              </w:rPr>
              <w:t>18.345</w:t>
            </w:r>
            <w:r>
              <w:rPr>
                <w:rFonts w:hint="default" w:ascii="Times New Roman" w:hAnsi="Times New Roman" w:eastAsia="宋体" w:cs="Times New Roman"/>
                <w:color w:val="auto"/>
                <w:kern w:val="2"/>
                <w:sz w:val="18"/>
                <w:szCs w:val="18"/>
                <w:highlight w:val="none"/>
              </w:rPr>
              <w:t>）t/a</w:t>
            </w:r>
          </w:p>
        </w:tc>
        <w:tc>
          <w:tcPr>
            <w:tcW w:w="1258" w:type="dxa"/>
            <w:gridSpan w:val="4"/>
            <w:vAlign w:val="center"/>
          </w:tcPr>
          <w:p w14:paraId="74A2F57B">
            <w:pPr>
              <w:spacing w:line="240" w:lineRule="auto"/>
              <w:ind w:firstLine="0" w:firstLineChars="0"/>
              <w:jc w:val="center"/>
              <w:rPr>
                <w:rFonts w:hint="default" w:ascii="Times New Roman" w:hAnsi="Times New Roman" w:eastAsia="宋体" w:cs="Times New Roman"/>
                <w:color w:val="auto"/>
                <w:kern w:val="2"/>
                <w:sz w:val="18"/>
                <w:szCs w:val="18"/>
                <w:highlight w:val="none"/>
              </w:rPr>
            </w:pPr>
            <w:r>
              <w:rPr>
                <w:rFonts w:ascii="Times New Roman" w:hAnsi="Times New Roman" w:eastAsia="新宋体"/>
                <w:color w:val="auto"/>
                <w:sz w:val="18"/>
                <w:szCs w:val="18"/>
                <w:highlight w:val="none"/>
              </w:rPr>
              <w:t>SO</w:t>
            </w:r>
            <w:r>
              <w:rPr>
                <w:rFonts w:ascii="Times New Roman" w:hAnsi="Times New Roman" w:eastAsia="新宋体"/>
                <w:color w:val="auto"/>
                <w:sz w:val="18"/>
                <w:szCs w:val="18"/>
                <w:highlight w:val="none"/>
                <w:vertAlign w:val="subscript"/>
              </w:rPr>
              <w:t>2</w:t>
            </w:r>
            <w:r>
              <w:rPr>
                <w:rFonts w:ascii="Times New Roman" w:hAnsi="Times New Roman" w:eastAsia="新宋体"/>
                <w:color w:val="auto"/>
                <w:sz w:val="18"/>
                <w:szCs w:val="18"/>
                <w:highlight w:val="none"/>
              </w:rPr>
              <w:t>：（</w:t>
            </w:r>
            <w:r>
              <w:rPr>
                <w:rFonts w:hint="eastAsia" w:ascii="Times New Roman" w:hAnsi="Times New Roman" w:eastAsia="新宋体"/>
                <w:color w:val="auto"/>
                <w:sz w:val="18"/>
                <w:szCs w:val="18"/>
                <w:highlight w:val="none"/>
                <w:lang w:val="en-US" w:eastAsia="zh-CN"/>
              </w:rPr>
              <w:t>0.003</w:t>
            </w:r>
            <w:r>
              <w:rPr>
                <w:rFonts w:ascii="Times New Roman" w:hAnsi="Times New Roman" w:eastAsia="新宋体"/>
                <w:color w:val="auto"/>
                <w:sz w:val="18"/>
                <w:szCs w:val="18"/>
                <w:highlight w:val="none"/>
              </w:rPr>
              <w:t>）t/a</w:t>
            </w:r>
          </w:p>
        </w:tc>
        <w:tc>
          <w:tcPr>
            <w:tcW w:w="1188" w:type="dxa"/>
            <w:gridSpan w:val="5"/>
            <w:vAlign w:val="center"/>
          </w:tcPr>
          <w:p w14:paraId="6209590F">
            <w:pPr>
              <w:spacing w:line="240" w:lineRule="auto"/>
              <w:ind w:firstLine="0" w:firstLineChars="0"/>
              <w:jc w:val="center"/>
              <w:rPr>
                <w:rFonts w:hint="default" w:ascii="Times New Roman" w:hAnsi="Times New Roman" w:eastAsia="宋体" w:cs="Times New Roman"/>
                <w:color w:val="auto"/>
                <w:kern w:val="2"/>
                <w:sz w:val="18"/>
                <w:szCs w:val="18"/>
                <w:highlight w:val="none"/>
              </w:rPr>
            </w:pPr>
            <w:r>
              <w:rPr>
                <w:rFonts w:ascii="Times New Roman" w:hAnsi="Times New Roman" w:eastAsia="新宋体"/>
                <w:color w:val="auto"/>
                <w:sz w:val="18"/>
                <w:szCs w:val="18"/>
                <w:highlight w:val="none"/>
              </w:rPr>
              <w:t>NOx：（</w:t>
            </w:r>
            <w:r>
              <w:rPr>
                <w:rFonts w:hint="eastAsia" w:ascii="Times New Roman" w:hAnsi="Times New Roman" w:eastAsia="新宋体"/>
                <w:color w:val="auto"/>
                <w:sz w:val="18"/>
                <w:szCs w:val="18"/>
                <w:highlight w:val="none"/>
                <w:lang w:val="en-US" w:eastAsia="zh-CN"/>
              </w:rPr>
              <w:t>0.616</w:t>
            </w:r>
            <w:r>
              <w:rPr>
                <w:rFonts w:ascii="Times New Roman" w:hAnsi="Times New Roman" w:eastAsia="新宋体"/>
                <w:color w:val="auto"/>
                <w:sz w:val="18"/>
                <w:szCs w:val="18"/>
                <w:highlight w:val="none"/>
              </w:rPr>
              <w:t>）t/a</w:t>
            </w:r>
          </w:p>
        </w:tc>
        <w:tc>
          <w:tcPr>
            <w:tcW w:w="843" w:type="dxa"/>
            <w:gridSpan w:val="4"/>
            <w:vAlign w:val="center"/>
          </w:tcPr>
          <w:p w14:paraId="048996C9">
            <w:pPr>
              <w:spacing w:line="240" w:lineRule="auto"/>
              <w:ind w:firstLine="0" w:firstLineChars="0"/>
              <w:jc w:val="center"/>
              <w:rPr>
                <w:rFonts w:hint="default" w:ascii="Times New Roman" w:hAnsi="Times New Roman" w:eastAsia="宋体" w:cs="Times New Roman"/>
                <w:color w:val="auto"/>
                <w:kern w:val="2"/>
                <w:sz w:val="18"/>
                <w:szCs w:val="18"/>
                <w:highlight w:val="none"/>
              </w:rPr>
            </w:pPr>
            <w:r>
              <w:rPr>
                <w:rFonts w:hint="eastAsia" w:ascii="Times New Roman" w:hAnsi="Times New Roman" w:eastAsia="新宋体"/>
                <w:color w:val="auto"/>
                <w:sz w:val="18"/>
                <w:szCs w:val="18"/>
                <w:highlight w:val="none"/>
                <w:lang w:val="en-US" w:eastAsia="zh-CN"/>
              </w:rPr>
              <w:t>烟尘</w:t>
            </w:r>
            <w:r>
              <w:rPr>
                <w:rFonts w:ascii="Times New Roman" w:hAnsi="Times New Roman" w:eastAsia="新宋体"/>
                <w:color w:val="auto"/>
                <w:sz w:val="18"/>
                <w:szCs w:val="18"/>
                <w:highlight w:val="none"/>
              </w:rPr>
              <w:t>：（</w:t>
            </w:r>
            <w:r>
              <w:rPr>
                <w:rFonts w:hint="eastAsia" w:ascii="Times New Roman" w:hAnsi="Times New Roman" w:eastAsia="新宋体"/>
                <w:color w:val="auto"/>
                <w:sz w:val="18"/>
                <w:szCs w:val="18"/>
                <w:highlight w:val="none"/>
                <w:lang w:val="en-US" w:eastAsia="zh-CN"/>
              </w:rPr>
              <w:t>0.061</w:t>
            </w:r>
            <w:r>
              <w:rPr>
                <w:rFonts w:ascii="Times New Roman" w:hAnsi="Times New Roman" w:eastAsia="新宋体"/>
                <w:color w:val="auto"/>
                <w:sz w:val="18"/>
                <w:szCs w:val="18"/>
                <w:highlight w:val="none"/>
              </w:rPr>
              <w:t>）t/a</w:t>
            </w:r>
          </w:p>
        </w:tc>
        <w:tc>
          <w:tcPr>
            <w:tcW w:w="1197" w:type="dxa"/>
            <w:gridSpan w:val="3"/>
            <w:vAlign w:val="center"/>
          </w:tcPr>
          <w:p w14:paraId="15FC834A">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非甲烷总烃：（</w:t>
            </w:r>
            <w:r>
              <w:rPr>
                <w:rFonts w:hint="eastAsia" w:ascii="Times New Roman" w:hAnsi="Times New Roman" w:eastAsia="宋体" w:cs="Times New Roman"/>
                <w:color w:val="auto"/>
                <w:kern w:val="2"/>
                <w:sz w:val="18"/>
                <w:szCs w:val="18"/>
                <w:highlight w:val="none"/>
                <w:lang w:val="en-US" w:eastAsia="zh-CN"/>
              </w:rPr>
              <w:t>21.189</w:t>
            </w:r>
            <w:r>
              <w:rPr>
                <w:rFonts w:hint="default" w:ascii="Times New Roman" w:hAnsi="Times New Roman" w:eastAsia="宋体" w:cs="Times New Roman"/>
                <w:color w:val="auto"/>
                <w:kern w:val="2"/>
                <w:sz w:val="18"/>
                <w:szCs w:val="18"/>
                <w:highlight w:val="none"/>
              </w:rPr>
              <w:t>）t/a</w:t>
            </w:r>
          </w:p>
        </w:tc>
      </w:tr>
      <w:tr w14:paraId="754E4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8" w:type="dxa"/>
            <w:gridSpan w:val="20"/>
            <w:vAlign w:val="center"/>
          </w:tcPr>
          <w:p w14:paraId="25381704">
            <w:pPr>
              <w:widowControl w:val="0"/>
              <w:adjustRightInd/>
              <w:snapToGrid/>
              <w:spacing w:after="0" w:line="280" w:lineRule="exact"/>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注：“</w:t>
            </w:r>
            <w:r>
              <w:rPr>
                <w:rFonts w:hint="default" w:ascii="Times New Roman" w:hAnsi="Times New Roman" w:eastAsia="宋体" w:cs="Times New Roman"/>
                <w:color w:val="auto"/>
                <w:kern w:val="2"/>
                <w:sz w:val="18"/>
                <w:szCs w:val="18"/>
                <w:highlight w:val="none"/>
              </w:rPr>
              <w:sym w:font="Wingdings" w:char="00A8"/>
            </w:r>
            <w:r>
              <w:rPr>
                <w:rFonts w:hint="default" w:ascii="Times New Roman" w:hAnsi="Times New Roman" w:eastAsia="宋体" w:cs="Times New Roman"/>
                <w:color w:val="auto"/>
                <w:kern w:val="2"/>
                <w:sz w:val="18"/>
                <w:szCs w:val="18"/>
                <w:highlight w:val="none"/>
              </w:rPr>
              <w:t>”为勾选项，填“√”；“（）”为内容填写项</w:t>
            </w:r>
          </w:p>
        </w:tc>
      </w:tr>
    </w:tbl>
    <w:p w14:paraId="5DA0ED4C">
      <w:pPr>
        <w:widowControl w:val="0"/>
        <w:tabs>
          <w:tab w:val="left" w:pos="823"/>
        </w:tabs>
        <w:adjustRightInd/>
        <w:snapToGrid/>
        <w:spacing w:after="0"/>
        <w:jc w:val="center"/>
        <w:rPr>
          <w:rFonts w:hint="default" w:ascii="Times New Roman" w:hAnsi="Times New Roman" w:eastAsia="宋体" w:cs="Times New Roman"/>
          <w:color w:val="auto"/>
          <w:kern w:val="2"/>
          <w:sz w:val="24"/>
          <w:szCs w:val="24"/>
          <w:highlight w:val="none"/>
        </w:rPr>
      </w:pPr>
    </w:p>
    <w:p w14:paraId="539175B5">
      <w:pPr>
        <w:widowControl w:val="0"/>
        <w:adjustRightInd/>
        <w:snapToGrid/>
        <w:spacing w:after="0"/>
        <w:jc w:val="both"/>
        <w:rPr>
          <w:rFonts w:hint="default" w:ascii="Times New Roman" w:hAnsi="Times New Roman" w:eastAsia="宋体" w:cs="Times New Roman"/>
          <w:color w:val="auto"/>
          <w:kern w:val="2"/>
          <w:sz w:val="24"/>
          <w:szCs w:val="21"/>
          <w:highlight w:val="none"/>
        </w:rPr>
        <w:sectPr>
          <w:footerReference r:id="rId17"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pPr>
    </w:p>
    <w:p w14:paraId="7526C620">
      <w:pPr>
        <w:keepNext w:val="0"/>
        <w:keepLines w:val="0"/>
        <w:pageBreakBefore w:val="0"/>
        <w:widowControl/>
        <w:kinsoku w:val="0"/>
        <w:wordWrap/>
        <w:overflowPunct/>
        <w:topLinePunct w:val="0"/>
        <w:autoSpaceDE w:val="0"/>
        <w:autoSpaceDN w:val="0"/>
        <w:bidi w:val="0"/>
        <w:adjustRightInd/>
        <w:snapToGrid/>
        <w:spacing w:after="0"/>
        <w:ind w:left="0" w:firstLine="0"/>
        <w:jc w:val="center"/>
        <w:textAlignment w:val="baseline"/>
        <w:outlineLvl w:val="0"/>
        <w:rPr>
          <w:rFonts w:hint="default" w:ascii="Times New Roman" w:hAnsi="Times New Roman" w:eastAsia="宋体" w:cs="Times New Roman"/>
          <w:b/>
          <w:smallCaps/>
          <w:snapToGrid w:val="0"/>
          <w:color w:val="auto"/>
          <w:kern w:val="2"/>
          <w:sz w:val="21"/>
          <w:szCs w:val="21"/>
          <w:highlight w:val="none"/>
        </w:rPr>
      </w:pPr>
      <w:bookmarkStart w:id="102" w:name="_Toc19303"/>
      <w:r>
        <w:rPr>
          <w:rFonts w:hint="default" w:ascii="Times New Roman" w:hAnsi="Times New Roman" w:eastAsia="宋体" w:cs="Times New Roman"/>
          <w:b/>
          <w:smallCaps/>
          <w:snapToGrid w:val="0"/>
          <w:color w:val="auto"/>
          <w:kern w:val="2"/>
          <w:sz w:val="21"/>
          <w:szCs w:val="21"/>
          <w:highlight w:val="none"/>
          <w:lang w:eastAsia="zh-CN"/>
        </w:rPr>
        <w:t>附</w:t>
      </w:r>
      <w:r>
        <w:rPr>
          <w:rFonts w:hint="default" w:ascii="Times New Roman" w:hAnsi="Times New Roman" w:eastAsia="宋体" w:cs="Times New Roman"/>
          <w:b/>
          <w:smallCaps/>
          <w:snapToGrid w:val="0"/>
          <w:color w:val="auto"/>
          <w:kern w:val="2"/>
          <w:sz w:val="21"/>
          <w:szCs w:val="21"/>
          <w:highlight w:val="none"/>
        </w:rPr>
        <w:t>表</w:t>
      </w:r>
      <w:r>
        <w:rPr>
          <w:rFonts w:hint="default" w:ascii="Times New Roman" w:hAnsi="Times New Roman" w:eastAsia="宋体" w:cs="Times New Roman"/>
          <w:b/>
          <w:smallCaps/>
          <w:snapToGrid w:val="0"/>
          <w:color w:val="auto"/>
          <w:kern w:val="2"/>
          <w:sz w:val="21"/>
          <w:szCs w:val="21"/>
          <w:highlight w:val="none"/>
          <w:lang w:val="en-US" w:eastAsia="zh-CN"/>
        </w:rPr>
        <w:t>2</w:t>
      </w:r>
      <w:r>
        <w:rPr>
          <w:rFonts w:hint="default" w:ascii="Times New Roman" w:hAnsi="Times New Roman" w:eastAsia="宋体" w:cs="Times New Roman"/>
          <w:b/>
          <w:smallCaps/>
          <w:snapToGrid w:val="0"/>
          <w:color w:val="auto"/>
          <w:kern w:val="2"/>
          <w:sz w:val="21"/>
          <w:szCs w:val="21"/>
          <w:highlight w:val="none"/>
        </w:rPr>
        <w:t xml:space="preserve">  地表水环境影响评价自查表</w:t>
      </w:r>
      <w:bookmarkEnd w:id="102"/>
    </w:p>
    <w:tbl>
      <w:tblPr>
        <w:tblStyle w:val="22"/>
        <w:tblW w:w="500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396"/>
        <w:gridCol w:w="1554"/>
        <w:gridCol w:w="1182"/>
        <w:gridCol w:w="839"/>
        <w:gridCol w:w="433"/>
        <w:gridCol w:w="240"/>
        <w:gridCol w:w="938"/>
        <w:gridCol w:w="196"/>
        <w:gridCol w:w="1011"/>
        <w:gridCol w:w="34"/>
        <w:gridCol w:w="1518"/>
        <w:gridCol w:w="834"/>
      </w:tblGrid>
      <w:tr w14:paraId="1214196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90" w:hRule="atLeast"/>
          <w:tblHeader/>
          <w:jc w:val="center"/>
        </w:trPr>
        <w:tc>
          <w:tcPr>
            <w:tcW w:w="1950" w:type="dxa"/>
            <w:gridSpan w:val="2"/>
            <w:tcBorders>
              <w:tl2br w:val="nil"/>
              <w:tr2bl w:val="nil"/>
            </w:tcBorders>
            <w:noWrap w:val="0"/>
            <w:tcMar>
              <w:top w:w="15" w:type="dxa"/>
              <w:left w:w="108" w:type="dxa"/>
              <w:bottom w:w="15" w:type="dxa"/>
              <w:right w:w="108" w:type="dxa"/>
            </w:tcMar>
            <w:vAlign w:val="center"/>
          </w:tcPr>
          <w:p w14:paraId="3B2A582C">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工作内容</w:t>
            </w:r>
          </w:p>
        </w:tc>
        <w:tc>
          <w:tcPr>
            <w:tcW w:w="7225" w:type="dxa"/>
            <w:gridSpan w:val="10"/>
            <w:tcBorders>
              <w:tl2br w:val="nil"/>
              <w:tr2bl w:val="nil"/>
            </w:tcBorders>
            <w:noWrap w:val="0"/>
            <w:tcMar>
              <w:top w:w="15" w:type="dxa"/>
              <w:left w:w="108" w:type="dxa"/>
              <w:bottom w:w="15" w:type="dxa"/>
              <w:right w:w="108" w:type="dxa"/>
            </w:tcMar>
            <w:vAlign w:val="center"/>
          </w:tcPr>
          <w:p w14:paraId="4A68942C">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自查项目</w:t>
            </w:r>
          </w:p>
        </w:tc>
      </w:tr>
      <w:tr w14:paraId="5A41223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18" w:hRule="atLeast"/>
          <w:jc w:val="center"/>
        </w:trPr>
        <w:tc>
          <w:tcPr>
            <w:tcW w:w="396" w:type="dxa"/>
            <w:vMerge w:val="restart"/>
            <w:tcBorders>
              <w:tl2br w:val="nil"/>
              <w:tr2bl w:val="nil"/>
            </w:tcBorders>
            <w:noWrap w:val="0"/>
            <w:tcMar>
              <w:top w:w="15" w:type="dxa"/>
              <w:left w:w="108" w:type="dxa"/>
              <w:bottom w:w="15" w:type="dxa"/>
              <w:right w:w="108" w:type="dxa"/>
            </w:tcMar>
            <w:vAlign w:val="center"/>
          </w:tcPr>
          <w:p w14:paraId="48B153C8">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影响识别</w:t>
            </w:r>
          </w:p>
        </w:tc>
        <w:tc>
          <w:tcPr>
            <w:tcW w:w="1554" w:type="dxa"/>
            <w:tcBorders>
              <w:tl2br w:val="nil"/>
              <w:tr2bl w:val="nil"/>
            </w:tcBorders>
            <w:noWrap w:val="0"/>
            <w:tcMar>
              <w:top w:w="15" w:type="dxa"/>
              <w:left w:w="108" w:type="dxa"/>
              <w:bottom w:w="15" w:type="dxa"/>
              <w:right w:w="108" w:type="dxa"/>
            </w:tcMar>
            <w:vAlign w:val="center"/>
          </w:tcPr>
          <w:p w14:paraId="765A1557">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影响类型</w:t>
            </w:r>
          </w:p>
        </w:tc>
        <w:tc>
          <w:tcPr>
            <w:tcW w:w="7225" w:type="dxa"/>
            <w:gridSpan w:val="10"/>
            <w:tcBorders>
              <w:tl2br w:val="nil"/>
              <w:tr2bl w:val="nil"/>
            </w:tcBorders>
            <w:noWrap w:val="0"/>
            <w:tcMar>
              <w:top w:w="15" w:type="dxa"/>
              <w:left w:w="108" w:type="dxa"/>
              <w:bottom w:w="15" w:type="dxa"/>
              <w:right w:w="108" w:type="dxa"/>
            </w:tcMar>
            <w:vAlign w:val="center"/>
          </w:tcPr>
          <w:p w14:paraId="4C039D56">
            <w:pPr>
              <w:keepNext w:val="0"/>
              <w:keepLines w:val="0"/>
              <w:pageBreakBefore w:val="0"/>
              <w:widowControl/>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水环境影响类型</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；水文要素影响型□</w:t>
            </w:r>
          </w:p>
        </w:tc>
      </w:tr>
      <w:tr w14:paraId="1E3AB3B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605" w:hRule="atLeast"/>
          <w:jc w:val="center"/>
        </w:trPr>
        <w:tc>
          <w:tcPr>
            <w:tcW w:w="396" w:type="dxa"/>
            <w:vMerge w:val="continue"/>
            <w:tcBorders>
              <w:tl2br w:val="nil"/>
              <w:tr2bl w:val="nil"/>
            </w:tcBorders>
            <w:noWrap w:val="0"/>
            <w:vAlign w:val="center"/>
          </w:tcPr>
          <w:p w14:paraId="561CB560">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tcBorders>
              <w:tl2br w:val="nil"/>
              <w:tr2bl w:val="nil"/>
            </w:tcBorders>
            <w:noWrap w:val="0"/>
            <w:tcMar>
              <w:top w:w="15" w:type="dxa"/>
              <w:left w:w="108" w:type="dxa"/>
              <w:bottom w:w="15" w:type="dxa"/>
              <w:right w:w="108" w:type="dxa"/>
            </w:tcMar>
            <w:vAlign w:val="center"/>
          </w:tcPr>
          <w:p w14:paraId="7CA67B90">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水环境保护目标</w:t>
            </w:r>
          </w:p>
        </w:tc>
        <w:tc>
          <w:tcPr>
            <w:tcW w:w="7225" w:type="dxa"/>
            <w:gridSpan w:val="10"/>
            <w:tcBorders>
              <w:tl2br w:val="nil"/>
              <w:tr2bl w:val="nil"/>
            </w:tcBorders>
            <w:noWrap w:val="0"/>
            <w:tcMar>
              <w:top w:w="15" w:type="dxa"/>
              <w:left w:w="108" w:type="dxa"/>
              <w:bottom w:w="15" w:type="dxa"/>
              <w:right w:w="108" w:type="dxa"/>
            </w:tcMar>
            <w:vAlign w:val="center"/>
          </w:tcPr>
          <w:p w14:paraId="346BA0AC">
            <w:pPr>
              <w:keepNext w:val="0"/>
              <w:keepLines w:val="0"/>
              <w:pageBreakBefore w:val="0"/>
              <w:widowControl/>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饮用水水源保护区□；饮用水取水口□；涉水自然保护区□；重要湿地□；</w:t>
            </w:r>
          </w:p>
          <w:p w14:paraId="6B16DCC2">
            <w:pPr>
              <w:keepNext w:val="0"/>
              <w:keepLines w:val="0"/>
              <w:pageBreakBefore w:val="0"/>
              <w:widowControl/>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重点保护与珍稀水生生物栖息地□；重要水生生物的自然产卵场及索饵场、越冬场和洄游通道、天然渔场等渔业水体□；涉水的风景名胜区□；其他□</w:t>
            </w:r>
          </w:p>
        </w:tc>
      </w:tr>
      <w:tr w14:paraId="2E5C550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1" w:hRule="atLeast"/>
          <w:jc w:val="center"/>
        </w:trPr>
        <w:tc>
          <w:tcPr>
            <w:tcW w:w="396" w:type="dxa"/>
            <w:vMerge w:val="continue"/>
            <w:tcBorders>
              <w:tl2br w:val="nil"/>
              <w:tr2bl w:val="nil"/>
            </w:tcBorders>
            <w:noWrap w:val="0"/>
            <w:vAlign w:val="center"/>
          </w:tcPr>
          <w:p w14:paraId="43646C0C">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vMerge w:val="restart"/>
            <w:tcBorders>
              <w:tl2br w:val="nil"/>
              <w:tr2bl w:val="nil"/>
            </w:tcBorders>
            <w:noWrap w:val="0"/>
            <w:tcMar>
              <w:top w:w="15" w:type="dxa"/>
              <w:left w:w="108" w:type="dxa"/>
              <w:bottom w:w="15" w:type="dxa"/>
              <w:right w:w="108" w:type="dxa"/>
            </w:tcMar>
            <w:vAlign w:val="center"/>
          </w:tcPr>
          <w:p w14:paraId="425BCB06">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影响途径</w:t>
            </w:r>
          </w:p>
        </w:tc>
        <w:tc>
          <w:tcPr>
            <w:tcW w:w="3632" w:type="dxa"/>
            <w:gridSpan w:val="5"/>
            <w:tcBorders>
              <w:tl2br w:val="nil"/>
              <w:tr2bl w:val="nil"/>
            </w:tcBorders>
            <w:noWrap w:val="0"/>
            <w:tcMar>
              <w:top w:w="15" w:type="dxa"/>
              <w:left w:w="108" w:type="dxa"/>
              <w:bottom w:w="15" w:type="dxa"/>
              <w:right w:w="108" w:type="dxa"/>
            </w:tcMar>
            <w:vAlign w:val="center"/>
          </w:tcPr>
          <w:p w14:paraId="29D8699B">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水污染影响型</w:t>
            </w:r>
          </w:p>
        </w:tc>
        <w:tc>
          <w:tcPr>
            <w:tcW w:w="3593" w:type="dxa"/>
            <w:gridSpan w:val="5"/>
            <w:tcBorders>
              <w:tl2br w:val="nil"/>
              <w:tr2bl w:val="nil"/>
            </w:tcBorders>
            <w:noWrap w:val="0"/>
            <w:tcMar>
              <w:top w:w="15" w:type="dxa"/>
              <w:left w:w="108" w:type="dxa"/>
              <w:bottom w:w="15" w:type="dxa"/>
              <w:right w:w="108" w:type="dxa"/>
            </w:tcMar>
            <w:vAlign w:val="center"/>
          </w:tcPr>
          <w:p w14:paraId="000F450C">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水文要素影响型</w:t>
            </w:r>
          </w:p>
        </w:tc>
      </w:tr>
      <w:tr w14:paraId="438BD88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43A3D62D">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vMerge w:val="continue"/>
            <w:tcBorders>
              <w:tl2br w:val="nil"/>
              <w:tr2bl w:val="nil"/>
            </w:tcBorders>
            <w:noWrap w:val="0"/>
            <w:vAlign w:val="center"/>
          </w:tcPr>
          <w:p w14:paraId="7B6A5ACD">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3632" w:type="dxa"/>
            <w:gridSpan w:val="5"/>
            <w:tcBorders>
              <w:tl2br w:val="nil"/>
              <w:tr2bl w:val="nil"/>
            </w:tcBorders>
            <w:noWrap w:val="0"/>
            <w:tcMar>
              <w:top w:w="15" w:type="dxa"/>
              <w:left w:w="108" w:type="dxa"/>
              <w:bottom w:w="15" w:type="dxa"/>
              <w:right w:w="108" w:type="dxa"/>
            </w:tcMar>
            <w:vAlign w:val="center"/>
          </w:tcPr>
          <w:p w14:paraId="02F80441">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直接排放□；间接排放</w:t>
            </w:r>
            <w:r>
              <w:rPr>
                <w:rFonts w:hint="default" w:ascii="Times New Roman" w:hAnsi="Times New Roman" w:eastAsia="宋体" w:cs="Times New Roman"/>
                <w:color w:val="auto"/>
                <w:kern w:val="0"/>
                <w:sz w:val="18"/>
                <w:szCs w:val="18"/>
                <w:highlight w:val="none"/>
              </w:rPr>
              <w:sym w:font="Wingdings" w:char="00A8"/>
            </w:r>
            <w:r>
              <w:rPr>
                <w:rFonts w:hint="default" w:ascii="Times New Roman" w:hAnsi="Times New Roman" w:eastAsia="宋体" w:cs="Times New Roman"/>
                <w:color w:val="auto"/>
                <w:kern w:val="0"/>
                <w:sz w:val="18"/>
                <w:szCs w:val="18"/>
                <w:highlight w:val="none"/>
              </w:rPr>
              <w:t>；其他</w:t>
            </w:r>
            <w:r>
              <w:rPr>
                <w:rFonts w:hint="default" w:ascii="Times New Roman" w:hAnsi="Times New Roman" w:eastAsia="宋体" w:cs="Times New Roman"/>
                <w:color w:val="auto"/>
                <w:kern w:val="0"/>
                <w:sz w:val="18"/>
                <w:szCs w:val="18"/>
                <w:highlight w:val="none"/>
              </w:rPr>
              <w:sym w:font="Wingdings 2" w:char="0052"/>
            </w:r>
          </w:p>
        </w:tc>
        <w:tc>
          <w:tcPr>
            <w:tcW w:w="3593" w:type="dxa"/>
            <w:gridSpan w:val="5"/>
            <w:tcBorders>
              <w:tl2br w:val="nil"/>
              <w:tr2bl w:val="nil"/>
            </w:tcBorders>
            <w:noWrap w:val="0"/>
            <w:tcMar>
              <w:top w:w="15" w:type="dxa"/>
              <w:left w:w="108" w:type="dxa"/>
              <w:bottom w:w="15" w:type="dxa"/>
              <w:right w:w="108" w:type="dxa"/>
            </w:tcMar>
            <w:vAlign w:val="center"/>
          </w:tcPr>
          <w:p w14:paraId="4981F675">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水温□；径流□；水域面积□</w:t>
            </w:r>
          </w:p>
        </w:tc>
      </w:tr>
      <w:tr w14:paraId="737185E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77" w:hRule="atLeast"/>
          <w:jc w:val="center"/>
        </w:trPr>
        <w:tc>
          <w:tcPr>
            <w:tcW w:w="396" w:type="dxa"/>
            <w:vMerge w:val="continue"/>
            <w:tcBorders>
              <w:tl2br w:val="nil"/>
              <w:tr2bl w:val="nil"/>
            </w:tcBorders>
            <w:noWrap w:val="0"/>
            <w:vAlign w:val="center"/>
          </w:tcPr>
          <w:p w14:paraId="25F9E3DD">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tcBorders>
              <w:tl2br w:val="nil"/>
              <w:tr2bl w:val="nil"/>
            </w:tcBorders>
            <w:noWrap w:val="0"/>
            <w:tcMar>
              <w:top w:w="15" w:type="dxa"/>
              <w:left w:w="108" w:type="dxa"/>
              <w:bottom w:w="15" w:type="dxa"/>
              <w:right w:w="108" w:type="dxa"/>
            </w:tcMar>
            <w:vAlign w:val="center"/>
          </w:tcPr>
          <w:p w14:paraId="31790403">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影响因子</w:t>
            </w:r>
          </w:p>
        </w:tc>
        <w:tc>
          <w:tcPr>
            <w:tcW w:w="3632" w:type="dxa"/>
            <w:gridSpan w:val="5"/>
            <w:tcBorders>
              <w:tl2br w:val="nil"/>
              <w:tr2bl w:val="nil"/>
            </w:tcBorders>
            <w:noWrap w:val="0"/>
            <w:tcMar>
              <w:top w:w="15" w:type="dxa"/>
              <w:left w:w="108" w:type="dxa"/>
              <w:bottom w:w="15" w:type="dxa"/>
              <w:right w:w="108" w:type="dxa"/>
            </w:tcMar>
            <w:vAlign w:val="center"/>
          </w:tcPr>
          <w:p w14:paraId="35D069C8">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持久性污染物□；有毒有害污染物□；非持久性污染物</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；pH值□；热污染□；富营养化□；其他□</w:t>
            </w:r>
          </w:p>
        </w:tc>
        <w:tc>
          <w:tcPr>
            <w:tcW w:w="3593" w:type="dxa"/>
            <w:gridSpan w:val="5"/>
            <w:tcBorders>
              <w:tl2br w:val="nil"/>
              <w:tr2bl w:val="nil"/>
            </w:tcBorders>
            <w:noWrap w:val="0"/>
            <w:tcMar>
              <w:top w:w="15" w:type="dxa"/>
              <w:left w:w="108" w:type="dxa"/>
              <w:bottom w:w="15" w:type="dxa"/>
              <w:right w:w="108" w:type="dxa"/>
            </w:tcMar>
            <w:vAlign w:val="center"/>
          </w:tcPr>
          <w:p w14:paraId="1BEB7CFC">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水温□；水位（水深）□；流速□；流量□；其他□</w:t>
            </w:r>
          </w:p>
        </w:tc>
      </w:tr>
      <w:tr w14:paraId="599A81D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1950" w:type="dxa"/>
            <w:gridSpan w:val="2"/>
            <w:vMerge w:val="restart"/>
            <w:tcBorders>
              <w:tl2br w:val="nil"/>
              <w:tr2bl w:val="nil"/>
            </w:tcBorders>
            <w:noWrap w:val="0"/>
            <w:tcMar>
              <w:top w:w="15" w:type="dxa"/>
              <w:left w:w="108" w:type="dxa"/>
              <w:bottom w:w="15" w:type="dxa"/>
              <w:right w:w="108" w:type="dxa"/>
            </w:tcMar>
            <w:vAlign w:val="center"/>
          </w:tcPr>
          <w:p w14:paraId="0A094B37">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评价等级</w:t>
            </w:r>
          </w:p>
        </w:tc>
        <w:tc>
          <w:tcPr>
            <w:tcW w:w="3632" w:type="dxa"/>
            <w:gridSpan w:val="5"/>
            <w:tcBorders>
              <w:tl2br w:val="nil"/>
              <w:tr2bl w:val="nil"/>
            </w:tcBorders>
            <w:noWrap w:val="0"/>
            <w:tcMar>
              <w:top w:w="15" w:type="dxa"/>
              <w:left w:w="108" w:type="dxa"/>
              <w:bottom w:w="15" w:type="dxa"/>
              <w:right w:w="108" w:type="dxa"/>
            </w:tcMar>
            <w:vAlign w:val="center"/>
          </w:tcPr>
          <w:p w14:paraId="7424E699">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水污染影响型</w:t>
            </w:r>
          </w:p>
        </w:tc>
        <w:tc>
          <w:tcPr>
            <w:tcW w:w="3593" w:type="dxa"/>
            <w:gridSpan w:val="5"/>
            <w:tcBorders>
              <w:tl2br w:val="nil"/>
              <w:tr2bl w:val="nil"/>
            </w:tcBorders>
            <w:noWrap w:val="0"/>
            <w:tcMar>
              <w:top w:w="15" w:type="dxa"/>
              <w:left w:w="108" w:type="dxa"/>
              <w:bottom w:w="15" w:type="dxa"/>
              <w:right w:w="108" w:type="dxa"/>
            </w:tcMar>
            <w:vAlign w:val="center"/>
          </w:tcPr>
          <w:p w14:paraId="0AEC7CE0">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水文要素影响型</w:t>
            </w:r>
          </w:p>
        </w:tc>
      </w:tr>
      <w:tr w14:paraId="28124DF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1950" w:type="dxa"/>
            <w:gridSpan w:val="2"/>
            <w:vMerge w:val="continue"/>
            <w:tcBorders>
              <w:tl2br w:val="nil"/>
              <w:tr2bl w:val="nil"/>
            </w:tcBorders>
            <w:noWrap w:val="0"/>
            <w:vAlign w:val="center"/>
          </w:tcPr>
          <w:p w14:paraId="44087374">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3632" w:type="dxa"/>
            <w:gridSpan w:val="5"/>
            <w:tcBorders>
              <w:tl2br w:val="nil"/>
              <w:tr2bl w:val="nil"/>
            </w:tcBorders>
            <w:noWrap w:val="0"/>
            <w:tcMar>
              <w:top w:w="15" w:type="dxa"/>
              <w:left w:w="108" w:type="dxa"/>
              <w:bottom w:w="15" w:type="dxa"/>
              <w:right w:w="108" w:type="dxa"/>
            </w:tcMar>
            <w:vAlign w:val="center"/>
          </w:tcPr>
          <w:p w14:paraId="66BFC556">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一级□；二级□；三级A□；三级B</w:t>
            </w:r>
            <w:r>
              <w:rPr>
                <w:rFonts w:hint="default" w:ascii="Times New Roman" w:hAnsi="Times New Roman" w:eastAsia="宋体" w:cs="Times New Roman"/>
                <w:color w:val="auto"/>
                <w:kern w:val="0"/>
                <w:sz w:val="18"/>
                <w:szCs w:val="18"/>
                <w:highlight w:val="none"/>
              </w:rPr>
              <w:sym w:font="Wingdings" w:char="00FE"/>
            </w:r>
          </w:p>
        </w:tc>
        <w:tc>
          <w:tcPr>
            <w:tcW w:w="3593" w:type="dxa"/>
            <w:gridSpan w:val="5"/>
            <w:tcBorders>
              <w:tl2br w:val="nil"/>
              <w:tr2bl w:val="nil"/>
            </w:tcBorders>
            <w:noWrap w:val="0"/>
            <w:tcMar>
              <w:top w:w="15" w:type="dxa"/>
              <w:left w:w="108" w:type="dxa"/>
              <w:bottom w:w="15" w:type="dxa"/>
              <w:right w:w="108" w:type="dxa"/>
            </w:tcMar>
            <w:vAlign w:val="center"/>
          </w:tcPr>
          <w:p w14:paraId="701C7176">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一级□；二级□；三级□</w:t>
            </w:r>
          </w:p>
        </w:tc>
      </w:tr>
      <w:tr w14:paraId="5BBD088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restart"/>
            <w:tcBorders>
              <w:tl2br w:val="nil"/>
              <w:tr2bl w:val="nil"/>
            </w:tcBorders>
            <w:noWrap w:val="0"/>
            <w:tcMar>
              <w:top w:w="15" w:type="dxa"/>
              <w:left w:w="108" w:type="dxa"/>
              <w:bottom w:w="15" w:type="dxa"/>
              <w:right w:w="108" w:type="dxa"/>
            </w:tcMar>
            <w:vAlign w:val="center"/>
          </w:tcPr>
          <w:p w14:paraId="16B6506F">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现状调查</w:t>
            </w:r>
          </w:p>
        </w:tc>
        <w:tc>
          <w:tcPr>
            <w:tcW w:w="1554" w:type="dxa"/>
            <w:vMerge w:val="restart"/>
            <w:tcBorders>
              <w:tl2br w:val="nil"/>
              <w:tr2bl w:val="nil"/>
            </w:tcBorders>
            <w:noWrap w:val="0"/>
            <w:tcMar>
              <w:top w:w="15" w:type="dxa"/>
              <w:left w:w="108" w:type="dxa"/>
              <w:bottom w:w="15" w:type="dxa"/>
              <w:right w:w="108" w:type="dxa"/>
            </w:tcMar>
            <w:vAlign w:val="center"/>
          </w:tcPr>
          <w:p w14:paraId="645D9A01">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区域污染源</w:t>
            </w:r>
          </w:p>
        </w:tc>
        <w:tc>
          <w:tcPr>
            <w:tcW w:w="3632" w:type="dxa"/>
            <w:gridSpan w:val="5"/>
            <w:tcBorders>
              <w:tl2br w:val="nil"/>
              <w:tr2bl w:val="nil"/>
            </w:tcBorders>
            <w:noWrap w:val="0"/>
            <w:tcMar>
              <w:top w:w="15" w:type="dxa"/>
              <w:left w:w="108" w:type="dxa"/>
              <w:bottom w:w="15" w:type="dxa"/>
              <w:right w:w="108" w:type="dxa"/>
            </w:tcMar>
            <w:vAlign w:val="center"/>
          </w:tcPr>
          <w:p w14:paraId="1F5FB570">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调查项目</w:t>
            </w:r>
          </w:p>
        </w:tc>
        <w:tc>
          <w:tcPr>
            <w:tcW w:w="3593" w:type="dxa"/>
            <w:gridSpan w:val="5"/>
            <w:tcBorders>
              <w:tl2br w:val="nil"/>
              <w:tr2bl w:val="nil"/>
            </w:tcBorders>
            <w:noWrap w:val="0"/>
            <w:tcMar>
              <w:top w:w="15" w:type="dxa"/>
              <w:left w:w="108" w:type="dxa"/>
              <w:bottom w:w="15" w:type="dxa"/>
              <w:right w:w="108" w:type="dxa"/>
            </w:tcMar>
            <w:vAlign w:val="center"/>
          </w:tcPr>
          <w:p w14:paraId="466C822C">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数据来源</w:t>
            </w:r>
          </w:p>
        </w:tc>
      </w:tr>
      <w:tr w14:paraId="7E6FEEB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632" w:hRule="atLeast"/>
          <w:jc w:val="center"/>
        </w:trPr>
        <w:tc>
          <w:tcPr>
            <w:tcW w:w="396" w:type="dxa"/>
            <w:vMerge w:val="continue"/>
            <w:tcBorders>
              <w:tl2br w:val="nil"/>
              <w:tr2bl w:val="nil"/>
            </w:tcBorders>
            <w:noWrap w:val="0"/>
            <w:vAlign w:val="center"/>
          </w:tcPr>
          <w:p w14:paraId="63B81D89">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vMerge w:val="continue"/>
            <w:tcBorders>
              <w:tl2br w:val="nil"/>
              <w:tr2bl w:val="nil"/>
            </w:tcBorders>
            <w:noWrap w:val="0"/>
            <w:vAlign w:val="center"/>
          </w:tcPr>
          <w:p w14:paraId="67EE1D27">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2021" w:type="dxa"/>
            <w:gridSpan w:val="2"/>
            <w:tcBorders>
              <w:tl2br w:val="nil"/>
              <w:tr2bl w:val="nil"/>
            </w:tcBorders>
            <w:noWrap w:val="0"/>
            <w:tcMar>
              <w:top w:w="15" w:type="dxa"/>
              <w:left w:w="108" w:type="dxa"/>
              <w:bottom w:w="15" w:type="dxa"/>
              <w:right w:w="108" w:type="dxa"/>
            </w:tcMar>
            <w:vAlign w:val="center"/>
          </w:tcPr>
          <w:p w14:paraId="7CB82F40">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已建□；在建□；拟建</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；其他□</w:t>
            </w:r>
          </w:p>
        </w:tc>
        <w:tc>
          <w:tcPr>
            <w:tcW w:w="1611" w:type="dxa"/>
            <w:gridSpan w:val="3"/>
            <w:tcBorders>
              <w:tl2br w:val="nil"/>
              <w:tr2bl w:val="nil"/>
            </w:tcBorders>
            <w:noWrap w:val="0"/>
            <w:tcMar>
              <w:top w:w="15" w:type="dxa"/>
              <w:left w:w="108" w:type="dxa"/>
              <w:bottom w:w="15" w:type="dxa"/>
              <w:right w:w="108" w:type="dxa"/>
            </w:tcMar>
            <w:vAlign w:val="center"/>
          </w:tcPr>
          <w:p w14:paraId="36CA8742">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拟代替的污染源□</w:t>
            </w:r>
          </w:p>
        </w:tc>
        <w:tc>
          <w:tcPr>
            <w:tcW w:w="3593" w:type="dxa"/>
            <w:gridSpan w:val="5"/>
            <w:tcBorders>
              <w:tl2br w:val="nil"/>
              <w:tr2bl w:val="nil"/>
            </w:tcBorders>
            <w:noWrap w:val="0"/>
            <w:tcMar>
              <w:top w:w="15" w:type="dxa"/>
              <w:left w:w="108" w:type="dxa"/>
              <w:bottom w:w="15" w:type="dxa"/>
              <w:right w:w="108" w:type="dxa"/>
            </w:tcMar>
            <w:vAlign w:val="center"/>
          </w:tcPr>
          <w:p w14:paraId="4735A2A4">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排污许可证□；环评□；环保验收□；既有实测□；现场监测□；入河排放口数据□；其他□</w:t>
            </w:r>
          </w:p>
        </w:tc>
      </w:tr>
      <w:tr w14:paraId="5D9A5DD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396" w:type="dxa"/>
            <w:vMerge w:val="continue"/>
            <w:tcBorders>
              <w:tl2br w:val="nil"/>
              <w:tr2bl w:val="nil"/>
            </w:tcBorders>
            <w:noWrap w:val="0"/>
            <w:vAlign w:val="center"/>
          </w:tcPr>
          <w:p w14:paraId="21338EF4">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vMerge w:val="restart"/>
            <w:tcBorders>
              <w:tl2br w:val="nil"/>
              <w:tr2bl w:val="nil"/>
            </w:tcBorders>
            <w:noWrap w:val="0"/>
            <w:tcMar>
              <w:top w:w="15" w:type="dxa"/>
              <w:left w:w="108" w:type="dxa"/>
              <w:bottom w:w="15" w:type="dxa"/>
              <w:right w:w="108" w:type="dxa"/>
            </w:tcMar>
            <w:vAlign w:val="center"/>
          </w:tcPr>
          <w:p w14:paraId="29DC5816">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受影响水体水环境质量</w:t>
            </w:r>
          </w:p>
        </w:tc>
        <w:tc>
          <w:tcPr>
            <w:tcW w:w="3632" w:type="dxa"/>
            <w:gridSpan w:val="5"/>
            <w:tcBorders>
              <w:tl2br w:val="nil"/>
              <w:tr2bl w:val="nil"/>
            </w:tcBorders>
            <w:noWrap w:val="0"/>
            <w:tcMar>
              <w:top w:w="15" w:type="dxa"/>
              <w:left w:w="108" w:type="dxa"/>
              <w:bottom w:w="15" w:type="dxa"/>
              <w:right w:w="108" w:type="dxa"/>
            </w:tcMar>
            <w:vAlign w:val="center"/>
          </w:tcPr>
          <w:p w14:paraId="11F06D59">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调查时期</w:t>
            </w:r>
          </w:p>
        </w:tc>
        <w:tc>
          <w:tcPr>
            <w:tcW w:w="3593" w:type="dxa"/>
            <w:gridSpan w:val="5"/>
            <w:tcBorders>
              <w:tl2br w:val="nil"/>
              <w:tr2bl w:val="nil"/>
            </w:tcBorders>
            <w:noWrap w:val="0"/>
            <w:tcMar>
              <w:top w:w="15" w:type="dxa"/>
              <w:left w:w="108" w:type="dxa"/>
              <w:bottom w:w="15" w:type="dxa"/>
              <w:right w:w="108" w:type="dxa"/>
            </w:tcMar>
            <w:vAlign w:val="center"/>
          </w:tcPr>
          <w:p w14:paraId="0063F606">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数据来源</w:t>
            </w:r>
          </w:p>
        </w:tc>
      </w:tr>
      <w:tr w14:paraId="7D7ACBD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1264F78B">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vMerge w:val="continue"/>
            <w:tcBorders>
              <w:tl2br w:val="nil"/>
              <w:tr2bl w:val="nil"/>
            </w:tcBorders>
            <w:noWrap w:val="0"/>
            <w:vAlign w:val="center"/>
          </w:tcPr>
          <w:p w14:paraId="4128D8CD">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3632" w:type="dxa"/>
            <w:gridSpan w:val="5"/>
            <w:tcBorders>
              <w:tl2br w:val="nil"/>
              <w:tr2bl w:val="nil"/>
            </w:tcBorders>
            <w:noWrap w:val="0"/>
            <w:tcMar>
              <w:top w:w="15" w:type="dxa"/>
              <w:left w:w="108" w:type="dxa"/>
              <w:bottom w:w="15" w:type="dxa"/>
              <w:right w:w="108" w:type="dxa"/>
            </w:tcMar>
            <w:vAlign w:val="center"/>
          </w:tcPr>
          <w:p w14:paraId="2B88CCE0">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丰水期</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；平水期</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；枯水期</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；冰封期</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w:t>
            </w:r>
          </w:p>
          <w:p w14:paraId="54DF9238">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春季</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；夏季</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；秋季</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；冬季</w:t>
            </w:r>
            <w:r>
              <w:rPr>
                <w:rFonts w:hint="default" w:ascii="Times New Roman" w:hAnsi="Times New Roman" w:eastAsia="宋体" w:cs="Times New Roman"/>
                <w:color w:val="auto"/>
                <w:kern w:val="0"/>
                <w:sz w:val="18"/>
                <w:szCs w:val="18"/>
                <w:highlight w:val="none"/>
              </w:rPr>
              <w:sym w:font="Wingdings" w:char="00FE"/>
            </w:r>
          </w:p>
        </w:tc>
        <w:tc>
          <w:tcPr>
            <w:tcW w:w="3593" w:type="dxa"/>
            <w:gridSpan w:val="5"/>
            <w:tcBorders>
              <w:tl2br w:val="nil"/>
              <w:tr2bl w:val="nil"/>
            </w:tcBorders>
            <w:noWrap w:val="0"/>
            <w:tcMar>
              <w:top w:w="15" w:type="dxa"/>
              <w:left w:w="108" w:type="dxa"/>
              <w:bottom w:w="15" w:type="dxa"/>
              <w:right w:w="108" w:type="dxa"/>
            </w:tcMar>
            <w:vAlign w:val="center"/>
          </w:tcPr>
          <w:p w14:paraId="32FF08C0">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生态环境保护主管部门</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；补充监测□；其他□</w:t>
            </w:r>
          </w:p>
        </w:tc>
      </w:tr>
      <w:tr w14:paraId="00EC46B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1D4B7837">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tcBorders>
              <w:tl2br w:val="nil"/>
              <w:tr2bl w:val="nil"/>
            </w:tcBorders>
            <w:noWrap w:val="0"/>
            <w:tcMar>
              <w:top w:w="15" w:type="dxa"/>
              <w:left w:w="108" w:type="dxa"/>
              <w:bottom w:w="15" w:type="dxa"/>
              <w:right w:w="108" w:type="dxa"/>
            </w:tcMar>
            <w:vAlign w:val="center"/>
          </w:tcPr>
          <w:p w14:paraId="1910F1BC">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区域水资源开发利用状况</w:t>
            </w:r>
          </w:p>
        </w:tc>
        <w:tc>
          <w:tcPr>
            <w:tcW w:w="7225" w:type="dxa"/>
            <w:gridSpan w:val="10"/>
            <w:tcBorders>
              <w:tl2br w:val="nil"/>
              <w:tr2bl w:val="nil"/>
            </w:tcBorders>
            <w:noWrap w:val="0"/>
            <w:tcMar>
              <w:top w:w="15" w:type="dxa"/>
              <w:left w:w="108" w:type="dxa"/>
              <w:bottom w:w="15" w:type="dxa"/>
              <w:right w:w="108" w:type="dxa"/>
            </w:tcMar>
            <w:vAlign w:val="center"/>
          </w:tcPr>
          <w:p w14:paraId="08ED3835">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未开发□；开发量40%以下□；开发量40%以上□</w:t>
            </w:r>
          </w:p>
        </w:tc>
      </w:tr>
      <w:tr w14:paraId="158C2AC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14B877BC">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vMerge w:val="restart"/>
            <w:tcBorders>
              <w:tl2br w:val="nil"/>
              <w:tr2bl w:val="nil"/>
            </w:tcBorders>
            <w:noWrap w:val="0"/>
            <w:tcMar>
              <w:top w:w="15" w:type="dxa"/>
              <w:left w:w="108" w:type="dxa"/>
              <w:bottom w:w="15" w:type="dxa"/>
              <w:right w:w="108" w:type="dxa"/>
            </w:tcMar>
            <w:vAlign w:val="center"/>
          </w:tcPr>
          <w:p w14:paraId="78E1555D">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水文情势调查</w:t>
            </w:r>
          </w:p>
        </w:tc>
        <w:tc>
          <w:tcPr>
            <w:tcW w:w="3632" w:type="dxa"/>
            <w:gridSpan w:val="5"/>
            <w:tcBorders>
              <w:tl2br w:val="nil"/>
              <w:tr2bl w:val="nil"/>
            </w:tcBorders>
            <w:noWrap w:val="0"/>
            <w:tcMar>
              <w:top w:w="15" w:type="dxa"/>
              <w:left w:w="108" w:type="dxa"/>
              <w:bottom w:w="15" w:type="dxa"/>
              <w:right w:w="108" w:type="dxa"/>
            </w:tcMar>
            <w:vAlign w:val="center"/>
          </w:tcPr>
          <w:p w14:paraId="238E65BE">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调查时期</w:t>
            </w:r>
          </w:p>
        </w:tc>
        <w:tc>
          <w:tcPr>
            <w:tcW w:w="3593" w:type="dxa"/>
            <w:gridSpan w:val="5"/>
            <w:tcBorders>
              <w:tl2br w:val="nil"/>
              <w:tr2bl w:val="nil"/>
            </w:tcBorders>
            <w:noWrap w:val="0"/>
            <w:tcMar>
              <w:top w:w="15" w:type="dxa"/>
              <w:left w:w="108" w:type="dxa"/>
              <w:bottom w:w="15" w:type="dxa"/>
              <w:right w:w="108" w:type="dxa"/>
            </w:tcMar>
            <w:vAlign w:val="center"/>
          </w:tcPr>
          <w:p w14:paraId="3524A58C">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数据来源</w:t>
            </w:r>
          </w:p>
        </w:tc>
      </w:tr>
      <w:tr w14:paraId="36A824B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1E0273E3">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vMerge w:val="continue"/>
            <w:tcBorders>
              <w:tl2br w:val="nil"/>
              <w:tr2bl w:val="nil"/>
            </w:tcBorders>
            <w:noWrap w:val="0"/>
            <w:vAlign w:val="center"/>
          </w:tcPr>
          <w:p w14:paraId="1AFF2BC6">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3632" w:type="dxa"/>
            <w:gridSpan w:val="5"/>
            <w:tcBorders>
              <w:tl2br w:val="nil"/>
              <w:tr2bl w:val="nil"/>
            </w:tcBorders>
            <w:noWrap w:val="0"/>
            <w:tcMar>
              <w:top w:w="15" w:type="dxa"/>
              <w:left w:w="108" w:type="dxa"/>
              <w:bottom w:w="15" w:type="dxa"/>
              <w:right w:w="108" w:type="dxa"/>
            </w:tcMar>
            <w:vAlign w:val="center"/>
          </w:tcPr>
          <w:p w14:paraId="45831157">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丰水期□；平水期□；枯水期□；冰封期□；</w:t>
            </w:r>
          </w:p>
          <w:p w14:paraId="092AA02B">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春季□；夏季□；秋季□；冬季□</w:t>
            </w:r>
          </w:p>
        </w:tc>
        <w:tc>
          <w:tcPr>
            <w:tcW w:w="3593" w:type="dxa"/>
            <w:gridSpan w:val="5"/>
            <w:tcBorders>
              <w:tl2br w:val="nil"/>
              <w:tr2bl w:val="nil"/>
            </w:tcBorders>
            <w:noWrap w:val="0"/>
            <w:tcMar>
              <w:top w:w="15" w:type="dxa"/>
              <w:left w:w="108" w:type="dxa"/>
              <w:bottom w:w="15" w:type="dxa"/>
              <w:right w:w="108" w:type="dxa"/>
            </w:tcMar>
            <w:vAlign w:val="center"/>
          </w:tcPr>
          <w:p w14:paraId="765597A7">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水行政主管部门□；补充监测□；其他□</w:t>
            </w:r>
          </w:p>
        </w:tc>
      </w:tr>
      <w:tr w14:paraId="58550AE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1680917E">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vMerge w:val="restart"/>
            <w:tcBorders>
              <w:tl2br w:val="nil"/>
              <w:tr2bl w:val="nil"/>
            </w:tcBorders>
            <w:noWrap w:val="0"/>
            <w:tcMar>
              <w:top w:w="15" w:type="dxa"/>
              <w:left w:w="108" w:type="dxa"/>
              <w:bottom w:w="15" w:type="dxa"/>
              <w:right w:w="108" w:type="dxa"/>
            </w:tcMar>
            <w:vAlign w:val="center"/>
          </w:tcPr>
          <w:p w14:paraId="2F7A9AC6">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补充监测</w:t>
            </w:r>
          </w:p>
        </w:tc>
        <w:tc>
          <w:tcPr>
            <w:tcW w:w="3632" w:type="dxa"/>
            <w:gridSpan w:val="5"/>
            <w:tcBorders>
              <w:tl2br w:val="nil"/>
              <w:tr2bl w:val="nil"/>
            </w:tcBorders>
            <w:noWrap w:val="0"/>
            <w:tcMar>
              <w:top w:w="15" w:type="dxa"/>
              <w:left w:w="108" w:type="dxa"/>
              <w:bottom w:w="15" w:type="dxa"/>
              <w:right w:w="108" w:type="dxa"/>
            </w:tcMar>
            <w:vAlign w:val="center"/>
          </w:tcPr>
          <w:p w14:paraId="7586DA11">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监测时期</w:t>
            </w:r>
          </w:p>
        </w:tc>
        <w:tc>
          <w:tcPr>
            <w:tcW w:w="1241" w:type="dxa"/>
            <w:gridSpan w:val="3"/>
            <w:tcBorders>
              <w:tl2br w:val="nil"/>
              <w:tr2bl w:val="nil"/>
            </w:tcBorders>
            <w:noWrap w:val="0"/>
            <w:tcMar>
              <w:top w:w="15" w:type="dxa"/>
              <w:left w:w="108" w:type="dxa"/>
              <w:bottom w:w="15" w:type="dxa"/>
              <w:right w:w="108" w:type="dxa"/>
            </w:tcMar>
            <w:vAlign w:val="center"/>
          </w:tcPr>
          <w:p w14:paraId="1CAD0B9F">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监测因子</w:t>
            </w:r>
          </w:p>
        </w:tc>
        <w:tc>
          <w:tcPr>
            <w:tcW w:w="2352" w:type="dxa"/>
            <w:gridSpan w:val="2"/>
            <w:tcBorders>
              <w:tl2br w:val="nil"/>
              <w:tr2bl w:val="nil"/>
            </w:tcBorders>
            <w:noWrap w:val="0"/>
            <w:tcMar>
              <w:top w:w="15" w:type="dxa"/>
              <w:left w:w="108" w:type="dxa"/>
              <w:bottom w:w="15" w:type="dxa"/>
              <w:right w:w="108" w:type="dxa"/>
            </w:tcMar>
            <w:vAlign w:val="center"/>
          </w:tcPr>
          <w:p w14:paraId="6A7D0604">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监测断面或点位</w:t>
            </w:r>
          </w:p>
        </w:tc>
      </w:tr>
      <w:tr w14:paraId="1C246D4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2B578C26">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vMerge w:val="continue"/>
            <w:tcBorders>
              <w:tl2br w:val="nil"/>
              <w:tr2bl w:val="nil"/>
            </w:tcBorders>
            <w:noWrap w:val="0"/>
            <w:vAlign w:val="center"/>
          </w:tcPr>
          <w:p w14:paraId="6994E455">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3632" w:type="dxa"/>
            <w:gridSpan w:val="5"/>
            <w:tcBorders>
              <w:tl2br w:val="nil"/>
              <w:tr2bl w:val="nil"/>
            </w:tcBorders>
            <w:noWrap w:val="0"/>
            <w:tcMar>
              <w:top w:w="15" w:type="dxa"/>
              <w:left w:w="108" w:type="dxa"/>
              <w:bottom w:w="15" w:type="dxa"/>
              <w:right w:w="108" w:type="dxa"/>
            </w:tcMar>
            <w:vAlign w:val="center"/>
          </w:tcPr>
          <w:p w14:paraId="01852C12">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丰水期□；平水期□；枯水期□；冰封期□；</w:t>
            </w:r>
          </w:p>
          <w:p w14:paraId="2F3826B8">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春季□；夏季□；秋季□；冬季□</w:t>
            </w:r>
          </w:p>
        </w:tc>
        <w:tc>
          <w:tcPr>
            <w:tcW w:w="1241" w:type="dxa"/>
            <w:gridSpan w:val="3"/>
            <w:tcBorders>
              <w:tl2br w:val="nil"/>
              <w:tr2bl w:val="nil"/>
            </w:tcBorders>
            <w:noWrap w:val="0"/>
            <w:tcMar>
              <w:top w:w="15" w:type="dxa"/>
              <w:left w:w="108" w:type="dxa"/>
              <w:bottom w:w="15" w:type="dxa"/>
              <w:right w:w="108" w:type="dxa"/>
            </w:tcMar>
            <w:vAlign w:val="center"/>
          </w:tcPr>
          <w:p w14:paraId="779341AC">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tc>
        <w:tc>
          <w:tcPr>
            <w:tcW w:w="2352" w:type="dxa"/>
            <w:gridSpan w:val="2"/>
            <w:tcBorders>
              <w:tl2br w:val="nil"/>
              <w:tr2bl w:val="nil"/>
            </w:tcBorders>
            <w:noWrap w:val="0"/>
            <w:tcMar>
              <w:top w:w="15" w:type="dxa"/>
              <w:left w:w="108" w:type="dxa"/>
              <w:bottom w:w="15" w:type="dxa"/>
              <w:right w:w="108" w:type="dxa"/>
            </w:tcMar>
            <w:vAlign w:val="center"/>
          </w:tcPr>
          <w:p w14:paraId="11E6CD92">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监测断面或点位个数（）个</w:t>
            </w:r>
          </w:p>
        </w:tc>
      </w:tr>
      <w:tr w14:paraId="4BF6708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restart"/>
            <w:tcBorders>
              <w:tl2br w:val="nil"/>
              <w:tr2bl w:val="nil"/>
            </w:tcBorders>
            <w:noWrap w:val="0"/>
            <w:tcMar>
              <w:top w:w="15" w:type="dxa"/>
              <w:left w:w="108" w:type="dxa"/>
              <w:bottom w:w="15" w:type="dxa"/>
              <w:right w:w="108" w:type="dxa"/>
            </w:tcMar>
            <w:vAlign w:val="center"/>
          </w:tcPr>
          <w:p w14:paraId="61224445">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现状评价</w:t>
            </w:r>
          </w:p>
        </w:tc>
        <w:tc>
          <w:tcPr>
            <w:tcW w:w="1554" w:type="dxa"/>
            <w:tcBorders>
              <w:tl2br w:val="nil"/>
              <w:tr2bl w:val="nil"/>
            </w:tcBorders>
            <w:noWrap w:val="0"/>
            <w:tcMar>
              <w:top w:w="15" w:type="dxa"/>
              <w:left w:w="108" w:type="dxa"/>
              <w:bottom w:w="15" w:type="dxa"/>
              <w:right w:w="108" w:type="dxa"/>
            </w:tcMar>
            <w:vAlign w:val="center"/>
          </w:tcPr>
          <w:p w14:paraId="7E1D7F0A">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评价范围</w:t>
            </w:r>
          </w:p>
        </w:tc>
        <w:tc>
          <w:tcPr>
            <w:tcW w:w="7225" w:type="dxa"/>
            <w:gridSpan w:val="10"/>
            <w:tcBorders>
              <w:tl2br w:val="nil"/>
              <w:tr2bl w:val="nil"/>
            </w:tcBorders>
            <w:noWrap w:val="0"/>
            <w:tcMar>
              <w:top w:w="15" w:type="dxa"/>
              <w:left w:w="108" w:type="dxa"/>
              <w:bottom w:w="15" w:type="dxa"/>
              <w:right w:w="108" w:type="dxa"/>
            </w:tcMar>
            <w:vAlign w:val="center"/>
          </w:tcPr>
          <w:p w14:paraId="3B065235">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河流：长度（）km；湖库、河口及近岸海域：面积（）km²</w:t>
            </w:r>
          </w:p>
        </w:tc>
      </w:tr>
      <w:tr w14:paraId="4F8372A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050BF038">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tcBorders>
              <w:tl2br w:val="nil"/>
              <w:tr2bl w:val="nil"/>
            </w:tcBorders>
            <w:noWrap w:val="0"/>
            <w:tcMar>
              <w:top w:w="15" w:type="dxa"/>
              <w:left w:w="108" w:type="dxa"/>
              <w:bottom w:w="15" w:type="dxa"/>
              <w:right w:w="108" w:type="dxa"/>
            </w:tcMar>
            <w:vAlign w:val="center"/>
          </w:tcPr>
          <w:p w14:paraId="5FEDEEBB">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评价因子</w:t>
            </w:r>
          </w:p>
        </w:tc>
        <w:tc>
          <w:tcPr>
            <w:tcW w:w="7225" w:type="dxa"/>
            <w:gridSpan w:val="10"/>
            <w:tcBorders>
              <w:tl2br w:val="nil"/>
              <w:tr2bl w:val="nil"/>
            </w:tcBorders>
            <w:noWrap w:val="0"/>
            <w:tcMar>
              <w:top w:w="15" w:type="dxa"/>
              <w:left w:w="108" w:type="dxa"/>
              <w:bottom w:w="15" w:type="dxa"/>
              <w:right w:w="108" w:type="dxa"/>
            </w:tcMar>
            <w:vAlign w:val="center"/>
          </w:tcPr>
          <w:p w14:paraId="676E633F">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（pH、COD、五日生化需氧量、氨氮）</w:t>
            </w:r>
          </w:p>
        </w:tc>
      </w:tr>
      <w:tr w14:paraId="7FF5BA3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50C9F033">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tcBorders>
              <w:tl2br w:val="nil"/>
              <w:tr2bl w:val="nil"/>
            </w:tcBorders>
            <w:noWrap w:val="0"/>
            <w:tcMar>
              <w:top w:w="15" w:type="dxa"/>
              <w:left w:w="108" w:type="dxa"/>
              <w:bottom w:w="15" w:type="dxa"/>
              <w:right w:w="108" w:type="dxa"/>
            </w:tcMar>
            <w:vAlign w:val="center"/>
          </w:tcPr>
          <w:p w14:paraId="3B814C92">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评价标准</w:t>
            </w:r>
          </w:p>
        </w:tc>
        <w:tc>
          <w:tcPr>
            <w:tcW w:w="7225" w:type="dxa"/>
            <w:gridSpan w:val="10"/>
            <w:tcBorders>
              <w:tl2br w:val="nil"/>
              <w:tr2bl w:val="nil"/>
            </w:tcBorders>
            <w:noWrap w:val="0"/>
            <w:tcMar>
              <w:top w:w="15" w:type="dxa"/>
              <w:left w:w="108" w:type="dxa"/>
              <w:bottom w:w="15" w:type="dxa"/>
              <w:right w:w="108" w:type="dxa"/>
            </w:tcMar>
            <w:vAlign w:val="center"/>
          </w:tcPr>
          <w:p w14:paraId="18DD79DA">
            <w:pPr>
              <w:keepNext w:val="0"/>
              <w:keepLines w:val="0"/>
              <w:pageBreakBefore w:val="0"/>
              <w:widowControl/>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河流、湖岸、河口：I类□；II类□；III类</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；IV类</w:t>
            </w:r>
            <w:r>
              <w:rPr>
                <w:rFonts w:hint="default" w:ascii="Times New Roman" w:hAnsi="Times New Roman" w:eastAsia="宋体" w:cs="Times New Roman"/>
                <w:color w:val="auto"/>
                <w:kern w:val="0"/>
                <w:sz w:val="18"/>
                <w:szCs w:val="18"/>
                <w:highlight w:val="none"/>
              </w:rPr>
              <w:sym w:font="Wingdings" w:char="00A8"/>
            </w:r>
            <w:r>
              <w:rPr>
                <w:rFonts w:hint="default" w:ascii="Times New Roman" w:hAnsi="Times New Roman" w:eastAsia="宋体" w:cs="Times New Roman"/>
                <w:color w:val="auto"/>
                <w:kern w:val="0"/>
                <w:sz w:val="18"/>
                <w:szCs w:val="18"/>
                <w:highlight w:val="none"/>
              </w:rPr>
              <w:t>；V类□</w:t>
            </w:r>
          </w:p>
          <w:p w14:paraId="070AB8E2">
            <w:pPr>
              <w:keepNext w:val="0"/>
              <w:keepLines w:val="0"/>
              <w:pageBreakBefore w:val="0"/>
              <w:widowControl/>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近岸海域：第一类□；第二类□；第三类□；第四类□</w:t>
            </w:r>
          </w:p>
          <w:p w14:paraId="43DD9E24">
            <w:pPr>
              <w:keepNext w:val="0"/>
              <w:keepLines w:val="0"/>
              <w:pageBreakBefore w:val="0"/>
              <w:widowControl/>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规划年评价标准（</w:t>
            </w:r>
            <w:r>
              <w:rPr>
                <w:rFonts w:hint="eastAsia" w:ascii="Times New Roman" w:hAnsi="Times New Roman" w:eastAsia="宋体" w:cs="Times New Roman"/>
                <w:color w:val="auto"/>
                <w:kern w:val="0"/>
                <w:sz w:val="18"/>
                <w:szCs w:val="18"/>
                <w:highlight w:val="none"/>
                <w:lang w:val="en-US" w:eastAsia="zh-CN"/>
              </w:rPr>
              <w:t>2024</w:t>
            </w:r>
            <w:r>
              <w:rPr>
                <w:rFonts w:hint="default" w:ascii="Times New Roman" w:hAnsi="Times New Roman" w:eastAsia="宋体" w:cs="Times New Roman"/>
                <w:color w:val="auto"/>
                <w:kern w:val="0"/>
                <w:sz w:val="18"/>
                <w:szCs w:val="18"/>
                <w:highlight w:val="none"/>
              </w:rPr>
              <w:t>）</w:t>
            </w:r>
          </w:p>
        </w:tc>
      </w:tr>
      <w:tr w14:paraId="3578BE8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6826E513">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tcBorders>
              <w:tl2br w:val="nil"/>
              <w:tr2bl w:val="nil"/>
            </w:tcBorders>
            <w:noWrap w:val="0"/>
            <w:tcMar>
              <w:top w:w="15" w:type="dxa"/>
              <w:left w:w="108" w:type="dxa"/>
              <w:bottom w:w="15" w:type="dxa"/>
              <w:right w:w="108" w:type="dxa"/>
            </w:tcMar>
            <w:vAlign w:val="center"/>
          </w:tcPr>
          <w:p w14:paraId="2C6492B0">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评价时期</w:t>
            </w:r>
          </w:p>
        </w:tc>
        <w:tc>
          <w:tcPr>
            <w:tcW w:w="7225" w:type="dxa"/>
            <w:gridSpan w:val="10"/>
            <w:tcBorders>
              <w:tl2br w:val="nil"/>
              <w:tr2bl w:val="nil"/>
            </w:tcBorders>
            <w:noWrap w:val="0"/>
            <w:tcMar>
              <w:top w:w="15" w:type="dxa"/>
              <w:left w:w="108" w:type="dxa"/>
              <w:bottom w:w="15" w:type="dxa"/>
              <w:right w:w="108" w:type="dxa"/>
            </w:tcMar>
            <w:vAlign w:val="center"/>
          </w:tcPr>
          <w:p w14:paraId="7F3358E7">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丰水期</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；平水期</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；枯水期</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；冰封期</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w:t>
            </w:r>
          </w:p>
          <w:p w14:paraId="44D0FC64">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春季</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；夏季</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；秋季</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；冬季</w:t>
            </w:r>
            <w:r>
              <w:rPr>
                <w:rFonts w:hint="default" w:ascii="Times New Roman" w:hAnsi="Times New Roman" w:eastAsia="宋体" w:cs="Times New Roman"/>
                <w:color w:val="auto"/>
                <w:kern w:val="0"/>
                <w:sz w:val="18"/>
                <w:szCs w:val="18"/>
                <w:highlight w:val="none"/>
              </w:rPr>
              <w:sym w:font="Wingdings" w:char="00FE"/>
            </w:r>
          </w:p>
        </w:tc>
      </w:tr>
      <w:tr w14:paraId="5B80887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362713DC">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tcBorders>
              <w:tl2br w:val="nil"/>
              <w:tr2bl w:val="nil"/>
            </w:tcBorders>
            <w:noWrap w:val="0"/>
            <w:tcMar>
              <w:top w:w="15" w:type="dxa"/>
              <w:left w:w="108" w:type="dxa"/>
              <w:bottom w:w="15" w:type="dxa"/>
              <w:right w:w="108" w:type="dxa"/>
            </w:tcMar>
            <w:vAlign w:val="center"/>
          </w:tcPr>
          <w:p w14:paraId="65C646F6">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评价结论</w:t>
            </w:r>
          </w:p>
        </w:tc>
        <w:tc>
          <w:tcPr>
            <w:tcW w:w="6391" w:type="dxa"/>
            <w:gridSpan w:val="9"/>
            <w:tcBorders>
              <w:tl2br w:val="nil"/>
              <w:tr2bl w:val="nil"/>
            </w:tcBorders>
            <w:noWrap w:val="0"/>
            <w:tcMar>
              <w:top w:w="15" w:type="dxa"/>
              <w:left w:w="108" w:type="dxa"/>
              <w:bottom w:w="15" w:type="dxa"/>
              <w:right w:w="108" w:type="dxa"/>
            </w:tcMar>
            <w:vAlign w:val="center"/>
          </w:tcPr>
          <w:p w14:paraId="3A223525">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水环境功能区或水功能区、近岸海域环境功能区水质达标状况</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：达标</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；不达标□</w:t>
            </w:r>
          </w:p>
          <w:p w14:paraId="5446F289">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水环境控制单元或断面水质达标状况□：达标□；不达标□</w:t>
            </w:r>
          </w:p>
          <w:p w14:paraId="338A2A2D">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水环境保护目标质量状况</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：达标</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0"/>
                <w:sz w:val="18"/>
                <w:szCs w:val="18"/>
                <w:highlight w:val="none"/>
              </w:rPr>
              <w:t>；不达标□</w:t>
            </w:r>
          </w:p>
          <w:p w14:paraId="75E294EC">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对照断面、控制断面等代表性断面的水质状况□：达标□；不达标□</w:t>
            </w:r>
          </w:p>
          <w:p w14:paraId="07016203">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底泥污染评价□</w:t>
            </w:r>
          </w:p>
          <w:p w14:paraId="49A9DE16">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水资源与开发利用程度及其水文情势评价□</w:t>
            </w:r>
          </w:p>
          <w:p w14:paraId="4C973775">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水环境质量回顾评价□</w:t>
            </w:r>
          </w:p>
          <w:p w14:paraId="3B078283">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流域（区域）水资源（包括水能资源）与开发利用总体状况、生态流量管理要求与现状满足程度、建设项目占用水域空间的水流状况与河湖演变状况□</w:t>
            </w:r>
          </w:p>
        </w:tc>
        <w:tc>
          <w:tcPr>
            <w:tcW w:w="834" w:type="dxa"/>
            <w:tcBorders>
              <w:tl2br w:val="nil"/>
              <w:tr2bl w:val="nil"/>
            </w:tcBorders>
            <w:noWrap w:val="0"/>
            <w:tcMar>
              <w:top w:w="15" w:type="dxa"/>
              <w:left w:w="108" w:type="dxa"/>
              <w:bottom w:w="15" w:type="dxa"/>
              <w:right w:w="108" w:type="dxa"/>
            </w:tcMar>
            <w:vAlign w:val="center"/>
          </w:tcPr>
          <w:p w14:paraId="1AC8B181">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达标区</w:t>
            </w:r>
            <w:r>
              <w:rPr>
                <w:rFonts w:hint="default" w:ascii="Times New Roman" w:hAnsi="Times New Roman" w:eastAsia="宋体" w:cs="Times New Roman"/>
                <w:color w:val="auto"/>
                <w:kern w:val="0"/>
                <w:sz w:val="18"/>
                <w:szCs w:val="18"/>
                <w:highlight w:val="none"/>
              </w:rPr>
              <w:sym w:font="Wingdings" w:char="00FE"/>
            </w:r>
          </w:p>
          <w:p w14:paraId="496CC802">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不达标区□</w:t>
            </w:r>
          </w:p>
        </w:tc>
      </w:tr>
      <w:tr w14:paraId="422E581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restart"/>
            <w:tcBorders>
              <w:tl2br w:val="nil"/>
              <w:tr2bl w:val="nil"/>
            </w:tcBorders>
            <w:noWrap w:val="0"/>
            <w:tcMar>
              <w:top w:w="15" w:type="dxa"/>
              <w:left w:w="108" w:type="dxa"/>
              <w:bottom w:w="15" w:type="dxa"/>
              <w:right w:w="108" w:type="dxa"/>
            </w:tcMar>
            <w:vAlign w:val="center"/>
          </w:tcPr>
          <w:p w14:paraId="2FACE3A6">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影响预测</w:t>
            </w:r>
          </w:p>
        </w:tc>
        <w:tc>
          <w:tcPr>
            <w:tcW w:w="1554" w:type="dxa"/>
            <w:tcBorders>
              <w:tl2br w:val="nil"/>
              <w:tr2bl w:val="nil"/>
            </w:tcBorders>
            <w:noWrap w:val="0"/>
            <w:tcMar>
              <w:top w:w="15" w:type="dxa"/>
              <w:left w:w="108" w:type="dxa"/>
              <w:bottom w:w="15" w:type="dxa"/>
              <w:right w:w="108" w:type="dxa"/>
            </w:tcMar>
            <w:vAlign w:val="center"/>
          </w:tcPr>
          <w:p w14:paraId="0763DC97">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预测范围</w:t>
            </w:r>
          </w:p>
        </w:tc>
        <w:tc>
          <w:tcPr>
            <w:tcW w:w="7225" w:type="dxa"/>
            <w:gridSpan w:val="10"/>
            <w:tcBorders>
              <w:tl2br w:val="nil"/>
              <w:tr2bl w:val="nil"/>
            </w:tcBorders>
            <w:noWrap w:val="0"/>
            <w:tcMar>
              <w:top w:w="15" w:type="dxa"/>
              <w:left w:w="108" w:type="dxa"/>
              <w:bottom w:w="15" w:type="dxa"/>
              <w:right w:w="108" w:type="dxa"/>
            </w:tcMar>
            <w:vAlign w:val="center"/>
          </w:tcPr>
          <w:p w14:paraId="1E093637">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河流：长度（ ）km；湖库、河口及近岸海域：面积（）km²</w:t>
            </w:r>
          </w:p>
        </w:tc>
      </w:tr>
      <w:tr w14:paraId="49E2C96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322534A2">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tcBorders>
              <w:tl2br w:val="nil"/>
              <w:tr2bl w:val="nil"/>
            </w:tcBorders>
            <w:noWrap w:val="0"/>
            <w:tcMar>
              <w:top w:w="15" w:type="dxa"/>
              <w:left w:w="108" w:type="dxa"/>
              <w:bottom w:w="15" w:type="dxa"/>
              <w:right w:w="108" w:type="dxa"/>
            </w:tcMar>
            <w:vAlign w:val="center"/>
          </w:tcPr>
          <w:p w14:paraId="7A356A52">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预测因子</w:t>
            </w:r>
          </w:p>
        </w:tc>
        <w:tc>
          <w:tcPr>
            <w:tcW w:w="7225" w:type="dxa"/>
            <w:gridSpan w:val="10"/>
            <w:tcBorders>
              <w:tl2br w:val="nil"/>
              <w:tr2bl w:val="nil"/>
            </w:tcBorders>
            <w:noWrap w:val="0"/>
            <w:tcMar>
              <w:top w:w="15" w:type="dxa"/>
              <w:left w:w="108" w:type="dxa"/>
              <w:bottom w:w="15" w:type="dxa"/>
              <w:right w:w="108" w:type="dxa"/>
            </w:tcMar>
            <w:vAlign w:val="center"/>
          </w:tcPr>
          <w:p w14:paraId="2FDD103C">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 ）</w:t>
            </w:r>
          </w:p>
        </w:tc>
      </w:tr>
      <w:tr w14:paraId="2828B52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292668A8">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tcBorders>
              <w:tl2br w:val="nil"/>
              <w:tr2bl w:val="nil"/>
            </w:tcBorders>
            <w:noWrap w:val="0"/>
            <w:tcMar>
              <w:top w:w="15" w:type="dxa"/>
              <w:left w:w="108" w:type="dxa"/>
              <w:bottom w:w="15" w:type="dxa"/>
              <w:right w:w="108" w:type="dxa"/>
            </w:tcMar>
            <w:vAlign w:val="center"/>
          </w:tcPr>
          <w:p w14:paraId="36DB8798">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预测时期</w:t>
            </w:r>
          </w:p>
        </w:tc>
        <w:tc>
          <w:tcPr>
            <w:tcW w:w="7225" w:type="dxa"/>
            <w:gridSpan w:val="10"/>
            <w:tcBorders>
              <w:tl2br w:val="nil"/>
              <w:tr2bl w:val="nil"/>
            </w:tcBorders>
            <w:noWrap w:val="0"/>
            <w:tcMar>
              <w:top w:w="15" w:type="dxa"/>
              <w:left w:w="108" w:type="dxa"/>
              <w:bottom w:w="15" w:type="dxa"/>
              <w:right w:w="108" w:type="dxa"/>
            </w:tcMar>
            <w:vAlign w:val="center"/>
          </w:tcPr>
          <w:p w14:paraId="1A6C24CE">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丰水期□；平水期□；枯水期□；冰封期□</w:t>
            </w:r>
          </w:p>
          <w:p w14:paraId="59A1D1BC">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春季□；夏季□；秋季□；冬季□</w:t>
            </w:r>
          </w:p>
          <w:p w14:paraId="77F75D53">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设计水文条件□；</w:t>
            </w:r>
          </w:p>
        </w:tc>
      </w:tr>
      <w:tr w14:paraId="29AA096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33509AF1">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tcBorders>
              <w:tl2br w:val="nil"/>
              <w:tr2bl w:val="nil"/>
            </w:tcBorders>
            <w:noWrap w:val="0"/>
            <w:tcMar>
              <w:top w:w="15" w:type="dxa"/>
              <w:left w:w="108" w:type="dxa"/>
              <w:bottom w:w="15" w:type="dxa"/>
              <w:right w:w="108" w:type="dxa"/>
            </w:tcMar>
            <w:vAlign w:val="center"/>
          </w:tcPr>
          <w:p w14:paraId="4D4E067F">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预测情景</w:t>
            </w:r>
          </w:p>
        </w:tc>
        <w:tc>
          <w:tcPr>
            <w:tcW w:w="7225" w:type="dxa"/>
            <w:gridSpan w:val="10"/>
            <w:tcBorders>
              <w:tl2br w:val="nil"/>
              <w:tr2bl w:val="nil"/>
            </w:tcBorders>
            <w:noWrap w:val="0"/>
            <w:tcMar>
              <w:top w:w="15" w:type="dxa"/>
              <w:left w:w="108" w:type="dxa"/>
              <w:bottom w:w="15" w:type="dxa"/>
              <w:right w:w="108" w:type="dxa"/>
            </w:tcMar>
            <w:vAlign w:val="center"/>
          </w:tcPr>
          <w:p w14:paraId="5C58597D">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建设期□；生产运行期□；服务满期后□</w:t>
            </w:r>
          </w:p>
          <w:p w14:paraId="4A96EDA5">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正常工况□；非正常工况□</w:t>
            </w:r>
          </w:p>
          <w:p w14:paraId="65B12338">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污染控制和减缓措施方案□</w:t>
            </w:r>
          </w:p>
          <w:p w14:paraId="262B9F40">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区（流）域环境质量改善目标要求情景□</w:t>
            </w:r>
          </w:p>
        </w:tc>
      </w:tr>
      <w:tr w14:paraId="53B8DF5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01C80CA8">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tcBorders>
              <w:tl2br w:val="nil"/>
              <w:tr2bl w:val="nil"/>
            </w:tcBorders>
            <w:noWrap w:val="0"/>
            <w:tcMar>
              <w:top w:w="15" w:type="dxa"/>
              <w:left w:w="108" w:type="dxa"/>
              <w:bottom w:w="15" w:type="dxa"/>
              <w:right w:w="108" w:type="dxa"/>
            </w:tcMar>
            <w:vAlign w:val="center"/>
          </w:tcPr>
          <w:p w14:paraId="3A8B23DB">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预测方法</w:t>
            </w:r>
          </w:p>
        </w:tc>
        <w:tc>
          <w:tcPr>
            <w:tcW w:w="7225" w:type="dxa"/>
            <w:gridSpan w:val="10"/>
            <w:tcBorders>
              <w:tl2br w:val="nil"/>
              <w:tr2bl w:val="nil"/>
            </w:tcBorders>
            <w:noWrap w:val="0"/>
            <w:tcMar>
              <w:top w:w="15" w:type="dxa"/>
              <w:left w:w="108" w:type="dxa"/>
              <w:bottom w:w="15" w:type="dxa"/>
              <w:right w:w="108" w:type="dxa"/>
            </w:tcMar>
            <w:vAlign w:val="center"/>
          </w:tcPr>
          <w:p w14:paraId="1E2F97B6">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数值解□；解析解□；其他□</w:t>
            </w:r>
          </w:p>
          <w:p w14:paraId="0EB0517E">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导则推荐模式□；其他□</w:t>
            </w:r>
          </w:p>
        </w:tc>
      </w:tr>
      <w:tr w14:paraId="669F62A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restart"/>
            <w:tcBorders>
              <w:tl2br w:val="nil"/>
              <w:tr2bl w:val="nil"/>
            </w:tcBorders>
            <w:noWrap w:val="0"/>
            <w:tcMar>
              <w:top w:w="15" w:type="dxa"/>
              <w:left w:w="108" w:type="dxa"/>
              <w:bottom w:w="15" w:type="dxa"/>
              <w:right w:w="108" w:type="dxa"/>
            </w:tcMar>
            <w:vAlign w:val="center"/>
          </w:tcPr>
          <w:p w14:paraId="28EC9DC3">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影响评价</w:t>
            </w:r>
          </w:p>
        </w:tc>
        <w:tc>
          <w:tcPr>
            <w:tcW w:w="1554" w:type="dxa"/>
            <w:tcBorders>
              <w:tl2br w:val="nil"/>
              <w:tr2bl w:val="nil"/>
            </w:tcBorders>
            <w:noWrap w:val="0"/>
            <w:tcMar>
              <w:top w:w="15" w:type="dxa"/>
              <w:left w:w="108" w:type="dxa"/>
              <w:bottom w:w="15" w:type="dxa"/>
              <w:right w:w="108" w:type="dxa"/>
            </w:tcMar>
            <w:vAlign w:val="center"/>
          </w:tcPr>
          <w:p w14:paraId="4C21E33D">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水污染控制和水环境影响减缓措施有效性性评价</w:t>
            </w:r>
          </w:p>
        </w:tc>
        <w:tc>
          <w:tcPr>
            <w:tcW w:w="7225" w:type="dxa"/>
            <w:gridSpan w:val="10"/>
            <w:tcBorders>
              <w:tl2br w:val="nil"/>
              <w:tr2bl w:val="nil"/>
            </w:tcBorders>
            <w:noWrap w:val="0"/>
            <w:tcMar>
              <w:top w:w="15" w:type="dxa"/>
              <w:left w:w="108" w:type="dxa"/>
              <w:bottom w:w="15" w:type="dxa"/>
              <w:right w:w="108" w:type="dxa"/>
            </w:tcMar>
            <w:vAlign w:val="center"/>
          </w:tcPr>
          <w:p w14:paraId="2ED4AD4E">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区（流）域水环境质量改善目标□；替代削减源□</w:t>
            </w:r>
          </w:p>
        </w:tc>
      </w:tr>
      <w:tr w14:paraId="6BD5DAE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6C7B6DF4">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tcBorders>
              <w:tl2br w:val="nil"/>
              <w:tr2bl w:val="nil"/>
            </w:tcBorders>
            <w:noWrap w:val="0"/>
            <w:tcMar>
              <w:top w:w="15" w:type="dxa"/>
              <w:left w:w="108" w:type="dxa"/>
              <w:bottom w:w="15" w:type="dxa"/>
              <w:right w:w="108" w:type="dxa"/>
            </w:tcMar>
            <w:vAlign w:val="center"/>
          </w:tcPr>
          <w:p w14:paraId="0FB2872F">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水环境影响评价</w:t>
            </w:r>
          </w:p>
        </w:tc>
        <w:tc>
          <w:tcPr>
            <w:tcW w:w="7225" w:type="dxa"/>
            <w:gridSpan w:val="10"/>
            <w:tcBorders>
              <w:tl2br w:val="nil"/>
              <w:tr2bl w:val="nil"/>
            </w:tcBorders>
            <w:noWrap w:val="0"/>
            <w:tcMar>
              <w:top w:w="15" w:type="dxa"/>
              <w:left w:w="108" w:type="dxa"/>
              <w:bottom w:w="15" w:type="dxa"/>
              <w:right w:w="108" w:type="dxa"/>
            </w:tcMar>
            <w:vAlign w:val="center"/>
          </w:tcPr>
          <w:p w14:paraId="75C05DBE">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排放口混合区外满足水环境管理要求□</w:t>
            </w:r>
          </w:p>
          <w:p w14:paraId="4E6CDFA1">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水环境功能区或水功能区、近岸海域环境功能区水质达标□</w:t>
            </w:r>
          </w:p>
          <w:p w14:paraId="05380F5A">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满足水环境保护目标水域水环境质量要求□</w:t>
            </w:r>
          </w:p>
          <w:p w14:paraId="6D306328">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水环境控制单元或断面水质达标□</w:t>
            </w:r>
          </w:p>
          <w:p w14:paraId="23E24533">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满足重点水污染物排放总量控制指标要求，重点行业建设项目，主要污染物排放满足等量或减量替代要求□</w:t>
            </w:r>
          </w:p>
          <w:p w14:paraId="49817B2B">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满足区（流）域水环境质量改善目标要求□</w:t>
            </w:r>
          </w:p>
          <w:p w14:paraId="615AD0A8">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水文要素影响性建设项目同时应包括水文情势变化评价、主要水文特征值影响评价、生态流量符合性评价□</w:t>
            </w:r>
          </w:p>
          <w:p w14:paraId="535D27A9">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对于新设或调整入河（湖库、近岸海域）排放口的建设项目，应包括排放口设置的环境合理性评价□</w:t>
            </w:r>
          </w:p>
          <w:p w14:paraId="23E6664B">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满足生态保护红线、水环境质量底线、资源利用上限和环境准入清单管理要求</w:t>
            </w:r>
            <w:r>
              <w:rPr>
                <w:rFonts w:hint="default" w:ascii="Times New Roman" w:hAnsi="Times New Roman" w:eastAsia="宋体" w:cs="Times New Roman"/>
                <w:color w:val="auto"/>
                <w:kern w:val="0"/>
                <w:sz w:val="18"/>
                <w:szCs w:val="18"/>
                <w:highlight w:val="none"/>
              </w:rPr>
              <w:sym w:font="Wingdings" w:char="00FE"/>
            </w:r>
          </w:p>
        </w:tc>
      </w:tr>
      <w:tr w14:paraId="1623D8C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5ED9ED44">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vMerge w:val="restart"/>
            <w:tcBorders>
              <w:tl2br w:val="nil"/>
              <w:tr2bl w:val="nil"/>
            </w:tcBorders>
            <w:noWrap w:val="0"/>
            <w:tcMar>
              <w:top w:w="15" w:type="dxa"/>
              <w:left w:w="108" w:type="dxa"/>
              <w:bottom w:w="15" w:type="dxa"/>
              <w:right w:w="108" w:type="dxa"/>
            </w:tcMar>
            <w:vAlign w:val="center"/>
          </w:tcPr>
          <w:p w14:paraId="5F1A1B15">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污染源排放量核算</w:t>
            </w:r>
          </w:p>
        </w:tc>
        <w:tc>
          <w:tcPr>
            <w:tcW w:w="2694" w:type="dxa"/>
            <w:gridSpan w:val="4"/>
            <w:tcBorders>
              <w:tl2br w:val="nil"/>
              <w:tr2bl w:val="nil"/>
            </w:tcBorders>
            <w:noWrap w:val="0"/>
            <w:tcMar>
              <w:top w:w="15" w:type="dxa"/>
              <w:left w:w="108" w:type="dxa"/>
              <w:bottom w:w="15" w:type="dxa"/>
              <w:right w:w="108" w:type="dxa"/>
            </w:tcMar>
            <w:vAlign w:val="center"/>
          </w:tcPr>
          <w:p w14:paraId="44CDD50B">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污染物名称</w:t>
            </w:r>
          </w:p>
        </w:tc>
        <w:tc>
          <w:tcPr>
            <w:tcW w:w="2179" w:type="dxa"/>
            <w:gridSpan w:val="4"/>
            <w:tcBorders>
              <w:tl2br w:val="nil"/>
              <w:tr2bl w:val="nil"/>
            </w:tcBorders>
            <w:noWrap w:val="0"/>
            <w:tcMar>
              <w:top w:w="15" w:type="dxa"/>
              <w:left w:w="108" w:type="dxa"/>
              <w:bottom w:w="15" w:type="dxa"/>
              <w:right w:w="108" w:type="dxa"/>
            </w:tcMar>
            <w:vAlign w:val="center"/>
          </w:tcPr>
          <w:p w14:paraId="1B71BBF2">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排放量/(t/a）</w:t>
            </w:r>
          </w:p>
        </w:tc>
        <w:tc>
          <w:tcPr>
            <w:tcW w:w="2352" w:type="dxa"/>
            <w:gridSpan w:val="2"/>
            <w:tcBorders>
              <w:tl2br w:val="nil"/>
              <w:tr2bl w:val="nil"/>
            </w:tcBorders>
            <w:noWrap w:val="0"/>
            <w:tcMar>
              <w:top w:w="15" w:type="dxa"/>
              <w:left w:w="108" w:type="dxa"/>
              <w:bottom w:w="15" w:type="dxa"/>
              <w:right w:w="108" w:type="dxa"/>
            </w:tcMar>
            <w:vAlign w:val="center"/>
          </w:tcPr>
          <w:p w14:paraId="12189532">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排放浓度/(mg/L)</w:t>
            </w:r>
          </w:p>
        </w:tc>
      </w:tr>
      <w:tr w14:paraId="3598B7A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6C0E36E1">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vMerge w:val="continue"/>
            <w:tcBorders>
              <w:tl2br w:val="nil"/>
              <w:tr2bl w:val="nil"/>
            </w:tcBorders>
            <w:noWrap w:val="0"/>
            <w:vAlign w:val="center"/>
          </w:tcPr>
          <w:p w14:paraId="1B7571AB">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2694" w:type="dxa"/>
            <w:gridSpan w:val="4"/>
            <w:tcBorders>
              <w:tl2br w:val="nil"/>
              <w:tr2bl w:val="nil"/>
            </w:tcBorders>
            <w:noWrap w:val="0"/>
            <w:tcMar>
              <w:top w:w="15" w:type="dxa"/>
              <w:left w:w="108" w:type="dxa"/>
              <w:bottom w:w="15" w:type="dxa"/>
              <w:right w:w="108" w:type="dxa"/>
            </w:tcMar>
            <w:vAlign w:val="center"/>
          </w:tcPr>
          <w:p w14:paraId="1552E1C8">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r>
              <w:rPr>
                <w:rFonts w:hint="eastAsia" w:ascii="Times New Roman" w:hAnsi="Times New Roman" w:eastAsia="宋体" w:cs="Times New Roman"/>
                <w:color w:val="auto"/>
                <w:kern w:val="0"/>
                <w:sz w:val="18"/>
                <w:szCs w:val="18"/>
                <w:highlight w:val="none"/>
                <w:lang w:val="en-US" w:eastAsia="zh-CN"/>
              </w:rPr>
              <w:t>COD、氨氮</w:t>
            </w:r>
            <w:r>
              <w:rPr>
                <w:rFonts w:hint="default" w:ascii="Times New Roman" w:hAnsi="Times New Roman" w:eastAsia="宋体" w:cs="Times New Roman"/>
                <w:color w:val="auto"/>
                <w:kern w:val="0"/>
                <w:sz w:val="18"/>
                <w:szCs w:val="18"/>
                <w:highlight w:val="none"/>
              </w:rPr>
              <w:t>)</w:t>
            </w:r>
          </w:p>
        </w:tc>
        <w:tc>
          <w:tcPr>
            <w:tcW w:w="2179" w:type="dxa"/>
            <w:gridSpan w:val="4"/>
            <w:tcBorders>
              <w:tl2br w:val="nil"/>
              <w:tr2bl w:val="nil"/>
            </w:tcBorders>
            <w:noWrap w:val="0"/>
            <w:tcMar>
              <w:top w:w="15" w:type="dxa"/>
              <w:left w:w="108" w:type="dxa"/>
              <w:bottom w:w="15" w:type="dxa"/>
              <w:right w:w="108" w:type="dxa"/>
            </w:tcMar>
            <w:vAlign w:val="center"/>
          </w:tcPr>
          <w:p w14:paraId="500A67D1">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r>
              <w:rPr>
                <w:rFonts w:hint="eastAsia" w:ascii="Times New Roman" w:hAnsi="Times New Roman" w:eastAsia="宋体" w:cs="Times New Roman"/>
                <w:color w:val="auto"/>
                <w:kern w:val="0"/>
                <w:sz w:val="18"/>
                <w:szCs w:val="18"/>
                <w:highlight w:val="none"/>
                <w:lang w:val="en-US" w:eastAsia="zh-CN"/>
              </w:rPr>
              <w:t>COD3.02、氨氮0.26</w:t>
            </w:r>
            <w:r>
              <w:rPr>
                <w:rFonts w:hint="default" w:ascii="Times New Roman" w:hAnsi="Times New Roman" w:eastAsia="宋体" w:cs="Times New Roman"/>
                <w:color w:val="auto"/>
                <w:kern w:val="0"/>
                <w:sz w:val="18"/>
                <w:szCs w:val="18"/>
                <w:highlight w:val="none"/>
              </w:rPr>
              <w:t>)</w:t>
            </w:r>
          </w:p>
        </w:tc>
        <w:tc>
          <w:tcPr>
            <w:tcW w:w="2352" w:type="dxa"/>
            <w:gridSpan w:val="2"/>
            <w:tcBorders>
              <w:tl2br w:val="nil"/>
              <w:tr2bl w:val="nil"/>
            </w:tcBorders>
            <w:noWrap w:val="0"/>
            <w:tcMar>
              <w:top w:w="15" w:type="dxa"/>
              <w:left w:w="108" w:type="dxa"/>
              <w:bottom w:w="15" w:type="dxa"/>
              <w:right w:w="108" w:type="dxa"/>
            </w:tcMar>
            <w:vAlign w:val="center"/>
          </w:tcPr>
          <w:p w14:paraId="3A5B2354">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r>
              <w:rPr>
                <w:rFonts w:hint="eastAsia" w:ascii="Times New Roman" w:hAnsi="Times New Roman" w:eastAsia="宋体" w:cs="Times New Roman"/>
                <w:color w:val="auto"/>
                <w:kern w:val="0"/>
                <w:sz w:val="18"/>
                <w:szCs w:val="18"/>
                <w:highlight w:val="none"/>
                <w:lang w:val="en-US" w:eastAsia="zh-CN"/>
              </w:rPr>
              <w:t>COD364、氨氮31</w:t>
            </w:r>
            <w:r>
              <w:rPr>
                <w:rFonts w:hint="default" w:ascii="Times New Roman" w:hAnsi="Times New Roman" w:eastAsia="宋体" w:cs="Times New Roman"/>
                <w:color w:val="auto"/>
                <w:kern w:val="0"/>
                <w:sz w:val="18"/>
                <w:szCs w:val="18"/>
                <w:highlight w:val="none"/>
              </w:rPr>
              <w:t>)</w:t>
            </w:r>
          </w:p>
        </w:tc>
      </w:tr>
      <w:tr w14:paraId="364DFF8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2C40CD52">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vMerge w:val="restart"/>
            <w:tcBorders>
              <w:tl2br w:val="nil"/>
              <w:tr2bl w:val="nil"/>
            </w:tcBorders>
            <w:noWrap w:val="0"/>
            <w:tcMar>
              <w:top w:w="15" w:type="dxa"/>
              <w:left w:w="108" w:type="dxa"/>
              <w:bottom w:w="15" w:type="dxa"/>
              <w:right w:w="108" w:type="dxa"/>
            </w:tcMar>
            <w:vAlign w:val="center"/>
          </w:tcPr>
          <w:p w14:paraId="0E963625">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替代源排放情况</w:t>
            </w:r>
          </w:p>
        </w:tc>
        <w:tc>
          <w:tcPr>
            <w:tcW w:w="1182" w:type="dxa"/>
            <w:tcBorders>
              <w:tl2br w:val="nil"/>
              <w:tr2bl w:val="nil"/>
            </w:tcBorders>
            <w:noWrap w:val="0"/>
            <w:tcMar>
              <w:top w:w="15" w:type="dxa"/>
              <w:left w:w="108" w:type="dxa"/>
              <w:bottom w:w="15" w:type="dxa"/>
              <w:right w:w="108" w:type="dxa"/>
            </w:tcMar>
            <w:vAlign w:val="center"/>
          </w:tcPr>
          <w:p w14:paraId="6B330B0A">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污染源名称</w:t>
            </w:r>
          </w:p>
        </w:tc>
        <w:tc>
          <w:tcPr>
            <w:tcW w:w="1512" w:type="dxa"/>
            <w:gridSpan w:val="3"/>
            <w:tcBorders>
              <w:tl2br w:val="nil"/>
              <w:tr2bl w:val="nil"/>
            </w:tcBorders>
            <w:noWrap w:val="0"/>
            <w:tcMar>
              <w:top w:w="15" w:type="dxa"/>
              <w:left w:w="108" w:type="dxa"/>
              <w:bottom w:w="15" w:type="dxa"/>
              <w:right w:w="108" w:type="dxa"/>
            </w:tcMar>
            <w:vAlign w:val="center"/>
          </w:tcPr>
          <w:p w14:paraId="67B9F637">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排污许可证编号</w:t>
            </w:r>
          </w:p>
        </w:tc>
        <w:tc>
          <w:tcPr>
            <w:tcW w:w="1134" w:type="dxa"/>
            <w:gridSpan w:val="2"/>
            <w:tcBorders>
              <w:tl2br w:val="nil"/>
              <w:tr2bl w:val="nil"/>
            </w:tcBorders>
            <w:noWrap w:val="0"/>
            <w:tcMar>
              <w:top w:w="15" w:type="dxa"/>
              <w:left w:w="108" w:type="dxa"/>
              <w:bottom w:w="15" w:type="dxa"/>
              <w:right w:w="108" w:type="dxa"/>
            </w:tcMar>
            <w:vAlign w:val="center"/>
          </w:tcPr>
          <w:p w14:paraId="52E422C8">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污染物名称</w:t>
            </w:r>
          </w:p>
        </w:tc>
        <w:tc>
          <w:tcPr>
            <w:tcW w:w="1045" w:type="dxa"/>
            <w:gridSpan w:val="2"/>
            <w:tcBorders>
              <w:tl2br w:val="nil"/>
              <w:tr2bl w:val="nil"/>
            </w:tcBorders>
            <w:noWrap w:val="0"/>
            <w:tcMar>
              <w:top w:w="15" w:type="dxa"/>
              <w:left w:w="108" w:type="dxa"/>
              <w:bottom w:w="15" w:type="dxa"/>
              <w:right w:w="108" w:type="dxa"/>
            </w:tcMar>
            <w:vAlign w:val="center"/>
          </w:tcPr>
          <w:p w14:paraId="51A7A899">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排放量/（t/a）</w:t>
            </w:r>
          </w:p>
        </w:tc>
        <w:tc>
          <w:tcPr>
            <w:tcW w:w="2352" w:type="dxa"/>
            <w:gridSpan w:val="2"/>
            <w:tcBorders>
              <w:tl2br w:val="nil"/>
              <w:tr2bl w:val="nil"/>
            </w:tcBorders>
            <w:noWrap w:val="0"/>
            <w:tcMar>
              <w:top w:w="15" w:type="dxa"/>
              <w:left w:w="108" w:type="dxa"/>
              <w:bottom w:w="15" w:type="dxa"/>
              <w:right w:w="108" w:type="dxa"/>
            </w:tcMar>
            <w:vAlign w:val="center"/>
          </w:tcPr>
          <w:p w14:paraId="574E44BA">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排放浓度/(mg/L)</w:t>
            </w:r>
          </w:p>
        </w:tc>
      </w:tr>
      <w:tr w14:paraId="53BAEB4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3BAFB077">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vMerge w:val="continue"/>
            <w:tcBorders>
              <w:tl2br w:val="nil"/>
              <w:tr2bl w:val="nil"/>
            </w:tcBorders>
            <w:noWrap w:val="0"/>
            <w:vAlign w:val="center"/>
          </w:tcPr>
          <w:p w14:paraId="029A6287">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182" w:type="dxa"/>
            <w:tcBorders>
              <w:tl2br w:val="nil"/>
              <w:tr2bl w:val="nil"/>
            </w:tcBorders>
            <w:noWrap w:val="0"/>
            <w:tcMar>
              <w:top w:w="15" w:type="dxa"/>
              <w:left w:w="108" w:type="dxa"/>
              <w:bottom w:w="15" w:type="dxa"/>
              <w:right w:w="108" w:type="dxa"/>
            </w:tcMar>
            <w:vAlign w:val="center"/>
          </w:tcPr>
          <w:p w14:paraId="230AE65C">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tc>
        <w:tc>
          <w:tcPr>
            <w:tcW w:w="1512" w:type="dxa"/>
            <w:gridSpan w:val="3"/>
            <w:tcBorders>
              <w:tl2br w:val="nil"/>
              <w:tr2bl w:val="nil"/>
            </w:tcBorders>
            <w:noWrap w:val="0"/>
            <w:tcMar>
              <w:top w:w="15" w:type="dxa"/>
              <w:left w:w="108" w:type="dxa"/>
              <w:bottom w:w="15" w:type="dxa"/>
              <w:right w:w="108" w:type="dxa"/>
            </w:tcMar>
            <w:vAlign w:val="center"/>
          </w:tcPr>
          <w:p w14:paraId="7E0ACCB5">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tc>
        <w:tc>
          <w:tcPr>
            <w:tcW w:w="1134" w:type="dxa"/>
            <w:gridSpan w:val="2"/>
            <w:tcBorders>
              <w:tl2br w:val="nil"/>
              <w:tr2bl w:val="nil"/>
            </w:tcBorders>
            <w:noWrap w:val="0"/>
            <w:tcMar>
              <w:top w:w="15" w:type="dxa"/>
              <w:left w:w="108" w:type="dxa"/>
              <w:bottom w:w="15" w:type="dxa"/>
              <w:right w:w="108" w:type="dxa"/>
            </w:tcMar>
            <w:vAlign w:val="center"/>
          </w:tcPr>
          <w:p w14:paraId="338AEE26">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tc>
        <w:tc>
          <w:tcPr>
            <w:tcW w:w="1045" w:type="dxa"/>
            <w:gridSpan w:val="2"/>
            <w:tcBorders>
              <w:tl2br w:val="nil"/>
              <w:tr2bl w:val="nil"/>
            </w:tcBorders>
            <w:noWrap w:val="0"/>
            <w:tcMar>
              <w:top w:w="15" w:type="dxa"/>
              <w:left w:w="108" w:type="dxa"/>
              <w:bottom w:w="15" w:type="dxa"/>
              <w:right w:w="108" w:type="dxa"/>
            </w:tcMar>
            <w:vAlign w:val="center"/>
          </w:tcPr>
          <w:p w14:paraId="29E82C40">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tc>
        <w:tc>
          <w:tcPr>
            <w:tcW w:w="2352" w:type="dxa"/>
            <w:gridSpan w:val="2"/>
            <w:tcBorders>
              <w:tl2br w:val="nil"/>
              <w:tr2bl w:val="nil"/>
            </w:tcBorders>
            <w:noWrap w:val="0"/>
            <w:tcMar>
              <w:top w:w="15" w:type="dxa"/>
              <w:left w:w="108" w:type="dxa"/>
              <w:bottom w:w="15" w:type="dxa"/>
              <w:right w:w="108" w:type="dxa"/>
            </w:tcMar>
            <w:vAlign w:val="center"/>
          </w:tcPr>
          <w:p w14:paraId="7AB1402A">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tc>
      </w:tr>
      <w:tr w14:paraId="1332100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21A4C376">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tcBorders>
              <w:tl2br w:val="nil"/>
              <w:tr2bl w:val="nil"/>
            </w:tcBorders>
            <w:noWrap w:val="0"/>
            <w:tcMar>
              <w:top w:w="15" w:type="dxa"/>
              <w:left w:w="108" w:type="dxa"/>
              <w:bottom w:w="15" w:type="dxa"/>
              <w:right w:w="108" w:type="dxa"/>
            </w:tcMar>
            <w:vAlign w:val="center"/>
          </w:tcPr>
          <w:p w14:paraId="618185F3">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生态流量确定</w:t>
            </w:r>
          </w:p>
        </w:tc>
        <w:tc>
          <w:tcPr>
            <w:tcW w:w="7225" w:type="dxa"/>
            <w:gridSpan w:val="10"/>
            <w:tcBorders>
              <w:tl2br w:val="nil"/>
              <w:tr2bl w:val="nil"/>
            </w:tcBorders>
            <w:noWrap w:val="0"/>
            <w:tcMar>
              <w:top w:w="15" w:type="dxa"/>
              <w:left w:w="108" w:type="dxa"/>
              <w:bottom w:w="15" w:type="dxa"/>
              <w:right w:w="108" w:type="dxa"/>
            </w:tcMar>
            <w:vAlign w:val="center"/>
          </w:tcPr>
          <w:p w14:paraId="5E6E5589">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生态流量：一般水期（）m³/s；鱼塘繁殖期（）m³/s；其他（）m³/s</w:t>
            </w:r>
            <w:r>
              <w:rPr>
                <w:rFonts w:hint="default" w:ascii="Times New Roman" w:hAnsi="Times New Roman" w:eastAsia="宋体" w:cs="Times New Roman"/>
                <w:color w:val="auto"/>
                <w:kern w:val="0"/>
                <w:sz w:val="18"/>
                <w:szCs w:val="18"/>
                <w:highlight w:val="none"/>
              </w:rPr>
              <w:br w:type="textWrapping"/>
            </w:r>
            <w:r>
              <w:rPr>
                <w:rFonts w:hint="default" w:ascii="Times New Roman" w:hAnsi="Times New Roman" w:eastAsia="宋体" w:cs="Times New Roman"/>
                <w:color w:val="auto"/>
                <w:kern w:val="0"/>
                <w:sz w:val="18"/>
                <w:szCs w:val="18"/>
                <w:highlight w:val="none"/>
              </w:rPr>
              <w:t>生态水位：一版水期（）m；鱼类繁殖期（）m；其他（）m</w:t>
            </w:r>
          </w:p>
        </w:tc>
      </w:tr>
      <w:tr w14:paraId="1EF1B6A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restart"/>
            <w:tcBorders>
              <w:tl2br w:val="nil"/>
              <w:tr2bl w:val="nil"/>
            </w:tcBorders>
            <w:noWrap w:val="0"/>
            <w:vAlign w:val="center"/>
          </w:tcPr>
          <w:p w14:paraId="59D1D252">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防治措施</w:t>
            </w:r>
          </w:p>
        </w:tc>
        <w:tc>
          <w:tcPr>
            <w:tcW w:w="1554" w:type="dxa"/>
            <w:tcBorders>
              <w:tl2br w:val="nil"/>
              <w:tr2bl w:val="nil"/>
            </w:tcBorders>
            <w:noWrap w:val="0"/>
            <w:tcMar>
              <w:top w:w="15" w:type="dxa"/>
              <w:left w:w="108" w:type="dxa"/>
              <w:bottom w:w="15" w:type="dxa"/>
              <w:right w:w="108" w:type="dxa"/>
            </w:tcMar>
            <w:vAlign w:val="center"/>
          </w:tcPr>
          <w:p w14:paraId="689BA2DB">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环保措施</w:t>
            </w:r>
          </w:p>
        </w:tc>
        <w:tc>
          <w:tcPr>
            <w:tcW w:w="7225" w:type="dxa"/>
            <w:gridSpan w:val="10"/>
            <w:tcBorders>
              <w:tl2br w:val="nil"/>
              <w:tr2bl w:val="nil"/>
            </w:tcBorders>
            <w:noWrap w:val="0"/>
            <w:tcMar>
              <w:top w:w="15" w:type="dxa"/>
              <w:left w:w="108" w:type="dxa"/>
              <w:bottom w:w="15" w:type="dxa"/>
              <w:right w:w="108" w:type="dxa"/>
            </w:tcMar>
            <w:vAlign w:val="center"/>
          </w:tcPr>
          <w:p w14:paraId="12980324">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污水处理设施□；水文减缓设施□；生态流量保障措施□；区域削减□；依托其他工程措施□；其他□</w:t>
            </w:r>
          </w:p>
        </w:tc>
      </w:tr>
      <w:tr w14:paraId="2A5A2A3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3A410406">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vMerge w:val="restart"/>
            <w:tcBorders>
              <w:tl2br w:val="nil"/>
              <w:tr2bl w:val="nil"/>
            </w:tcBorders>
            <w:noWrap w:val="0"/>
            <w:tcMar>
              <w:top w:w="15" w:type="dxa"/>
              <w:left w:w="108" w:type="dxa"/>
              <w:bottom w:w="15" w:type="dxa"/>
              <w:right w:w="108" w:type="dxa"/>
            </w:tcMar>
            <w:vAlign w:val="center"/>
          </w:tcPr>
          <w:p w14:paraId="4E43971B">
            <w:pPr>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监测计划</w:t>
            </w:r>
          </w:p>
        </w:tc>
        <w:tc>
          <w:tcPr>
            <w:tcW w:w="2454" w:type="dxa"/>
            <w:gridSpan w:val="3"/>
            <w:tcBorders>
              <w:tl2br w:val="nil"/>
              <w:tr2bl w:val="nil"/>
            </w:tcBorders>
            <w:noWrap w:val="0"/>
            <w:tcMar>
              <w:top w:w="15" w:type="dxa"/>
              <w:left w:w="108" w:type="dxa"/>
              <w:bottom w:w="15" w:type="dxa"/>
              <w:right w:w="108" w:type="dxa"/>
            </w:tcMar>
            <w:vAlign w:val="center"/>
          </w:tcPr>
          <w:p w14:paraId="59F8FC49">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2"/>
                <w:sz w:val="18"/>
                <w:szCs w:val="18"/>
                <w:highlight w:val="none"/>
              </w:rPr>
            </w:pPr>
          </w:p>
        </w:tc>
        <w:tc>
          <w:tcPr>
            <w:tcW w:w="2385" w:type="dxa"/>
            <w:gridSpan w:val="4"/>
            <w:tcBorders>
              <w:tl2br w:val="nil"/>
              <w:tr2bl w:val="nil"/>
            </w:tcBorders>
            <w:noWrap w:val="0"/>
            <w:vAlign w:val="center"/>
          </w:tcPr>
          <w:p w14:paraId="5869C595">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Times New Roman"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环境质量</w:t>
            </w:r>
          </w:p>
        </w:tc>
        <w:tc>
          <w:tcPr>
            <w:tcW w:w="2386" w:type="dxa"/>
            <w:gridSpan w:val="3"/>
            <w:tcBorders>
              <w:tl2br w:val="nil"/>
              <w:tr2bl w:val="nil"/>
            </w:tcBorders>
            <w:noWrap w:val="0"/>
            <w:vAlign w:val="center"/>
          </w:tcPr>
          <w:p w14:paraId="40D371C1">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Times New Roman"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污染源</w:t>
            </w:r>
          </w:p>
        </w:tc>
      </w:tr>
      <w:tr w14:paraId="53E5650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5ADD9DE4">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vMerge w:val="continue"/>
            <w:tcBorders>
              <w:tl2br w:val="nil"/>
              <w:tr2bl w:val="nil"/>
            </w:tcBorders>
            <w:noWrap w:val="0"/>
            <w:vAlign w:val="center"/>
          </w:tcPr>
          <w:p w14:paraId="5E750D4E">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2454" w:type="dxa"/>
            <w:gridSpan w:val="3"/>
            <w:tcBorders>
              <w:tl2br w:val="nil"/>
              <w:tr2bl w:val="nil"/>
            </w:tcBorders>
            <w:noWrap w:val="0"/>
            <w:tcMar>
              <w:top w:w="15" w:type="dxa"/>
              <w:left w:w="108" w:type="dxa"/>
              <w:bottom w:w="15" w:type="dxa"/>
              <w:right w:w="108" w:type="dxa"/>
            </w:tcMar>
            <w:vAlign w:val="center"/>
          </w:tcPr>
          <w:p w14:paraId="058ECC51">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Times New Roman"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监测方式</w:t>
            </w:r>
          </w:p>
        </w:tc>
        <w:tc>
          <w:tcPr>
            <w:tcW w:w="2385" w:type="dxa"/>
            <w:gridSpan w:val="4"/>
            <w:tcBorders>
              <w:tl2br w:val="nil"/>
              <w:tr2bl w:val="nil"/>
            </w:tcBorders>
            <w:noWrap w:val="0"/>
            <w:vAlign w:val="center"/>
          </w:tcPr>
          <w:p w14:paraId="36F0590C">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Times New Roman"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手动□；自动□；无监测</w:t>
            </w:r>
            <w:r>
              <w:rPr>
                <w:rFonts w:hint="default" w:ascii="Times New Roman" w:hAnsi="Times New Roman" w:eastAsia="宋体" w:cs="Times New Roman"/>
                <w:color w:val="auto"/>
                <w:kern w:val="0"/>
                <w:sz w:val="18"/>
                <w:szCs w:val="18"/>
                <w:highlight w:val="none"/>
              </w:rPr>
              <w:sym w:font="Wingdings" w:char="00FE"/>
            </w:r>
          </w:p>
        </w:tc>
        <w:tc>
          <w:tcPr>
            <w:tcW w:w="2386" w:type="dxa"/>
            <w:gridSpan w:val="3"/>
            <w:tcBorders>
              <w:tl2br w:val="nil"/>
              <w:tr2bl w:val="nil"/>
            </w:tcBorders>
            <w:noWrap w:val="0"/>
            <w:vAlign w:val="center"/>
          </w:tcPr>
          <w:p w14:paraId="52BE158D">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Times New Roman"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手动</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2"/>
                <w:sz w:val="18"/>
                <w:szCs w:val="18"/>
                <w:highlight w:val="none"/>
              </w:rPr>
              <w:t>；自动</w:t>
            </w:r>
            <w:r>
              <w:rPr>
                <w:rFonts w:hint="eastAsia" w:ascii="Times New Roman" w:hAnsi="Times New Roman" w:eastAsia="宋体" w:cs="Times New Roman"/>
                <w:color w:val="auto"/>
                <w:kern w:val="2"/>
                <w:sz w:val="18"/>
                <w:szCs w:val="18"/>
                <w:highlight w:val="none"/>
                <w:lang w:eastAsia="zh-CN"/>
              </w:rPr>
              <w:t>☑</w:t>
            </w:r>
            <w:r>
              <w:rPr>
                <w:rFonts w:hint="default" w:ascii="Times New Roman" w:hAnsi="Times New Roman" w:eastAsia="宋体" w:cs="Times New Roman"/>
                <w:color w:val="auto"/>
                <w:kern w:val="2"/>
                <w:sz w:val="18"/>
                <w:szCs w:val="18"/>
                <w:highlight w:val="none"/>
              </w:rPr>
              <w:t>；无监测</w:t>
            </w:r>
            <w:r>
              <w:rPr>
                <w:rFonts w:hint="default" w:ascii="Times New Roman" w:hAnsi="Times New Roman" w:eastAsia="宋体" w:cs="Times New Roman"/>
                <w:color w:val="auto"/>
                <w:kern w:val="2"/>
                <w:sz w:val="18"/>
                <w:szCs w:val="18"/>
                <w:highlight w:val="none"/>
              </w:rPr>
              <w:sym w:font="Wingdings 2" w:char="00A3"/>
            </w:r>
          </w:p>
        </w:tc>
      </w:tr>
      <w:tr w14:paraId="322F7F1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40D78265">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vMerge w:val="continue"/>
            <w:tcBorders>
              <w:tl2br w:val="nil"/>
              <w:tr2bl w:val="nil"/>
            </w:tcBorders>
            <w:noWrap w:val="0"/>
            <w:vAlign w:val="center"/>
          </w:tcPr>
          <w:p w14:paraId="7D5D3394">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2454" w:type="dxa"/>
            <w:gridSpan w:val="3"/>
            <w:tcBorders>
              <w:tl2br w:val="nil"/>
              <w:tr2bl w:val="nil"/>
            </w:tcBorders>
            <w:noWrap w:val="0"/>
            <w:tcMar>
              <w:top w:w="15" w:type="dxa"/>
              <w:left w:w="108" w:type="dxa"/>
              <w:bottom w:w="15" w:type="dxa"/>
              <w:right w:w="108" w:type="dxa"/>
            </w:tcMar>
            <w:vAlign w:val="center"/>
          </w:tcPr>
          <w:p w14:paraId="497EBDFB">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Times New Roman"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监测点位</w:t>
            </w:r>
          </w:p>
        </w:tc>
        <w:tc>
          <w:tcPr>
            <w:tcW w:w="2385" w:type="dxa"/>
            <w:gridSpan w:val="4"/>
            <w:tcBorders>
              <w:tl2br w:val="nil"/>
              <w:tr2bl w:val="nil"/>
            </w:tcBorders>
            <w:noWrap w:val="0"/>
            <w:vAlign w:val="center"/>
          </w:tcPr>
          <w:p w14:paraId="752A42A9">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Times New Roman"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w:t>
            </w:r>
          </w:p>
        </w:tc>
        <w:tc>
          <w:tcPr>
            <w:tcW w:w="2386" w:type="dxa"/>
            <w:gridSpan w:val="3"/>
            <w:tcBorders>
              <w:tl2br w:val="nil"/>
              <w:tr2bl w:val="nil"/>
            </w:tcBorders>
            <w:noWrap w:val="0"/>
            <w:vAlign w:val="center"/>
          </w:tcPr>
          <w:p w14:paraId="1FEE87CE">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Times New Roman"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w:t>
            </w:r>
            <w:r>
              <w:rPr>
                <w:rFonts w:hint="eastAsia" w:ascii="Times New Roman" w:hAnsi="Times New Roman" w:eastAsia="宋体" w:cs="Times New Roman"/>
                <w:color w:val="auto"/>
                <w:kern w:val="2"/>
                <w:sz w:val="18"/>
                <w:szCs w:val="18"/>
                <w:highlight w:val="none"/>
                <w:lang w:val="en-US" w:eastAsia="zh-CN"/>
              </w:rPr>
              <w:t>废水排放口</w:t>
            </w:r>
            <w:r>
              <w:rPr>
                <w:rFonts w:hint="default" w:ascii="Times New Roman" w:hAnsi="Times New Roman" w:eastAsia="宋体" w:cs="Times New Roman"/>
                <w:color w:val="auto"/>
                <w:kern w:val="2"/>
                <w:sz w:val="18"/>
                <w:szCs w:val="18"/>
                <w:highlight w:val="none"/>
              </w:rPr>
              <w:t>）</w:t>
            </w:r>
          </w:p>
        </w:tc>
      </w:tr>
      <w:tr w14:paraId="6AFF1AC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1E06B37C">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vMerge w:val="continue"/>
            <w:tcBorders>
              <w:tl2br w:val="nil"/>
              <w:tr2bl w:val="nil"/>
            </w:tcBorders>
            <w:noWrap w:val="0"/>
            <w:vAlign w:val="center"/>
          </w:tcPr>
          <w:p w14:paraId="58351AB3">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2454" w:type="dxa"/>
            <w:gridSpan w:val="3"/>
            <w:tcBorders>
              <w:tl2br w:val="nil"/>
              <w:tr2bl w:val="nil"/>
            </w:tcBorders>
            <w:noWrap w:val="0"/>
            <w:tcMar>
              <w:top w:w="15" w:type="dxa"/>
              <w:left w:w="108" w:type="dxa"/>
              <w:bottom w:w="15" w:type="dxa"/>
              <w:right w:w="108" w:type="dxa"/>
            </w:tcMar>
            <w:vAlign w:val="center"/>
          </w:tcPr>
          <w:p w14:paraId="0CA02076">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Times New Roman"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监测因子</w:t>
            </w:r>
          </w:p>
        </w:tc>
        <w:tc>
          <w:tcPr>
            <w:tcW w:w="2385" w:type="dxa"/>
            <w:gridSpan w:val="4"/>
            <w:tcBorders>
              <w:tl2br w:val="nil"/>
              <w:tr2bl w:val="nil"/>
            </w:tcBorders>
            <w:noWrap w:val="0"/>
            <w:vAlign w:val="center"/>
          </w:tcPr>
          <w:p w14:paraId="413968E0">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Times New Roman"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w:t>
            </w:r>
          </w:p>
        </w:tc>
        <w:tc>
          <w:tcPr>
            <w:tcW w:w="2386" w:type="dxa"/>
            <w:gridSpan w:val="3"/>
            <w:tcBorders>
              <w:tl2br w:val="nil"/>
              <w:tr2bl w:val="nil"/>
            </w:tcBorders>
            <w:noWrap w:val="0"/>
            <w:vAlign w:val="center"/>
          </w:tcPr>
          <w:p w14:paraId="3AA4333C">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Times New Roman"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w:t>
            </w:r>
            <w:r>
              <w:rPr>
                <w:rFonts w:hint="eastAsia" w:ascii="Times New Roman" w:hAnsi="Times New Roman" w:eastAsia="宋体" w:cs="Times New Roman"/>
                <w:color w:val="auto"/>
                <w:kern w:val="2"/>
                <w:sz w:val="18"/>
                <w:szCs w:val="18"/>
                <w:highlight w:val="none"/>
                <w:lang w:val="en-US" w:eastAsia="zh-CN"/>
              </w:rPr>
              <w:t>流量、</w:t>
            </w:r>
            <w:r>
              <w:rPr>
                <w:rFonts w:hint="default" w:ascii="Times New Roman" w:hAnsi="Times New Roman" w:eastAsia="宋体" w:cs="Times New Roman"/>
                <w:color w:val="auto"/>
                <w:kern w:val="2"/>
                <w:sz w:val="18"/>
                <w:szCs w:val="18"/>
                <w:highlight w:val="none"/>
                <w:lang w:val="en-US" w:eastAsia="zh-CN"/>
              </w:rPr>
              <w:t>pH、化学需氧量、氨氮、磷酸盐</w:t>
            </w:r>
            <w:r>
              <w:rPr>
                <w:rFonts w:hint="eastAsia" w:ascii="Times New Roman" w:hAnsi="Times New Roman" w:eastAsia="宋体" w:cs="Times New Roman"/>
                <w:color w:val="auto"/>
                <w:kern w:val="2"/>
                <w:sz w:val="18"/>
                <w:szCs w:val="18"/>
                <w:highlight w:val="none"/>
                <w:lang w:val="en-US" w:eastAsia="zh-CN"/>
              </w:rPr>
              <w:t>、BOD</w:t>
            </w:r>
            <w:r>
              <w:rPr>
                <w:rFonts w:hint="eastAsia" w:ascii="Times New Roman" w:hAnsi="Times New Roman" w:eastAsia="宋体" w:cs="Times New Roman"/>
                <w:color w:val="auto"/>
                <w:kern w:val="2"/>
                <w:sz w:val="18"/>
                <w:szCs w:val="18"/>
                <w:highlight w:val="none"/>
                <w:vertAlign w:val="subscript"/>
                <w:lang w:val="en-US" w:eastAsia="zh-CN"/>
              </w:rPr>
              <w:t>5</w:t>
            </w:r>
            <w:r>
              <w:rPr>
                <w:rFonts w:hint="eastAsia" w:ascii="Times New Roman" w:hAnsi="Times New Roman" w:eastAsia="宋体" w:cs="Times New Roman"/>
                <w:color w:val="auto"/>
                <w:kern w:val="2"/>
                <w:sz w:val="18"/>
                <w:szCs w:val="18"/>
                <w:highlight w:val="none"/>
                <w:lang w:val="en-US" w:eastAsia="zh-CN"/>
              </w:rPr>
              <w:t>、SS、石油类、阴离子表面活性剂</w:t>
            </w:r>
            <w:r>
              <w:rPr>
                <w:rFonts w:hint="default" w:ascii="Times New Roman" w:hAnsi="Times New Roman" w:eastAsia="宋体" w:cs="Times New Roman"/>
                <w:color w:val="auto"/>
                <w:kern w:val="2"/>
                <w:sz w:val="18"/>
                <w:szCs w:val="18"/>
                <w:highlight w:val="none"/>
              </w:rPr>
              <w:t>）</w:t>
            </w:r>
          </w:p>
        </w:tc>
      </w:tr>
      <w:tr w14:paraId="4FDE97F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52E15CCA">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tcBorders>
              <w:tl2br w:val="nil"/>
              <w:tr2bl w:val="nil"/>
            </w:tcBorders>
            <w:noWrap w:val="0"/>
            <w:tcMar>
              <w:top w:w="15" w:type="dxa"/>
              <w:left w:w="108" w:type="dxa"/>
              <w:bottom w:w="15" w:type="dxa"/>
              <w:right w:w="108" w:type="dxa"/>
            </w:tcMar>
            <w:vAlign w:val="center"/>
          </w:tcPr>
          <w:p w14:paraId="7D1E8C4B">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污染物排放清单</w:t>
            </w:r>
          </w:p>
        </w:tc>
        <w:tc>
          <w:tcPr>
            <w:tcW w:w="7225" w:type="dxa"/>
            <w:gridSpan w:val="10"/>
            <w:tcBorders>
              <w:tl2br w:val="nil"/>
              <w:tr2bl w:val="nil"/>
            </w:tcBorders>
            <w:noWrap w:val="0"/>
            <w:tcMar>
              <w:top w:w="15" w:type="dxa"/>
              <w:left w:w="108" w:type="dxa"/>
              <w:bottom w:w="15" w:type="dxa"/>
              <w:right w:w="108" w:type="dxa"/>
            </w:tcMar>
            <w:vAlign w:val="center"/>
          </w:tcPr>
          <w:p w14:paraId="6DB5BF78">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Times New Roman" w:cs="Times New Roman"/>
                <w:color w:val="auto"/>
                <w:kern w:val="2"/>
                <w:sz w:val="18"/>
                <w:szCs w:val="18"/>
                <w:highlight w:val="none"/>
              </w:rPr>
            </w:pPr>
            <w:r>
              <w:rPr>
                <w:rFonts w:hint="default" w:ascii="Times New Roman" w:hAnsi="Times New Roman" w:eastAsia="宋体" w:cs="Times New Roman"/>
                <w:color w:val="auto"/>
                <w:kern w:val="0"/>
                <w:sz w:val="18"/>
                <w:szCs w:val="18"/>
                <w:highlight w:val="none"/>
              </w:rPr>
              <w:sym w:font="Wingdings" w:char="00A8"/>
            </w:r>
          </w:p>
        </w:tc>
      </w:tr>
      <w:tr w14:paraId="5CB5865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396" w:type="dxa"/>
            <w:vMerge w:val="continue"/>
            <w:tcBorders>
              <w:tl2br w:val="nil"/>
              <w:tr2bl w:val="nil"/>
            </w:tcBorders>
            <w:noWrap w:val="0"/>
            <w:vAlign w:val="center"/>
          </w:tcPr>
          <w:p w14:paraId="282100CE">
            <w:pPr>
              <w:keepNext w:val="0"/>
              <w:keepLines w:val="0"/>
              <w:pageBreakBefore w:val="0"/>
              <w:widowControl/>
              <w:kinsoku/>
              <w:wordWrap/>
              <w:overflowPunct/>
              <w:topLinePunct w:val="0"/>
              <w:autoSpaceDE/>
              <w:autoSpaceDN/>
              <w:bidi w:val="0"/>
              <w:adjustRightInd/>
              <w:snapToGrid/>
              <w:spacing w:after="0" w:line="240" w:lineRule="auto"/>
              <w:ind w:firstLine="0" w:firstLineChars="0"/>
              <w:jc w:val="left"/>
              <w:textAlignment w:val="auto"/>
              <w:rPr>
                <w:rFonts w:hint="default" w:ascii="Times New Roman" w:hAnsi="Times New Roman" w:eastAsia="宋体" w:cs="Times New Roman"/>
                <w:color w:val="auto"/>
                <w:kern w:val="0"/>
                <w:sz w:val="18"/>
                <w:szCs w:val="18"/>
                <w:highlight w:val="none"/>
              </w:rPr>
            </w:pPr>
          </w:p>
        </w:tc>
        <w:tc>
          <w:tcPr>
            <w:tcW w:w="1554" w:type="dxa"/>
            <w:tcBorders>
              <w:tl2br w:val="nil"/>
              <w:tr2bl w:val="nil"/>
            </w:tcBorders>
            <w:noWrap w:val="0"/>
            <w:tcMar>
              <w:top w:w="15" w:type="dxa"/>
              <w:left w:w="108" w:type="dxa"/>
              <w:bottom w:w="15" w:type="dxa"/>
              <w:right w:w="108" w:type="dxa"/>
            </w:tcMar>
            <w:vAlign w:val="center"/>
          </w:tcPr>
          <w:p w14:paraId="58F721CB">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评价结论</w:t>
            </w:r>
          </w:p>
        </w:tc>
        <w:tc>
          <w:tcPr>
            <w:tcW w:w="7225" w:type="dxa"/>
            <w:gridSpan w:val="10"/>
            <w:tcBorders>
              <w:tl2br w:val="nil"/>
              <w:tr2bl w:val="nil"/>
            </w:tcBorders>
            <w:noWrap w:val="0"/>
            <w:tcMar>
              <w:top w:w="15" w:type="dxa"/>
              <w:left w:w="108" w:type="dxa"/>
              <w:bottom w:w="15" w:type="dxa"/>
              <w:right w:w="108" w:type="dxa"/>
            </w:tcMar>
            <w:vAlign w:val="center"/>
          </w:tcPr>
          <w:p w14:paraId="0DC1FD87">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Times New Roman"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可以接受</w:t>
            </w:r>
            <w:r>
              <w:rPr>
                <w:rFonts w:hint="default" w:ascii="Times New Roman" w:hAnsi="Times New Roman" w:eastAsia="宋体" w:cs="Times New Roman"/>
                <w:color w:val="auto"/>
                <w:kern w:val="0"/>
                <w:sz w:val="18"/>
                <w:szCs w:val="18"/>
                <w:highlight w:val="none"/>
              </w:rPr>
              <w:sym w:font="Wingdings" w:char="00FE"/>
            </w:r>
            <w:r>
              <w:rPr>
                <w:rFonts w:hint="default" w:ascii="Times New Roman" w:hAnsi="Times New Roman" w:eastAsia="宋体" w:cs="Times New Roman"/>
                <w:color w:val="auto"/>
                <w:kern w:val="2"/>
                <w:sz w:val="18"/>
                <w:szCs w:val="18"/>
                <w:highlight w:val="none"/>
              </w:rPr>
              <w:t>；不可以接受□</w:t>
            </w:r>
          </w:p>
        </w:tc>
      </w:tr>
      <w:tr w14:paraId="1E84BEA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36" w:hRule="atLeast"/>
          <w:jc w:val="center"/>
        </w:trPr>
        <w:tc>
          <w:tcPr>
            <w:tcW w:w="9175" w:type="dxa"/>
            <w:gridSpan w:val="12"/>
            <w:tcBorders>
              <w:tl2br w:val="nil"/>
              <w:tr2bl w:val="nil"/>
            </w:tcBorders>
            <w:noWrap w:val="0"/>
            <w:vAlign w:val="center"/>
          </w:tcPr>
          <w:p w14:paraId="67D9B3FB">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注：“□”为勾选项，可√；“（）”为内容填写项；“备注”为其他补充内容。</w:t>
            </w:r>
          </w:p>
        </w:tc>
      </w:tr>
    </w:tbl>
    <w:p w14:paraId="0877F402">
      <w:pPr>
        <w:rPr>
          <w:rFonts w:hint="default" w:ascii="Times New Roman" w:hAnsi="Times New Roman" w:cs="Times New Roman"/>
          <w:color w:val="FF0000"/>
          <w:highlight w:val="none"/>
          <w:lang w:val="en-US" w:eastAsia="zh-CN"/>
        </w:rPr>
        <w:sectPr>
          <w:pgSz w:w="11907" w:h="16840"/>
          <w:pgMar w:top="1814" w:right="1474" w:bottom="1474" w:left="1474" w:header="1361" w:footer="1134" w:gutter="0"/>
          <w:pgBorders>
            <w:top w:val="none" w:sz="0" w:space="0"/>
            <w:left w:val="none" w:sz="0" w:space="0"/>
            <w:bottom w:val="none" w:sz="0" w:space="0"/>
            <w:right w:val="none" w:sz="0" w:space="0"/>
          </w:pgBorders>
          <w:pgNumType w:fmt="decimal"/>
          <w:cols w:space="720" w:num="1"/>
          <w:docGrid w:type="lines" w:linePitch="312" w:charSpace="0"/>
        </w:sectPr>
      </w:pPr>
    </w:p>
    <w:p w14:paraId="2606A566">
      <w:pPr>
        <w:keepNext w:val="0"/>
        <w:keepLines w:val="0"/>
        <w:pageBreakBefore w:val="0"/>
        <w:widowControl/>
        <w:kinsoku w:val="0"/>
        <w:wordWrap/>
        <w:overflowPunct/>
        <w:topLinePunct w:val="0"/>
        <w:autoSpaceDE w:val="0"/>
        <w:autoSpaceDN w:val="0"/>
        <w:bidi w:val="0"/>
        <w:adjustRightInd/>
        <w:snapToGrid/>
        <w:spacing w:after="0"/>
        <w:ind w:left="0" w:firstLine="0"/>
        <w:jc w:val="center"/>
        <w:textAlignment w:val="baseline"/>
        <w:outlineLvl w:val="0"/>
        <w:rPr>
          <w:rFonts w:hint="default" w:ascii="Times New Roman" w:hAnsi="Times New Roman" w:eastAsia="宋体" w:cs="Times New Roman"/>
          <w:b/>
          <w:smallCaps/>
          <w:snapToGrid w:val="0"/>
          <w:color w:val="auto"/>
          <w:kern w:val="2"/>
          <w:sz w:val="21"/>
          <w:szCs w:val="21"/>
          <w:highlight w:val="none"/>
          <w:lang w:eastAsia="zh-CN"/>
        </w:rPr>
      </w:pPr>
      <w:bookmarkStart w:id="103" w:name="_Toc28059"/>
      <w:r>
        <w:rPr>
          <w:rFonts w:hint="default" w:ascii="Times New Roman" w:hAnsi="Times New Roman" w:eastAsia="宋体" w:cs="Times New Roman"/>
          <w:b/>
          <w:smallCaps/>
          <w:snapToGrid w:val="0"/>
          <w:color w:val="auto"/>
          <w:kern w:val="2"/>
          <w:sz w:val="21"/>
          <w:szCs w:val="21"/>
          <w:highlight w:val="none"/>
          <w:lang w:eastAsia="zh-CN"/>
        </w:rPr>
        <w:t>附表</w:t>
      </w:r>
      <w:r>
        <w:rPr>
          <w:rFonts w:hint="default" w:ascii="Times New Roman" w:hAnsi="Times New Roman" w:eastAsia="宋体" w:cs="Times New Roman"/>
          <w:b/>
          <w:smallCaps/>
          <w:snapToGrid w:val="0"/>
          <w:color w:val="auto"/>
          <w:kern w:val="2"/>
          <w:sz w:val="21"/>
          <w:szCs w:val="21"/>
          <w:highlight w:val="none"/>
          <w:lang w:val="en-US" w:eastAsia="zh-CN"/>
        </w:rPr>
        <w:t>3</w:t>
      </w:r>
      <w:r>
        <w:rPr>
          <w:rFonts w:hint="default" w:ascii="Times New Roman" w:hAnsi="Times New Roman" w:eastAsia="宋体" w:cs="Times New Roman"/>
          <w:b/>
          <w:smallCaps/>
          <w:snapToGrid w:val="0"/>
          <w:color w:val="auto"/>
          <w:kern w:val="2"/>
          <w:sz w:val="21"/>
          <w:szCs w:val="21"/>
          <w:highlight w:val="none"/>
          <w:lang w:eastAsia="zh-CN"/>
        </w:rPr>
        <w:t xml:space="preserve">  土壤环境影响情况自查表</w:t>
      </w:r>
      <w:bookmarkEnd w:id="103"/>
    </w:p>
    <w:tbl>
      <w:tblPr>
        <w:tblStyle w:val="22"/>
        <w:tblW w:w="5000" w:type="pct"/>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393"/>
        <w:gridCol w:w="33"/>
        <w:gridCol w:w="1809"/>
        <w:gridCol w:w="1165"/>
        <w:gridCol w:w="1064"/>
        <w:gridCol w:w="148"/>
        <w:gridCol w:w="1211"/>
        <w:gridCol w:w="749"/>
        <w:gridCol w:w="1498"/>
        <w:gridCol w:w="1105"/>
      </w:tblGrid>
      <w:tr w14:paraId="5B73917D">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2235" w:type="dxa"/>
            <w:gridSpan w:val="3"/>
            <w:tcBorders>
              <w:tl2br w:val="nil"/>
              <w:tr2bl w:val="nil"/>
            </w:tcBorders>
            <w:noWrap w:val="0"/>
            <w:vAlign w:val="top"/>
          </w:tcPr>
          <w:p w14:paraId="5424C744">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工作内容</w:t>
            </w:r>
          </w:p>
        </w:tc>
        <w:tc>
          <w:tcPr>
            <w:tcW w:w="5835" w:type="dxa"/>
            <w:gridSpan w:val="6"/>
            <w:tcBorders>
              <w:tl2br w:val="nil"/>
              <w:tr2bl w:val="nil"/>
            </w:tcBorders>
            <w:noWrap w:val="0"/>
            <w:vAlign w:val="center"/>
          </w:tcPr>
          <w:p w14:paraId="22EFB274">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完成情况</w:t>
            </w:r>
          </w:p>
        </w:tc>
        <w:tc>
          <w:tcPr>
            <w:tcW w:w="1105" w:type="dxa"/>
            <w:tcBorders>
              <w:tl2br w:val="nil"/>
              <w:tr2bl w:val="nil"/>
            </w:tcBorders>
            <w:noWrap w:val="0"/>
            <w:vAlign w:val="center"/>
          </w:tcPr>
          <w:p w14:paraId="11BD74F2">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备注</w:t>
            </w:r>
          </w:p>
        </w:tc>
      </w:tr>
      <w:tr w14:paraId="09683C9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393" w:type="dxa"/>
            <w:vMerge w:val="restart"/>
            <w:tcBorders>
              <w:tl2br w:val="nil"/>
              <w:tr2bl w:val="nil"/>
            </w:tcBorders>
            <w:noWrap w:val="0"/>
            <w:vAlign w:val="center"/>
          </w:tcPr>
          <w:p w14:paraId="5C3ADC15">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影响识别</w:t>
            </w:r>
          </w:p>
        </w:tc>
        <w:tc>
          <w:tcPr>
            <w:tcW w:w="1842" w:type="dxa"/>
            <w:gridSpan w:val="2"/>
            <w:tcBorders>
              <w:tl2br w:val="nil"/>
              <w:tr2bl w:val="nil"/>
            </w:tcBorders>
            <w:noWrap w:val="0"/>
            <w:vAlign w:val="center"/>
          </w:tcPr>
          <w:p w14:paraId="60D99CC0">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影响类型</w:t>
            </w:r>
          </w:p>
        </w:tc>
        <w:tc>
          <w:tcPr>
            <w:tcW w:w="5835" w:type="dxa"/>
            <w:gridSpan w:val="6"/>
            <w:tcBorders>
              <w:tl2br w:val="nil"/>
              <w:tr2bl w:val="nil"/>
            </w:tcBorders>
            <w:noWrap w:val="0"/>
            <w:vAlign w:val="center"/>
          </w:tcPr>
          <w:p w14:paraId="5928D7FD">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污染影响型</w:t>
            </w:r>
            <w:r>
              <w:rPr>
                <w:rFonts w:hint="default" w:ascii="Times New Roman" w:hAnsi="Times New Roman" w:eastAsia="宋体" w:cs="Times New Roman"/>
                <w:color w:val="auto"/>
                <w:kern w:val="0"/>
                <w:sz w:val="18"/>
                <w:szCs w:val="18"/>
                <w:highlight w:val="none"/>
                <w:lang w:eastAsia="zh-CN"/>
              </w:rPr>
              <w:sym w:font="Wingdings 2" w:char="0052"/>
            </w:r>
            <w:r>
              <w:rPr>
                <w:rFonts w:hint="default" w:ascii="Times New Roman" w:hAnsi="Times New Roman" w:eastAsia="宋体" w:cs="Times New Roman"/>
                <w:color w:val="auto"/>
                <w:kern w:val="2"/>
                <w:sz w:val="18"/>
                <w:szCs w:val="18"/>
                <w:highlight w:val="none"/>
              </w:rPr>
              <w:t>；生态影响型</w:t>
            </w:r>
            <w:r>
              <w:rPr>
                <w:rFonts w:hint="default" w:ascii="Times New Roman" w:hAnsi="Times New Roman" w:eastAsia="宋体" w:cs="Times New Roman"/>
                <w:color w:val="auto"/>
                <w:kern w:val="2"/>
                <w:sz w:val="18"/>
                <w:szCs w:val="18"/>
                <w:highlight w:val="none"/>
              </w:rPr>
              <w:sym w:font="Wingdings 2" w:char="00A3"/>
            </w:r>
            <w:r>
              <w:rPr>
                <w:rFonts w:hint="default" w:ascii="Times New Roman" w:hAnsi="Times New Roman" w:eastAsia="宋体" w:cs="Times New Roman"/>
                <w:color w:val="auto"/>
                <w:kern w:val="2"/>
                <w:sz w:val="18"/>
                <w:szCs w:val="18"/>
                <w:highlight w:val="none"/>
              </w:rPr>
              <w:t>；两种兼有</w:t>
            </w:r>
            <w:r>
              <w:rPr>
                <w:rFonts w:hint="default" w:ascii="Times New Roman" w:hAnsi="Times New Roman" w:eastAsia="宋体" w:cs="Times New Roman"/>
                <w:color w:val="auto"/>
                <w:kern w:val="2"/>
                <w:sz w:val="18"/>
                <w:szCs w:val="18"/>
                <w:highlight w:val="none"/>
              </w:rPr>
              <w:sym w:font="Wingdings 2" w:char="00A3"/>
            </w:r>
          </w:p>
        </w:tc>
        <w:tc>
          <w:tcPr>
            <w:tcW w:w="1105" w:type="dxa"/>
            <w:tcBorders>
              <w:tl2br w:val="nil"/>
              <w:tr2bl w:val="nil"/>
            </w:tcBorders>
            <w:noWrap w:val="0"/>
            <w:vAlign w:val="top"/>
          </w:tcPr>
          <w:p w14:paraId="5D5BE0BB">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r>
      <w:tr w14:paraId="007EF26A">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393" w:type="dxa"/>
            <w:vMerge w:val="continue"/>
            <w:tcBorders>
              <w:tl2br w:val="nil"/>
              <w:tr2bl w:val="nil"/>
            </w:tcBorders>
            <w:noWrap w:val="0"/>
            <w:vAlign w:val="center"/>
          </w:tcPr>
          <w:p w14:paraId="4DC0AD9B">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42" w:type="dxa"/>
            <w:gridSpan w:val="2"/>
            <w:tcBorders>
              <w:tl2br w:val="nil"/>
              <w:tr2bl w:val="nil"/>
            </w:tcBorders>
            <w:noWrap w:val="0"/>
            <w:vAlign w:val="center"/>
          </w:tcPr>
          <w:p w14:paraId="453CA006">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土地利用类型</w:t>
            </w:r>
          </w:p>
        </w:tc>
        <w:tc>
          <w:tcPr>
            <w:tcW w:w="5835" w:type="dxa"/>
            <w:gridSpan w:val="6"/>
            <w:tcBorders>
              <w:tl2br w:val="nil"/>
              <w:tr2bl w:val="nil"/>
            </w:tcBorders>
            <w:noWrap w:val="0"/>
            <w:vAlign w:val="center"/>
          </w:tcPr>
          <w:p w14:paraId="02A1619D">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建设用地</w:t>
            </w:r>
            <w:r>
              <w:rPr>
                <w:rFonts w:hint="default" w:ascii="Times New Roman" w:hAnsi="Times New Roman" w:eastAsia="宋体" w:cs="Times New Roman"/>
                <w:color w:val="auto"/>
                <w:kern w:val="0"/>
                <w:sz w:val="18"/>
                <w:szCs w:val="18"/>
                <w:highlight w:val="none"/>
                <w:lang w:eastAsia="zh-CN"/>
              </w:rPr>
              <w:sym w:font="Wingdings 2" w:char="0052"/>
            </w:r>
            <w:r>
              <w:rPr>
                <w:rFonts w:hint="default" w:ascii="Times New Roman" w:hAnsi="Times New Roman" w:eastAsia="宋体" w:cs="Times New Roman"/>
                <w:color w:val="auto"/>
                <w:kern w:val="2"/>
                <w:sz w:val="18"/>
                <w:szCs w:val="18"/>
                <w:highlight w:val="none"/>
              </w:rPr>
              <w:t>；农用地</w:t>
            </w:r>
            <w:r>
              <w:rPr>
                <w:rFonts w:hint="default" w:ascii="Times New Roman" w:hAnsi="Times New Roman" w:eastAsia="宋体" w:cs="Times New Roman"/>
                <w:color w:val="auto"/>
                <w:kern w:val="2"/>
                <w:sz w:val="18"/>
                <w:szCs w:val="18"/>
                <w:highlight w:val="none"/>
              </w:rPr>
              <w:sym w:font="Wingdings 2" w:char="00A3"/>
            </w:r>
            <w:r>
              <w:rPr>
                <w:rFonts w:hint="default" w:ascii="Times New Roman" w:hAnsi="Times New Roman" w:eastAsia="宋体" w:cs="Times New Roman"/>
                <w:color w:val="auto"/>
                <w:kern w:val="2"/>
                <w:sz w:val="18"/>
                <w:szCs w:val="18"/>
                <w:highlight w:val="none"/>
              </w:rPr>
              <w:t>；未利用地</w:t>
            </w:r>
            <w:r>
              <w:rPr>
                <w:rFonts w:hint="default" w:ascii="Times New Roman" w:hAnsi="Times New Roman" w:eastAsia="宋体" w:cs="Times New Roman"/>
                <w:color w:val="auto"/>
                <w:kern w:val="2"/>
                <w:sz w:val="18"/>
                <w:szCs w:val="18"/>
                <w:highlight w:val="none"/>
              </w:rPr>
              <w:sym w:font="Wingdings 2" w:char="00A3"/>
            </w:r>
          </w:p>
        </w:tc>
        <w:tc>
          <w:tcPr>
            <w:tcW w:w="1105" w:type="dxa"/>
            <w:tcBorders>
              <w:tl2br w:val="nil"/>
              <w:tr2bl w:val="nil"/>
            </w:tcBorders>
            <w:noWrap w:val="0"/>
            <w:vAlign w:val="center"/>
          </w:tcPr>
          <w:p w14:paraId="6B05FD3C">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42C2B536">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393" w:type="dxa"/>
            <w:vMerge w:val="continue"/>
            <w:tcBorders>
              <w:tl2br w:val="nil"/>
              <w:tr2bl w:val="nil"/>
            </w:tcBorders>
            <w:noWrap w:val="0"/>
            <w:vAlign w:val="center"/>
          </w:tcPr>
          <w:p w14:paraId="59622D7F">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42" w:type="dxa"/>
            <w:gridSpan w:val="2"/>
            <w:tcBorders>
              <w:tl2br w:val="nil"/>
              <w:tr2bl w:val="nil"/>
            </w:tcBorders>
            <w:noWrap w:val="0"/>
            <w:vAlign w:val="center"/>
          </w:tcPr>
          <w:p w14:paraId="0C42070D">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占地规模</w:t>
            </w:r>
          </w:p>
        </w:tc>
        <w:tc>
          <w:tcPr>
            <w:tcW w:w="5835" w:type="dxa"/>
            <w:gridSpan w:val="6"/>
            <w:tcBorders>
              <w:tl2br w:val="nil"/>
              <w:tr2bl w:val="nil"/>
            </w:tcBorders>
            <w:noWrap w:val="0"/>
            <w:vAlign w:val="center"/>
          </w:tcPr>
          <w:p w14:paraId="28BCA942">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w:t>
            </w:r>
            <w:r>
              <w:rPr>
                <w:rFonts w:hint="eastAsia" w:ascii="Times New Roman" w:hAnsi="Times New Roman" w:eastAsia="宋体" w:cs="Times New Roman"/>
                <w:color w:val="auto"/>
                <w:kern w:val="2"/>
                <w:sz w:val="18"/>
                <w:szCs w:val="18"/>
                <w:highlight w:val="none"/>
                <w:lang w:val="en-US" w:eastAsia="zh-CN"/>
              </w:rPr>
              <w:t>3.9999</w:t>
            </w:r>
            <w:r>
              <w:rPr>
                <w:rFonts w:hint="default" w:ascii="Times New Roman" w:hAnsi="Times New Roman" w:eastAsia="宋体" w:cs="Times New Roman"/>
                <w:color w:val="auto"/>
                <w:kern w:val="2"/>
                <w:sz w:val="18"/>
                <w:szCs w:val="18"/>
                <w:highlight w:val="none"/>
              </w:rPr>
              <w:t>）hm</w:t>
            </w:r>
            <w:r>
              <w:rPr>
                <w:rFonts w:hint="default" w:ascii="Times New Roman" w:hAnsi="Times New Roman" w:eastAsia="宋体" w:cs="Times New Roman"/>
                <w:color w:val="auto"/>
                <w:kern w:val="2"/>
                <w:sz w:val="18"/>
                <w:szCs w:val="18"/>
                <w:highlight w:val="none"/>
                <w:vertAlign w:val="superscript"/>
              </w:rPr>
              <w:t>2</w:t>
            </w:r>
          </w:p>
        </w:tc>
        <w:tc>
          <w:tcPr>
            <w:tcW w:w="1105" w:type="dxa"/>
            <w:tcBorders>
              <w:tl2br w:val="nil"/>
              <w:tr2bl w:val="nil"/>
            </w:tcBorders>
            <w:noWrap w:val="0"/>
            <w:vAlign w:val="top"/>
          </w:tcPr>
          <w:p w14:paraId="5FAD0DD7">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7E462A50">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393" w:type="dxa"/>
            <w:vMerge w:val="continue"/>
            <w:tcBorders>
              <w:tl2br w:val="nil"/>
              <w:tr2bl w:val="nil"/>
            </w:tcBorders>
            <w:noWrap w:val="0"/>
            <w:vAlign w:val="center"/>
          </w:tcPr>
          <w:p w14:paraId="1A94497E">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42" w:type="dxa"/>
            <w:gridSpan w:val="2"/>
            <w:tcBorders>
              <w:tl2br w:val="nil"/>
              <w:tr2bl w:val="nil"/>
            </w:tcBorders>
            <w:noWrap w:val="0"/>
            <w:vAlign w:val="center"/>
          </w:tcPr>
          <w:p w14:paraId="4C62FD3B">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敏感目标信息</w:t>
            </w:r>
          </w:p>
        </w:tc>
        <w:tc>
          <w:tcPr>
            <w:tcW w:w="5835" w:type="dxa"/>
            <w:gridSpan w:val="6"/>
            <w:tcBorders>
              <w:tl2br w:val="nil"/>
              <w:tr2bl w:val="nil"/>
            </w:tcBorders>
            <w:noWrap w:val="0"/>
            <w:vAlign w:val="center"/>
          </w:tcPr>
          <w:p w14:paraId="6F8B0569">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敏感目标（</w:t>
            </w:r>
            <w:r>
              <w:rPr>
                <w:rFonts w:hint="default" w:ascii="Times New Roman" w:hAnsi="Times New Roman" w:eastAsia="宋体" w:cs="Times New Roman"/>
                <w:color w:val="auto"/>
                <w:kern w:val="2"/>
                <w:sz w:val="18"/>
                <w:szCs w:val="18"/>
                <w:highlight w:val="none"/>
                <w:lang w:eastAsia="zh-CN"/>
              </w:rPr>
              <w:t>居民区</w:t>
            </w:r>
            <w:r>
              <w:rPr>
                <w:rFonts w:hint="default" w:ascii="Times New Roman" w:hAnsi="Times New Roman" w:eastAsia="宋体" w:cs="Times New Roman"/>
                <w:color w:val="auto"/>
                <w:kern w:val="2"/>
                <w:sz w:val="18"/>
                <w:szCs w:val="18"/>
                <w:highlight w:val="none"/>
              </w:rPr>
              <w:t>）、方位（</w:t>
            </w:r>
            <w:r>
              <w:rPr>
                <w:rFonts w:hint="eastAsia" w:ascii="Times New Roman" w:hAnsi="Times New Roman" w:eastAsia="宋体" w:cs="Times New Roman"/>
                <w:color w:val="auto"/>
                <w:kern w:val="2"/>
                <w:sz w:val="18"/>
                <w:szCs w:val="18"/>
                <w:highlight w:val="none"/>
                <w:lang w:val="en-US" w:eastAsia="zh-CN"/>
              </w:rPr>
              <w:t>东南</w:t>
            </w:r>
            <w:r>
              <w:rPr>
                <w:rFonts w:hint="default" w:ascii="Times New Roman" w:hAnsi="Times New Roman" w:eastAsia="宋体" w:cs="Times New Roman"/>
                <w:color w:val="auto"/>
                <w:kern w:val="2"/>
                <w:sz w:val="18"/>
                <w:szCs w:val="18"/>
                <w:highlight w:val="none"/>
              </w:rPr>
              <w:t>）、距离（50m以内）</w:t>
            </w:r>
          </w:p>
        </w:tc>
        <w:tc>
          <w:tcPr>
            <w:tcW w:w="1105" w:type="dxa"/>
            <w:tcBorders>
              <w:tl2br w:val="nil"/>
              <w:tr2bl w:val="nil"/>
            </w:tcBorders>
            <w:noWrap w:val="0"/>
            <w:vAlign w:val="top"/>
          </w:tcPr>
          <w:p w14:paraId="492C7CA5">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6596182D">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393" w:type="dxa"/>
            <w:vMerge w:val="continue"/>
            <w:tcBorders>
              <w:tl2br w:val="nil"/>
              <w:tr2bl w:val="nil"/>
            </w:tcBorders>
            <w:noWrap w:val="0"/>
            <w:vAlign w:val="center"/>
          </w:tcPr>
          <w:p w14:paraId="74631D52">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42" w:type="dxa"/>
            <w:gridSpan w:val="2"/>
            <w:tcBorders>
              <w:tl2br w:val="nil"/>
              <w:tr2bl w:val="nil"/>
            </w:tcBorders>
            <w:noWrap w:val="0"/>
            <w:vAlign w:val="center"/>
          </w:tcPr>
          <w:p w14:paraId="7E55C7BC">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影响途径</w:t>
            </w:r>
          </w:p>
        </w:tc>
        <w:tc>
          <w:tcPr>
            <w:tcW w:w="5835" w:type="dxa"/>
            <w:gridSpan w:val="6"/>
            <w:tcBorders>
              <w:tl2br w:val="nil"/>
              <w:tr2bl w:val="nil"/>
            </w:tcBorders>
            <w:noWrap w:val="0"/>
            <w:vAlign w:val="center"/>
          </w:tcPr>
          <w:p w14:paraId="3849EF26">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大气沉降</w:t>
            </w:r>
            <w:r>
              <w:rPr>
                <w:rFonts w:hint="default" w:ascii="Times New Roman" w:hAnsi="Times New Roman" w:eastAsia="宋体" w:cs="Times New Roman"/>
                <w:color w:val="auto"/>
                <w:kern w:val="0"/>
                <w:sz w:val="18"/>
                <w:szCs w:val="18"/>
                <w:highlight w:val="none"/>
                <w:lang w:eastAsia="zh-CN"/>
              </w:rPr>
              <w:sym w:font="Wingdings 2" w:char="0052"/>
            </w:r>
            <w:r>
              <w:rPr>
                <w:rFonts w:hint="default" w:ascii="Times New Roman" w:hAnsi="Times New Roman" w:eastAsia="宋体" w:cs="Times New Roman"/>
                <w:color w:val="auto"/>
                <w:kern w:val="2"/>
                <w:sz w:val="18"/>
                <w:szCs w:val="18"/>
                <w:highlight w:val="none"/>
              </w:rPr>
              <w:t>；地面漫流</w:t>
            </w:r>
            <w:r>
              <w:rPr>
                <w:rFonts w:hint="default" w:ascii="Times New Roman" w:hAnsi="Times New Roman" w:eastAsia="宋体" w:cs="Times New Roman"/>
                <w:color w:val="auto"/>
                <w:kern w:val="2"/>
                <w:sz w:val="18"/>
                <w:szCs w:val="18"/>
                <w:highlight w:val="none"/>
              </w:rPr>
              <w:sym w:font="Wingdings 2" w:char="0052"/>
            </w:r>
            <w:r>
              <w:rPr>
                <w:rFonts w:hint="default" w:ascii="Times New Roman" w:hAnsi="Times New Roman" w:eastAsia="宋体" w:cs="Times New Roman"/>
                <w:color w:val="auto"/>
                <w:kern w:val="2"/>
                <w:sz w:val="18"/>
                <w:szCs w:val="18"/>
                <w:highlight w:val="none"/>
              </w:rPr>
              <w:t>；垂直入渗</w:t>
            </w:r>
            <w:r>
              <w:rPr>
                <w:rFonts w:hint="default" w:ascii="Times New Roman" w:hAnsi="Times New Roman" w:eastAsia="宋体" w:cs="Times New Roman"/>
                <w:color w:val="auto"/>
                <w:kern w:val="2"/>
                <w:sz w:val="18"/>
                <w:szCs w:val="18"/>
                <w:highlight w:val="none"/>
              </w:rPr>
              <w:sym w:font="Wingdings 2" w:char="0052"/>
            </w:r>
            <w:r>
              <w:rPr>
                <w:rFonts w:hint="default" w:ascii="Times New Roman" w:hAnsi="Times New Roman" w:eastAsia="宋体" w:cs="Times New Roman"/>
                <w:color w:val="auto"/>
                <w:kern w:val="2"/>
                <w:sz w:val="18"/>
                <w:szCs w:val="18"/>
                <w:highlight w:val="none"/>
              </w:rPr>
              <w:t>；地下水位</w:t>
            </w:r>
            <w:r>
              <w:rPr>
                <w:rFonts w:hint="default" w:ascii="Times New Roman" w:hAnsi="Times New Roman" w:eastAsia="宋体" w:cs="Times New Roman"/>
                <w:color w:val="auto"/>
                <w:kern w:val="2"/>
                <w:sz w:val="18"/>
                <w:szCs w:val="18"/>
                <w:highlight w:val="none"/>
              </w:rPr>
              <w:sym w:font="Wingdings 2" w:char="00A3"/>
            </w:r>
            <w:r>
              <w:rPr>
                <w:rFonts w:hint="default" w:ascii="Times New Roman" w:hAnsi="Times New Roman" w:eastAsia="宋体" w:cs="Times New Roman"/>
                <w:color w:val="auto"/>
                <w:kern w:val="2"/>
                <w:sz w:val="18"/>
                <w:szCs w:val="18"/>
                <w:highlight w:val="none"/>
              </w:rPr>
              <w:t>；其他（）</w:t>
            </w:r>
          </w:p>
        </w:tc>
        <w:tc>
          <w:tcPr>
            <w:tcW w:w="1105" w:type="dxa"/>
            <w:tcBorders>
              <w:tl2br w:val="nil"/>
              <w:tr2bl w:val="nil"/>
            </w:tcBorders>
            <w:noWrap w:val="0"/>
            <w:vAlign w:val="top"/>
          </w:tcPr>
          <w:p w14:paraId="60F4513E">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38D0A1C8">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393" w:type="dxa"/>
            <w:vMerge w:val="continue"/>
            <w:tcBorders>
              <w:tl2br w:val="nil"/>
              <w:tr2bl w:val="nil"/>
            </w:tcBorders>
            <w:noWrap w:val="0"/>
            <w:vAlign w:val="center"/>
          </w:tcPr>
          <w:p w14:paraId="31752448">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42" w:type="dxa"/>
            <w:gridSpan w:val="2"/>
            <w:tcBorders>
              <w:tl2br w:val="nil"/>
              <w:tr2bl w:val="nil"/>
            </w:tcBorders>
            <w:noWrap w:val="0"/>
            <w:vAlign w:val="center"/>
          </w:tcPr>
          <w:p w14:paraId="4BCA3F08">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全部污染物</w:t>
            </w:r>
          </w:p>
        </w:tc>
        <w:tc>
          <w:tcPr>
            <w:tcW w:w="5835" w:type="dxa"/>
            <w:gridSpan w:val="6"/>
            <w:tcBorders>
              <w:tl2br w:val="nil"/>
              <w:tr2bl w:val="nil"/>
            </w:tcBorders>
            <w:noWrap w:val="0"/>
            <w:vAlign w:val="top"/>
          </w:tcPr>
          <w:p w14:paraId="7B586CBF">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w:t>
            </w:r>
          </w:p>
        </w:tc>
        <w:tc>
          <w:tcPr>
            <w:tcW w:w="1105" w:type="dxa"/>
            <w:tcBorders>
              <w:tl2br w:val="nil"/>
              <w:tr2bl w:val="nil"/>
            </w:tcBorders>
            <w:noWrap w:val="0"/>
            <w:vAlign w:val="top"/>
          </w:tcPr>
          <w:p w14:paraId="095C1C1E">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398CE3F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393" w:type="dxa"/>
            <w:vMerge w:val="continue"/>
            <w:tcBorders>
              <w:tl2br w:val="nil"/>
              <w:tr2bl w:val="nil"/>
            </w:tcBorders>
            <w:noWrap w:val="0"/>
            <w:vAlign w:val="center"/>
          </w:tcPr>
          <w:p w14:paraId="60089C7F">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42" w:type="dxa"/>
            <w:gridSpan w:val="2"/>
            <w:tcBorders>
              <w:tl2br w:val="nil"/>
              <w:tr2bl w:val="nil"/>
            </w:tcBorders>
            <w:noWrap w:val="0"/>
            <w:vAlign w:val="center"/>
          </w:tcPr>
          <w:p w14:paraId="7475B6D1">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特征因子</w:t>
            </w:r>
          </w:p>
        </w:tc>
        <w:tc>
          <w:tcPr>
            <w:tcW w:w="5835" w:type="dxa"/>
            <w:gridSpan w:val="6"/>
            <w:tcBorders>
              <w:tl2br w:val="nil"/>
              <w:tr2bl w:val="nil"/>
            </w:tcBorders>
            <w:noWrap w:val="0"/>
            <w:vAlign w:val="top"/>
          </w:tcPr>
          <w:p w14:paraId="6DA86A63">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eastAsia="宋体" w:cs="Times New Roman"/>
                <w:color w:val="auto"/>
                <w:kern w:val="2"/>
                <w:sz w:val="18"/>
                <w:szCs w:val="18"/>
                <w:highlight w:val="none"/>
                <w:lang w:val="en-US" w:eastAsia="zh-CN"/>
              </w:rPr>
              <w:t>-</w:t>
            </w:r>
          </w:p>
        </w:tc>
        <w:tc>
          <w:tcPr>
            <w:tcW w:w="1105" w:type="dxa"/>
            <w:tcBorders>
              <w:tl2br w:val="nil"/>
              <w:tr2bl w:val="nil"/>
            </w:tcBorders>
            <w:noWrap w:val="0"/>
            <w:vAlign w:val="top"/>
          </w:tcPr>
          <w:p w14:paraId="08595ACB">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757DCA62">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393" w:type="dxa"/>
            <w:vMerge w:val="continue"/>
            <w:tcBorders>
              <w:tl2br w:val="nil"/>
              <w:tr2bl w:val="nil"/>
            </w:tcBorders>
            <w:noWrap w:val="0"/>
            <w:vAlign w:val="center"/>
          </w:tcPr>
          <w:p w14:paraId="63840ECF">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42" w:type="dxa"/>
            <w:gridSpan w:val="2"/>
            <w:tcBorders>
              <w:tl2br w:val="nil"/>
              <w:tr2bl w:val="nil"/>
            </w:tcBorders>
            <w:noWrap w:val="0"/>
            <w:vAlign w:val="center"/>
          </w:tcPr>
          <w:p w14:paraId="4D933B58">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所属土壤环境影响评价项目类别</w:t>
            </w:r>
          </w:p>
        </w:tc>
        <w:tc>
          <w:tcPr>
            <w:tcW w:w="5835" w:type="dxa"/>
            <w:gridSpan w:val="6"/>
            <w:tcBorders>
              <w:tl2br w:val="nil"/>
              <w:tr2bl w:val="nil"/>
            </w:tcBorders>
            <w:noWrap w:val="0"/>
            <w:vAlign w:val="center"/>
          </w:tcPr>
          <w:p w14:paraId="601F5D21">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Ⅰ类</w:t>
            </w:r>
            <w:r>
              <w:rPr>
                <w:rFonts w:hint="default" w:ascii="Times New Roman" w:hAnsi="Times New Roman" w:eastAsia="宋体" w:cs="Times New Roman"/>
                <w:color w:val="auto"/>
                <w:kern w:val="2"/>
                <w:sz w:val="18"/>
                <w:szCs w:val="18"/>
                <w:highlight w:val="none"/>
              </w:rPr>
              <w:sym w:font="Wingdings 2" w:char="0052"/>
            </w:r>
            <w:r>
              <w:rPr>
                <w:rFonts w:hint="default" w:ascii="Times New Roman" w:hAnsi="Times New Roman" w:eastAsia="宋体" w:cs="Times New Roman"/>
                <w:color w:val="auto"/>
                <w:kern w:val="2"/>
                <w:sz w:val="18"/>
                <w:szCs w:val="18"/>
                <w:highlight w:val="none"/>
              </w:rPr>
              <w:t>；</w:t>
            </w:r>
            <w:r>
              <w:rPr>
                <w:rFonts w:hint="default" w:ascii="Times New Roman" w:hAnsi="Times New Roman" w:eastAsia="宋体" w:cs="Times New Roman"/>
                <w:color w:val="auto"/>
                <w:kern w:val="2"/>
                <w:sz w:val="18"/>
                <w:szCs w:val="18"/>
                <w:highlight w:val="none"/>
                <w:lang w:val="en-US" w:eastAsia="zh-CN"/>
              </w:rPr>
              <w:t xml:space="preserve"> </w:t>
            </w:r>
            <w:r>
              <w:rPr>
                <w:rFonts w:hint="default" w:ascii="Times New Roman" w:hAnsi="Times New Roman" w:eastAsia="宋体" w:cs="Times New Roman"/>
                <w:color w:val="auto"/>
                <w:kern w:val="2"/>
                <w:sz w:val="18"/>
                <w:szCs w:val="18"/>
                <w:highlight w:val="none"/>
              </w:rPr>
              <w:t>Ⅱ类</w:t>
            </w:r>
            <w:r>
              <w:rPr>
                <w:rFonts w:hint="default" w:ascii="Times New Roman" w:hAnsi="Times New Roman" w:eastAsia="宋体" w:cs="Times New Roman"/>
                <w:color w:val="auto"/>
                <w:kern w:val="2"/>
                <w:sz w:val="18"/>
                <w:szCs w:val="18"/>
                <w:highlight w:val="none"/>
              </w:rPr>
              <w:sym w:font="Wingdings 2" w:char="00A3"/>
            </w:r>
            <w:r>
              <w:rPr>
                <w:rFonts w:hint="default" w:ascii="Times New Roman" w:hAnsi="Times New Roman" w:eastAsia="宋体" w:cs="Times New Roman"/>
                <w:color w:val="auto"/>
                <w:kern w:val="2"/>
                <w:sz w:val="18"/>
                <w:szCs w:val="18"/>
                <w:highlight w:val="none"/>
              </w:rPr>
              <w:t>； Ⅲ类</w:t>
            </w:r>
            <w:r>
              <w:rPr>
                <w:rFonts w:hint="default" w:ascii="Times New Roman" w:hAnsi="Times New Roman" w:eastAsia="宋体" w:cs="Times New Roman"/>
                <w:color w:val="auto"/>
                <w:kern w:val="0"/>
                <w:sz w:val="18"/>
                <w:szCs w:val="18"/>
                <w:highlight w:val="none"/>
                <w:lang w:eastAsia="zh-CN"/>
              </w:rPr>
              <w:t>□</w:t>
            </w:r>
            <w:r>
              <w:rPr>
                <w:rFonts w:hint="default" w:ascii="Times New Roman" w:hAnsi="Times New Roman" w:eastAsia="宋体" w:cs="Times New Roman"/>
                <w:color w:val="auto"/>
                <w:kern w:val="2"/>
                <w:sz w:val="18"/>
                <w:szCs w:val="18"/>
                <w:highlight w:val="none"/>
              </w:rPr>
              <w:t>； Ⅳ类</w:t>
            </w:r>
            <w:r>
              <w:rPr>
                <w:rFonts w:hint="default" w:ascii="Times New Roman" w:hAnsi="Times New Roman" w:eastAsia="宋体" w:cs="Times New Roman"/>
                <w:color w:val="auto"/>
                <w:kern w:val="2"/>
                <w:sz w:val="18"/>
                <w:szCs w:val="18"/>
                <w:highlight w:val="none"/>
              </w:rPr>
              <w:sym w:font="Wingdings 2" w:char="00A3"/>
            </w:r>
          </w:p>
        </w:tc>
        <w:tc>
          <w:tcPr>
            <w:tcW w:w="1105" w:type="dxa"/>
            <w:tcBorders>
              <w:tl2br w:val="nil"/>
              <w:tr2bl w:val="nil"/>
            </w:tcBorders>
            <w:noWrap w:val="0"/>
            <w:vAlign w:val="top"/>
          </w:tcPr>
          <w:p w14:paraId="08609F42">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576AC45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393" w:type="dxa"/>
            <w:vMerge w:val="continue"/>
            <w:tcBorders>
              <w:tl2br w:val="nil"/>
              <w:tr2bl w:val="nil"/>
            </w:tcBorders>
            <w:noWrap w:val="0"/>
            <w:vAlign w:val="center"/>
          </w:tcPr>
          <w:p w14:paraId="0B0D7B4A">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42" w:type="dxa"/>
            <w:gridSpan w:val="2"/>
            <w:tcBorders>
              <w:tl2br w:val="nil"/>
              <w:tr2bl w:val="nil"/>
            </w:tcBorders>
            <w:noWrap w:val="0"/>
            <w:vAlign w:val="center"/>
          </w:tcPr>
          <w:p w14:paraId="78219D40">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敏感程度</w:t>
            </w:r>
          </w:p>
        </w:tc>
        <w:tc>
          <w:tcPr>
            <w:tcW w:w="5835" w:type="dxa"/>
            <w:gridSpan w:val="6"/>
            <w:tcBorders>
              <w:tl2br w:val="nil"/>
              <w:tr2bl w:val="nil"/>
            </w:tcBorders>
            <w:noWrap w:val="0"/>
            <w:vAlign w:val="center"/>
          </w:tcPr>
          <w:p w14:paraId="6B8B8493">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敏感</w:t>
            </w:r>
            <w:r>
              <w:rPr>
                <w:rFonts w:hint="default" w:ascii="Times New Roman" w:hAnsi="Times New Roman" w:eastAsia="宋体" w:cs="Times New Roman"/>
                <w:color w:val="auto"/>
                <w:kern w:val="0"/>
                <w:sz w:val="18"/>
                <w:szCs w:val="18"/>
                <w:highlight w:val="none"/>
                <w:lang w:eastAsia="zh-CN"/>
              </w:rPr>
              <w:sym w:font="Wingdings 2" w:char="0052"/>
            </w:r>
            <w:r>
              <w:rPr>
                <w:rFonts w:hint="default" w:ascii="Times New Roman" w:hAnsi="Times New Roman" w:eastAsia="宋体" w:cs="Times New Roman"/>
                <w:color w:val="auto"/>
                <w:kern w:val="2"/>
                <w:sz w:val="18"/>
                <w:szCs w:val="18"/>
                <w:highlight w:val="none"/>
              </w:rPr>
              <w:t>；较敏感</w:t>
            </w:r>
            <w:r>
              <w:rPr>
                <w:rFonts w:hint="default" w:ascii="Times New Roman" w:hAnsi="Times New Roman" w:eastAsia="宋体" w:cs="Times New Roman"/>
                <w:color w:val="auto"/>
                <w:kern w:val="2"/>
                <w:sz w:val="18"/>
                <w:szCs w:val="18"/>
                <w:highlight w:val="none"/>
              </w:rPr>
              <w:sym w:font="Wingdings 2" w:char="00A3"/>
            </w:r>
            <w:r>
              <w:rPr>
                <w:rFonts w:hint="default" w:ascii="Times New Roman" w:hAnsi="Times New Roman" w:eastAsia="宋体" w:cs="Times New Roman"/>
                <w:color w:val="auto"/>
                <w:kern w:val="2"/>
                <w:sz w:val="18"/>
                <w:szCs w:val="18"/>
                <w:highlight w:val="none"/>
              </w:rPr>
              <w:t>；不敏感</w:t>
            </w:r>
            <w:r>
              <w:rPr>
                <w:rFonts w:hint="default" w:ascii="Times New Roman" w:hAnsi="Times New Roman" w:eastAsia="宋体" w:cs="Times New Roman"/>
                <w:color w:val="auto"/>
                <w:kern w:val="2"/>
                <w:sz w:val="18"/>
                <w:szCs w:val="18"/>
                <w:highlight w:val="none"/>
              </w:rPr>
              <w:sym w:font="Wingdings 2" w:char="00A3"/>
            </w:r>
          </w:p>
        </w:tc>
        <w:tc>
          <w:tcPr>
            <w:tcW w:w="1105" w:type="dxa"/>
            <w:tcBorders>
              <w:tl2br w:val="nil"/>
              <w:tr2bl w:val="nil"/>
            </w:tcBorders>
            <w:noWrap w:val="0"/>
            <w:vAlign w:val="top"/>
          </w:tcPr>
          <w:p w14:paraId="780D850D">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2357D10E">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2235" w:type="dxa"/>
            <w:gridSpan w:val="3"/>
            <w:tcBorders>
              <w:tl2br w:val="nil"/>
              <w:tr2bl w:val="nil"/>
            </w:tcBorders>
            <w:noWrap w:val="0"/>
            <w:vAlign w:val="center"/>
          </w:tcPr>
          <w:p w14:paraId="76D361BE">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评价工作等级</w:t>
            </w:r>
          </w:p>
        </w:tc>
        <w:tc>
          <w:tcPr>
            <w:tcW w:w="5835" w:type="dxa"/>
            <w:gridSpan w:val="6"/>
            <w:tcBorders>
              <w:tl2br w:val="nil"/>
              <w:tr2bl w:val="nil"/>
            </w:tcBorders>
            <w:noWrap w:val="0"/>
            <w:vAlign w:val="center"/>
          </w:tcPr>
          <w:p w14:paraId="05711AD3">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一级</w:t>
            </w:r>
            <w:r>
              <w:rPr>
                <w:rFonts w:hint="default" w:ascii="Times New Roman" w:hAnsi="Times New Roman" w:eastAsia="宋体" w:cs="Times New Roman"/>
                <w:color w:val="auto"/>
                <w:kern w:val="2"/>
                <w:sz w:val="18"/>
                <w:szCs w:val="18"/>
                <w:highlight w:val="none"/>
              </w:rPr>
              <w:sym w:font="Wingdings 2" w:char="0052"/>
            </w:r>
            <w:r>
              <w:rPr>
                <w:rFonts w:hint="default" w:ascii="Times New Roman" w:hAnsi="Times New Roman" w:eastAsia="宋体" w:cs="Times New Roman"/>
                <w:color w:val="auto"/>
                <w:kern w:val="2"/>
                <w:sz w:val="18"/>
                <w:szCs w:val="18"/>
                <w:highlight w:val="none"/>
              </w:rPr>
              <w:t>；二级</w:t>
            </w:r>
            <w:r>
              <w:rPr>
                <w:rFonts w:hint="default" w:ascii="Times New Roman" w:hAnsi="Times New Roman" w:eastAsia="宋体" w:cs="Times New Roman"/>
                <w:color w:val="auto"/>
                <w:kern w:val="2"/>
                <w:sz w:val="18"/>
                <w:szCs w:val="18"/>
                <w:highlight w:val="none"/>
              </w:rPr>
              <w:sym w:font="Wingdings 2" w:char="00A3"/>
            </w:r>
            <w:r>
              <w:rPr>
                <w:rFonts w:hint="default" w:ascii="Times New Roman" w:hAnsi="Times New Roman" w:eastAsia="宋体" w:cs="Times New Roman"/>
                <w:color w:val="auto"/>
                <w:kern w:val="2"/>
                <w:sz w:val="18"/>
                <w:szCs w:val="18"/>
                <w:highlight w:val="none"/>
              </w:rPr>
              <w:t>；三级</w:t>
            </w:r>
            <w:r>
              <w:rPr>
                <w:rFonts w:hint="default" w:ascii="Times New Roman" w:hAnsi="Times New Roman" w:eastAsia="宋体" w:cs="Times New Roman"/>
                <w:color w:val="auto"/>
                <w:kern w:val="0"/>
                <w:sz w:val="18"/>
                <w:szCs w:val="18"/>
                <w:highlight w:val="none"/>
                <w:lang w:eastAsia="zh-CN"/>
              </w:rPr>
              <w:sym w:font="Wingdings 2" w:char="00A3"/>
            </w:r>
          </w:p>
        </w:tc>
        <w:tc>
          <w:tcPr>
            <w:tcW w:w="1105" w:type="dxa"/>
            <w:tcBorders>
              <w:tl2br w:val="nil"/>
              <w:tr2bl w:val="nil"/>
            </w:tcBorders>
            <w:noWrap w:val="0"/>
            <w:vAlign w:val="top"/>
          </w:tcPr>
          <w:p w14:paraId="3D3CFFD3">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r>
      <w:tr w14:paraId="574C327C">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426" w:type="dxa"/>
            <w:gridSpan w:val="2"/>
            <w:vMerge w:val="restart"/>
            <w:tcBorders>
              <w:tl2br w:val="nil"/>
              <w:tr2bl w:val="nil"/>
            </w:tcBorders>
            <w:noWrap w:val="0"/>
            <w:vAlign w:val="center"/>
          </w:tcPr>
          <w:p w14:paraId="162952FD">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现状调查内容</w:t>
            </w:r>
          </w:p>
        </w:tc>
        <w:tc>
          <w:tcPr>
            <w:tcW w:w="1809" w:type="dxa"/>
            <w:tcBorders>
              <w:tl2br w:val="nil"/>
              <w:tr2bl w:val="nil"/>
            </w:tcBorders>
            <w:noWrap w:val="0"/>
            <w:vAlign w:val="center"/>
          </w:tcPr>
          <w:p w14:paraId="052A11CC">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资料收集</w:t>
            </w:r>
          </w:p>
        </w:tc>
        <w:tc>
          <w:tcPr>
            <w:tcW w:w="5835" w:type="dxa"/>
            <w:gridSpan w:val="6"/>
            <w:tcBorders>
              <w:tl2br w:val="nil"/>
              <w:tr2bl w:val="nil"/>
            </w:tcBorders>
            <w:noWrap w:val="0"/>
            <w:vAlign w:val="center"/>
          </w:tcPr>
          <w:p w14:paraId="2477B16E">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a）</w:t>
            </w:r>
            <w:r>
              <w:rPr>
                <w:rFonts w:hint="default" w:ascii="Times New Roman" w:hAnsi="Times New Roman" w:eastAsia="宋体" w:cs="Times New Roman"/>
                <w:color w:val="auto"/>
                <w:kern w:val="2"/>
                <w:sz w:val="18"/>
                <w:szCs w:val="18"/>
                <w:highlight w:val="none"/>
              </w:rPr>
              <w:sym w:font="Wingdings 2" w:char="00A3"/>
            </w:r>
            <w:r>
              <w:rPr>
                <w:rFonts w:hint="default" w:ascii="Times New Roman" w:hAnsi="Times New Roman" w:eastAsia="宋体" w:cs="Times New Roman"/>
                <w:color w:val="auto"/>
                <w:kern w:val="2"/>
                <w:sz w:val="18"/>
                <w:szCs w:val="18"/>
                <w:highlight w:val="none"/>
              </w:rPr>
              <w:t>；b）</w:t>
            </w:r>
            <w:r>
              <w:rPr>
                <w:rFonts w:hint="default" w:ascii="Times New Roman" w:hAnsi="Times New Roman" w:eastAsia="宋体" w:cs="Times New Roman"/>
                <w:color w:val="auto"/>
                <w:kern w:val="2"/>
                <w:sz w:val="18"/>
                <w:szCs w:val="18"/>
                <w:highlight w:val="none"/>
              </w:rPr>
              <w:sym w:font="Wingdings 2" w:char="00A3"/>
            </w:r>
            <w:r>
              <w:rPr>
                <w:rFonts w:hint="default" w:ascii="Times New Roman" w:hAnsi="Times New Roman" w:eastAsia="宋体" w:cs="Times New Roman"/>
                <w:color w:val="auto"/>
                <w:kern w:val="2"/>
                <w:sz w:val="18"/>
                <w:szCs w:val="18"/>
                <w:highlight w:val="none"/>
              </w:rPr>
              <w:t>；c）</w:t>
            </w:r>
            <w:r>
              <w:rPr>
                <w:rFonts w:hint="default" w:ascii="Times New Roman" w:hAnsi="Times New Roman" w:eastAsia="宋体" w:cs="Times New Roman"/>
                <w:color w:val="auto"/>
                <w:kern w:val="2"/>
                <w:sz w:val="18"/>
                <w:szCs w:val="18"/>
                <w:highlight w:val="none"/>
              </w:rPr>
              <w:sym w:font="Wingdings 2" w:char="00A3"/>
            </w:r>
            <w:r>
              <w:rPr>
                <w:rFonts w:hint="default" w:ascii="Times New Roman" w:hAnsi="Times New Roman" w:eastAsia="宋体" w:cs="Times New Roman"/>
                <w:color w:val="auto"/>
                <w:kern w:val="2"/>
                <w:sz w:val="18"/>
                <w:szCs w:val="18"/>
                <w:highlight w:val="none"/>
              </w:rPr>
              <w:t>；d）</w:t>
            </w:r>
            <w:r>
              <w:rPr>
                <w:rFonts w:hint="default" w:ascii="Times New Roman" w:hAnsi="Times New Roman" w:eastAsia="宋体" w:cs="Times New Roman"/>
                <w:color w:val="auto"/>
                <w:kern w:val="2"/>
                <w:sz w:val="18"/>
                <w:szCs w:val="18"/>
                <w:highlight w:val="none"/>
              </w:rPr>
              <w:sym w:font="Wingdings 2" w:char="00A3"/>
            </w:r>
          </w:p>
        </w:tc>
        <w:tc>
          <w:tcPr>
            <w:tcW w:w="1105" w:type="dxa"/>
            <w:tcBorders>
              <w:tl2br w:val="nil"/>
              <w:tr2bl w:val="nil"/>
            </w:tcBorders>
            <w:noWrap w:val="0"/>
            <w:vAlign w:val="top"/>
          </w:tcPr>
          <w:p w14:paraId="350AA990">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r>
      <w:tr w14:paraId="63B3AF9C">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426" w:type="dxa"/>
            <w:gridSpan w:val="2"/>
            <w:vMerge w:val="continue"/>
            <w:tcBorders>
              <w:tl2br w:val="nil"/>
              <w:tr2bl w:val="nil"/>
            </w:tcBorders>
            <w:noWrap w:val="0"/>
            <w:vAlign w:val="center"/>
          </w:tcPr>
          <w:p w14:paraId="2736C1C4">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09" w:type="dxa"/>
            <w:tcBorders>
              <w:tl2br w:val="nil"/>
              <w:tr2bl w:val="nil"/>
            </w:tcBorders>
            <w:noWrap w:val="0"/>
            <w:vAlign w:val="center"/>
          </w:tcPr>
          <w:p w14:paraId="3115C089">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理化特性</w:t>
            </w:r>
          </w:p>
        </w:tc>
        <w:tc>
          <w:tcPr>
            <w:tcW w:w="5835" w:type="dxa"/>
            <w:gridSpan w:val="6"/>
            <w:tcBorders>
              <w:tl2br w:val="nil"/>
              <w:tr2bl w:val="nil"/>
            </w:tcBorders>
            <w:noWrap w:val="0"/>
            <w:vAlign w:val="top"/>
          </w:tcPr>
          <w:p w14:paraId="472484B4">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eastAsia="宋体" w:cs="Times New Roman"/>
                <w:color w:val="auto"/>
                <w:kern w:val="2"/>
                <w:sz w:val="18"/>
                <w:szCs w:val="18"/>
                <w:highlight w:val="none"/>
              </w:rPr>
              <w:t>黑色、</w:t>
            </w:r>
            <w:r>
              <w:rPr>
                <w:rFonts w:hint="eastAsia" w:ascii="Times New Roman" w:hAnsi="Times New Roman" w:eastAsia="宋体" w:cs="Times New Roman"/>
                <w:color w:val="auto"/>
                <w:kern w:val="2"/>
                <w:sz w:val="18"/>
                <w:szCs w:val="18"/>
                <w:highlight w:val="none"/>
                <w:lang w:val="en-US" w:eastAsia="zh-CN"/>
              </w:rPr>
              <w:t>柱状</w:t>
            </w:r>
            <w:r>
              <w:rPr>
                <w:rFonts w:hint="default" w:ascii="Times New Roman" w:hAnsi="Times New Roman" w:eastAsia="宋体" w:cs="Times New Roman"/>
                <w:color w:val="auto"/>
                <w:kern w:val="2"/>
                <w:sz w:val="18"/>
                <w:szCs w:val="18"/>
                <w:highlight w:val="none"/>
              </w:rPr>
              <w:t>、</w:t>
            </w:r>
            <w:r>
              <w:rPr>
                <w:rFonts w:hint="eastAsia" w:ascii="Times New Roman" w:hAnsi="Times New Roman" w:eastAsia="宋体" w:cs="Times New Roman"/>
                <w:color w:val="auto"/>
                <w:kern w:val="2"/>
                <w:sz w:val="18"/>
                <w:szCs w:val="18"/>
                <w:highlight w:val="none"/>
                <w:lang w:val="en-US" w:eastAsia="zh-CN"/>
              </w:rPr>
              <w:t>紧实</w:t>
            </w:r>
            <w:r>
              <w:rPr>
                <w:rFonts w:hint="default" w:ascii="Times New Roman" w:hAnsi="Times New Roman" w:eastAsia="宋体" w:cs="Times New Roman"/>
                <w:color w:val="auto"/>
                <w:kern w:val="2"/>
                <w:sz w:val="18"/>
                <w:szCs w:val="18"/>
                <w:highlight w:val="none"/>
                <w:lang w:eastAsia="zh-CN"/>
              </w:rPr>
              <w:t>、</w:t>
            </w:r>
            <w:r>
              <w:rPr>
                <w:rFonts w:hint="eastAsia" w:ascii="Times New Roman" w:hAnsi="Times New Roman" w:eastAsia="宋体" w:cs="Times New Roman"/>
                <w:color w:val="auto"/>
                <w:kern w:val="2"/>
                <w:sz w:val="18"/>
                <w:szCs w:val="18"/>
                <w:highlight w:val="none"/>
                <w:lang w:val="en-US" w:eastAsia="zh-CN"/>
              </w:rPr>
              <w:t>黏土</w:t>
            </w:r>
          </w:p>
        </w:tc>
        <w:tc>
          <w:tcPr>
            <w:tcW w:w="1105" w:type="dxa"/>
            <w:tcBorders>
              <w:tl2br w:val="nil"/>
              <w:tr2bl w:val="nil"/>
            </w:tcBorders>
            <w:noWrap w:val="0"/>
            <w:vAlign w:val="center"/>
          </w:tcPr>
          <w:p w14:paraId="5D74B63C">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同附录 C</w:t>
            </w:r>
          </w:p>
        </w:tc>
      </w:tr>
      <w:tr w14:paraId="69D2409B">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426" w:type="dxa"/>
            <w:gridSpan w:val="2"/>
            <w:vMerge w:val="continue"/>
            <w:tcBorders>
              <w:tl2br w:val="nil"/>
              <w:tr2bl w:val="nil"/>
            </w:tcBorders>
            <w:noWrap w:val="0"/>
            <w:vAlign w:val="center"/>
          </w:tcPr>
          <w:p w14:paraId="0C6C9FFF">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09" w:type="dxa"/>
            <w:vMerge w:val="restart"/>
            <w:tcBorders>
              <w:tl2br w:val="nil"/>
              <w:tr2bl w:val="nil"/>
            </w:tcBorders>
            <w:noWrap w:val="0"/>
            <w:vAlign w:val="center"/>
          </w:tcPr>
          <w:p w14:paraId="167D5E96">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现状监测点位</w:t>
            </w:r>
          </w:p>
        </w:tc>
        <w:tc>
          <w:tcPr>
            <w:tcW w:w="1165" w:type="dxa"/>
            <w:tcBorders>
              <w:tl2br w:val="nil"/>
              <w:tr2bl w:val="nil"/>
            </w:tcBorders>
            <w:noWrap w:val="0"/>
            <w:vAlign w:val="top"/>
          </w:tcPr>
          <w:p w14:paraId="477A0D06">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c>
          <w:tcPr>
            <w:tcW w:w="1212" w:type="dxa"/>
            <w:gridSpan w:val="2"/>
            <w:tcBorders>
              <w:tl2br w:val="nil"/>
              <w:tr2bl w:val="nil"/>
            </w:tcBorders>
            <w:noWrap w:val="0"/>
            <w:vAlign w:val="center"/>
          </w:tcPr>
          <w:p w14:paraId="2E8210DE">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占地范围内</w:t>
            </w:r>
          </w:p>
        </w:tc>
        <w:tc>
          <w:tcPr>
            <w:tcW w:w="1211" w:type="dxa"/>
            <w:tcBorders>
              <w:tl2br w:val="nil"/>
              <w:tr2bl w:val="nil"/>
            </w:tcBorders>
            <w:noWrap w:val="0"/>
            <w:vAlign w:val="center"/>
          </w:tcPr>
          <w:p w14:paraId="3796C3A4">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占地范围外</w:t>
            </w:r>
          </w:p>
        </w:tc>
        <w:tc>
          <w:tcPr>
            <w:tcW w:w="2247" w:type="dxa"/>
            <w:gridSpan w:val="2"/>
            <w:tcBorders>
              <w:tl2br w:val="nil"/>
              <w:tr2bl w:val="nil"/>
            </w:tcBorders>
            <w:noWrap w:val="0"/>
            <w:vAlign w:val="center"/>
          </w:tcPr>
          <w:p w14:paraId="0C500B92">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深度</w:t>
            </w:r>
          </w:p>
        </w:tc>
        <w:tc>
          <w:tcPr>
            <w:tcW w:w="1105" w:type="dxa"/>
            <w:vMerge w:val="restart"/>
            <w:tcBorders>
              <w:tl2br w:val="nil"/>
              <w:tr2bl w:val="nil"/>
            </w:tcBorders>
            <w:noWrap w:val="0"/>
            <w:vAlign w:val="center"/>
          </w:tcPr>
          <w:p w14:paraId="3986F754">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7885A68C">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426" w:type="dxa"/>
            <w:gridSpan w:val="2"/>
            <w:vMerge w:val="continue"/>
            <w:tcBorders>
              <w:tl2br w:val="nil"/>
              <w:tr2bl w:val="nil"/>
            </w:tcBorders>
            <w:noWrap w:val="0"/>
            <w:vAlign w:val="center"/>
          </w:tcPr>
          <w:p w14:paraId="3AC3CAC6">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09" w:type="dxa"/>
            <w:vMerge w:val="continue"/>
            <w:tcBorders>
              <w:tl2br w:val="nil"/>
              <w:tr2bl w:val="nil"/>
            </w:tcBorders>
            <w:noWrap w:val="0"/>
            <w:vAlign w:val="center"/>
          </w:tcPr>
          <w:p w14:paraId="16863518">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165" w:type="dxa"/>
            <w:tcBorders>
              <w:tl2br w:val="nil"/>
              <w:tr2bl w:val="nil"/>
            </w:tcBorders>
            <w:noWrap w:val="0"/>
            <w:vAlign w:val="center"/>
          </w:tcPr>
          <w:p w14:paraId="280C04B8">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表层样点数</w:t>
            </w:r>
          </w:p>
        </w:tc>
        <w:tc>
          <w:tcPr>
            <w:tcW w:w="1212" w:type="dxa"/>
            <w:gridSpan w:val="2"/>
            <w:tcBorders>
              <w:tl2br w:val="nil"/>
              <w:tr2bl w:val="nil"/>
            </w:tcBorders>
            <w:noWrap w:val="0"/>
            <w:vAlign w:val="center"/>
          </w:tcPr>
          <w:p w14:paraId="478C4FFF">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eastAsia="宋体" w:cs="Times New Roman"/>
                <w:color w:val="auto"/>
                <w:kern w:val="2"/>
                <w:sz w:val="18"/>
                <w:szCs w:val="18"/>
                <w:highlight w:val="none"/>
                <w:lang w:val="en-US" w:eastAsia="zh-CN"/>
              </w:rPr>
              <w:t>2</w:t>
            </w:r>
          </w:p>
        </w:tc>
        <w:tc>
          <w:tcPr>
            <w:tcW w:w="1211" w:type="dxa"/>
            <w:tcBorders>
              <w:tl2br w:val="nil"/>
              <w:tr2bl w:val="nil"/>
            </w:tcBorders>
            <w:noWrap w:val="0"/>
            <w:vAlign w:val="center"/>
          </w:tcPr>
          <w:p w14:paraId="377DADCE">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4</w:t>
            </w:r>
          </w:p>
        </w:tc>
        <w:tc>
          <w:tcPr>
            <w:tcW w:w="2247" w:type="dxa"/>
            <w:gridSpan w:val="2"/>
            <w:tcBorders>
              <w:tl2br w:val="nil"/>
              <w:tr2bl w:val="nil"/>
            </w:tcBorders>
            <w:noWrap w:val="0"/>
            <w:vAlign w:val="center"/>
          </w:tcPr>
          <w:p w14:paraId="2F109ECD">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0-20cm</w:t>
            </w:r>
          </w:p>
        </w:tc>
        <w:tc>
          <w:tcPr>
            <w:tcW w:w="1105" w:type="dxa"/>
            <w:vMerge w:val="continue"/>
            <w:tcBorders>
              <w:tl2br w:val="nil"/>
              <w:tr2bl w:val="nil"/>
            </w:tcBorders>
            <w:noWrap w:val="0"/>
            <w:vAlign w:val="center"/>
          </w:tcPr>
          <w:p w14:paraId="5D6CF64E">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79D0CCEA">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96" w:hRule="atLeast"/>
          <w:jc w:val="center"/>
        </w:trPr>
        <w:tc>
          <w:tcPr>
            <w:tcW w:w="426" w:type="dxa"/>
            <w:gridSpan w:val="2"/>
            <w:vMerge w:val="continue"/>
            <w:tcBorders>
              <w:tl2br w:val="nil"/>
              <w:tr2bl w:val="nil"/>
            </w:tcBorders>
            <w:noWrap w:val="0"/>
            <w:vAlign w:val="center"/>
          </w:tcPr>
          <w:p w14:paraId="6AE53181">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09" w:type="dxa"/>
            <w:vMerge w:val="continue"/>
            <w:tcBorders>
              <w:tl2br w:val="nil"/>
              <w:tr2bl w:val="nil"/>
            </w:tcBorders>
            <w:noWrap w:val="0"/>
            <w:vAlign w:val="center"/>
          </w:tcPr>
          <w:p w14:paraId="62109BE5">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165" w:type="dxa"/>
            <w:tcBorders>
              <w:tl2br w:val="nil"/>
              <w:tr2bl w:val="nil"/>
            </w:tcBorders>
            <w:noWrap w:val="0"/>
            <w:vAlign w:val="center"/>
          </w:tcPr>
          <w:p w14:paraId="42BA1259">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柱状样点数</w:t>
            </w:r>
          </w:p>
        </w:tc>
        <w:tc>
          <w:tcPr>
            <w:tcW w:w="1212" w:type="dxa"/>
            <w:gridSpan w:val="2"/>
            <w:tcBorders>
              <w:tl2br w:val="nil"/>
              <w:tr2bl w:val="nil"/>
            </w:tcBorders>
            <w:noWrap w:val="0"/>
            <w:vAlign w:val="center"/>
          </w:tcPr>
          <w:p w14:paraId="0232319D">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eastAsia="宋体" w:cs="Times New Roman"/>
                <w:color w:val="auto"/>
                <w:kern w:val="2"/>
                <w:sz w:val="18"/>
                <w:szCs w:val="18"/>
                <w:highlight w:val="none"/>
                <w:lang w:val="en-US" w:eastAsia="zh-CN"/>
              </w:rPr>
              <w:t>5</w:t>
            </w:r>
          </w:p>
        </w:tc>
        <w:tc>
          <w:tcPr>
            <w:tcW w:w="1211" w:type="dxa"/>
            <w:tcBorders>
              <w:tl2br w:val="nil"/>
              <w:tr2bl w:val="nil"/>
            </w:tcBorders>
            <w:noWrap w:val="0"/>
            <w:vAlign w:val="center"/>
          </w:tcPr>
          <w:p w14:paraId="03E1FA8D">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0</w:t>
            </w:r>
          </w:p>
        </w:tc>
        <w:tc>
          <w:tcPr>
            <w:tcW w:w="2247" w:type="dxa"/>
            <w:gridSpan w:val="2"/>
            <w:tcBorders>
              <w:tl2br w:val="nil"/>
              <w:tr2bl w:val="nil"/>
            </w:tcBorders>
            <w:noWrap w:val="0"/>
            <w:vAlign w:val="center"/>
          </w:tcPr>
          <w:p w14:paraId="43595954">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rPr>
              <w:t>0</w:t>
            </w:r>
            <w:r>
              <w:rPr>
                <w:rFonts w:hint="default" w:ascii="Times New Roman" w:hAnsi="Times New Roman" w:eastAsia="宋体" w:cs="Times New Roman"/>
                <w:color w:val="auto"/>
                <w:kern w:val="2"/>
                <w:sz w:val="18"/>
                <w:szCs w:val="18"/>
                <w:highlight w:val="none"/>
                <w:lang w:val="en-US" w:eastAsia="zh-CN"/>
              </w:rPr>
              <w:t>-50</w:t>
            </w:r>
            <w:r>
              <w:rPr>
                <w:rFonts w:hint="default" w:ascii="Times New Roman" w:hAnsi="Times New Roman" w:eastAsia="宋体" w:cs="Times New Roman"/>
                <w:color w:val="auto"/>
                <w:kern w:val="2"/>
                <w:sz w:val="18"/>
                <w:szCs w:val="18"/>
                <w:highlight w:val="none"/>
              </w:rPr>
              <w:t>cm</w:t>
            </w:r>
            <w:r>
              <w:rPr>
                <w:rFonts w:hint="default" w:ascii="Times New Roman" w:hAnsi="Times New Roman" w:eastAsia="宋体" w:cs="Times New Roman"/>
                <w:color w:val="auto"/>
                <w:kern w:val="2"/>
                <w:sz w:val="18"/>
                <w:szCs w:val="18"/>
                <w:highlight w:val="none"/>
                <w:lang w:val="en-US" w:eastAsia="zh-CN"/>
              </w:rPr>
              <w:t>、50-150</w:t>
            </w:r>
            <w:r>
              <w:rPr>
                <w:rFonts w:hint="default" w:ascii="Times New Roman" w:hAnsi="Times New Roman" w:eastAsia="宋体" w:cs="Times New Roman"/>
                <w:color w:val="auto"/>
                <w:kern w:val="2"/>
                <w:sz w:val="18"/>
                <w:szCs w:val="18"/>
                <w:highlight w:val="none"/>
              </w:rPr>
              <w:t>cm</w:t>
            </w:r>
            <w:r>
              <w:rPr>
                <w:rFonts w:hint="default" w:ascii="Times New Roman" w:hAnsi="Times New Roman" w:eastAsia="宋体" w:cs="Times New Roman"/>
                <w:color w:val="auto"/>
                <w:kern w:val="2"/>
                <w:sz w:val="18"/>
                <w:szCs w:val="18"/>
                <w:highlight w:val="none"/>
                <w:lang w:val="en-US" w:eastAsia="zh-CN"/>
              </w:rPr>
              <w:t>、150-300</w:t>
            </w:r>
            <w:r>
              <w:rPr>
                <w:rFonts w:hint="default" w:ascii="Times New Roman" w:hAnsi="Times New Roman" w:eastAsia="宋体" w:cs="Times New Roman"/>
                <w:color w:val="auto"/>
                <w:kern w:val="2"/>
                <w:sz w:val="18"/>
                <w:szCs w:val="18"/>
                <w:highlight w:val="none"/>
              </w:rPr>
              <w:t>cm</w:t>
            </w:r>
          </w:p>
        </w:tc>
        <w:tc>
          <w:tcPr>
            <w:tcW w:w="1105" w:type="dxa"/>
            <w:vMerge w:val="continue"/>
            <w:tcBorders>
              <w:tl2br w:val="nil"/>
              <w:tr2bl w:val="nil"/>
            </w:tcBorders>
            <w:noWrap w:val="0"/>
            <w:vAlign w:val="center"/>
          </w:tcPr>
          <w:p w14:paraId="7C461943">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4E42CB26">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426" w:type="dxa"/>
            <w:gridSpan w:val="2"/>
            <w:vMerge w:val="continue"/>
            <w:tcBorders>
              <w:tl2br w:val="nil"/>
              <w:tr2bl w:val="nil"/>
            </w:tcBorders>
            <w:noWrap w:val="0"/>
            <w:vAlign w:val="center"/>
          </w:tcPr>
          <w:p w14:paraId="2B762442">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09" w:type="dxa"/>
            <w:tcBorders>
              <w:tl2br w:val="nil"/>
              <w:tr2bl w:val="nil"/>
            </w:tcBorders>
            <w:noWrap w:val="0"/>
            <w:vAlign w:val="center"/>
          </w:tcPr>
          <w:p w14:paraId="308DB5EC">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现状监测因子</w:t>
            </w:r>
          </w:p>
        </w:tc>
        <w:tc>
          <w:tcPr>
            <w:tcW w:w="5835" w:type="dxa"/>
            <w:gridSpan w:val="6"/>
            <w:tcBorders>
              <w:tl2br w:val="nil"/>
              <w:tr2bl w:val="nil"/>
            </w:tcBorders>
            <w:noWrap w:val="0"/>
            <w:vAlign w:val="top"/>
          </w:tcPr>
          <w:p w14:paraId="6B33329A">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eastAsia="zh-CN"/>
              </w:rPr>
              <w:t>厂区内</w:t>
            </w:r>
            <w:r>
              <w:rPr>
                <w:rFonts w:hint="default" w:ascii="Times New Roman" w:hAnsi="Times New Roman" w:eastAsia="宋体" w:cs="Times New Roman"/>
                <w:color w:val="auto"/>
                <w:kern w:val="2"/>
                <w:sz w:val="18"/>
                <w:szCs w:val="18"/>
                <w:highlight w:val="none"/>
              </w:rPr>
              <w:t>45项基本项</w:t>
            </w:r>
            <w:r>
              <w:rPr>
                <w:rFonts w:hint="eastAsia" w:ascii="Times New Roman" w:hAnsi="Times New Roman" w:eastAsia="宋体" w:cs="Times New Roman"/>
                <w:color w:val="auto"/>
                <w:kern w:val="2"/>
                <w:sz w:val="18"/>
                <w:szCs w:val="18"/>
                <w:highlight w:val="none"/>
                <w:lang w:val="en-US" w:eastAsia="zh-CN"/>
              </w:rPr>
              <w:t>及石油烃</w:t>
            </w:r>
            <w:r>
              <w:rPr>
                <w:rFonts w:hint="default" w:ascii="Times New Roman" w:hAnsi="Times New Roman" w:eastAsia="宋体" w:cs="Times New Roman"/>
                <w:color w:val="auto"/>
                <w:kern w:val="2"/>
                <w:sz w:val="18"/>
                <w:szCs w:val="18"/>
                <w:highlight w:val="none"/>
                <w:lang w:eastAsia="zh-CN"/>
              </w:rPr>
              <w:t>、厂区外</w:t>
            </w:r>
            <w:r>
              <w:rPr>
                <w:rFonts w:hint="default" w:ascii="Times New Roman" w:hAnsi="Times New Roman" w:eastAsia="宋体" w:cs="Times New Roman"/>
                <w:color w:val="auto"/>
                <w:kern w:val="2"/>
                <w:sz w:val="18"/>
                <w:szCs w:val="18"/>
                <w:highlight w:val="none"/>
              </w:rPr>
              <w:t>45项基本项</w:t>
            </w:r>
            <w:r>
              <w:rPr>
                <w:rFonts w:hint="eastAsia" w:ascii="Times New Roman" w:hAnsi="Times New Roman" w:eastAsia="宋体" w:cs="Times New Roman"/>
                <w:color w:val="auto"/>
                <w:kern w:val="2"/>
                <w:sz w:val="18"/>
                <w:szCs w:val="18"/>
                <w:highlight w:val="none"/>
                <w:lang w:val="en-US" w:eastAsia="zh-CN"/>
              </w:rPr>
              <w:t>及石油烃、pH</w:t>
            </w:r>
          </w:p>
        </w:tc>
        <w:tc>
          <w:tcPr>
            <w:tcW w:w="1105" w:type="dxa"/>
            <w:tcBorders>
              <w:tl2br w:val="nil"/>
              <w:tr2bl w:val="nil"/>
            </w:tcBorders>
            <w:noWrap w:val="0"/>
            <w:vAlign w:val="top"/>
          </w:tcPr>
          <w:p w14:paraId="6FCAA337">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6CA32107">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426" w:type="dxa"/>
            <w:gridSpan w:val="2"/>
            <w:vMerge w:val="restart"/>
            <w:tcBorders>
              <w:tl2br w:val="nil"/>
              <w:tr2bl w:val="nil"/>
            </w:tcBorders>
            <w:noWrap w:val="0"/>
            <w:vAlign w:val="center"/>
          </w:tcPr>
          <w:p w14:paraId="043AFCC6">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现状评价</w:t>
            </w:r>
          </w:p>
        </w:tc>
        <w:tc>
          <w:tcPr>
            <w:tcW w:w="1809" w:type="dxa"/>
            <w:tcBorders>
              <w:tl2br w:val="nil"/>
              <w:tr2bl w:val="nil"/>
            </w:tcBorders>
            <w:noWrap w:val="0"/>
            <w:vAlign w:val="center"/>
          </w:tcPr>
          <w:p w14:paraId="112D5BC2">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评价因子</w:t>
            </w:r>
          </w:p>
        </w:tc>
        <w:tc>
          <w:tcPr>
            <w:tcW w:w="5835" w:type="dxa"/>
            <w:gridSpan w:val="6"/>
            <w:tcBorders>
              <w:tl2br w:val="nil"/>
              <w:tr2bl w:val="nil"/>
            </w:tcBorders>
            <w:noWrap w:val="0"/>
            <w:vAlign w:val="top"/>
          </w:tcPr>
          <w:p w14:paraId="18510599">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eastAsia="zh-CN"/>
              </w:rPr>
              <w:t>厂区内</w:t>
            </w:r>
            <w:r>
              <w:rPr>
                <w:rFonts w:hint="default" w:ascii="Times New Roman" w:hAnsi="Times New Roman" w:eastAsia="宋体" w:cs="Times New Roman"/>
                <w:color w:val="auto"/>
                <w:kern w:val="2"/>
                <w:sz w:val="18"/>
                <w:szCs w:val="18"/>
                <w:highlight w:val="none"/>
              </w:rPr>
              <w:t>45项基本项</w:t>
            </w:r>
            <w:r>
              <w:rPr>
                <w:rFonts w:hint="eastAsia" w:ascii="Times New Roman" w:hAnsi="Times New Roman" w:eastAsia="宋体" w:cs="Times New Roman"/>
                <w:color w:val="auto"/>
                <w:kern w:val="2"/>
                <w:sz w:val="18"/>
                <w:szCs w:val="18"/>
                <w:highlight w:val="none"/>
                <w:lang w:val="en-US" w:eastAsia="zh-CN"/>
              </w:rPr>
              <w:t>及石油烃</w:t>
            </w:r>
            <w:r>
              <w:rPr>
                <w:rFonts w:hint="default" w:ascii="Times New Roman" w:hAnsi="Times New Roman" w:eastAsia="宋体" w:cs="Times New Roman"/>
                <w:color w:val="auto"/>
                <w:kern w:val="2"/>
                <w:sz w:val="18"/>
                <w:szCs w:val="18"/>
                <w:highlight w:val="none"/>
                <w:lang w:eastAsia="zh-CN"/>
              </w:rPr>
              <w:t>、厂区外</w:t>
            </w:r>
            <w:r>
              <w:rPr>
                <w:rFonts w:hint="default" w:ascii="Times New Roman" w:hAnsi="Times New Roman" w:eastAsia="宋体" w:cs="Times New Roman"/>
                <w:color w:val="auto"/>
                <w:kern w:val="2"/>
                <w:sz w:val="18"/>
                <w:szCs w:val="18"/>
                <w:highlight w:val="none"/>
              </w:rPr>
              <w:t>45项基本项</w:t>
            </w:r>
            <w:r>
              <w:rPr>
                <w:rFonts w:hint="eastAsia" w:ascii="Times New Roman" w:hAnsi="Times New Roman" w:eastAsia="宋体" w:cs="Times New Roman"/>
                <w:color w:val="auto"/>
                <w:kern w:val="2"/>
                <w:sz w:val="18"/>
                <w:szCs w:val="18"/>
                <w:highlight w:val="none"/>
                <w:lang w:val="en-US" w:eastAsia="zh-CN"/>
              </w:rPr>
              <w:t>及石油烃、pH</w:t>
            </w:r>
          </w:p>
        </w:tc>
        <w:tc>
          <w:tcPr>
            <w:tcW w:w="1105" w:type="dxa"/>
            <w:tcBorders>
              <w:tl2br w:val="nil"/>
              <w:tr2bl w:val="nil"/>
            </w:tcBorders>
            <w:noWrap w:val="0"/>
            <w:vAlign w:val="top"/>
          </w:tcPr>
          <w:p w14:paraId="3A102E77">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646FBCC3">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426" w:type="dxa"/>
            <w:gridSpan w:val="2"/>
            <w:vMerge w:val="continue"/>
            <w:tcBorders>
              <w:tl2br w:val="nil"/>
              <w:tr2bl w:val="nil"/>
            </w:tcBorders>
            <w:noWrap w:val="0"/>
            <w:vAlign w:val="center"/>
          </w:tcPr>
          <w:p w14:paraId="7376C393">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09" w:type="dxa"/>
            <w:tcBorders>
              <w:tl2br w:val="nil"/>
              <w:tr2bl w:val="nil"/>
            </w:tcBorders>
            <w:noWrap w:val="0"/>
            <w:vAlign w:val="center"/>
          </w:tcPr>
          <w:p w14:paraId="268DEB01">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评价标准</w:t>
            </w:r>
          </w:p>
        </w:tc>
        <w:tc>
          <w:tcPr>
            <w:tcW w:w="5835" w:type="dxa"/>
            <w:gridSpan w:val="6"/>
            <w:tcBorders>
              <w:tl2br w:val="nil"/>
              <w:tr2bl w:val="nil"/>
            </w:tcBorders>
            <w:noWrap w:val="0"/>
            <w:vAlign w:val="center"/>
          </w:tcPr>
          <w:p w14:paraId="71801FE7">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GB 15618</w:t>
            </w:r>
            <w:r>
              <w:rPr>
                <w:rFonts w:hint="eastAsia" w:ascii="Times New Roman" w:hAnsi="Times New Roman" w:eastAsia="宋体" w:cs="Times New Roman"/>
                <w:color w:val="auto"/>
                <w:kern w:val="0"/>
                <w:sz w:val="18"/>
                <w:szCs w:val="18"/>
                <w:highlight w:val="none"/>
                <w:lang w:eastAsia="zh-CN"/>
              </w:rPr>
              <w:t>☑</w:t>
            </w:r>
            <w:r>
              <w:rPr>
                <w:rFonts w:hint="default" w:ascii="Times New Roman" w:hAnsi="Times New Roman" w:eastAsia="宋体" w:cs="Times New Roman"/>
                <w:color w:val="auto"/>
                <w:kern w:val="2"/>
                <w:sz w:val="18"/>
                <w:szCs w:val="18"/>
                <w:highlight w:val="none"/>
              </w:rPr>
              <w:t>；GB 36600</w:t>
            </w:r>
            <w:r>
              <w:rPr>
                <w:rFonts w:hint="default" w:ascii="Times New Roman" w:hAnsi="Times New Roman" w:eastAsia="宋体" w:cs="Times New Roman"/>
                <w:color w:val="auto"/>
                <w:kern w:val="0"/>
                <w:sz w:val="18"/>
                <w:szCs w:val="18"/>
                <w:highlight w:val="none"/>
                <w:lang w:eastAsia="zh-CN"/>
              </w:rPr>
              <w:sym w:font="Wingdings 2" w:char="0052"/>
            </w:r>
            <w:r>
              <w:rPr>
                <w:rFonts w:hint="default" w:ascii="Times New Roman" w:hAnsi="Times New Roman" w:eastAsia="宋体" w:cs="Times New Roman"/>
                <w:color w:val="auto"/>
                <w:kern w:val="2"/>
                <w:sz w:val="18"/>
                <w:szCs w:val="18"/>
                <w:highlight w:val="none"/>
              </w:rPr>
              <w:t>；表 D.1</w:t>
            </w:r>
            <w:r>
              <w:rPr>
                <w:rFonts w:hint="default" w:ascii="Times New Roman" w:hAnsi="Times New Roman" w:eastAsia="宋体" w:cs="Times New Roman"/>
                <w:color w:val="auto"/>
                <w:kern w:val="2"/>
                <w:sz w:val="18"/>
                <w:szCs w:val="18"/>
                <w:highlight w:val="none"/>
              </w:rPr>
              <w:sym w:font="Wingdings 2" w:char="00A3"/>
            </w:r>
            <w:r>
              <w:rPr>
                <w:rFonts w:hint="default" w:ascii="Times New Roman" w:hAnsi="Times New Roman" w:eastAsia="宋体" w:cs="Times New Roman"/>
                <w:color w:val="auto"/>
                <w:kern w:val="2"/>
                <w:sz w:val="18"/>
                <w:szCs w:val="18"/>
                <w:highlight w:val="none"/>
              </w:rPr>
              <w:t>；表 D.2</w:t>
            </w:r>
            <w:r>
              <w:rPr>
                <w:rFonts w:hint="default" w:ascii="Times New Roman" w:hAnsi="Times New Roman" w:eastAsia="宋体" w:cs="Times New Roman"/>
                <w:color w:val="auto"/>
                <w:kern w:val="2"/>
                <w:sz w:val="18"/>
                <w:szCs w:val="18"/>
                <w:highlight w:val="none"/>
              </w:rPr>
              <w:sym w:font="Wingdings 2" w:char="00A3"/>
            </w:r>
            <w:r>
              <w:rPr>
                <w:rFonts w:hint="default" w:ascii="Times New Roman" w:hAnsi="Times New Roman" w:eastAsia="宋体" w:cs="Times New Roman"/>
                <w:color w:val="auto"/>
                <w:kern w:val="2"/>
                <w:sz w:val="18"/>
                <w:szCs w:val="18"/>
                <w:highlight w:val="none"/>
              </w:rPr>
              <w:t>；其他（   ）</w:t>
            </w:r>
          </w:p>
        </w:tc>
        <w:tc>
          <w:tcPr>
            <w:tcW w:w="1105" w:type="dxa"/>
            <w:tcBorders>
              <w:tl2br w:val="nil"/>
              <w:tr2bl w:val="nil"/>
            </w:tcBorders>
            <w:noWrap w:val="0"/>
            <w:vAlign w:val="top"/>
          </w:tcPr>
          <w:p w14:paraId="417FAC22">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2A39664B">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426" w:type="dxa"/>
            <w:gridSpan w:val="2"/>
            <w:vMerge w:val="continue"/>
            <w:tcBorders>
              <w:tl2br w:val="nil"/>
              <w:tr2bl w:val="nil"/>
            </w:tcBorders>
            <w:noWrap w:val="0"/>
            <w:vAlign w:val="center"/>
          </w:tcPr>
          <w:p w14:paraId="65444230">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09" w:type="dxa"/>
            <w:tcBorders>
              <w:tl2br w:val="nil"/>
              <w:tr2bl w:val="nil"/>
            </w:tcBorders>
            <w:noWrap w:val="0"/>
            <w:vAlign w:val="center"/>
          </w:tcPr>
          <w:p w14:paraId="25C0D1D5">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现状评价结论</w:t>
            </w:r>
          </w:p>
        </w:tc>
        <w:tc>
          <w:tcPr>
            <w:tcW w:w="5835" w:type="dxa"/>
            <w:gridSpan w:val="6"/>
            <w:tcBorders>
              <w:tl2br w:val="nil"/>
              <w:tr2bl w:val="nil"/>
            </w:tcBorders>
            <w:noWrap w:val="0"/>
            <w:vAlign w:val="top"/>
          </w:tcPr>
          <w:p w14:paraId="6082D53F">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eastAsia="宋体" w:cs="Times New Roman"/>
                <w:color w:val="auto"/>
                <w:kern w:val="2"/>
                <w:sz w:val="18"/>
                <w:szCs w:val="18"/>
                <w:highlight w:val="none"/>
                <w:lang w:val="en-US" w:eastAsia="zh-CN"/>
              </w:rPr>
              <w:t>厂界内土壤满足《土壤环境质量 建设用地土壤污染风险管控标准（试行）》（GB36600-2018）表1中第二类用地筛选值指标，评价范围内居民点满足《土壤环境质量 建设用地土壤污染风险管控标准（试行）》（GB36600-2018）表1中第一类用地筛选值指标，评价范围内耕地满足《土壤环境质量 农用地土壤污染风险管控标准（试行）》（GB15618-2018）表1农用地土壤污染风险筛选值要求。</w:t>
            </w:r>
          </w:p>
        </w:tc>
        <w:tc>
          <w:tcPr>
            <w:tcW w:w="1105" w:type="dxa"/>
            <w:tcBorders>
              <w:tl2br w:val="nil"/>
              <w:tr2bl w:val="nil"/>
            </w:tcBorders>
            <w:noWrap w:val="0"/>
            <w:vAlign w:val="top"/>
          </w:tcPr>
          <w:p w14:paraId="10A6C195">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586262C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426" w:type="dxa"/>
            <w:gridSpan w:val="2"/>
            <w:vMerge w:val="restart"/>
            <w:tcBorders>
              <w:tl2br w:val="nil"/>
              <w:tr2bl w:val="nil"/>
            </w:tcBorders>
            <w:noWrap w:val="0"/>
            <w:vAlign w:val="center"/>
          </w:tcPr>
          <w:p w14:paraId="123200C6">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影响预测</w:t>
            </w:r>
          </w:p>
        </w:tc>
        <w:tc>
          <w:tcPr>
            <w:tcW w:w="1809" w:type="dxa"/>
            <w:tcBorders>
              <w:tl2br w:val="nil"/>
              <w:tr2bl w:val="nil"/>
            </w:tcBorders>
            <w:noWrap w:val="0"/>
            <w:vAlign w:val="center"/>
          </w:tcPr>
          <w:p w14:paraId="0B7F0AAC">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预测因子</w:t>
            </w:r>
          </w:p>
        </w:tc>
        <w:tc>
          <w:tcPr>
            <w:tcW w:w="5835" w:type="dxa"/>
            <w:gridSpan w:val="6"/>
            <w:tcBorders>
              <w:tl2br w:val="nil"/>
              <w:tr2bl w:val="nil"/>
            </w:tcBorders>
            <w:noWrap w:val="0"/>
            <w:vAlign w:val="top"/>
          </w:tcPr>
          <w:p w14:paraId="65A004D0">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eastAsia="宋体" w:cs="Times New Roman"/>
                <w:color w:val="auto"/>
                <w:kern w:val="2"/>
                <w:sz w:val="18"/>
                <w:szCs w:val="18"/>
                <w:highlight w:val="none"/>
                <w:lang w:val="en-US" w:eastAsia="zh-CN"/>
              </w:rPr>
              <w:t>甲烷总烃、甲苯、苯乙烯</w:t>
            </w:r>
          </w:p>
        </w:tc>
        <w:tc>
          <w:tcPr>
            <w:tcW w:w="1105" w:type="dxa"/>
            <w:tcBorders>
              <w:tl2br w:val="nil"/>
              <w:tr2bl w:val="nil"/>
            </w:tcBorders>
            <w:noWrap w:val="0"/>
            <w:vAlign w:val="top"/>
          </w:tcPr>
          <w:p w14:paraId="26047BA0">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77B35529">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426" w:type="dxa"/>
            <w:gridSpan w:val="2"/>
            <w:vMerge w:val="continue"/>
            <w:tcBorders>
              <w:tl2br w:val="nil"/>
              <w:tr2bl w:val="nil"/>
            </w:tcBorders>
            <w:noWrap w:val="0"/>
            <w:vAlign w:val="center"/>
          </w:tcPr>
          <w:p w14:paraId="7AC171E0">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09" w:type="dxa"/>
            <w:tcBorders>
              <w:tl2br w:val="nil"/>
              <w:tr2bl w:val="nil"/>
            </w:tcBorders>
            <w:noWrap w:val="0"/>
            <w:vAlign w:val="center"/>
          </w:tcPr>
          <w:p w14:paraId="3AF62DBA">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预测方法</w:t>
            </w:r>
          </w:p>
        </w:tc>
        <w:tc>
          <w:tcPr>
            <w:tcW w:w="5835" w:type="dxa"/>
            <w:gridSpan w:val="6"/>
            <w:tcBorders>
              <w:tl2br w:val="nil"/>
              <w:tr2bl w:val="nil"/>
            </w:tcBorders>
            <w:noWrap w:val="0"/>
            <w:vAlign w:val="center"/>
          </w:tcPr>
          <w:p w14:paraId="4F13F166">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附录 E</w:t>
            </w:r>
            <w:r>
              <w:rPr>
                <w:rFonts w:hint="default" w:ascii="Times New Roman" w:hAnsi="Times New Roman" w:eastAsia="宋体" w:cs="Times New Roman"/>
                <w:color w:val="auto"/>
                <w:kern w:val="2"/>
                <w:sz w:val="18"/>
                <w:szCs w:val="18"/>
                <w:highlight w:val="none"/>
              </w:rPr>
              <w:sym w:font="Wingdings 2" w:char="0052"/>
            </w:r>
            <w:r>
              <w:rPr>
                <w:rFonts w:hint="default" w:ascii="Times New Roman" w:hAnsi="Times New Roman" w:eastAsia="宋体" w:cs="Times New Roman"/>
                <w:color w:val="auto"/>
                <w:kern w:val="2"/>
                <w:sz w:val="18"/>
                <w:szCs w:val="18"/>
                <w:highlight w:val="none"/>
              </w:rPr>
              <w:t>；附录 F□；其他（   ）</w:t>
            </w:r>
          </w:p>
        </w:tc>
        <w:tc>
          <w:tcPr>
            <w:tcW w:w="1105" w:type="dxa"/>
            <w:tcBorders>
              <w:tl2br w:val="nil"/>
              <w:tr2bl w:val="nil"/>
            </w:tcBorders>
            <w:noWrap w:val="0"/>
            <w:vAlign w:val="top"/>
          </w:tcPr>
          <w:p w14:paraId="04775200">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1684E1F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426" w:type="dxa"/>
            <w:gridSpan w:val="2"/>
            <w:vMerge w:val="continue"/>
            <w:tcBorders>
              <w:tl2br w:val="nil"/>
              <w:tr2bl w:val="nil"/>
            </w:tcBorders>
            <w:noWrap w:val="0"/>
            <w:vAlign w:val="center"/>
          </w:tcPr>
          <w:p w14:paraId="51873723">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09" w:type="dxa"/>
            <w:tcBorders>
              <w:tl2br w:val="nil"/>
              <w:tr2bl w:val="nil"/>
            </w:tcBorders>
            <w:noWrap w:val="0"/>
            <w:vAlign w:val="center"/>
          </w:tcPr>
          <w:p w14:paraId="5CA6BACC">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预测分析内容</w:t>
            </w:r>
          </w:p>
        </w:tc>
        <w:tc>
          <w:tcPr>
            <w:tcW w:w="5835" w:type="dxa"/>
            <w:gridSpan w:val="6"/>
            <w:tcBorders>
              <w:tl2br w:val="nil"/>
              <w:tr2bl w:val="nil"/>
            </w:tcBorders>
            <w:noWrap w:val="0"/>
            <w:vAlign w:val="center"/>
          </w:tcPr>
          <w:p w14:paraId="0BC7CD98">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影响范围（   ）</w:t>
            </w:r>
          </w:p>
          <w:p w14:paraId="05B4C4F0">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影响程度（   ）</w:t>
            </w:r>
          </w:p>
        </w:tc>
        <w:tc>
          <w:tcPr>
            <w:tcW w:w="1105" w:type="dxa"/>
            <w:tcBorders>
              <w:tl2br w:val="nil"/>
              <w:tr2bl w:val="nil"/>
            </w:tcBorders>
            <w:noWrap w:val="0"/>
            <w:vAlign w:val="top"/>
          </w:tcPr>
          <w:p w14:paraId="578D337B">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5B4D93D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426" w:type="dxa"/>
            <w:gridSpan w:val="2"/>
            <w:vMerge w:val="continue"/>
            <w:tcBorders>
              <w:tl2br w:val="nil"/>
              <w:tr2bl w:val="nil"/>
            </w:tcBorders>
            <w:noWrap w:val="0"/>
            <w:vAlign w:val="center"/>
          </w:tcPr>
          <w:p w14:paraId="52D43F72">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09" w:type="dxa"/>
            <w:tcBorders>
              <w:tl2br w:val="nil"/>
              <w:tr2bl w:val="nil"/>
            </w:tcBorders>
            <w:noWrap w:val="0"/>
            <w:vAlign w:val="center"/>
          </w:tcPr>
          <w:p w14:paraId="4D156E65">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预测结论</w:t>
            </w:r>
          </w:p>
        </w:tc>
        <w:tc>
          <w:tcPr>
            <w:tcW w:w="5835" w:type="dxa"/>
            <w:gridSpan w:val="6"/>
            <w:tcBorders>
              <w:tl2br w:val="nil"/>
              <w:tr2bl w:val="nil"/>
            </w:tcBorders>
            <w:noWrap w:val="0"/>
            <w:vAlign w:val="center"/>
          </w:tcPr>
          <w:p w14:paraId="0AA69723">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达标结论： a） □； b） □； c） □不达标结论： a） □； b） □</w:t>
            </w:r>
          </w:p>
        </w:tc>
        <w:tc>
          <w:tcPr>
            <w:tcW w:w="1105" w:type="dxa"/>
            <w:tcBorders>
              <w:tl2br w:val="nil"/>
              <w:tr2bl w:val="nil"/>
            </w:tcBorders>
            <w:noWrap w:val="0"/>
            <w:vAlign w:val="top"/>
          </w:tcPr>
          <w:p w14:paraId="6B05B95C">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46843473">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426" w:type="dxa"/>
            <w:gridSpan w:val="2"/>
            <w:vMerge w:val="restart"/>
            <w:tcBorders>
              <w:tl2br w:val="nil"/>
              <w:tr2bl w:val="nil"/>
            </w:tcBorders>
            <w:noWrap w:val="0"/>
            <w:vAlign w:val="center"/>
          </w:tcPr>
          <w:p w14:paraId="5D07E3EE">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防治措施</w:t>
            </w:r>
          </w:p>
        </w:tc>
        <w:tc>
          <w:tcPr>
            <w:tcW w:w="1809" w:type="dxa"/>
            <w:tcBorders>
              <w:tl2br w:val="nil"/>
              <w:tr2bl w:val="nil"/>
            </w:tcBorders>
            <w:noWrap w:val="0"/>
            <w:vAlign w:val="center"/>
          </w:tcPr>
          <w:p w14:paraId="18095226">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防控措施</w:t>
            </w:r>
          </w:p>
        </w:tc>
        <w:tc>
          <w:tcPr>
            <w:tcW w:w="5835" w:type="dxa"/>
            <w:gridSpan w:val="6"/>
            <w:tcBorders>
              <w:tl2br w:val="nil"/>
              <w:tr2bl w:val="nil"/>
            </w:tcBorders>
            <w:noWrap w:val="0"/>
            <w:vAlign w:val="center"/>
          </w:tcPr>
          <w:p w14:paraId="150658E6">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 xml:space="preserve">土壤环境质量现状保障 </w:t>
            </w:r>
            <w:r>
              <w:rPr>
                <w:rFonts w:hint="default" w:ascii="Times New Roman" w:hAnsi="Times New Roman" w:eastAsia="宋体" w:cs="Times New Roman"/>
                <w:color w:val="auto"/>
                <w:kern w:val="2"/>
                <w:sz w:val="18"/>
                <w:szCs w:val="18"/>
                <w:highlight w:val="none"/>
              </w:rPr>
              <w:sym w:font="Wingdings 2" w:char="0052"/>
            </w:r>
            <w:r>
              <w:rPr>
                <w:rFonts w:hint="default" w:ascii="Times New Roman" w:hAnsi="Times New Roman" w:eastAsia="宋体" w:cs="Times New Roman"/>
                <w:color w:val="auto"/>
                <w:kern w:val="2"/>
                <w:sz w:val="18"/>
                <w:szCs w:val="18"/>
                <w:highlight w:val="none"/>
              </w:rPr>
              <w:t>；源头控制</w:t>
            </w:r>
            <w:r>
              <w:rPr>
                <w:rFonts w:hint="default" w:ascii="Times New Roman" w:hAnsi="Times New Roman" w:eastAsia="宋体" w:cs="Times New Roman"/>
                <w:color w:val="auto"/>
                <w:kern w:val="2"/>
                <w:sz w:val="18"/>
                <w:szCs w:val="18"/>
                <w:highlight w:val="none"/>
              </w:rPr>
              <w:sym w:font="Wingdings 2" w:char="0052"/>
            </w:r>
            <w:r>
              <w:rPr>
                <w:rFonts w:hint="default" w:ascii="Times New Roman" w:hAnsi="Times New Roman" w:eastAsia="宋体" w:cs="Times New Roman"/>
                <w:color w:val="auto"/>
                <w:kern w:val="2"/>
                <w:sz w:val="18"/>
                <w:szCs w:val="18"/>
                <w:highlight w:val="none"/>
              </w:rPr>
              <w:t xml:space="preserve">；过程防控 </w:t>
            </w:r>
            <w:r>
              <w:rPr>
                <w:rFonts w:hint="default" w:ascii="Times New Roman" w:hAnsi="Times New Roman" w:eastAsia="宋体" w:cs="Times New Roman"/>
                <w:color w:val="auto"/>
                <w:kern w:val="2"/>
                <w:sz w:val="18"/>
                <w:szCs w:val="18"/>
                <w:highlight w:val="none"/>
              </w:rPr>
              <w:sym w:font="Wingdings 2" w:char="00A3"/>
            </w:r>
            <w:r>
              <w:rPr>
                <w:rFonts w:hint="default" w:ascii="Times New Roman" w:hAnsi="Times New Roman" w:eastAsia="宋体" w:cs="Times New Roman"/>
                <w:color w:val="auto"/>
                <w:kern w:val="2"/>
                <w:sz w:val="18"/>
                <w:szCs w:val="18"/>
                <w:highlight w:val="none"/>
              </w:rPr>
              <w:t>；其他（）</w:t>
            </w:r>
          </w:p>
        </w:tc>
        <w:tc>
          <w:tcPr>
            <w:tcW w:w="1105" w:type="dxa"/>
            <w:tcBorders>
              <w:tl2br w:val="nil"/>
              <w:tr2bl w:val="nil"/>
            </w:tcBorders>
            <w:noWrap w:val="0"/>
            <w:vAlign w:val="top"/>
          </w:tcPr>
          <w:p w14:paraId="66814F9C">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0955CB3C">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426" w:type="dxa"/>
            <w:gridSpan w:val="2"/>
            <w:vMerge w:val="continue"/>
            <w:tcBorders>
              <w:tl2br w:val="nil"/>
              <w:tr2bl w:val="nil"/>
            </w:tcBorders>
            <w:noWrap w:val="0"/>
            <w:vAlign w:val="top"/>
          </w:tcPr>
          <w:p w14:paraId="5B4B8D51">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09" w:type="dxa"/>
            <w:vMerge w:val="restart"/>
            <w:tcBorders>
              <w:tl2br w:val="nil"/>
              <w:tr2bl w:val="nil"/>
            </w:tcBorders>
            <w:noWrap w:val="0"/>
            <w:vAlign w:val="center"/>
          </w:tcPr>
          <w:p w14:paraId="10C241ED">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跟踪监测</w:t>
            </w:r>
          </w:p>
        </w:tc>
        <w:tc>
          <w:tcPr>
            <w:tcW w:w="2377" w:type="dxa"/>
            <w:gridSpan w:val="3"/>
            <w:tcBorders>
              <w:tl2br w:val="nil"/>
              <w:tr2bl w:val="nil"/>
            </w:tcBorders>
            <w:noWrap w:val="0"/>
            <w:vAlign w:val="center"/>
          </w:tcPr>
          <w:p w14:paraId="69E3C0AA">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监测点数</w:t>
            </w:r>
          </w:p>
        </w:tc>
        <w:tc>
          <w:tcPr>
            <w:tcW w:w="1960" w:type="dxa"/>
            <w:gridSpan w:val="2"/>
            <w:tcBorders>
              <w:tl2br w:val="nil"/>
              <w:tr2bl w:val="nil"/>
            </w:tcBorders>
            <w:noWrap w:val="0"/>
            <w:vAlign w:val="center"/>
          </w:tcPr>
          <w:p w14:paraId="79837FD5">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监测指标</w:t>
            </w:r>
          </w:p>
        </w:tc>
        <w:tc>
          <w:tcPr>
            <w:tcW w:w="1498" w:type="dxa"/>
            <w:tcBorders>
              <w:tl2br w:val="nil"/>
              <w:tr2bl w:val="nil"/>
            </w:tcBorders>
            <w:noWrap w:val="0"/>
            <w:vAlign w:val="center"/>
          </w:tcPr>
          <w:p w14:paraId="69B4B793">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监测频次</w:t>
            </w:r>
          </w:p>
        </w:tc>
        <w:tc>
          <w:tcPr>
            <w:tcW w:w="1105" w:type="dxa"/>
            <w:vMerge w:val="restart"/>
            <w:tcBorders>
              <w:tl2br w:val="nil"/>
              <w:tr2bl w:val="nil"/>
            </w:tcBorders>
            <w:noWrap w:val="0"/>
            <w:vAlign w:val="top"/>
          </w:tcPr>
          <w:p w14:paraId="13816E8E">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05E19212">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426" w:type="dxa"/>
            <w:gridSpan w:val="2"/>
            <w:vMerge w:val="continue"/>
            <w:tcBorders>
              <w:tl2br w:val="nil"/>
              <w:tr2bl w:val="nil"/>
            </w:tcBorders>
            <w:noWrap w:val="0"/>
            <w:vAlign w:val="top"/>
          </w:tcPr>
          <w:p w14:paraId="5475B17B">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09" w:type="dxa"/>
            <w:vMerge w:val="continue"/>
            <w:tcBorders>
              <w:tl2br w:val="nil"/>
              <w:tr2bl w:val="nil"/>
            </w:tcBorders>
            <w:noWrap w:val="0"/>
            <w:vAlign w:val="center"/>
          </w:tcPr>
          <w:p w14:paraId="163DA91A">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2229" w:type="dxa"/>
            <w:gridSpan w:val="2"/>
            <w:tcBorders>
              <w:tl2br w:val="nil"/>
              <w:tr2bl w:val="nil"/>
            </w:tcBorders>
            <w:noWrap w:val="0"/>
            <w:vAlign w:val="top"/>
          </w:tcPr>
          <w:p w14:paraId="0D977E33">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ascii="Times New Roman" w:hAnsi="Times New Roman" w:eastAsia="宋体" w:cs="Times New Roman"/>
                <w:color w:val="auto"/>
                <w:kern w:val="2"/>
                <w:sz w:val="18"/>
                <w:szCs w:val="18"/>
                <w:highlight w:val="none"/>
                <w:lang w:val="en-US" w:eastAsia="zh-CN"/>
              </w:rPr>
            </w:pPr>
            <w:r>
              <w:rPr>
                <w:rFonts w:hint="eastAsia" w:ascii="Times New Roman" w:hAnsi="Times New Roman" w:eastAsia="宋体" w:cs="Times New Roman"/>
                <w:color w:val="auto"/>
                <w:kern w:val="2"/>
                <w:sz w:val="18"/>
                <w:szCs w:val="18"/>
                <w:highlight w:val="none"/>
                <w:lang w:val="en-US" w:eastAsia="zh-CN"/>
              </w:rPr>
              <w:t>1</w:t>
            </w:r>
          </w:p>
        </w:tc>
        <w:tc>
          <w:tcPr>
            <w:tcW w:w="2108" w:type="dxa"/>
            <w:gridSpan w:val="3"/>
            <w:tcBorders>
              <w:tl2br w:val="nil"/>
              <w:tr2bl w:val="nil"/>
            </w:tcBorders>
            <w:noWrap w:val="0"/>
            <w:vAlign w:val="top"/>
          </w:tcPr>
          <w:p w14:paraId="3EEEDF87">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砷、镉、铬（六价）、铜、铅、汞、镍、石油烃</w:t>
            </w:r>
          </w:p>
        </w:tc>
        <w:tc>
          <w:tcPr>
            <w:tcW w:w="1498" w:type="dxa"/>
            <w:tcBorders>
              <w:tl2br w:val="nil"/>
              <w:tr2bl w:val="nil"/>
            </w:tcBorders>
            <w:noWrap w:val="0"/>
            <w:vAlign w:val="top"/>
          </w:tcPr>
          <w:p w14:paraId="70CB8586">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1次/年</w:t>
            </w:r>
          </w:p>
        </w:tc>
        <w:tc>
          <w:tcPr>
            <w:tcW w:w="1105" w:type="dxa"/>
            <w:vMerge w:val="continue"/>
            <w:tcBorders>
              <w:tl2br w:val="nil"/>
              <w:tr2bl w:val="nil"/>
            </w:tcBorders>
            <w:noWrap w:val="0"/>
            <w:vAlign w:val="top"/>
          </w:tcPr>
          <w:p w14:paraId="791AB5FA">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r>
      <w:tr w14:paraId="3B362CF0">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426" w:type="dxa"/>
            <w:gridSpan w:val="2"/>
            <w:vMerge w:val="continue"/>
            <w:tcBorders>
              <w:tl2br w:val="nil"/>
              <w:tr2bl w:val="nil"/>
            </w:tcBorders>
            <w:noWrap w:val="0"/>
            <w:vAlign w:val="top"/>
          </w:tcPr>
          <w:p w14:paraId="4DA5E312">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c>
          <w:tcPr>
            <w:tcW w:w="1809" w:type="dxa"/>
            <w:tcBorders>
              <w:tl2br w:val="nil"/>
              <w:tr2bl w:val="nil"/>
            </w:tcBorders>
            <w:noWrap w:val="0"/>
            <w:vAlign w:val="center"/>
          </w:tcPr>
          <w:p w14:paraId="7E0876D0">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信息公开指标</w:t>
            </w:r>
          </w:p>
        </w:tc>
        <w:tc>
          <w:tcPr>
            <w:tcW w:w="5835" w:type="dxa"/>
            <w:gridSpan w:val="6"/>
            <w:tcBorders>
              <w:tl2br w:val="nil"/>
              <w:tr2bl w:val="nil"/>
            </w:tcBorders>
            <w:noWrap w:val="0"/>
            <w:vAlign w:val="top"/>
          </w:tcPr>
          <w:p w14:paraId="52D4DD24">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c>
          <w:tcPr>
            <w:tcW w:w="1105" w:type="dxa"/>
            <w:vMerge w:val="continue"/>
            <w:tcBorders>
              <w:tl2br w:val="nil"/>
              <w:tr2bl w:val="nil"/>
            </w:tcBorders>
            <w:noWrap w:val="0"/>
            <w:vAlign w:val="top"/>
          </w:tcPr>
          <w:p w14:paraId="55E5C282">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p>
        </w:tc>
      </w:tr>
      <w:tr w14:paraId="71AC51A9">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2235" w:type="dxa"/>
            <w:gridSpan w:val="3"/>
            <w:tcBorders>
              <w:tl2br w:val="nil"/>
              <w:tr2bl w:val="nil"/>
            </w:tcBorders>
            <w:noWrap w:val="0"/>
            <w:vAlign w:val="top"/>
          </w:tcPr>
          <w:p w14:paraId="37A68B61">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评价结论</w:t>
            </w:r>
          </w:p>
        </w:tc>
        <w:tc>
          <w:tcPr>
            <w:tcW w:w="5835" w:type="dxa"/>
            <w:gridSpan w:val="6"/>
            <w:tcBorders>
              <w:tl2br w:val="nil"/>
              <w:tr2bl w:val="nil"/>
            </w:tcBorders>
            <w:noWrap w:val="0"/>
            <w:vAlign w:val="top"/>
          </w:tcPr>
          <w:p w14:paraId="3A08A33C">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采取防渗措施后，对土壤环境影响较小</w:t>
            </w:r>
          </w:p>
        </w:tc>
        <w:tc>
          <w:tcPr>
            <w:tcW w:w="1105" w:type="dxa"/>
            <w:tcBorders>
              <w:tl2br w:val="nil"/>
              <w:tr2bl w:val="nil"/>
            </w:tcBorders>
            <w:noWrap w:val="0"/>
            <w:vAlign w:val="top"/>
          </w:tcPr>
          <w:p w14:paraId="72100D24">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p>
        </w:tc>
      </w:tr>
      <w:tr w14:paraId="5D858ADD">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9175" w:type="dxa"/>
            <w:gridSpan w:val="10"/>
            <w:tcBorders>
              <w:tl2br w:val="nil"/>
              <w:tr2bl w:val="nil"/>
            </w:tcBorders>
            <w:noWrap w:val="0"/>
            <w:vAlign w:val="top"/>
          </w:tcPr>
          <w:p w14:paraId="54631706">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注 1： “□”为勾选项，可 √； “（） ”为内容填写项； “备注 ”为其他补充内容。</w:t>
            </w:r>
          </w:p>
          <w:p w14:paraId="742F95E1">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注 2：需要分别开展土壤环境影响评级工作的，分别填写自查表。</w:t>
            </w:r>
          </w:p>
        </w:tc>
      </w:tr>
    </w:tbl>
    <w:p w14:paraId="6C822FD3">
      <w:pPr>
        <w:rPr>
          <w:rFonts w:hint="default" w:ascii="Times New Roman" w:hAnsi="Times New Roman" w:cs="Times New Roman"/>
          <w:color w:val="FF0000"/>
          <w:highlight w:val="none"/>
          <w:lang w:val="en-US" w:eastAsia="zh-CN"/>
        </w:rPr>
        <w:sectPr>
          <w:pgSz w:w="11907" w:h="16840"/>
          <w:pgMar w:top="1814" w:right="1474" w:bottom="1474" w:left="1474" w:header="1361" w:footer="1134" w:gutter="0"/>
          <w:pgBorders>
            <w:top w:val="none" w:sz="0" w:space="0"/>
            <w:left w:val="none" w:sz="0" w:space="0"/>
            <w:bottom w:val="none" w:sz="0" w:space="0"/>
            <w:right w:val="none" w:sz="0" w:space="0"/>
          </w:pgBorders>
          <w:pgNumType w:fmt="decimal"/>
          <w:cols w:space="720" w:num="1"/>
          <w:docGrid w:type="lines" w:linePitch="312" w:charSpace="0"/>
        </w:sectPr>
      </w:pPr>
    </w:p>
    <w:p w14:paraId="02605710">
      <w:pPr>
        <w:keepNext w:val="0"/>
        <w:keepLines w:val="0"/>
        <w:pageBreakBefore w:val="0"/>
        <w:widowControl/>
        <w:kinsoku w:val="0"/>
        <w:wordWrap/>
        <w:overflowPunct/>
        <w:topLinePunct w:val="0"/>
        <w:autoSpaceDE w:val="0"/>
        <w:autoSpaceDN w:val="0"/>
        <w:bidi w:val="0"/>
        <w:adjustRightInd/>
        <w:snapToGrid/>
        <w:spacing w:after="0"/>
        <w:ind w:left="0" w:firstLine="0"/>
        <w:jc w:val="center"/>
        <w:textAlignment w:val="baseline"/>
        <w:outlineLvl w:val="0"/>
        <w:rPr>
          <w:rFonts w:hint="default" w:ascii="Times New Roman" w:hAnsi="Times New Roman" w:eastAsia="宋体" w:cs="Times New Roman"/>
          <w:b/>
          <w:smallCaps/>
          <w:snapToGrid w:val="0"/>
          <w:color w:val="auto"/>
          <w:kern w:val="2"/>
          <w:sz w:val="21"/>
          <w:szCs w:val="21"/>
          <w:highlight w:val="none"/>
          <w:lang w:eastAsia="zh-CN"/>
        </w:rPr>
      </w:pPr>
      <w:bookmarkStart w:id="104" w:name="_Toc17204"/>
      <w:r>
        <w:rPr>
          <w:rFonts w:hint="default" w:ascii="Times New Roman" w:hAnsi="Times New Roman" w:eastAsia="宋体" w:cs="Times New Roman"/>
          <w:b/>
          <w:smallCaps/>
          <w:snapToGrid w:val="0"/>
          <w:color w:val="auto"/>
          <w:kern w:val="2"/>
          <w:sz w:val="21"/>
          <w:szCs w:val="21"/>
          <w:highlight w:val="none"/>
          <w:lang w:eastAsia="zh-CN"/>
        </w:rPr>
        <w:t>附表</w:t>
      </w:r>
      <w:r>
        <w:rPr>
          <w:rFonts w:hint="default" w:ascii="Times New Roman" w:hAnsi="Times New Roman" w:eastAsia="宋体" w:cs="Times New Roman"/>
          <w:b/>
          <w:smallCaps/>
          <w:snapToGrid w:val="0"/>
          <w:color w:val="auto"/>
          <w:kern w:val="2"/>
          <w:sz w:val="21"/>
          <w:szCs w:val="21"/>
          <w:highlight w:val="none"/>
          <w:lang w:val="en-US" w:eastAsia="zh-CN"/>
        </w:rPr>
        <w:t>4</w:t>
      </w:r>
      <w:r>
        <w:rPr>
          <w:rFonts w:hint="default" w:ascii="Times New Roman" w:hAnsi="Times New Roman" w:eastAsia="宋体" w:cs="Times New Roman"/>
          <w:b/>
          <w:smallCaps/>
          <w:snapToGrid w:val="0"/>
          <w:color w:val="auto"/>
          <w:kern w:val="2"/>
          <w:sz w:val="21"/>
          <w:szCs w:val="21"/>
          <w:highlight w:val="none"/>
          <w:lang w:eastAsia="zh-CN"/>
        </w:rPr>
        <w:t xml:space="preserve">  风险环境影响评价自查表</w:t>
      </w:r>
      <w:bookmarkEnd w:id="104"/>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868"/>
        <w:gridCol w:w="1093"/>
        <w:gridCol w:w="191"/>
        <w:gridCol w:w="576"/>
        <w:gridCol w:w="196"/>
        <w:gridCol w:w="602"/>
        <w:gridCol w:w="101"/>
        <w:gridCol w:w="634"/>
        <w:gridCol w:w="824"/>
        <w:gridCol w:w="67"/>
        <w:gridCol w:w="794"/>
        <w:gridCol w:w="97"/>
        <w:gridCol w:w="653"/>
        <w:gridCol w:w="73"/>
        <w:gridCol w:w="626"/>
        <w:gridCol w:w="737"/>
      </w:tblGrid>
      <w:tr w14:paraId="5CA97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741" w:type="pct"/>
            <w:gridSpan w:val="2"/>
            <w:tcBorders>
              <w:top w:val="single" w:color="auto" w:sz="4" w:space="0"/>
              <w:left w:val="single" w:color="auto" w:sz="4" w:space="0"/>
              <w:bottom w:val="single" w:color="auto" w:sz="4" w:space="0"/>
              <w:right w:val="single" w:color="auto" w:sz="4" w:space="0"/>
            </w:tcBorders>
            <w:vAlign w:val="center"/>
          </w:tcPr>
          <w:p w14:paraId="5AB25C8A">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工作内容</w:t>
            </w:r>
          </w:p>
        </w:tc>
        <w:tc>
          <w:tcPr>
            <w:tcW w:w="4258" w:type="pct"/>
            <w:gridSpan w:val="15"/>
            <w:tcBorders>
              <w:top w:val="single" w:color="auto" w:sz="4" w:space="0"/>
              <w:left w:val="single" w:color="auto" w:sz="4" w:space="0"/>
              <w:bottom w:val="single" w:color="auto" w:sz="4" w:space="0"/>
              <w:right w:val="single" w:color="auto" w:sz="4" w:space="0"/>
            </w:tcBorders>
            <w:vAlign w:val="center"/>
          </w:tcPr>
          <w:p w14:paraId="1EF230EA">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完成情况</w:t>
            </w:r>
          </w:p>
        </w:tc>
      </w:tr>
      <w:tr w14:paraId="70803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232" w:type="pct"/>
            <w:vMerge w:val="restart"/>
            <w:tcBorders>
              <w:top w:val="single" w:color="auto" w:sz="4" w:space="0"/>
              <w:left w:val="single" w:color="auto" w:sz="4" w:space="0"/>
              <w:bottom w:val="single" w:color="auto" w:sz="4" w:space="0"/>
              <w:right w:val="single" w:color="auto" w:sz="4" w:space="0"/>
            </w:tcBorders>
            <w:vAlign w:val="center"/>
          </w:tcPr>
          <w:p w14:paraId="5CF9C1AC">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风险调查</w:t>
            </w:r>
          </w:p>
        </w:tc>
        <w:tc>
          <w:tcPr>
            <w:tcW w:w="509" w:type="pct"/>
            <w:vMerge w:val="restart"/>
            <w:tcBorders>
              <w:top w:val="single" w:color="auto" w:sz="4" w:space="0"/>
              <w:left w:val="single" w:color="auto" w:sz="4" w:space="0"/>
              <w:bottom w:val="single" w:color="auto" w:sz="4" w:space="0"/>
              <w:right w:val="single" w:color="auto" w:sz="4" w:space="0"/>
            </w:tcBorders>
            <w:vAlign w:val="center"/>
          </w:tcPr>
          <w:p w14:paraId="7DC00944">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危险</w:t>
            </w:r>
          </w:p>
          <w:p w14:paraId="35D027BB">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物质</w:t>
            </w:r>
          </w:p>
        </w:tc>
        <w:tc>
          <w:tcPr>
            <w:tcW w:w="641" w:type="pct"/>
            <w:tcBorders>
              <w:top w:val="single" w:color="auto" w:sz="4" w:space="0"/>
              <w:left w:val="single" w:color="auto" w:sz="4" w:space="0"/>
              <w:bottom w:val="single" w:color="auto" w:sz="4" w:space="0"/>
              <w:right w:val="single" w:color="auto" w:sz="4" w:space="0"/>
            </w:tcBorders>
            <w:vAlign w:val="center"/>
          </w:tcPr>
          <w:p w14:paraId="3CF77775">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名称</w:t>
            </w:r>
          </w:p>
        </w:tc>
        <w:tc>
          <w:tcPr>
            <w:tcW w:w="565" w:type="pct"/>
            <w:gridSpan w:val="3"/>
            <w:tcBorders>
              <w:top w:val="single" w:color="auto" w:sz="4" w:space="0"/>
              <w:left w:val="single" w:color="auto" w:sz="4" w:space="0"/>
              <w:bottom w:val="single" w:color="auto" w:sz="4" w:space="0"/>
              <w:right w:val="single" w:color="auto" w:sz="4" w:space="0"/>
            </w:tcBorders>
            <w:vAlign w:val="center"/>
          </w:tcPr>
          <w:p w14:paraId="196F1EC1">
            <w:pPr>
              <w:widowControl w:val="0"/>
              <w:tabs>
                <w:tab w:val="left" w:pos="827"/>
                <w:tab w:val="left" w:pos="2256"/>
              </w:tabs>
              <w:adjustRightInd/>
              <w:snapToGrid/>
              <w:spacing w:after="0" w:line="280" w:lineRule="exact"/>
              <w:jc w:val="center"/>
              <w:rPr>
                <w:rFonts w:hint="eastAsia" w:ascii="Times New Roman" w:hAnsi="Times New Roman" w:eastAsia="宋体" w:cs="Times New Roman"/>
                <w:color w:val="auto"/>
                <w:kern w:val="2"/>
                <w:sz w:val="18"/>
                <w:szCs w:val="18"/>
                <w:highlight w:val="none"/>
                <w:lang w:val="en-US" w:eastAsia="zh-CN"/>
              </w:rPr>
            </w:pPr>
            <w:r>
              <w:rPr>
                <w:rFonts w:hint="eastAsia" w:ascii="Times New Roman" w:hAnsi="Times New Roman" w:eastAsia="宋体" w:cs="Times New Roman"/>
                <w:color w:val="auto"/>
                <w:kern w:val="2"/>
                <w:sz w:val="18"/>
                <w:szCs w:val="18"/>
                <w:highlight w:val="none"/>
                <w:lang w:val="en-US" w:eastAsia="zh-CN"/>
              </w:rPr>
              <w:t>乙酸乙酯</w:t>
            </w:r>
          </w:p>
        </w:tc>
        <w:tc>
          <w:tcPr>
            <w:tcW w:w="412" w:type="pct"/>
            <w:gridSpan w:val="2"/>
            <w:tcBorders>
              <w:top w:val="single" w:color="auto" w:sz="4" w:space="0"/>
              <w:left w:val="single" w:color="auto" w:sz="4" w:space="0"/>
              <w:bottom w:val="single" w:color="auto" w:sz="4" w:space="0"/>
              <w:right w:val="single" w:color="auto" w:sz="4" w:space="0"/>
            </w:tcBorders>
            <w:vAlign w:val="center"/>
          </w:tcPr>
          <w:p w14:paraId="1E04DA90">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eastAsia="宋体" w:cs="Times New Roman"/>
                <w:color w:val="auto"/>
                <w:kern w:val="2"/>
                <w:sz w:val="18"/>
                <w:szCs w:val="18"/>
                <w:highlight w:val="none"/>
                <w:lang w:val="en-US" w:eastAsia="zh-CN"/>
              </w:rPr>
              <w:t>油类物质</w:t>
            </w:r>
          </w:p>
        </w:tc>
        <w:tc>
          <w:tcPr>
            <w:tcW w:w="370" w:type="pct"/>
            <w:tcBorders>
              <w:top w:val="single" w:color="auto" w:sz="4" w:space="0"/>
              <w:left w:val="single" w:color="auto" w:sz="4" w:space="0"/>
              <w:bottom w:val="single" w:color="auto" w:sz="4" w:space="0"/>
              <w:right w:val="single" w:color="auto" w:sz="4" w:space="0"/>
            </w:tcBorders>
            <w:vAlign w:val="center"/>
          </w:tcPr>
          <w:p w14:paraId="150960EC">
            <w:pPr>
              <w:widowControl w:val="0"/>
              <w:tabs>
                <w:tab w:val="left" w:pos="827"/>
                <w:tab w:val="left" w:pos="2256"/>
              </w:tabs>
              <w:adjustRightInd/>
              <w:snapToGrid/>
              <w:spacing w:after="0" w:line="280" w:lineRule="exact"/>
              <w:jc w:val="center"/>
              <w:rPr>
                <w:rFonts w:hint="eastAsia" w:ascii="Times New Roman" w:hAnsi="Times New Roman" w:eastAsia="宋体" w:cs="Times New Roman"/>
                <w:color w:val="auto"/>
                <w:kern w:val="2"/>
                <w:sz w:val="18"/>
                <w:szCs w:val="18"/>
                <w:highlight w:val="none"/>
                <w:lang w:val="en-US" w:eastAsia="zh-CN"/>
              </w:rPr>
            </w:pPr>
            <w:r>
              <w:rPr>
                <w:rFonts w:hint="eastAsia" w:ascii="Times New Roman" w:hAnsi="Times New Roman" w:eastAsia="宋体" w:cs="Times New Roman"/>
                <w:color w:val="auto"/>
                <w:kern w:val="2"/>
                <w:sz w:val="18"/>
                <w:szCs w:val="18"/>
                <w:highlight w:val="none"/>
                <w:lang w:val="en-US" w:eastAsia="zh-CN"/>
              </w:rPr>
              <w:t>甲烷</w:t>
            </w:r>
          </w:p>
        </w:tc>
        <w:tc>
          <w:tcPr>
            <w:tcW w:w="522" w:type="pct"/>
            <w:gridSpan w:val="2"/>
            <w:tcBorders>
              <w:top w:val="single" w:color="auto" w:sz="4" w:space="0"/>
              <w:left w:val="single" w:color="auto" w:sz="4" w:space="0"/>
              <w:bottom w:val="single" w:color="auto" w:sz="4" w:space="0"/>
              <w:right w:val="single" w:color="auto" w:sz="4" w:space="0"/>
            </w:tcBorders>
            <w:vAlign w:val="center"/>
          </w:tcPr>
          <w:p w14:paraId="134BB40E">
            <w:pPr>
              <w:widowControl w:val="0"/>
              <w:tabs>
                <w:tab w:val="left" w:pos="827"/>
                <w:tab w:val="left" w:pos="2256"/>
              </w:tabs>
              <w:adjustRightInd/>
              <w:snapToGrid/>
              <w:spacing w:after="0" w:line="280" w:lineRule="exact"/>
              <w:jc w:val="center"/>
              <w:rPr>
                <w:rFonts w:hint="eastAsia" w:ascii="Times New Roman" w:hAnsi="Times New Roman" w:eastAsia="宋体" w:cs="Times New Roman"/>
                <w:color w:val="auto"/>
                <w:kern w:val="2"/>
                <w:sz w:val="18"/>
                <w:szCs w:val="18"/>
                <w:highlight w:val="none"/>
                <w:lang w:val="en-US" w:eastAsia="zh-CN"/>
              </w:rPr>
            </w:pPr>
            <w:r>
              <w:rPr>
                <w:rFonts w:hint="eastAsia" w:ascii="Times New Roman" w:hAnsi="Times New Roman" w:eastAsia="宋体" w:cs="Times New Roman"/>
                <w:color w:val="auto"/>
                <w:kern w:val="2"/>
                <w:sz w:val="18"/>
                <w:szCs w:val="18"/>
                <w:highlight w:val="none"/>
                <w:lang w:val="en-US" w:eastAsia="zh-CN"/>
              </w:rPr>
              <w:t>甲苯</w:t>
            </w:r>
          </w:p>
        </w:tc>
        <w:tc>
          <w:tcPr>
            <w:tcW w:w="522" w:type="pct"/>
            <w:gridSpan w:val="2"/>
            <w:tcBorders>
              <w:top w:val="single" w:color="auto" w:sz="4" w:space="0"/>
              <w:left w:val="single" w:color="auto" w:sz="4" w:space="0"/>
              <w:bottom w:val="single" w:color="auto" w:sz="4" w:space="0"/>
              <w:right w:val="single" w:color="auto" w:sz="4" w:space="0"/>
            </w:tcBorders>
            <w:vAlign w:val="center"/>
          </w:tcPr>
          <w:p w14:paraId="65B5A877">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eastAsia="宋体" w:cs="Times New Roman"/>
                <w:color w:val="auto"/>
                <w:kern w:val="2"/>
                <w:sz w:val="18"/>
                <w:szCs w:val="18"/>
                <w:highlight w:val="none"/>
                <w:lang w:val="en-US" w:eastAsia="zh-CN"/>
              </w:rPr>
              <w:t>乙苯</w:t>
            </w:r>
          </w:p>
        </w:tc>
        <w:tc>
          <w:tcPr>
            <w:tcW w:w="426" w:type="pct"/>
            <w:gridSpan w:val="2"/>
            <w:tcBorders>
              <w:top w:val="single" w:color="auto" w:sz="4" w:space="0"/>
              <w:left w:val="single" w:color="auto" w:sz="4" w:space="0"/>
              <w:bottom w:val="single" w:color="auto" w:sz="4" w:space="0"/>
              <w:right w:val="single" w:color="auto" w:sz="4" w:space="0"/>
            </w:tcBorders>
            <w:vAlign w:val="center"/>
          </w:tcPr>
          <w:p w14:paraId="5EBB0BF8">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367" w:type="pct"/>
            <w:tcBorders>
              <w:top w:val="single" w:color="auto" w:sz="4" w:space="0"/>
              <w:left w:val="single" w:color="auto" w:sz="4" w:space="0"/>
              <w:bottom w:val="single" w:color="auto" w:sz="4" w:space="0"/>
              <w:right w:val="single" w:color="auto" w:sz="4" w:space="0"/>
            </w:tcBorders>
            <w:vAlign w:val="center"/>
          </w:tcPr>
          <w:p w14:paraId="5864503A">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FF0000"/>
                <w:kern w:val="2"/>
                <w:sz w:val="18"/>
                <w:szCs w:val="18"/>
                <w:highlight w:val="none"/>
              </w:rPr>
            </w:pPr>
          </w:p>
        </w:tc>
        <w:tc>
          <w:tcPr>
            <w:tcW w:w="429" w:type="pct"/>
            <w:tcBorders>
              <w:top w:val="single" w:color="auto" w:sz="4" w:space="0"/>
              <w:left w:val="single" w:color="auto" w:sz="4" w:space="0"/>
              <w:bottom w:val="single" w:color="auto" w:sz="4" w:space="0"/>
              <w:right w:val="single" w:color="auto" w:sz="4" w:space="0"/>
            </w:tcBorders>
            <w:vAlign w:val="center"/>
          </w:tcPr>
          <w:p w14:paraId="77739DD4">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FF0000"/>
                <w:kern w:val="2"/>
                <w:sz w:val="18"/>
                <w:szCs w:val="18"/>
                <w:highlight w:val="none"/>
              </w:rPr>
            </w:pPr>
          </w:p>
        </w:tc>
      </w:tr>
      <w:tr w14:paraId="34A41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14:paraId="5C71F388">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509" w:type="pct"/>
            <w:vMerge w:val="continue"/>
            <w:tcBorders>
              <w:top w:val="single" w:color="auto" w:sz="4" w:space="0"/>
              <w:left w:val="single" w:color="auto" w:sz="4" w:space="0"/>
              <w:bottom w:val="single" w:color="auto" w:sz="4" w:space="0"/>
              <w:right w:val="single" w:color="auto" w:sz="4" w:space="0"/>
            </w:tcBorders>
            <w:vAlign w:val="center"/>
          </w:tcPr>
          <w:p w14:paraId="5C4B2362">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641" w:type="pct"/>
            <w:tcBorders>
              <w:top w:val="single" w:color="auto" w:sz="4" w:space="0"/>
              <w:left w:val="single" w:color="auto" w:sz="4" w:space="0"/>
              <w:bottom w:val="single" w:color="auto" w:sz="4" w:space="0"/>
              <w:right w:val="single" w:color="auto" w:sz="4" w:space="0"/>
            </w:tcBorders>
            <w:vAlign w:val="center"/>
          </w:tcPr>
          <w:p w14:paraId="0B789416">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存在总量/t</w:t>
            </w:r>
          </w:p>
        </w:tc>
        <w:tc>
          <w:tcPr>
            <w:tcW w:w="565" w:type="pct"/>
            <w:gridSpan w:val="3"/>
            <w:tcBorders>
              <w:top w:val="single" w:color="auto" w:sz="4" w:space="0"/>
              <w:left w:val="single" w:color="auto" w:sz="4" w:space="0"/>
              <w:bottom w:val="single" w:color="auto" w:sz="4" w:space="0"/>
              <w:right w:val="single" w:color="auto" w:sz="4" w:space="0"/>
            </w:tcBorders>
            <w:vAlign w:val="center"/>
          </w:tcPr>
          <w:p w14:paraId="1D67DEF8">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eastAsia="宋体" w:cs="Times New Roman"/>
                <w:color w:val="auto"/>
                <w:kern w:val="2"/>
                <w:sz w:val="18"/>
                <w:szCs w:val="18"/>
                <w:highlight w:val="none"/>
                <w:lang w:val="en-US" w:eastAsia="zh-CN"/>
              </w:rPr>
              <w:t>6.3</w:t>
            </w:r>
          </w:p>
        </w:tc>
        <w:tc>
          <w:tcPr>
            <w:tcW w:w="412" w:type="pct"/>
            <w:gridSpan w:val="2"/>
            <w:tcBorders>
              <w:top w:val="single" w:color="auto" w:sz="4" w:space="0"/>
              <w:left w:val="single" w:color="auto" w:sz="4" w:space="0"/>
              <w:bottom w:val="single" w:color="auto" w:sz="4" w:space="0"/>
              <w:right w:val="single" w:color="auto" w:sz="4" w:space="0"/>
            </w:tcBorders>
            <w:vAlign w:val="center"/>
          </w:tcPr>
          <w:p w14:paraId="68BFE168">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eastAsia="宋体" w:cs="Times New Roman"/>
                <w:color w:val="auto"/>
                <w:kern w:val="2"/>
                <w:sz w:val="18"/>
                <w:szCs w:val="18"/>
                <w:highlight w:val="none"/>
                <w:lang w:val="en-US" w:eastAsia="zh-CN"/>
              </w:rPr>
              <w:t>0.1</w:t>
            </w:r>
          </w:p>
        </w:tc>
        <w:tc>
          <w:tcPr>
            <w:tcW w:w="370" w:type="pct"/>
            <w:tcBorders>
              <w:top w:val="single" w:color="auto" w:sz="4" w:space="0"/>
              <w:left w:val="single" w:color="auto" w:sz="4" w:space="0"/>
              <w:bottom w:val="single" w:color="auto" w:sz="4" w:space="0"/>
              <w:right w:val="single" w:color="auto" w:sz="4" w:space="0"/>
            </w:tcBorders>
            <w:vAlign w:val="center"/>
          </w:tcPr>
          <w:p w14:paraId="40798C0C">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eastAsia="宋体" w:cs="Times New Roman"/>
                <w:color w:val="auto"/>
                <w:kern w:val="2"/>
                <w:sz w:val="18"/>
                <w:szCs w:val="18"/>
                <w:highlight w:val="none"/>
                <w:lang w:val="en-US" w:eastAsia="zh-CN"/>
              </w:rPr>
              <w:t>0.044</w:t>
            </w:r>
          </w:p>
        </w:tc>
        <w:tc>
          <w:tcPr>
            <w:tcW w:w="522" w:type="pct"/>
            <w:gridSpan w:val="2"/>
            <w:tcBorders>
              <w:top w:val="single" w:color="auto" w:sz="4" w:space="0"/>
              <w:left w:val="single" w:color="auto" w:sz="4" w:space="0"/>
              <w:bottom w:val="single" w:color="auto" w:sz="4" w:space="0"/>
              <w:right w:val="single" w:color="auto" w:sz="4" w:space="0"/>
            </w:tcBorders>
            <w:vAlign w:val="center"/>
          </w:tcPr>
          <w:p w14:paraId="3D4A1E41">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eastAsia="宋体" w:cs="Times New Roman"/>
                <w:color w:val="auto"/>
                <w:kern w:val="2"/>
                <w:sz w:val="18"/>
                <w:szCs w:val="18"/>
                <w:highlight w:val="none"/>
                <w:lang w:val="en-US" w:eastAsia="zh-CN"/>
              </w:rPr>
              <w:t>0.000008</w:t>
            </w:r>
          </w:p>
        </w:tc>
        <w:tc>
          <w:tcPr>
            <w:tcW w:w="522" w:type="pct"/>
            <w:gridSpan w:val="2"/>
            <w:tcBorders>
              <w:top w:val="single" w:color="auto" w:sz="4" w:space="0"/>
              <w:left w:val="single" w:color="auto" w:sz="4" w:space="0"/>
              <w:bottom w:val="single" w:color="auto" w:sz="4" w:space="0"/>
              <w:right w:val="single" w:color="auto" w:sz="4" w:space="0"/>
            </w:tcBorders>
            <w:vAlign w:val="center"/>
          </w:tcPr>
          <w:p w14:paraId="3150A404">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eastAsia="宋体" w:cs="Times New Roman"/>
                <w:color w:val="auto"/>
                <w:kern w:val="2"/>
                <w:sz w:val="18"/>
                <w:szCs w:val="18"/>
                <w:highlight w:val="none"/>
                <w:lang w:val="en-US" w:eastAsia="zh-CN"/>
              </w:rPr>
              <w:t>0.000004</w:t>
            </w:r>
          </w:p>
        </w:tc>
        <w:tc>
          <w:tcPr>
            <w:tcW w:w="426" w:type="pct"/>
            <w:gridSpan w:val="2"/>
            <w:tcBorders>
              <w:top w:val="single" w:color="auto" w:sz="4" w:space="0"/>
              <w:left w:val="single" w:color="auto" w:sz="4" w:space="0"/>
              <w:bottom w:val="single" w:color="auto" w:sz="4" w:space="0"/>
              <w:right w:val="single" w:color="auto" w:sz="4" w:space="0"/>
            </w:tcBorders>
            <w:vAlign w:val="center"/>
          </w:tcPr>
          <w:p w14:paraId="57277ED2">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p>
        </w:tc>
        <w:tc>
          <w:tcPr>
            <w:tcW w:w="367" w:type="pct"/>
            <w:tcBorders>
              <w:top w:val="single" w:color="auto" w:sz="4" w:space="0"/>
              <w:left w:val="single" w:color="auto" w:sz="4" w:space="0"/>
              <w:bottom w:val="single" w:color="auto" w:sz="4" w:space="0"/>
              <w:right w:val="single" w:color="auto" w:sz="4" w:space="0"/>
            </w:tcBorders>
            <w:vAlign w:val="center"/>
          </w:tcPr>
          <w:p w14:paraId="4D997E6F">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FF0000"/>
                <w:kern w:val="2"/>
                <w:sz w:val="18"/>
                <w:szCs w:val="18"/>
                <w:highlight w:val="none"/>
              </w:rPr>
            </w:pPr>
          </w:p>
        </w:tc>
        <w:tc>
          <w:tcPr>
            <w:tcW w:w="429" w:type="pct"/>
            <w:tcBorders>
              <w:top w:val="single" w:color="auto" w:sz="4" w:space="0"/>
              <w:left w:val="single" w:color="auto" w:sz="4" w:space="0"/>
              <w:bottom w:val="single" w:color="auto" w:sz="4" w:space="0"/>
              <w:right w:val="single" w:color="auto" w:sz="4" w:space="0"/>
            </w:tcBorders>
            <w:vAlign w:val="center"/>
          </w:tcPr>
          <w:p w14:paraId="54656EBD">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FF0000"/>
                <w:kern w:val="2"/>
                <w:sz w:val="18"/>
                <w:szCs w:val="18"/>
                <w:highlight w:val="none"/>
              </w:rPr>
            </w:pPr>
          </w:p>
        </w:tc>
      </w:tr>
      <w:tr w14:paraId="760C2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14:paraId="08A1C79A">
            <w:pPr>
              <w:adjustRightInd/>
              <w:snapToGrid/>
              <w:spacing w:after="0" w:line="280" w:lineRule="exact"/>
              <w:rPr>
                <w:rFonts w:hint="default" w:ascii="Times New Roman" w:hAnsi="Times New Roman" w:eastAsia="宋体" w:cs="Times New Roman"/>
                <w:color w:val="FF0000"/>
                <w:kern w:val="2"/>
                <w:sz w:val="18"/>
                <w:szCs w:val="18"/>
                <w:highlight w:val="none"/>
              </w:rPr>
            </w:pPr>
          </w:p>
        </w:tc>
        <w:tc>
          <w:tcPr>
            <w:tcW w:w="509" w:type="pct"/>
            <w:vMerge w:val="restart"/>
            <w:tcBorders>
              <w:top w:val="single" w:color="auto" w:sz="4" w:space="0"/>
              <w:left w:val="single" w:color="auto" w:sz="4" w:space="0"/>
              <w:bottom w:val="single" w:color="auto" w:sz="4" w:space="0"/>
              <w:right w:val="single" w:color="auto" w:sz="4" w:space="0"/>
            </w:tcBorders>
            <w:vAlign w:val="center"/>
          </w:tcPr>
          <w:p w14:paraId="55814D16">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环境敏感性</w:t>
            </w:r>
          </w:p>
        </w:tc>
        <w:tc>
          <w:tcPr>
            <w:tcW w:w="641" w:type="pct"/>
            <w:vMerge w:val="restart"/>
            <w:tcBorders>
              <w:top w:val="single" w:color="auto" w:sz="4" w:space="0"/>
              <w:left w:val="single" w:color="auto" w:sz="4" w:space="0"/>
              <w:bottom w:val="single" w:color="auto" w:sz="4" w:space="0"/>
              <w:right w:val="single" w:color="auto" w:sz="4" w:space="0"/>
            </w:tcBorders>
            <w:vAlign w:val="center"/>
          </w:tcPr>
          <w:p w14:paraId="180B5C0F">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大气</w:t>
            </w:r>
          </w:p>
        </w:tc>
        <w:tc>
          <w:tcPr>
            <w:tcW w:w="1871" w:type="pct"/>
            <w:gridSpan w:val="8"/>
            <w:tcBorders>
              <w:top w:val="single" w:color="auto" w:sz="4" w:space="0"/>
              <w:left w:val="single" w:color="auto" w:sz="4" w:space="0"/>
              <w:bottom w:val="single" w:color="auto" w:sz="4" w:space="0"/>
              <w:right w:val="single" w:color="auto" w:sz="4" w:space="0"/>
            </w:tcBorders>
            <w:vAlign w:val="center"/>
          </w:tcPr>
          <w:p w14:paraId="1BA828F1">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500m范围内人口数</w:t>
            </w:r>
            <w:r>
              <w:rPr>
                <w:rFonts w:hint="default" w:ascii="Times New Roman" w:hAnsi="Times New Roman" w:eastAsia="宋体" w:cs="Times New Roman"/>
                <w:color w:val="auto"/>
                <w:kern w:val="2"/>
                <w:sz w:val="18"/>
                <w:szCs w:val="18"/>
                <w:highlight w:val="none"/>
                <w:u w:val="single"/>
                <w:shd w:val="clear" w:color="auto" w:fill="FFFFFF"/>
              </w:rPr>
              <w:t>_</w:t>
            </w:r>
            <w:r>
              <w:rPr>
                <w:rFonts w:hint="eastAsia" w:ascii="Times New Roman" w:hAnsi="Times New Roman" w:eastAsia="宋体" w:cs="Times New Roman"/>
                <w:color w:val="auto"/>
                <w:kern w:val="2"/>
                <w:sz w:val="18"/>
                <w:szCs w:val="18"/>
                <w:highlight w:val="none"/>
                <w:u w:val="single"/>
                <w:shd w:val="clear" w:color="auto" w:fill="FFFFFF"/>
                <w:lang w:val="en-US" w:eastAsia="zh-CN"/>
              </w:rPr>
              <w:t>500</w:t>
            </w:r>
            <w:r>
              <w:rPr>
                <w:rFonts w:hint="default" w:ascii="Times New Roman" w:hAnsi="Times New Roman" w:eastAsia="宋体" w:cs="Times New Roman"/>
                <w:color w:val="auto"/>
                <w:kern w:val="2"/>
                <w:sz w:val="18"/>
                <w:szCs w:val="18"/>
                <w:highlight w:val="none"/>
                <w:shd w:val="clear" w:color="auto" w:fill="FFFFFF"/>
              </w:rPr>
              <w:t>_人</w:t>
            </w:r>
          </w:p>
        </w:tc>
        <w:tc>
          <w:tcPr>
            <w:tcW w:w="1745" w:type="pct"/>
            <w:gridSpan w:val="6"/>
            <w:tcBorders>
              <w:top w:val="single" w:color="auto" w:sz="4" w:space="0"/>
              <w:left w:val="single" w:color="auto" w:sz="4" w:space="0"/>
              <w:bottom w:val="single" w:color="auto" w:sz="4" w:space="0"/>
              <w:right w:val="single" w:color="auto" w:sz="4" w:space="0"/>
            </w:tcBorders>
            <w:vAlign w:val="center"/>
          </w:tcPr>
          <w:p w14:paraId="597C2AB8">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5km范围内人口数</w:t>
            </w:r>
            <w:r>
              <w:rPr>
                <w:rFonts w:hint="eastAsia" w:ascii="Times New Roman" w:hAnsi="Times New Roman" w:eastAsia="宋体" w:cs="Times New Roman"/>
                <w:color w:val="auto"/>
                <w:kern w:val="2"/>
                <w:sz w:val="18"/>
                <w:szCs w:val="18"/>
                <w:highlight w:val="none"/>
                <w:u w:val="single"/>
                <w:lang w:val="en-US" w:eastAsia="zh-CN"/>
              </w:rPr>
              <w:t xml:space="preserve">    </w:t>
            </w:r>
            <w:r>
              <w:rPr>
                <w:rFonts w:hint="default" w:ascii="Times New Roman" w:hAnsi="Times New Roman" w:eastAsia="宋体" w:cs="Times New Roman"/>
                <w:color w:val="auto"/>
                <w:kern w:val="2"/>
                <w:sz w:val="18"/>
                <w:szCs w:val="18"/>
                <w:highlight w:val="none"/>
                <w:u w:val="single"/>
                <w:shd w:val="clear" w:color="auto" w:fill="FFFFFF"/>
              </w:rPr>
              <w:t>_</w:t>
            </w:r>
            <w:r>
              <w:rPr>
                <w:rFonts w:hint="default" w:ascii="Times New Roman" w:hAnsi="Times New Roman" w:eastAsia="宋体" w:cs="Times New Roman"/>
                <w:color w:val="auto"/>
                <w:kern w:val="2"/>
                <w:sz w:val="18"/>
                <w:szCs w:val="18"/>
                <w:highlight w:val="none"/>
                <w:shd w:val="clear" w:color="auto" w:fill="FFFFFF"/>
              </w:rPr>
              <w:t>人</w:t>
            </w:r>
          </w:p>
        </w:tc>
      </w:tr>
      <w:tr w14:paraId="1C56D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14:paraId="06988A5D">
            <w:pPr>
              <w:adjustRightInd/>
              <w:snapToGrid/>
              <w:spacing w:after="0" w:line="280" w:lineRule="exact"/>
              <w:rPr>
                <w:rFonts w:hint="default" w:ascii="Times New Roman" w:hAnsi="Times New Roman" w:eastAsia="宋体" w:cs="Times New Roman"/>
                <w:color w:val="FF0000"/>
                <w:kern w:val="2"/>
                <w:sz w:val="18"/>
                <w:szCs w:val="18"/>
                <w:highlight w:val="none"/>
              </w:rPr>
            </w:pPr>
          </w:p>
        </w:tc>
        <w:tc>
          <w:tcPr>
            <w:tcW w:w="509" w:type="pct"/>
            <w:vMerge w:val="continue"/>
            <w:tcBorders>
              <w:top w:val="single" w:color="auto" w:sz="4" w:space="0"/>
              <w:left w:val="single" w:color="auto" w:sz="4" w:space="0"/>
              <w:bottom w:val="single" w:color="auto" w:sz="4" w:space="0"/>
              <w:right w:val="single" w:color="auto" w:sz="4" w:space="0"/>
            </w:tcBorders>
            <w:vAlign w:val="center"/>
          </w:tcPr>
          <w:p w14:paraId="0432E827">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641" w:type="pct"/>
            <w:vMerge w:val="continue"/>
            <w:tcBorders>
              <w:top w:val="single" w:color="auto" w:sz="4" w:space="0"/>
              <w:left w:val="single" w:color="auto" w:sz="4" w:space="0"/>
              <w:bottom w:val="single" w:color="auto" w:sz="4" w:space="0"/>
              <w:right w:val="single" w:color="auto" w:sz="4" w:space="0"/>
            </w:tcBorders>
            <w:vAlign w:val="center"/>
          </w:tcPr>
          <w:p w14:paraId="70C5CB0B">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2774" w:type="pct"/>
            <w:gridSpan w:val="11"/>
            <w:tcBorders>
              <w:top w:val="single" w:color="auto" w:sz="4" w:space="0"/>
              <w:left w:val="single" w:color="auto" w:sz="4" w:space="0"/>
              <w:bottom w:val="single" w:color="auto" w:sz="4" w:space="0"/>
              <w:right w:val="single" w:color="auto" w:sz="4" w:space="0"/>
            </w:tcBorders>
            <w:vAlign w:val="center"/>
          </w:tcPr>
          <w:p w14:paraId="0D2335AF">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每公里管段周边200m范围内人口数（最大）</w:t>
            </w:r>
            <w:r>
              <w:rPr>
                <w:rFonts w:hint="default" w:ascii="Times New Roman" w:hAnsi="Times New Roman" w:eastAsia="宋体" w:cs="Times New Roman"/>
                <w:color w:val="auto"/>
                <w:kern w:val="2"/>
                <w:sz w:val="18"/>
                <w:szCs w:val="18"/>
                <w:highlight w:val="none"/>
                <w:shd w:val="clear" w:color="auto" w:fill="FFFFFF"/>
              </w:rPr>
              <w:t>__人</w:t>
            </w:r>
          </w:p>
        </w:tc>
        <w:tc>
          <w:tcPr>
            <w:tcW w:w="841" w:type="pct"/>
            <w:gridSpan w:val="3"/>
            <w:tcBorders>
              <w:top w:val="single" w:color="auto" w:sz="4" w:space="0"/>
              <w:left w:val="single" w:color="auto" w:sz="4" w:space="0"/>
              <w:bottom w:val="single" w:color="auto" w:sz="4" w:space="0"/>
              <w:right w:val="single" w:color="auto" w:sz="4" w:space="0"/>
            </w:tcBorders>
            <w:vAlign w:val="center"/>
          </w:tcPr>
          <w:p w14:paraId="02F460CE">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shd w:val="clear" w:color="auto" w:fill="FFFFFF"/>
              </w:rPr>
              <w:t>__人</w:t>
            </w:r>
          </w:p>
        </w:tc>
      </w:tr>
      <w:tr w14:paraId="68049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14:paraId="70EC82A0">
            <w:pPr>
              <w:adjustRightInd/>
              <w:snapToGrid/>
              <w:spacing w:after="0" w:line="280" w:lineRule="exact"/>
              <w:rPr>
                <w:rFonts w:hint="default" w:ascii="Times New Roman" w:hAnsi="Times New Roman" w:eastAsia="宋体" w:cs="Times New Roman"/>
                <w:color w:val="FF0000"/>
                <w:kern w:val="2"/>
                <w:sz w:val="18"/>
                <w:szCs w:val="18"/>
                <w:highlight w:val="none"/>
              </w:rPr>
            </w:pPr>
          </w:p>
        </w:tc>
        <w:tc>
          <w:tcPr>
            <w:tcW w:w="509" w:type="pct"/>
            <w:vMerge w:val="continue"/>
            <w:tcBorders>
              <w:top w:val="single" w:color="auto" w:sz="4" w:space="0"/>
              <w:left w:val="single" w:color="auto" w:sz="4" w:space="0"/>
              <w:bottom w:val="single" w:color="auto" w:sz="4" w:space="0"/>
              <w:right w:val="single" w:color="auto" w:sz="4" w:space="0"/>
            </w:tcBorders>
            <w:vAlign w:val="center"/>
          </w:tcPr>
          <w:p w14:paraId="19C72B7D">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641" w:type="pct"/>
            <w:vMerge w:val="restart"/>
            <w:tcBorders>
              <w:top w:val="single" w:color="auto" w:sz="4" w:space="0"/>
              <w:left w:val="single" w:color="auto" w:sz="4" w:space="0"/>
              <w:bottom w:val="single" w:color="auto" w:sz="4" w:space="0"/>
              <w:right w:val="single" w:color="auto" w:sz="4" w:space="0"/>
            </w:tcBorders>
            <w:vAlign w:val="center"/>
          </w:tcPr>
          <w:p w14:paraId="66CE7B25">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地表水</w:t>
            </w:r>
          </w:p>
        </w:tc>
        <w:tc>
          <w:tcPr>
            <w:tcW w:w="918" w:type="pct"/>
            <w:gridSpan w:val="4"/>
            <w:tcBorders>
              <w:top w:val="single" w:color="auto" w:sz="4" w:space="0"/>
              <w:left w:val="single" w:color="auto" w:sz="4" w:space="0"/>
              <w:bottom w:val="single" w:color="auto" w:sz="4" w:space="0"/>
              <w:right w:val="single" w:color="auto" w:sz="4" w:space="0"/>
            </w:tcBorders>
            <w:vAlign w:val="center"/>
          </w:tcPr>
          <w:p w14:paraId="64BC2F05">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地表水功能敏感区</w:t>
            </w:r>
          </w:p>
        </w:tc>
        <w:tc>
          <w:tcPr>
            <w:tcW w:w="912" w:type="pct"/>
            <w:gridSpan w:val="3"/>
            <w:tcBorders>
              <w:top w:val="single" w:color="auto" w:sz="4" w:space="0"/>
              <w:left w:val="single" w:color="auto" w:sz="4" w:space="0"/>
              <w:bottom w:val="single" w:color="auto" w:sz="4" w:space="0"/>
              <w:right w:val="single" w:color="auto" w:sz="4" w:space="0"/>
            </w:tcBorders>
            <w:vAlign w:val="center"/>
          </w:tcPr>
          <w:p w14:paraId="5033DB06">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F1口</w:t>
            </w:r>
          </w:p>
        </w:tc>
        <w:tc>
          <w:tcPr>
            <w:tcW w:w="944" w:type="pct"/>
            <w:gridSpan w:val="4"/>
            <w:tcBorders>
              <w:top w:val="single" w:color="auto" w:sz="4" w:space="0"/>
              <w:left w:val="single" w:color="auto" w:sz="4" w:space="0"/>
              <w:bottom w:val="single" w:color="auto" w:sz="4" w:space="0"/>
              <w:right w:val="single" w:color="auto" w:sz="4" w:space="0"/>
            </w:tcBorders>
            <w:vAlign w:val="center"/>
          </w:tcPr>
          <w:p w14:paraId="334CB4EF">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F2口</w:t>
            </w:r>
          </w:p>
        </w:tc>
        <w:tc>
          <w:tcPr>
            <w:tcW w:w="841" w:type="pct"/>
            <w:gridSpan w:val="3"/>
            <w:tcBorders>
              <w:top w:val="single" w:color="auto" w:sz="4" w:space="0"/>
              <w:left w:val="single" w:color="auto" w:sz="4" w:space="0"/>
              <w:bottom w:val="single" w:color="auto" w:sz="4" w:space="0"/>
              <w:right w:val="single" w:color="auto" w:sz="4" w:space="0"/>
            </w:tcBorders>
            <w:vAlign w:val="center"/>
          </w:tcPr>
          <w:p w14:paraId="47AC9C1E">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F3√</w:t>
            </w:r>
          </w:p>
        </w:tc>
      </w:tr>
      <w:tr w14:paraId="74A2B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14:paraId="783D0D1F">
            <w:pPr>
              <w:adjustRightInd/>
              <w:snapToGrid/>
              <w:spacing w:after="0" w:line="280" w:lineRule="exact"/>
              <w:rPr>
                <w:rFonts w:hint="default" w:ascii="Times New Roman" w:hAnsi="Times New Roman" w:eastAsia="宋体" w:cs="Times New Roman"/>
                <w:color w:val="FF0000"/>
                <w:kern w:val="2"/>
                <w:sz w:val="18"/>
                <w:szCs w:val="18"/>
                <w:highlight w:val="none"/>
              </w:rPr>
            </w:pPr>
          </w:p>
        </w:tc>
        <w:tc>
          <w:tcPr>
            <w:tcW w:w="509" w:type="pct"/>
            <w:vMerge w:val="continue"/>
            <w:tcBorders>
              <w:top w:val="single" w:color="auto" w:sz="4" w:space="0"/>
              <w:left w:val="single" w:color="auto" w:sz="4" w:space="0"/>
              <w:bottom w:val="single" w:color="auto" w:sz="4" w:space="0"/>
              <w:right w:val="single" w:color="auto" w:sz="4" w:space="0"/>
            </w:tcBorders>
            <w:vAlign w:val="center"/>
          </w:tcPr>
          <w:p w14:paraId="3A482970">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641" w:type="pct"/>
            <w:vMerge w:val="continue"/>
            <w:tcBorders>
              <w:top w:val="single" w:color="auto" w:sz="4" w:space="0"/>
              <w:left w:val="single" w:color="auto" w:sz="4" w:space="0"/>
              <w:bottom w:val="single" w:color="auto" w:sz="4" w:space="0"/>
              <w:right w:val="single" w:color="auto" w:sz="4" w:space="0"/>
            </w:tcBorders>
            <w:vAlign w:val="center"/>
          </w:tcPr>
          <w:p w14:paraId="5B2C6B86">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918" w:type="pct"/>
            <w:gridSpan w:val="4"/>
            <w:tcBorders>
              <w:top w:val="single" w:color="auto" w:sz="4" w:space="0"/>
              <w:left w:val="single" w:color="auto" w:sz="4" w:space="0"/>
              <w:bottom w:val="single" w:color="auto" w:sz="4" w:space="0"/>
              <w:right w:val="single" w:color="auto" w:sz="4" w:space="0"/>
            </w:tcBorders>
            <w:vAlign w:val="center"/>
          </w:tcPr>
          <w:p w14:paraId="65DE8DD2">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环境敏感目标分级</w:t>
            </w:r>
          </w:p>
        </w:tc>
        <w:tc>
          <w:tcPr>
            <w:tcW w:w="912" w:type="pct"/>
            <w:gridSpan w:val="3"/>
            <w:tcBorders>
              <w:top w:val="single" w:color="auto" w:sz="4" w:space="0"/>
              <w:left w:val="single" w:color="auto" w:sz="4" w:space="0"/>
              <w:bottom w:val="single" w:color="auto" w:sz="4" w:space="0"/>
              <w:right w:val="single" w:color="auto" w:sz="4" w:space="0"/>
            </w:tcBorders>
            <w:vAlign w:val="center"/>
          </w:tcPr>
          <w:p w14:paraId="283E6075">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S1口</w:t>
            </w:r>
          </w:p>
        </w:tc>
        <w:tc>
          <w:tcPr>
            <w:tcW w:w="944" w:type="pct"/>
            <w:gridSpan w:val="4"/>
            <w:tcBorders>
              <w:top w:val="single" w:color="auto" w:sz="4" w:space="0"/>
              <w:left w:val="single" w:color="auto" w:sz="4" w:space="0"/>
              <w:bottom w:val="single" w:color="auto" w:sz="4" w:space="0"/>
              <w:right w:val="single" w:color="auto" w:sz="4" w:space="0"/>
            </w:tcBorders>
            <w:vAlign w:val="center"/>
          </w:tcPr>
          <w:p w14:paraId="3046A75D">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S2口</w:t>
            </w:r>
          </w:p>
        </w:tc>
        <w:tc>
          <w:tcPr>
            <w:tcW w:w="841" w:type="pct"/>
            <w:gridSpan w:val="3"/>
            <w:tcBorders>
              <w:top w:val="single" w:color="auto" w:sz="4" w:space="0"/>
              <w:left w:val="single" w:color="auto" w:sz="4" w:space="0"/>
              <w:bottom w:val="single" w:color="auto" w:sz="4" w:space="0"/>
              <w:right w:val="single" w:color="auto" w:sz="4" w:space="0"/>
            </w:tcBorders>
            <w:vAlign w:val="center"/>
          </w:tcPr>
          <w:p w14:paraId="2BA9DE60">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S3√</w:t>
            </w:r>
          </w:p>
        </w:tc>
      </w:tr>
      <w:tr w14:paraId="5292F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14:paraId="4ECD1FBD">
            <w:pPr>
              <w:adjustRightInd/>
              <w:snapToGrid/>
              <w:spacing w:after="0" w:line="280" w:lineRule="exact"/>
              <w:rPr>
                <w:rFonts w:hint="default" w:ascii="Times New Roman" w:hAnsi="Times New Roman" w:eastAsia="宋体" w:cs="Times New Roman"/>
                <w:color w:val="FF0000"/>
                <w:kern w:val="2"/>
                <w:sz w:val="18"/>
                <w:szCs w:val="18"/>
                <w:highlight w:val="none"/>
              </w:rPr>
            </w:pPr>
          </w:p>
        </w:tc>
        <w:tc>
          <w:tcPr>
            <w:tcW w:w="509" w:type="pct"/>
            <w:vMerge w:val="continue"/>
            <w:tcBorders>
              <w:top w:val="single" w:color="auto" w:sz="4" w:space="0"/>
              <w:left w:val="single" w:color="auto" w:sz="4" w:space="0"/>
              <w:bottom w:val="single" w:color="auto" w:sz="4" w:space="0"/>
              <w:right w:val="single" w:color="auto" w:sz="4" w:space="0"/>
            </w:tcBorders>
            <w:vAlign w:val="center"/>
          </w:tcPr>
          <w:p w14:paraId="6074A416">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641" w:type="pct"/>
            <w:vMerge w:val="restart"/>
            <w:tcBorders>
              <w:top w:val="single" w:color="auto" w:sz="4" w:space="0"/>
              <w:left w:val="single" w:color="auto" w:sz="4" w:space="0"/>
              <w:bottom w:val="single" w:color="auto" w:sz="4" w:space="0"/>
              <w:right w:val="single" w:color="auto" w:sz="4" w:space="0"/>
            </w:tcBorders>
            <w:vAlign w:val="center"/>
          </w:tcPr>
          <w:p w14:paraId="50E2C50F">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地下水</w:t>
            </w:r>
          </w:p>
        </w:tc>
        <w:tc>
          <w:tcPr>
            <w:tcW w:w="918" w:type="pct"/>
            <w:gridSpan w:val="4"/>
            <w:tcBorders>
              <w:top w:val="single" w:color="auto" w:sz="4" w:space="0"/>
              <w:left w:val="single" w:color="auto" w:sz="4" w:space="0"/>
              <w:bottom w:val="single" w:color="auto" w:sz="4" w:space="0"/>
              <w:right w:val="single" w:color="auto" w:sz="4" w:space="0"/>
            </w:tcBorders>
            <w:vAlign w:val="center"/>
          </w:tcPr>
          <w:p w14:paraId="12555EF6">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地下水功能敏感性</w:t>
            </w:r>
          </w:p>
        </w:tc>
        <w:tc>
          <w:tcPr>
            <w:tcW w:w="912" w:type="pct"/>
            <w:gridSpan w:val="3"/>
            <w:tcBorders>
              <w:top w:val="single" w:color="auto" w:sz="4" w:space="0"/>
              <w:left w:val="single" w:color="auto" w:sz="4" w:space="0"/>
              <w:bottom w:val="single" w:color="auto" w:sz="4" w:space="0"/>
              <w:right w:val="single" w:color="auto" w:sz="4" w:space="0"/>
            </w:tcBorders>
            <w:vAlign w:val="center"/>
          </w:tcPr>
          <w:p w14:paraId="2EA4B36E">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G1口</w:t>
            </w:r>
          </w:p>
        </w:tc>
        <w:tc>
          <w:tcPr>
            <w:tcW w:w="944" w:type="pct"/>
            <w:gridSpan w:val="4"/>
            <w:tcBorders>
              <w:top w:val="single" w:color="auto" w:sz="4" w:space="0"/>
              <w:left w:val="single" w:color="auto" w:sz="4" w:space="0"/>
              <w:bottom w:val="single" w:color="auto" w:sz="4" w:space="0"/>
              <w:right w:val="single" w:color="auto" w:sz="4" w:space="0"/>
            </w:tcBorders>
            <w:vAlign w:val="center"/>
          </w:tcPr>
          <w:p w14:paraId="58F85985">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G2口</w:t>
            </w:r>
          </w:p>
        </w:tc>
        <w:tc>
          <w:tcPr>
            <w:tcW w:w="841" w:type="pct"/>
            <w:gridSpan w:val="3"/>
            <w:tcBorders>
              <w:top w:val="single" w:color="auto" w:sz="4" w:space="0"/>
              <w:left w:val="single" w:color="auto" w:sz="4" w:space="0"/>
              <w:bottom w:val="single" w:color="auto" w:sz="4" w:space="0"/>
              <w:right w:val="single" w:color="auto" w:sz="4" w:space="0"/>
            </w:tcBorders>
            <w:vAlign w:val="center"/>
          </w:tcPr>
          <w:p w14:paraId="3B222295">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G3√</w:t>
            </w:r>
          </w:p>
        </w:tc>
      </w:tr>
      <w:tr w14:paraId="3C364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14:paraId="49583647">
            <w:pPr>
              <w:adjustRightInd/>
              <w:snapToGrid/>
              <w:spacing w:after="0" w:line="280" w:lineRule="exact"/>
              <w:rPr>
                <w:rFonts w:hint="default" w:ascii="Times New Roman" w:hAnsi="Times New Roman" w:eastAsia="宋体" w:cs="Times New Roman"/>
                <w:color w:val="FF0000"/>
                <w:kern w:val="2"/>
                <w:sz w:val="18"/>
                <w:szCs w:val="18"/>
                <w:highlight w:val="none"/>
              </w:rPr>
            </w:pPr>
          </w:p>
        </w:tc>
        <w:tc>
          <w:tcPr>
            <w:tcW w:w="509" w:type="pct"/>
            <w:vMerge w:val="continue"/>
            <w:tcBorders>
              <w:top w:val="single" w:color="auto" w:sz="4" w:space="0"/>
              <w:left w:val="single" w:color="auto" w:sz="4" w:space="0"/>
              <w:bottom w:val="single" w:color="auto" w:sz="4" w:space="0"/>
              <w:right w:val="single" w:color="auto" w:sz="4" w:space="0"/>
            </w:tcBorders>
            <w:vAlign w:val="center"/>
          </w:tcPr>
          <w:p w14:paraId="671BF6EB">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641" w:type="pct"/>
            <w:vMerge w:val="continue"/>
            <w:tcBorders>
              <w:top w:val="single" w:color="auto" w:sz="4" w:space="0"/>
              <w:left w:val="single" w:color="auto" w:sz="4" w:space="0"/>
              <w:bottom w:val="single" w:color="auto" w:sz="4" w:space="0"/>
              <w:right w:val="single" w:color="auto" w:sz="4" w:space="0"/>
            </w:tcBorders>
            <w:vAlign w:val="center"/>
          </w:tcPr>
          <w:p w14:paraId="6373B090">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918" w:type="pct"/>
            <w:gridSpan w:val="4"/>
            <w:tcBorders>
              <w:top w:val="single" w:color="auto" w:sz="4" w:space="0"/>
              <w:left w:val="single" w:color="auto" w:sz="4" w:space="0"/>
              <w:bottom w:val="single" w:color="auto" w:sz="4" w:space="0"/>
              <w:right w:val="single" w:color="auto" w:sz="4" w:space="0"/>
            </w:tcBorders>
            <w:vAlign w:val="center"/>
          </w:tcPr>
          <w:p w14:paraId="2F02DBBD">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包气带防污性能</w:t>
            </w:r>
          </w:p>
        </w:tc>
        <w:tc>
          <w:tcPr>
            <w:tcW w:w="912" w:type="pct"/>
            <w:gridSpan w:val="3"/>
            <w:tcBorders>
              <w:top w:val="single" w:color="auto" w:sz="4" w:space="0"/>
              <w:left w:val="single" w:color="auto" w:sz="4" w:space="0"/>
              <w:bottom w:val="single" w:color="auto" w:sz="4" w:space="0"/>
              <w:right w:val="single" w:color="auto" w:sz="4" w:space="0"/>
            </w:tcBorders>
            <w:vAlign w:val="center"/>
          </w:tcPr>
          <w:p w14:paraId="701A55ED">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D1口</w:t>
            </w:r>
          </w:p>
        </w:tc>
        <w:tc>
          <w:tcPr>
            <w:tcW w:w="944" w:type="pct"/>
            <w:gridSpan w:val="4"/>
            <w:tcBorders>
              <w:top w:val="single" w:color="auto" w:sz="4" w:space="0"/>
              <w:left w:val="single" w:color="auto" w:sz="4" w:space="0"/>
              <w:bottom w:val="single" w:color="auto" w:sz="4" w:space="0"/>
              <w:right w:val="single" w:color="auto" w:sz="4" w:space="0"/>
            </w:tcBorders>
            <w:vAlign w:val="center"/>
          </w:tcPr>
          <w:p w14:paraId="7AB33E69">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D2口</w:t>
            </w:r>
          </w:p>
        </w:tc>
        <w:tc>
          <w:tcPr>
            <w:tcW w:w="841" w:type="pct"/>
            <w:gridSpan w:val="3"/>
            <w:tcBorders>
              <w:top w:val="single" w:color="auto" w:sz="4" w:space="0"/>
              <w:left w:val="single" w:color="auto" w:sz="4" w:space="0"/>
              <w:bottom w:val="single" w:color="auto" w:sz="4" w:space="0"/>
              <w:right w:val="single" w:color="auto" w:sz="4" w:space="0"/>
            </w:tcBorders>
            <w:vAlign w:val="center"/>
          </w:tcPr>
          <w:p w14:paraId="55DFF6F7">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D3√</w:t>
            </w:r>
          </w:p>
        </w:tc>
      </w:tr>
      <w:tr w14:paraId="27584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pct"/>
            <w:gridSpan w:val="2"/>
            <w:vMerge w:val="restart"/>
            <w:tcBorders>
              <w:top w:val="single" w:color="auto" w:sz="4" w:space="0"/>
              <w:left w:val="single" w:color="auto" w:sz="4" w:space="0"/>
              <w:bottom w:val="single" w:color="auto" w:sz="4" w:space="0"/>
              <w:right w:val="single" w:color="auto" w:sz="4" w:space="0"/>
            </w:tcBorders>
            <w:vAlign w:val="center"/>
          </w:tcPr>
          <w:p w14:paraId="51198C0A">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物质及工艺系统危险性</w:t>
            </w:r>
          </w:p>
        </w:tc>
        <w:tc>
          <w:tcPr>
            <w:tcW w:w="641" w:type="pct"/>
            <w:tcBorders>
              <w:top w:val="single" w:color="auto" w:sz="4" w:space="0"/>
              <w:left w:val="single" w:color="auto" w:sz="4" w:space="0"/>
              <w:bottom w:val="single" w:color="auto" w:sz="4" w:space="0"/>
              <w:right w:val="single" w:color="auto" w:sz="4" w:space="0"/>
            </w:tcBorders>
            <w:vAlign w:val="center"/>
          </w:tcPr>
          <w:p w14:paraId="42716C0B">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Q值</w:t>
            </w:r>
          </w:p>
        </w:tc>
        <w:tc>
          <w:tcPr>
            <w:tcW w:w="918" w:type="pct"/>
            <w:gridSpan w:val="4"/>
            <w:tcBorders>
              <w:top w:val="single" w:color="auto" w:sz="4" w:space="0"/>
              <w:left w:val="single" w:color="auto" w:sz="4" w:space="0"/>
              <w:bottom w:val="single" w:color="auto" w:sz="4" w:space="0"/>
              <w:right w:val="single" w:color="auto" w:sz="4" w:space="0"/>
            </w:tcBorders>
            <w:vAlign w:val="center"/>
          </w:tcPr>
          <w:p w14:paraId="3F31F23A">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Q&lt;1</w:t>
            </w:r>
            <w:r>
              <w:rPr>
                <w:rFonts w:hint="default" w:ascii="Times New Roman" w:hAnsi="Times New Roman" w:eastAsia="宋体" w:cs="Times New Roman"/>
                <w:color w:val="auto"/>
                <w:kern w:val="2"/>
                <w:sz w:val="18"/>
                <w:szCs w:val="18"/>
                <w:highlight w:val="none"/>
              </w:rPr>
              <w:sym w:font="Wingdings 2" w:char="0052"/>
            </w:r>
          </w:p>
        </w:tc>
        <w:tc>
          <w:tcPr>
            <w:tcW w:w="912" w:type="pct"/>
            <w:gridSpan w:val="3"/>
            <w:tcBorders>
              <w:top w:val="single" w:color="auto" w:sz="4" w:space="0"/>
              <w:left w:val="single" w:color="auto" w:sz="4" w:space="0"/>
              <w:bottom w:val="single" w:color="auto" w:sz="4" w:space="0"/>
              <w:right w:val="single" w:color="auto" w:sz="4" w:space="0"/>
            </w:tcBorders>
            <w:vAlign w:val="center"/>
          </w:tcPr>
          <w:p w14:paraId="0DA2456A">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1≤Q&lt;10口</w:t>
            </w:r>
          </w:p>
        </w:tc>
        <w:tc>
          <w:tcPr>
            <w:tcW w:w="944" w:type="pct"/>
            <w:gridSpan w:val="4"/>
            <w:tcBorders>
              <w:top w:val="single" w:color="auto" w:sz="4" w:space="0"/>
              <w:left w:val="single" w:color="auto" w:sz="4" w:space="0"/>
              <w:bottom w:val="single" w:color="auto" w:sz="4" w:space="0"/>
              <w:right w:val="single" w:color="auto" w:sz="4" w:space="0"/>
            </w:tcBorders>
            <w:vAlign w:val="center"/>
          </w:tcPr>
          <w:p w14:paraId="7DC2B9BF">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10≤Q&lt;100口</w:t>
            </w:r>
          </w:p>
        </w:tc>
        <w:tc>
          <w:tcPr>
            <w:tcW w:w="841" w:type="pct"/>
            <w:gridSpan w:val="3"/>
            <w:tcBorders>
              <w:top w:val="single" w:color="auto" w:sz="4" w:space="0"/>
              <w:left w:val="single" w:color="auto" w:sz="4" w:space="0"/>
              <w:bottom w:val="single" w:color="auto" w:sz="4" w:space="0"/>
              <w:right w:val="single" w:color="auto" w:sz="4" w:space="0"/>
            </w:tcBorders>
            <w:vAlign w:val="center"/>
          </w:tcPr>
          <w:p w14:paraId="1F10C501">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Q &gt; 100口</w:t>
            </w:r>
          </w:p>
        </w:tc>
      </w:tr>
      <w:tr w14:paraId="4E0FD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pct"/>
            <w:gridSpan w:val="2"/>
            <w:vMerge w:val="continue"/>
            <w:tcBorders>
              <w:top w:val="single" w:color="auto" w:sz="4" w:space="0"/>
              <w:left w:val="single" w:color="auto" w:sz="4" w:space="0"/>
              <w:bottom w:val="single" w:color="auto" w:sz="4" w:space="0"/>
              <w:right w:val="single" w:color="auto" w:sz="4" w:space="0"/>
            </w:tcBorders>
            <w:vAlign w:val="center"/>
          </w:tcPr>
          <w:p w14:paraId="1D506E59">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641" w:type="pct"/>
            <w:tcBorders>
              <w:top w:val="single" w:color="auto" w:sz="4" w:space="0"/>
              <w:left w:val="single" w:color="auto" w:sz="4" w:space="0"/>
              <w:bottom w:val="single" w:color="auto" w:sz="4" w:space="0"/>
              <w:right w:val="single" w:color="auto" w:sz="4" w:space="0"/>
            </w:tcBorders>
            <w:vAlign w:val="center"/>
          </w:tcPr>
          <w:p w14:paraId="34EBB02D">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M值</w:t>
            </w:r>
          </w:p>
        </w:tc>
        <w:tc>
          <w:tcPr>
            <w:tcW w:w="918" w:type="pct"/>
            <w:gridSpan w:val="4"/>
            <w:tcBorders>
              <w:top w:val="single" w:color="auto" w:sz="4" w:space="0"/>
              <w:left w:val="single" w:color="auto" w:sz="4" w:space="0"/>
              <w:bottom w:val="single" w:color="auto" w:sz="4" w:space="0"/>
              <w:right w:val="single" w:color="auto" w:sz="4" w:space="0"/>
            </w:tcBorders>
            <w:vAlign w:val="center"/>
          </w:tcPr>
          <w:p w14:paraId="4F07023E">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M1口</w:t>
            </w:r>
          </w:p>
        </w:tc>
        <w:tc>
          <w:tcPr>
            <w:tcW w:w="912" w:type="pct"/>
            <w:gridSpan w:val="3"/>
            <w:tcBorders>
              <w:top w:val="single" w:color="auto" w:sz="4" w:space="0"/>
              <w:left w:val="single" w:color="auto" w:sz="4" w:space="0"/>
              <w:bottom w:val="single" w:color="auto" w:sz="4" w:space="0"/>
              <w:right w:val="single" w:color="auto" w:sz="4" w:space="0"/>
            </w:tcBorders>
            <w:vAlign w:val="center"/>
          </w:tcPr>
          <w:p w14:paraId="2B41DF72">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M2口</w:t>
            </w:r>
          </w:p>
        </w:tc>
        <w:tc>
          <w:tcPr>
            <w:tcW w:w="944" w:type="pct"/>
            <w:gridSpan w:val="4"/>
            <w:tcBorders>
              <w:top w:val="single" w:color="auto" w:sz="4" w:space="0"/>
              <w:left w:val="single" w:color="auto" w:sz="4" w:space="0"/>
              <w:bottom w:val="single" w:color="auto" w:sz="4" w:space="0"/>
              <w:right w:val="single" w:color="auto" w:sz="4" w:space="0"/>
            </w:tcBorders>
            <w:vAlign w:val="center"/>
          </w:tcPr>
          <w:p w14:paraId="6550FEC6">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M3口</w:t>
            </w:r>
          </w:p>
        </w:tc>
        <w:tc>
          <w:tcPr>
            <w:tcW w:w="841" w:type="pct"/>
            <w:gridSpan w:val="3"/>
            <w:tcBorders>
              <w:top w:val="single" w:color="auto" w:sz="4" w:space="0"/>
              <w:left w:val="single" w:color="auto" w:sz="4" w:space="0"/>
              <w:bottom w:val="single" w:color="auto" w:sz="4" w:space="0"/>
              <w:right w:val="single" w:color="auto" w:sz="4" w:space="0"/>
            </w:tcBorders>
            <w:vAlign w:val="center"/>
          </w:tcPr>
          <w:p w14:paraId="4E81BB14">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M4口</w:t>
            </w:r>
          </w:p>
        </w:tc>
      </w:tr>
      <w:tr w14:paraId="68919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pct"/>
            <w:gridSpan w:val="2"/>
            <w:vMerge w:val="continue"/>
            <w:tcBorders>
              <w:top w:val="single" w:color="auto" w:sz="4" w:space="0"/>
              <w:left w:val="single" w:color="auto" w:sz="4" w:space="0"/>
              <w:bottom w:val="single" w:color="auto" w:sz="4" w:space="0"/>
              <w:right w:val="single" w:color="auto" w:sz="4" w:space="0"/>
            </w:tcBorders>
            <w:vAlign w:val="center"/>
          </w:tcPr>
          <w:p w14:paraId="2661070F">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641" w:type="pct"/>
            <w:tcBorders>
              <w:top w:val="single" w:color="auto" w:sz="4" w:space="0"/>
              <w:left w:val="single" w:color="auto" w:sz="4" w:space="0"/>
              <w:bottom w:val="single" w:color="auto" w:sz="4" w:space="0"/>
              <w:right w:val="single" w:color="auto" w:sz="4" w:space="0"/>
            </w:tcBorders>
            <w:vAlign w:val="center"/>
          </w:tcPr>
          <w:p w14:paraId="31BF39F8">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P值</w:t>
            </w:r>
          </w:p>
        </w:tc>
        <w:tc>
          <w:tcPr>
            <w:tcW w:w="918" w:type="pct"/>
            <w:gridSpan w:val="4"/>
            <w:tcBorders>
              <w:top w:val="single" w:color="auto" w:sz="4" w:space="0"/>
              <w:left w:val="single" w:color="auto" w:sz="4" w:space="0"/>
              <w:bottom w:val="single" w:color="auto" w:sz="4" w:space="0"/>
              <w:right w:val="single" w:color="auto" w:sz="4" w:space="0"/>
            </w:tcBorders>
            <w:vAlign w:val="center"/>
          </w:tcPr>
          <w:p w14:paraId="34F153B6">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P1口</w:t>
            </w:r>
          </w:p>
        </w:tc>
        <w:tc>
          <w:tcPr>
            <w:tcW w:w="912" w:type="pct"/>
            <w:gridSpan w:val="3"/>
            <w:tcBorders>
              <w:top w:val="single" w:color="auto" w:sz="4" w:space="0"/>
              <w:left w:val="single" w:color="auto" w:sz="4" w:space="0"/>
              <w:bottom w:val="single" w:color="auto" w:sz="4" w:space="0"/>
              <w:right w:val="single" w:color="auto" w:sz="4" w:space="0"/>
            </w:tcBorders>
            <w:vAlign w:val="center"/>
          </w:tcPr>
          <w:p w14:paraId="71F80BB3">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P2口</w:t>
            </w:r>
          </w:p>
        </w:tc>
        <w:tc>
          <w:tcPr>
            <w:tcW w:w="944" w:type="pct"/>
            <w:gridSpan w:val="4"/>
            <w:tcBorders>
              <w:top w:val="single" w:color="auto" w:sz="4" w:space="0"/>
              <w:left w:val="single" w:color="auto" w:sz="4" w:space="0"/>
              <w:bottom w:val="single" w:color="auto" w:sz="4" w:space="0"/>
              <w:right w:val="single" w:color="auto" w:sz="4" w:space="0"/>
            </w:tcBorders>
            <w:vAlign w:val="center"/>
          </w:tcPr>
          <w:p w14:paraId="426F94C3">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P3口</w:t>
            </w:r>
          </w:p>
        </w:tc>
        <w:tc>
          <w:tcPr>
            <w:tcW w:w="841" w:type="pct"/>
            <w:gridSpan w:val="3"/>
            <w:tcBorders>
              <w:top w:val="single" w:color="auto" w:sz="4" w:space="0"/>
              <w:left w:val="single" w:color="auto" w:sz="4" w:space="0"/>
              <w:bottom w:val="single" w:color="auto" w:sz="4" w:space="0"/>
              <w:right w:val="single" w:color="auto" w:sz="4" w:space="0"/>
            </w:tcBorders>
            <w:vAlign w:val="center"/>
          </w:tcPr>
          <w:p w14:paraId="53E4FA07">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P4口</w:t>
            </w:r>
          </w:p>
        </w:tc>
      </w:tr>
      <w:tr w14:paraId="1CC4A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741" w:type="pct"/>
            <w:gridSpan w:val="2"/>
            <w:vMerge w:val="restart"/>
            <w:tcBorders>
              <w:top w:val="single" w:color="auto" w:sz="4" w:space="0"/>
              <w:left w:val="single" w:color="auto" w:sz="4" w:space="0"/>
              <w:bottom w:val="single" w:color="auto" w:sz="4" w:space="0"/>
              <w:right w:val="single" w:color="auto" w:sz="4" w:space="0"/>
            </w:tcBorders>
            <w:vAlign w:val="center"/>
          </w:tcPr>
          <w:p w14:paraId="1321F405">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环境敏感程度</w:t>
            </w:r>
          </w:p>
        </w:tc>
        <w:tc>
          <w:tcPr>
            <w:tcW w:w="641" w:type="pct"/>
            <w:tcBorders>
              <w:top w:val="single" w:color="auto" w:sz="4" w:space="0"/>
              <w:left w:val="single" w:color="auto" w:sz="4" w:space="0"/>
              <w:bottom w:val="single" w:color="auto" w:sz="4" w:space="0"/>
              <w:right w:val="single" w:color="auto" w:sz="4" w:space="0"/>
            </w:tcBorders>
            <w:vAlign w:val="center"/>
          </w:tcPr>
          <w:p w14:paraId="42F30291">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大气</w:t>
            </w:r>
          </w:p>
        </w:tc>
        <w:tc>
          <w:tcPr>
            <w:tcW w:w="918" w:type="pct"/>
            <w:gridSpan w:val="4"/>
            <w:tcBorders>
              <w:top w:val="single" w:color="auto" w:sz="4" w:space="0"/>
              <w:left w:val="single" w:color="auto" w:sz="4" w:space="0"/>
              <w:bottom w:val="single" w:color="auto" w:sz="4" w:space="0"/>
              <w:right w:val="single" w:color="auto" w:sz="4" w:space="0"/>
            </w:tcBorders>
            <w:vAlign w:val="center"/>
          </w:tcPr>
          <w:p w14:paraId="3393F2DD">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E1口</w:t>
            </w:r>
          </w:p>
        </w:tc>
        <w:tc>
          <w:tcPr>
            <w:tcW w:w="1418" w:type="pct"/>
            <w:gridSpan w:val="5"/>
            <w:tcBorders>
              <w:top w:val="single" w:color="auto" w:sz="4" w:space="0"/>
              <w:left w:val="single" w:color="auto" w:sz="4" w:space="0"/>
              <w:bottom w:val="single" w:color="auto" w:sz="4" w:space="0"/>
              <w:right w:val="single" w:color="auto" w:sz="4" w:space="0"/>
            </w:tcBorders>
            <w:vAlign w:val="center"/>
          </w:tcPr>
          <w:p w14:paraId="02B2E71C">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E2口</w:t>
            </w:r>
          </w:p>
        </w:tc>
        <w:tc>
          <w:tcPr>
            <w:tcW w:w="1279" w:type="pct"/>
            <w:gridSpan w:val="5"/>
            <w:tcBorders>
              <w:top w:val="single" w:color="auto" w:sz="4" w:space="0"/>
              <w:left w:val="single" w:color="auto" w:sz="4" w:space="0"/>
              <w:bottom w:val="single" w:color="auto" w:sz="4" w:space="0"/>
              <w:right w:val="single" w:color="auto" w:sz="4" w:space="0"/>
            </w:tcBorders>
            <w:vAlign w:val="center"/>
          </w:tcPr>
          <w:p w14:paraId="734B94EC">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E3</w:t>
            </w:r>
            <w:r>
              <w:rPr>
                <w:rFonts w:hint="default" w:ascii="Times New Roman" w:hAnsi="Times New Roman" w:eastAsia="宋体" w:cs="Times New Roman"/>
                <w:color w:val="auto"/>
                <w:kern w:val="2"/>
                <w:sz w:val="18"/>
                <w:szCs w:val="18"/>
                <w:highlight w:val="none"/>
              </w:rPr>
              <w:sym w:font="Wingdings 2" w:char="0052"/>
            </w:r>
          </w:p>
        </w:tc>
      </w:tr>
      <w:tr w14:paraId="00929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pct"/>
            <w:gridSpan w:val="2"/>
            <w:vMerge w:val="continue"/>
            <w:tcBorders>
              <w:top w:val="single" w:color="auto" w:sz="4" w:space="0"/>
              <w:left w:val="single" w:color="auto" w:sz="4" w:space="0"/>
              <w:bottom w:val="single" w:color="auto" w:sz="4" w:space="0"/>
              <w:right w:val="single" w:color="auto" w:sz="4" w:space="0"/>
            </w:tcBorders>
            <w:vAlign w:val="center"/>
          </w:tcPr>
          <w:p w14:paraId="3F8A989D">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641" w:type="pct"/>
            <w:tcBorders>
              <w:top w:val="single" w:color="auto" w:sz="4" w:space="0"/>
              <w:left w:val="single" w:color="auto" w:sz="4" w:space="0"/>
              <w:bottom w:val="single" w:color="auto" w:sz="4" w:space="0"/>
              <w:right w:val="single" w:color="auto" w:sz="4" w:space="0"/>
            </w:tcBorders>
            <w:vAlign w:val="center"/>
          </w:tcPr>
          <w:p w14:paraId="670F5611">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地表水</w:t>
            </w:r>
          </w:p>
        </w:tc>
        <w:tc>
          <w:tcPr>
            <w:tcW w:w="918" w:type="pct"/>
            <w:gridSpan w:val="4"/>
            <w:tcBorders>
              <w:top w:val="single" w:color="auto" w:sz="4" w:space="0"/>
              <w:left w:val="single" w:color="auto" w:sz="4" w:space="0"/>
              <w:bottom w:val="single" w:color="auto" w:sz="4" w:space="0"/>
              <w:right w:val="single" w:color="auto" w:sz="4" w:space="0"/>
            </w:tcBorders>
            <w:vAlign w:val="center"/>
          </w:tcPr>
          <w:p w14:paraId="5B245DF6">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E1口</w:t>
            </w:r>
          </w:p>
        </w:tc>
        <w:tc>
          <w:tcPr>
            <w:tcW w:w="1418" w:type="pct"/>
            <w:gridSpan w:val="5"/>
            <w:tcBorders>
              <w:top w:val="single" w:color="auto" w:sz="4" w:space="0"/>
              <w:left w:val="single" w:color="auto" w:sz="4" w:space="0"/>
              <w:bottom w:val="single" w:color="auto" w:sz="4" w:space="0"/>
              <w:right w:val="single" w:color="auto" w:sz="4" w:space="0"/>
            </w:tcBorders>
            <w:vAlign w:val="center"/>
          </w:tcPr>
          <w:p w14:paraId="6C72AB93">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E2口</w:t>
            </w:r>
          </w:p>
        </w:tc>
        <w:tc>
          <w:tcPr>
            <w:tcW w:w="1279" w:type="pct"/>
            <w:gridSpan w:val="5"/>
            <w:tcBorders>
              <w:top w:val="single" w:color="auto" w:sz="4" w:space="0"/>
              <w:left w:val="single" w:color="auto" w:sz="4" w:space="0"/>
              <w:bottom w:val="single" w:color="auto" w:sz="4" w:space="0"/>
              <w:right w:val="single" w:color="auto" w:sz="4" w:space="0"/>
            </w:tcBorders>
          </w:tcPr>
          <w:p w14:paraId="34AEF9DB">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E3</w:t>
            </w:r>
            <w:r>
              <w:rPr>
                <w:rFonts w:hint="default" w:ascii="Times New Roman" w:hAnsi="Times New Roman" w:eastAsia="宋体" w:cs="Times New Roman"/>
                <w:color w:val="auto"/>
                <w:kern w:val="2"/>
                <w:sz w:val="18"/>
                <w:szCs w:val="18"/>
                <w:highlight w:val="none"/>
              </w:rPr>
              <w:sym w:font="Wingdings 2" w:char="0052"/>
            </w:r>
          </w:p>
        </w:tc>
      </w:tr>
      <w:tr w14:paraId="50489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pct"/>
            <w:gridSpan w:val="2"/>
            <w:vMerge w:val="continue"/>
            <w:tcBorders>
              <w:top w:val="single" w:color="auto" w:sz="4" w:space="0"/>
              <w:left w:val="single" w:color="auto" w:sz="4" w:space="0"/>
              <w:bottom w:val="single" w:color="auto" w:sz="4" w:space="0"/>
              <w:right w:val="single" w:color="auto" w:sz="4" w:space="0"/>
            </w:tcBorders>
            <w:vAlign w:val="center"/>
          </w:tcPr>
          <w:p w14:paraId="18A352CB">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641" w:type="pct"/>
            <w:tcBorders>
              <w:top w:val="single" w:color="auto" w:sz="4" w:space="0"/>
              <w:left w:val="single" w:color="auto" w:sz="4" w:space="0"/>
              <w:bottom w:val="single" w:color="auto" w:sz="4" w:space="0"/>
              <w:right w:val="single" w:color="auto" w:sz="4" w:space="0"/>
            </w:tcBorders>
            <w:vAlign w:val="center"/>
          </w:tcPr>
          <w:p w14:paraId="582904E3">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地下水</w:t>
            </w:r>
          </w:p>
        </w:tc>
        <w:tc>
          <w:tcPr>
            <w:tcW w:w="918" w:type="pct"/>
            <w:gridSpan w:val="4"/>
            <w:tcBorders>
              <w:top w:val="single" w:color="auto" w:sz="4" w:space="0"/>
              <w:left w:val="single" w:color="auto" w:sz="4" w:space="0"/>
              <w:bottom w:val="single" w:color="auto" w:sz="4" w:space="0"/>
              <w:right w:val="single" w:color="auto" w:sz="4" w:space="0"/>
            </w:tcBorders>
            <w:vAlign w:val="center"/>
          </w:tcPr>
          <w:p w14:paraId="21364314">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E1口</w:t>
            </w:r>
          </w:p>
        </w:tc>
        <w:tc>
          <w:tcPr>
            <w:tcW w:w="1418" w:type="pct"/>
            <w:gridSpan w:val="5"/>
            <w:tcBorders>
              <w:top w:val="single" w:color="auto" w:sz="4" w:space="0"/>
              <w:left w:val="single" w:color="auto" w:sz="4" w:space="0"/>
              <w:bottom w:val="single" w:color="auto" w:sz="4" w:space="0"/>
              <w:right w:val="single" w:color="auto" w:sz="4" w:space="0"/>
            </w:tcBorders>
            <w:vAlign w:val="center"/>
          </w:tcPr>
          <w:p w14:paraId="225F7C9E">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E2口</w:t>
            </w:r>
          </w:p>
        </w:tc>
        <w:tc>
          <w:tcPr>
            <w:tcW w:w="1279" w:type="pct"/>
            <w:gridSpan w:val="5"/>
            <w:tcBorders>
              <w:top w:val="single" w:color="auto" w:sz="4" w:space="0"/>
              <w:left w:val="single" w:color="auto" w:sz="4" w:space="0"/>
              <w:bottom w:val="single" w:color="auto" w:sz="4" w:space="0"/>
              <w:right w:val="single" w:color="auto" w:sz="4" w:space="0"/>
            </w:tcBorders>
          </w:tcPr>
          <w:p w14:paraId="7F567BE0">
            <w:pPr>
              <w:widowControl w:val="0"/>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E3</w:t>
            </w:r>
            <w:r>
              <w:rPr>
                <w:rFonts w:hint="default" w:ascii="Times New Roman" w:hAnsi="Times New Roman" w:eastAsia="宋体" w:cs="Times New Roman"/>
                <w:color w:val="auto"/>
                <w:kern w:val="2"/>
                <w:sz w:val="18"/>
                <w:szCs w:val="18"/>
                <w:highlight w:val="none"/>
              </w:rPr>
              <w:sym w:font="Wingdings 2" w:char="0052"/>
            </w:r>
          </w:p>
        </w:tc>
      </w:tr>
      <w:tr w14:paraId="63AD8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pct"/>
            <w:gridSpan w:val="2"/>
            <w:tcBorders>
              <w:top w:val="single" w:color="auto" w:sz="4" w:space="0"/>
              <w:left w:val="single" w:color="auto" w:sz="4" w:space="0"/>
              <w:bottom w:val="single" w:color="auto" w:sz="4" w:space="0"/>
              <w:right w:val="single" w:color="auto" w:sz="4" w:space="0"/>
            </w:tcBorders>
            <w:vAlign w:val="center"/>
          </w:tcPr>
          <w:p w14:paraId="21553A09">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环境风险潜势</w:t>
            </w:r>
          </w:p>
        </w:tc>
        <w:tc>
          <w:tcPr>
            <w:tcW w:w="641" w:type="pct"/>
            <w:tcBorders>
              <w:top w:val="single" w:color="auto" w:sz="4" w:space="0"/>
              <w:left w:val="single" w:color="auto" w:sz="4" w:space="0"/>
              <w:bottom w:val="single" w:color="auto" w:sz="4" w:space="0"/>
              <w:right w:val="single" w:color="auto" w:sz="4" w:space="0"/>
            </w:tcBorders>
            <w:vAlign w:val="center"/>
          </w:tcPr>
          <w:p w14:paraId="429B13E8">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shd w:val="clear" w:color="auto" w:fill="FFFFFF"/>
              </w:rPr>
              <w:t>Ⅳ</w:t>
            </w:r>
            <w:r>
              <w:rPr>
                <w:rFonts w:hint="default" w:ascii="Times New Roman" w:hAnsi="Times New Roman" w:eastAsia="宋体" w:cs="Times New Roman"/>
                <w:color w:val="auto"/>
                <w:kern w:val="2"/>
                <w:sz w:val="18"/>
                <w:szCs w:val="18"/>
                <w:highlight w:val="none"/>
                <w:shd w:val="clear" w:color="auto" w:fill="FFFFFF"/>
                <w:vertAlign w:val="superscript"/>
              </w:rPr>
              <w:t>+</w:t>
            </w:r>
            <w:r>
              <w:rPr>
                <w:rFonts w:hint="default" w:ascii="Times New Roman" w:hAnsi="Times New Roman" w:eastAsia="宋体" w:cs="Times New Roman"/>
                <w:color w:val="auto"/>
                <w:kern w:val="2"/>
                <w:sz w:val="18"/>
                <w:szCs w:val="18"/>
                <w:highlight w:val="none"/>
              </w:rPr>
              <w:t>口</w:t>
            </w:r>
          </w:p>
        </w:tc>
        <w:tc>
          <w:tcPr>
            <w:tcW w:w="918" w:type="pct"/>
            <w:gridSpan w:val="4"/>
            <w:tcBorders>
              <w:top w:val="single" w:color="auto" w:sz="4" w:space="0"/>
              <w:left w:val="single" w:color="auto" w:sz="4" w:space="0"/>
              <w:bottom w:val="single" w:color="auto" w:sz="4" w:space="0"/>
              <w:right w:val="single" w:color="auto" w:sz="4" w:space="0"/>
            </w:tcBorders>
            <w:vAlign w:val="center"/>
          </w:tcPr>
          <w:p w14:paraId="35A2E1F1">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shd w:val="clear" w:color="auto" w:fill="FFFFFF"/>
              </w:rPr>
              <w:t>Ⅳ</w:t>
            </w:r>
            <w:r>
              <w:rPr>
                <w:rFonts w:hint="default" w:ascii="Times New Roman" w:hAnsi="Times New Roman" w:eastAsia="宋体" w:cs="Times New Roman"/>
                <w:color w:val="auto"/>
                <w:kern w:val="2"/>
                <w:sz w:val="18"/>
                <w:szCs w:val="18"/>
                <w:highlight w:val="none"/>
              </w:rPr>
              <w:t>口</w:t>
            </w:r>
          </w:p>
        </w:tc>
        <w:tc>
          <w:tcPr>
            <w:tcW w:w="912" w:type="pct"/>
            <w:gridSpan w:val="3"/>
            <w:tcBorders>
              <w:top w:val="single" w:color="auto" w:sz="4" w:space="0"/>
              <w:left w:val="single" w:color="auto" w:sz="4" w:space="0"/>
              <w:bottom w:val="single" w:color="auto" w:sz="4" w:space="0"/>
              <w:right w:val="single" w:color="auto" w:sz="4" w:space="0"/>
            </w:tcBorders>
            <w:vAlign w:val="center"/>
          </w:tcPr>
          <w:p w14:paraId="34AC7E6F">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shd w:val="clear" w:color="auto" w:fill="FFFFFF"/>
              </w:rPr>
            </w:pPr>
            <w:r>
              <w:rPr>
                <w:rFonts w:hint="default" w:ascii="Times New Roman" w:hAnsi="Times New Roman" w:eastAsia="宋体" w:cs="Times New Roman"/>
                <w:color w:val="auto"/>
                <w:kern w:val="2"/>
                <w:sz w:val="18"/>
                <w:szCs w:val="18"/>
                <w:highlight w:val="none"/>
                <w:shd w:val="clear" w:color="auto" w:fill="FFFFFF"/>
              </w:rPr>
              <w:t>Ⅲ口</w:t>
            </w:r>
          </w:p>
        </w:tc>
        <w:tc>
          <w:tcPr>
            <w:tcW w:w="944" w:type="pct"/>
            <w:gridSpan w:val="4"/>
            <w:tcBorders>
              <w:top w:val="single" w:color="auto" w:sz="4" w:space="0"/>
              <w:left w:val="single" w:color="auto" w:sz="4" w:space="0"/>
              <w:bottom w:val="single" w:color="auto" w:sz="4" w:space="0"/>
              <w:right w:val="single" w:color="auto" w:sz="4" w:space="0"/>
            </w:tcBorders>
            <w:vAlign w:val="center"/>
          </w:tcPr>
          <w:p w14:paraId="62BB92AD">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shd w:val="clear" w:color="auto" w:fill="FFFFFF"/>
              </w:rPr>
            </w:pPr>
            <w:r>
              <w:rPr>
                <w:rFonts w:hint="default" w:ascii="Times New Roman" w:hAnsi="Times New Roman" w:eastAsia="宋体" w:cs="Times New Roman"/>
                <w:color w:val="auto"/>
                <w:kern w:val="2"/>
                <w:sz w:val="18"/>
                <w:szCs w:val="18"/>
                <w:highlight w:val="none"/>
                <w:shd w:val="clear" w:color="auto" w:fill="FFFFFF"/>
              </w:rPr>
              <w:t>Ⅱ口</w:t>
            </w:r>
          </w:p>
        </w:tc>
        <w:tc>
          <w:tcPr>
            <w:tcW w:w="841" w:type="pct"/>
            <w:gridSpan w:val="3"/>
            <w:tcBorders>
              <w:top w:val="single" w:color="auto" w:sz="4" w:space="0"/>
              <w:left w:val="single" w:color="auto" w:sz="4" w:space="0"/>
              <w:bottom w:val="single" w:color="auto" w:sz="4" w:space="0"/>
              <w:right w:val="single" w:color="auto" w:sz="4" w:space="0"/>
            </w:tcBorders>
            <w:vAlign w:val="center"/>
          </w:tcPr>
          <w:p w14:paraId="389D4F1C">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shd w:val="clear" w:color="auto" w:fill="FFFFFF"/>
              </w:rPr>
            </w:pPr>
            <w:r>
              <w:rPr>
                <w:rFonts w:hint="default" w:ascii="Times New Roman" w:hAnsi="Times New Roman" w:eastAsia="宋体" w:cs="Times New Roman"/>
                <w:color w:val="auto"/>
                <w:kern w:val="2"/>
                <w:sz w:val="18"/>
                <w:szCs w:val="18"/>
                <w:highlight w:val="none"/>
                <w:shd w:val="clear" w:color="auto" w:fill="FFFFFF"/>
              </w:rPr>
              <w:t>Ⅰ</w:t>
            </w:r>
            <w:r>
              <w:rPr>
                <w:rFonts w:hint="default" w:ascii="Times New Roman" w:hAnsi="Times New Roman" w:eastAsia="宋体" w:cs="Times New Roman"/>
                <w:color w:val="auto"/>
                <w:kern w:val="2"/>
                <w:sz w:val="18"/>
                <w:szCs w:val="18"/>
                <w:highlight w:val="none"/>
                <w:shd w:val="clear" w:color="auto" w:fill="FFFFFF"/>
              </w:rPr>
              <w:sym w:font="Wingdings" w:char="00FE"/>
            </w:r>
          </w:p>
        </w:tc>
      </w:tr>
      <w:tr w14:paraId="47015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pct"/>
            <w:gridSpan w:val="2"/>
            <w:tcBorders>
              <w:top w:val="single" w:color="auto" w:sz="4" w:space="0"/>
              <w:left w:val="single" w:color="auto" w:sz="4" w:space="0"/>
              <w:bottom w:val="single" w:color="auto" w:sz="4" w:space="0"/>
              <w:right w:val="single" w:color="auto" w:sz="4" w:space="0"/>
            </w:tcBorders>
            <w:vAlign w:val="center"/>
          </w:tcPr>
          <w:p w14:paraId="75394D3C">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评价等级</w:t>
            </w:r>
          </w:p>
        </w:tc>
        <w:tc>
          <w:tcPr>
            <w:tcW w:w="1091" w:type="pct"/>
            <w:gridSpan w:val="3"/>
            <w:tcBorders>
              <w:top w:val="single" w:color="auto" w:sz="4" w:space="0"/>
              <w:left w:val="single" w:color="auto" w:sz="4" w:space="0"/>
              <w:bottom w:val="single" w:color="auto" w:sz="4" w:space="0"/>
              <w:right w:val="single" w:color="auto" w:sz="4" w:space="0"/>
            </w:tcBorders>
            <w:vAlign w:val="center"/>
          </w:tcPr>
          <w:p w14:paraId="75E378F3">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一级口</w:t>
            </w:r>
          </w:p>
        </w:tc>
        <w:tc>
          <w:tcPr>
            <w:tcW w:w="899" w:type="pct"/>
            <w:gridSpan w:val="4"/>
            <w:tcBorders>
              <w:top w:val="single" w:color="auto" w:sz="4" w:space="0"/>
              <w:left w:val="single" w:color="auto" w:sz="4" w:space="0"/>
              <w:bottom w:val="single" w:color="auto" w:sz="4" w:space="0"/>
              <w:right w:val="single" w:color="auto" w:sz="4" w:space="0"/>
            </w:tcBorders>
            <w:vAlign w:val="center"/>
          </w:tcPr>
          <w:p w14:paraId="7ED8ACC1">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二级口</w:t>
            </w:r>
          </w:p>
        </w:tc>
        <w:tc>
          <w:tcPr>
            <w:tcW w:w="1425" w:type="pct"/>
            <w:gridSpan w:val="5"/>
            <w:tcBorders>
              <w:top w:val="single" w:color="auto" w:sz="4" w:space="0"/>
              <w:left w:val="single" w:color="auto" w:sz="4" w:space="0"/>
              <w:bottom w:val="single" w:color="auto" w:sz="4" w:space="0"/>
              <w:right w:val="single" w:color="auto" w:sz="4" w:space="0"/>
            </w:tcBorders>
            <w:vAlign w:val="center"/>
          </w:tcPr>
          <w:p w14:paraId="11CFB993">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三级口</w:t>
            </w:r>
          </w:p>
        </w:tc>
        <w:tc>
          <w:tcPr>
            <w:tcW w:w="841" w:type="pct"/>
            <w:gridSpan w:val="3"/>
            <w:tcBorders>
              <w:top w:val="single" w:color="auto" w:sz="4" w:space="0"/>
              <w:left w:val="single" w:color="auto" w:sz="4" w:space="0"/>
              <w:bottom w:val="single" w:color="auto" w:sz="4" w:space="0"/>
              <w:right w:val="single" w:color="auto" w:sz="4" w:space="0"/>
            </w:tcBorders>
            <w:vAlign w:val="center"/>
          </w:tcPr>
          <w:p w14:paraId="6CB932CC">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简单分析</w:t>
            </w:r>
            <w:r>
              <w:rPr>
                <w:rFonts w:hint="default" w:ascii="Times New Roman" w:hAnsi="Times New Roman" w:eastAsia="宋体" w:cs="Times New Roman"/>
                <w:color w:val="auto"/>
                <w:kern w:val="2"/>
                <w:sz w:val="18"/>
                <w:szCs w:val="18"/>
                <w:highlight w:val="none"/>
              </w:rPr>
              <w:sym w:font="Wingdings" w:char="00FE"/>
            </w:r>
          </w:p>
        </w:tc>
      </w:tr>
      <w:tr w14:paraId="7B05B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 w:type="pct"/>
            <w:vMerge w:val="restart"/>
            <w:tcBorders>
              <w:top w:val="single" w:color="auto" w:sz="4" w:space="0"/>
              <w:left w:val="single" w:color="auto" w:sz="4" w:space="0"/>
              <w:bottom w:val="single" w:color="auto" w:sz="4" w:space="0"/>
              <w:right w:val="single" w:color="auto" w:sz="4" w:space="0"/>
            </w:tcBorders>
            <w:vAlign w:val="center"/>
          </w:tcPr>
          <w:p w14:paraId="61ECFE79">
            <w:pPr>
              <w:widowControl w:val="0"/>
              <w:tabs>
                <w:tab w:val="left" w:pos="827"/>
                <w:tab w:val="left" w:pos="2256"/>
              </w:tabs>
              <w:adjustRightInd/>
              <w:snapToGrid/>
              <w:spacing w:after="0" w:line="280" w:lineRule="exact"/>
              <w:jc w:val="both"/>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风险识别</w:t>
            </w:r>
          </w:p>
        </w:tc>
        <w:tc>
          <w:tcPr>
            <w:tcW w:w="509" w:type="pct"/>
            <w:tcBorders>
              <w:top w:val="single" w:color="auto" w:sz="4" w:space="0"/>
              <w:left w:val="single" w:color="auto" w:sz="4" w:space="0"/>
              <w:bottom w:val="single" w:color="auto" w:sz="4" w:space="0"/>
              <w:right w:val="single" w:color="auto" w:sz="4" w:space="0"/>
            </w:tcBorders>
            <w:vAlign w:val="center"/>
          </w:tcPr>
          <w:p w14:paraId="466DAB0B">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物质风险性</w:t>
            </w:r>
          </w:p>
        </w:tc>
        <w:tc>
          <w:tcPr>
            <w:tcW w:w="1990" w:type="pct"/>
            <w:gridSpan w:val="7"/>
            <w:tcBorders>
              <w:top w:val="single" w:color="auto" w:sz="4" w:space="0"/>
              <w:left w:val="single" w:color="auto" w:sz="4" w:space="0"/>
              <w:bottom w:val="single" w:color="auto" w:sz="4" w:space="0"/>
              <w:right w:val="single" w:color="auto" w:sz="4" w:space="0"/>
            </w:tcBorders>
            <w:vAlign w:val="center"/>
          </w:tcPr>
          <w:p w14:paraId="5B6BDCDD">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有毒有害</w:t>
            </w:r>
            <w:r>
              <w:rPr>
                <w:rFonts w:hint="default" w:ascii="Times New Roman" w:hAnsi="Times New Roman" w:eastAsia="宋体" w:cs="Times New Roman"/>
                <w:color w:val="auto"/>
                <w:kern w:val="2"/>
                <w:sz w:val="18"/>
                <w:szCs w:val="18"/>
                <w:highlight w:val="none"/>
              </w:rPr>
              <w:sym w:font="Wingdings" w:char="00FE"/>
            </w:r>
          </w:p>
        </w:tc>
        <w:tc>
          <w:tcPr>
            <w:tcW w:w="2267" w:type="pct"/>
            <w:gridSpan w:val="8"/>
            <w:tcBorders>
              <w:top w:val="single" w:color="auto" w:sz="4" w:space="0"/>
              <w:left w:val="single" w:color="auto" w:sz="4" w:space="0"/>
              <w:bottom w:val="single" w:color="auto" w:sz="4" w:space="0"/>
              <w:right w:val="single" w:color="auto" w:sz="4" w:space="0"/>
            </w:tcBorders>
            <w:vAlign w:val="center"/>
          </w:tcPr>
          <w:p w14:paraId="69BCEE97">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易燃易爆</w:t>
            </w:r>
            <w:r>
              <w:rPr>
                <w:rFonts w:hint="default" w:ascii="Times New Roman" w:hAnsi="Times New Roman" w:eastAsia="宋体" w:cs="Times New Roman"/>
                <w:color w:val="auto"/>
                <w:kern w:val="2"/>
                <w:sz w:val="18"/>
                <w:szCs w:val="18"/>
                <w:highlight w:val="none"/>
              </w:rPr>
              <w:sym w:font="Wingdings" w:char="00FE"/>
            </w:r>
          </w:p>
        </w:tc>
      </w:tr>
      <w:tr w14:paraId="45CA4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14:paraId="2E19A490">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509" w:type="pct"/>
            <w:tcBorders>
              <w:top w:val="single" w:color="auto" w:sz="4" w:space="0"/>
              <w:left w:val="single" w:color="auto" w:sz="4" w:space="0"/>
              <w:bottom w:val="single" w:color="auto" w:sz="4" w:space="0"/>
              <w:right w:val="single" w:color="auto" w:sz="4" w:space="0"/>
            </w:tcBorders>
            <w:vAlign w:val="center"/>
          </w:tcPr>
          <w:p w14:paraId="6C299334">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环境风险性</w:t>
            </w:r>
          </w:p>
        </w:tc>
        <w:tc>
          <w:tcPr>
            <w:tcW w:w="1559" w:type="pct"/>
            <w:gridSpan w:val="5"/>
            <w:tcBorders>
              <w:top w:val="single" w:color="auto" w:sz="4" w:space="0"/>
              <w:left w:val="single" w:color="auto" w:sz="4" w:space="0"/>
              <w:bottom w:val="single" w:color="auto" w:sz="4" w:space="0"/>
              <w:right w:val="single" w:color="auto" w:sz="4" w:space="0"/>
            </w:tcBorders>
            <w:vAlign w:val="center"/>
          </w:tcPr>
          <w:p w14:paraId="321B46BC">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泄露</w:t>
            </w:r>
            <w:r>
              <w:rPr>
                <w:rFonts w:hint="default" w:ascii="Times New Roman" w:hAnsi="Times New Roman" w:eastAsia="宋体" w:cs="Times New Roman"/>
                <w:color w:val="auto"/>
                <w:kern w:val="2"/>
                <w:sz w:val="18"/>
                <w:szCs w:val="18"/>
                <w:highlight w:val="none"/>
              </w:rPr>
              <w:sym w:font="Wingdings" w:char="00FE"/>
            </w:r>
          </w:p>
        </w:tc>
        <w:tc>
          <w:tcPr>
            <w:tcW w:w="2698" w:type="pct"/>
            <w:gridSpan w:val="10"/>
            <w:tcBorders>
              <w:top w:val="single" w:color="auto" w:sz="4" w:space="0"/>
              <w:left w:val="single" w:color="auto" w:sz="4" w:space="0"/>
              <w:bottom w:val="single" w:color="auto" w:sz="4" w:space="0"/>
              <w:right w:val="single" w:color="auto" w:sz="4" w:space="0"/>
            </w:tcBorders>
            <w:vAlign w:val="center"/>
          </w:tcPr>
          <w:p w14:paraId="127BC21E">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火灾、爆炸引发伴生/次生污染物排放口</w:t>
            </w:r>
          </w:p>
        </w:tc>
      </w:tr>
      <w:tr w14:paraId="67553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14:paraId="0CE047DB">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509" w:type="pct"/>
            <w:tcBorders>
              <w:top w:val="single" w:color="auto" w:sz="4" w:space="0"/>
              <w:left w:val="single" w:color="auto" w:sz="4" w:space="0"/>
              <w:bottom w:val="single" w:color="auto" w:sz="4" w:space="0"/>
              <w:right w:val="single" w:color="auto" w:sz="4" w:space="0"/>
            </w:tcBorders>
            <w:vAlign w:val="center"/>
          </w:tcPr>
          <w:p w14:paraId="75E99180">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影响</w:t>
            </w:r>
          </w:p>
          <w:p w14:paraId="129EC8FC">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途径</w:t>
            </w:r>
          </w:p>
        </w:tc>
        <w:tc>
          <w:tcPr>
            <w:tcW w:w="1559" w:type="pct"/>
            <w:gridSpan w:val="5"/>
            <w:tcBorders>
              <w:top w:val="single" w:color="auto" w:sz="4" w:space="0"/>
              <w:left w:val="single" w:color="auto" w:sz="4" w:space="0"/>
              <w:bottom w:val="single" w:color="auto" w:sz="4" w:space="0"/>
              <w:right w:val="single" w:color="auto" w:sz="4" w:space="0"/>
            </w:tcBorders>
            <w:vAlign w:val="center"/>
          </w:tcPr>
          <w:p w14:paraId="3D39FD99">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大气</w:t>
            </w:r>
            <w:r>
              <w:rPr>
                <w:rFonts w:hint="default" w:ascii="Times New Roman" w:hAnsi="Times New Roman" w:eastAsia="宋体" w:cs="Times New Roman"/>
                <w:color w:val="auto"/>
                <w:kern w:val="2"/>
                <w:sz w:val="18"/>
                <w:szCs w:val="18"/>
                <w:highlight w:val="none"/>
              </w:rPr>
              <w:sym w:font="Wingdings" w:char="00FE"/>
            </w:r>
          </w:p>
        </w:tc>
        <w:tc>
          <w:tcPr>
            <w:tcW w:w="1418" w:type="pct"/>
            <w:gridSpan w:val="5"/>
            <w:tcBorders>
              <w:top w:val="single" w:color="auto" w:sz="4" w:space="0"/>
              <w:left w:val="single" w:color="auto" w:sz="4" w:space="0"/>
              <w:bottom w:val="single" w:color="auto" w:sz="4" w:space="0"/>
              <w:right w:val="single" w:color="auto" w:sz="4" w:space="0"/>
            </w:tcBorders>
            <w:vAlign w:val="center"/>
          </w:tcPr>
          <w:p w14:paraId="57AEF2C2">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地表水</w:t>
            </w:r>
            <w:r>
              <w:rPr>
                <w:rFonts w:hint="default" w:ascii="Times New Roman" w:hAnsi="Times New Roman" w:eastAsia="宋体" w:cs="Times New Roman"/>
                <w:color w:val="auto"/>
                <w:kern w:val="2"/>
                <w:sz w:val="18"/>
                <w:szCs w:val="18"/>
                <w:highlight w:val="none"/>
              </w:rPr>
              <w:sym w:font="Wingdings 2" w:char="0052"/>
            </w:r>
          </w:p>
        </w:tc>
        <w:tc>
          <w:tcPr>
            <w:tcW w:w="1279" w:type="pct"/>
            <w:gridSpan w:val="5"/>
            <w:tcBorders>
              <w:top w:val="single" w:color="auto" w:sz="4" w:space="0"/>
              <w:left w:val="single" w:color="auto" w:sz="4" w:space="0"/>
              <w:bottom w:val="single" w:color="auto" w:sz="4" w:space="0"/>
              <w:right w:val="single" w:color="auto" w:sz="4" w:space="0"/>
            </w:tcBorders>
            <w:vAlign w:val="center"/>
          </w:tcPr>
          <w:p w14:paraId="7F6F2A04">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地下水</w:t>
            </w:r>
            <w:r>
              <w:rPr>
                <w:rFonts w:hint="default" w:ascii="Times New Roman" w:hAnsi="Times New Roman" w:eastAsia="宋体" w:cs="Times New Roman"/>
                <w:color w:val="auto"/>
                <w:kern w:val="2"/>
                <w:sz w:val="18"/>
                <w:szCs w:val="18"/>
                <w:highlight w:val="none"/>
              </w:rPr>
              <w:sym w:font="Wingdings 2" w:char="0052"/>
            </w:r>
          </w:p>
        </w:tc>
      </w:tr>
      <w:tr w14:paraId="1261F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741" w:type="pct"/>
            <w:gridSpan w:val="2"/>
            <w:tcBorders>
              <w:top w:val="single" w:color="auto" w:sz="4" w:space="0"/>
              <w:left w:val="single" w:color="auto" w:sz="4" w:space="0"/>
              <w:bottom w:val="single" w:color="auto" w:sz="4" w:space="0"/>
              <w:right w:val="single" w:color="auto" w:sz="4" w:space="0"/>
            </w:tcBorders>
            <w:vAlign w:val="center"/>
          </w:tcPr>
          <w:p w14:paraId="6B5C20DD">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事故情形分析</w:t>
            </w:r>
          </w:p>
        </w:tc>
        <w:tc>
          <w:tcPr>
            <w:tcW w:w="753" w:type="pct"/>
            <w:gridSpan w:val="2"/>
            <w:tcBorders>
              <w:top w:val="single" w:color="auto" w:sz="4" w:space="0"/>
              <w:left w:val="single" w:color="auto" w:sz="4" w:space="0"/>
              <w:bottom w:val="single" w:color="auto" w:sz="4" w:space="0"/>
              <w:right w:val="single" w:color="auto" w:sz="4" w:space="0"/>
            </w:tcBorders>
            <w:vAlign w:val="center"/>
          </w:tcPr>
          <w:p w14:paraId="1D258E8D">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源强设定方法</w:t>
            </w:r>
          </w:p>
        </w:tc>
        <w:tc>
          <w:tcPr>
            <w:tcW w:w="805" w:type="pct"/>
            <w:gridSpan w:val="3"/>
            <w:tcBorders>
              <w:top w:val="single" w:color="auto" w:sz="4" w:space="0"/>
              <w:left w:val="single" w:color="auto" w:sz="4" w:space="0"/>
              <w:bottom w:val="single" w:color="auto" w:sz="4" w:space="0"/>
              <w:right w:val="single" w:color="auto" w:sz="4" w:space="0"/>
            </w:tcBorders>
            <w:vAlign w:val="center"/>
          </w:tcPr>
          <w:p w14:paraId="7A47F451">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 xml:space="preserve">计算法 </w:t>
            </w:r>
            <w:r>
              <w:rPr>
                <w:rFonts w:hint="default" w:ascii="Times New Roman" w:hAnsi="Times New Roman" w:eastAsia="宋体" w:cs="Times New Roman"/>
                <w:color w:val="auto"/>
                <w:kern w:val="2"/>
                <w:sz w:val="18"/>
                <w:szCs w:val="18"/>
                <w:highlight w:val="none"/>
              </w:rPr>
              <w:sym w:font="Wingdings 2" w:char="00A3"/>
            </w:r>
          </w:p>
        </w:tc>
        <w:tc>
          <w:tcPr>
            <w:tcW w:w="1418" w:type="pct"/>
            <w:gridSpan w:val="5"/>
            <w:tcBorders>
              <w:top w:val="single" w:color="auto" w:sz="4" w:space="0"/>
              <w:left w:val="single" w:color="auto" w:sz="4" w:space="0"/>
              <w:bottom w:val="single" w:color="auto" w:sz="4" w:space="0"/>
              <w:right w:val="single" w:color="auto" w:sz="4" w:space="0"/>
            </w:tcBorders>
            <w:vAlign w:val="center"/>
          </w:tcPr>
          <w:p w14:paraId="0444E09A">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 xml:space="preserve">经验估算法 </w:t>
            </w:r>
            <w:r>
              <w:rPr>
                <w:rFonts w:hint="default" w:ascii="Times New Roman" w:hAnsi="Times New Roman" w:eastAsia="宋体" w:cs="Times New Roman"/>
                <w:color w:val="auto"/>
                <w:kern w:val="2"/>
                <w:sz w:val="18"/>
                <w:szCs w:val="18"/>
                <w:highlight w:val="none"/>
              </w:rPr>
              <w:sym w:font="Wingdings 2" w:char="00A3"/>
            </w:r>
          </w:p>
        </w:tc>
        <w:tc>
          <w:tcPr>
            <w:tcW w:w="1279" w:type="pct"/>
            <w:gridSpan w:val="5"/>
            <w:tcBorders>
              <w:top w:val="single" w:color="auto" w:sz="4" w:space="0"/>
              <w:left w:val="single" w:color="auto" w:sz="4" w:space="0"/>
              <w:bottom w:val="single" w:color="auto" w:sz="4" w:space="0"/>
              <w:right w:val="single" w:color="auto" w:sz="4" w:space="0"/>
            </w:tcBorders>
            <w:vAlign w:val="center"/>
          </w:tcPr>
          <w:p w14:paraId="0C070898">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 xml:space="preserve">经验估算法 </w:t>
            </w:r>
            <w:r>
              <w:rPr>
                <w:rFonts w:hint="default" w:ascii="Times New Roman" w:hAnsi="Times New Roman" w:eastAsia="宋体" w:cs="Times New Roman"/>
                <w:color w:val="auto"/>
                <w:kern w:val="2"/>
                <w:sz w:val="18"/>
                <w:szCs w:val="18"/>
                <w:highlight w:val="none"/>
              </w:rPr>
              <w:sym w:font="Wingdings 2" w:char="00A3"/>
            </w:r>
          </w:p>
        </w:tc>
      </w:tr>
      <w:tr w14:paraId="04B4A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trPr>
        <w:tc>
          <w:tcPr>
            <w:tcW w:w="232" w:type="pct"/>
            <w:vMerge w:val="restart"/>
            <w:tcBorders>
              <w:top w:val="single" w:color="auto" w:sz="4" w:space="0"/>
              <w:left w:val="single" w:color="auto" w:sz="4" w:space="0"/>
              <w:bottom w:val="single" w:color="auto" w:sz="4" w:space="0"/>
              <w:right w:val="single" w:color="auto" w:sz="4" w:space="0"/>
            </w:tcBorders>
            <w:vAlign w:val="center"/>
          </w:tcPr>
          <w:p w14:paraId="46120607">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风</w:t>
            </w:r>
          </w:p>
          <w:p w14:paraId="67D2211B">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险</w:t>
            </w:r>
          </w:p>
          <w:p w14:paraId="1ABA9A8A">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预</w:t>
            </w:r>
          </w:p>
          <w:p w14:paraId="234D50B6">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测</w:t>
            </w:r>
          </w:p>
          <w:p w14:paraId="28AE7925">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与</w:t>
            </w:r>
          </w:p>
          <w:p w14:paraId="5713B016">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评</w:t>
            </w:r>
          </w:p>
          <w:p w14:paraId="4C9EBFA2">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价</w:t>
            </w:r>
          </w:p>
        </w:tc>
        <w:tc>
          <w:tcPr>
            <w:tcW w:w="509" w:type="pct"/>
            <w:vMerge w:val="restart"/>
            <w:tcBorders>
              <w:top w:val="single" w:color="auto" w:sz="4" w:space="0"/>
              <w:left w:val="single" w:color="auto" w:sz="4" w:space="0"/>
              <w:bottom w:val="single" w:color="auto" w:sz="4" w:space="0"/>
              <w:right w:val="single" w:color="auto" w:sz="4" w:space="0"/>
            </w:tcBorders>
            <w:vAlign w:val="center"/>
          </w:tcPr>
          <w:p w14:paraId="47A6667F">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大气</w:t>
            </w:r>
          </w:p>
        </w:tc>
        <w:tc>
          <w:tcPr>
            <w:tcW w:w="753" w:type="pct"/>
            <w:gridSpan w:val="2"/>
            <w:tcBorders>
              <w:top w:val="single" w:color="auto" w:sz="4" w:space="0"/>
              <w:left w:val="single" w:color="auto" w:sz="4" w:space="0"/>
              <w:bottom w:val="single" w:color="auto" w:sz="4" w:space="0"/>
              <w:right w:val="single" w:color="auto" w:sz="4" w:space="0"/>
            </w:tcBorders>
            <w:vAlign w:val="center"/>
          </w:tcPr>
          <w:p w14:paraId="305433FB">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预测模型</w:t>
            </w:r>
          </w:p>
        </w:tc>
        <w:tc>
          <w:tcPr>
            <w:tcW w:w="805" w:type="pct"/>
            <w:gridSpan w:val="3"/>
            <w:tcBorders>
              <w:top w:val="single" w:color="auto" w:sz="4" w:space="0"/>
              <w:left w:val="single" w:color="auto" w:sz="4" w:space="0"/>
              <w:bottom w:val="single" w:color="auto" w:sz="4" w:space="0"/>
              <w:right w:val="single" w:color="auto" w:sz="4" w:space="0"/>
            </w:tcBorders>
            <w:vAlign w:val="center"/>
          </w:tcPr>
          <w:p w14:paraId="1A0EE1EA">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 xml:space="preserve">SLAB </w:t>
            </w:r>
            <w:r>
              <w:rPr>
                <w:rFonts w:hint="default" w:ascii="Times New Roman" w:hAnsi="Times New Roman" w:eastAsia="宋体" w:cs="Times New Roman"/>
                <w:color w:val="auto"/>
                <w:kern w:val="2"/>
                <w:sz w:val="18"/>
                <w:szCs w:val="18"/>
                <w:highlight w:val="none"/>
              </w:rPr>
              <w:sym w:font="Wingdings 2" w:char="00A3"/>
            </w:r>
          </w:p>
        </w:tc>
        <w:tc>
          <w:tcPr>
            <w:tcW w:w="1418" w:type="pct"/>
            <w:gridSpan w:val="5"/>
            <w:tcBorders>
              <w:top w:val="single" w:color="auto" w:sz="4" w:space="0"/>
              <w:left w:val="single" w:color="auto" w:sz="4" w:space="0"/>
              <w:bottom w:val="single" w:color="auto" w:sz="4" w:space="0"/>
              <w:right w:val="single" w:color="auto" w:sz="4" w:space="0"/>
            </w:tcBorders>
            <w:vAlign w:val="center"/>
          </w:tcPr>
          <w:p w14:paraId="0628D6E7">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 xml:space="preserve">AFTOX </w:t>
            </w:r>
            <w:r>
              <w:rPr>
                <w:rFonts w:hint="default" w:ascii="Times New Roman" w:hAnsi="Times New Roman" w:eastAsia="宋体" w:cs="Times New Roman"/>
                <w:color w:val="auto"/>
                <w:kern w:val="2"/>
                <w:sz w:val="18"/>
                <w:szCs w:val="18"/>
                <w:highlight w:val="none"/>
              </w:rPr>
              <w:sym w:font="Wingdings 2" w:char="00A3"/>
            </w:r>
          </w:p>
        </w:tc>
        <w:tc>
          <w:tcPr>
            <w:tcW w:w="1279" w:type="pct"/>
            <w:gridSpan w:val="5"/>
            <w:tcBorders>
              <w:top w:val="single" w:color="auto" w:sz="4" w:space="0"/>
              <w:left w:val="single" w:color="auto" w:sz="4" w:space="0"/>
              <w:bottom w:val="single" w:color="auto" w:sz="4" w:space="0"/>
              <w:right w:val="single" w:color="auto" w:sz="4" w:space="0"/>
            </w:tcBorders>
            <w:vAlign w:val="center"/>
          </w:tcPr>
          <w:p w14:paraId="6AA3EE5D">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 xml:space="preserve">其他 </w:t>
            </w:r>
            <w:r>
              <w:rPr>
                <w:rFonts w:hint="default" w:ascii="Times New Roman" w:hAnsi="Times New Roman" w:eastAsia="宋体" w:cs="Times New Roman"/>
                <w:color w:val="auto"/>
                <w:kern w:val="2"/>
                <w:sz w:val="18"/>
                <w:szCs w:val="18"/>
                <w:highlight w:val="none"/>
              </w:rPr>
              <w:sym w:font="Wingdings 2" w:char="00A3"/>
            </w:r>
          </w:p>
        </w:tc>
      </w:tr>
      <w:tr w14:paraId="0D39D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 w:type="pct"/>
            <w:vMerge w:val="continue"/>
            <w:tcBorders>
              <w:top w:val="single" w:color="auto" w:sz="4" w:space="0"/>
              <w:left w:val="single" w:color="auto" w:sz="4" w:space="0"/>
              <w:bottom w:val="single" w:color="auto" w:sz="4" w:space="0"/>
              <w:right w:val="single" w:color="auto" w:sz="4" w:space="0"/>
            </w:tcBorders>
            <w:vAlign w:val="center"/>
          </w:tcPr>
          <w:p w14:paraId="7458E398">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509" w:type="pct"/>
            <w:vMerge w:val="continue"/>
            <w:tcBorders>
              <w:top w:val="single" w:color="auto" w:sz="4" w:space="0"/>
              <w:left w:val="single" w:color="auto" w:sz="4" w:space="0"/>
              <w:bottom w:val="single" w:color="auto" w:sz="4" w:space="0"/>
              <w:right w:val="single" w:color="auto" w:sz="4" w:space="0"/>
            </w:tcBorders>
            <w:vAlign w:val="center"/>
          </w:tcPr>
          <w:p w14:paraId="75CCF9A3">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753" w:type="pct"/>
            <w:gridSpan w:val="2"/>
            <w:vMerge w:val="restart"/>
            <w:tcBorders>
              <w:top w:val="single" w:color="auto" w:sz="4" w:space="0"/>
              <w:left w:val="single" w:color="auto" w:sz="4" w:space="0"/>
              <w:bottom w:val="single" w:color="auto" w:sz="4" w:space="0"/>
              <w:right w:val="single" w:color="auto" w:sz="4" w:space="0"/>
            </w:tcBorders>
            <w:vAlign w:val="center"/>
          </w:tcPr>
          <w:p w14:paraId="0FC992BD">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预测结果</w:t>
            </w:r>
          </w:p>
        </w:tc>
        <w:tc>
          <w:tcPr>
            <w:tcW w:w="3504" w:type="pct"/>
            <w:gridSpan w:val="13"/>
            <w:tcBorders>
              <w:top w:val="single" w:color="auto" w:sz="4" w:space="0"/>
              <w:left w:val="single" w:color="auto" w:sz="4" w:space="0"/>
              <w:bottom w:val="single" w:color="auto" w:sz="4" w:space="0"/>
              <w:right w:val="single" w:color="auto" w:sz="4" w:space="0"/>
            </w:tcBorders>
            <w:vAlign w:val="center"/>
          </w:tcPr>
          <w:p w14:paraId="59480FCD">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大气毒性终点浓度-1 最大影响范围</w:t>
            </w:r>
            <w:r>
              <w:rPr>
                <w:rFonts w:hint="default" w:ascii="Times New Roman" w:hAnsi="Times New Roman" w:eastAsia="宋体" w:cs="Times New Roman"/>
                <w:color w:val="auto"/>
                <w:kern w:val="2"/>
                <w:sz w:val="18"/>
                <w:szCs w:val="18"/>
                <w:highlight w:val="none"/>
                <w:shd w:val="clear" w:color="auto" w:fill="FFFFFF"/>
              </w:rPr>
              <w:t>__</w:t>
            </w:r>
            <w:r>
              <w:rPr>
                <w:rFonts w:hint="default" w:ascii="Times New Roman" w:hAnsi="Times New Roman" w:eastAsia="宋体" w:cs="Times New Roman"/>
                <w:color w:val="auto"/>
                <w:kern w:val="2"/>
                <w:sz w:val="18"/>
                <w:szCs w:val="18"/>
                <w:highlight w:val="none"/>
              </w:rPr>
              <w:t>m</w:t>
            </w:r>
          </w:p>
        </w:tc>
      </w:tr>
      <w:tr w14:paraId="38573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2" w:type="pct"/>
            <w:vMerge w:val="continue"/>
            <w:tcBorders>
              <w:top w:val="single" w:color="auto" w:sz="4" w:space="0"/>
              <w:left w:val="single" w:color="auto" w:sz="4" w:space="0"/>
              <w:bottom w:val="single" w:color="auto" w:sz="4" w:space="0"/>
              <w:right w:val="single" w:color="auto" w:sz="4" w:space="0"/>
            </w:tcBorders>
            <w:vAlign w:val="center"/>
          </w:tcPr>
          <w:p w14:paraId="6FE613EB">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509" w:type="pct"/>
            <w:vMerge w:val="continue"/>
            <w:tcBorders>
              <w:top w:val="single" w:color="auto" w:sz="4" w:space="0"/>
              <w:left w:val="single" w:color="auto" w:sz="4" w:space="0"/>
              <w:bottom w:val="single" w:color="auto" w:sz="4" w:space="0"/>
              <w:right w:val="single" w:color="auto" w:sz="4" w:space="0"/>
            </w:tcBorders>
            <w:vAlign w:val="center"/>
          </w:tcPr>
          <w:p w14:paraId="4074209F">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753" w:type="pct"/>
            <w:gridSpan w:val="2"/>
            <w:vMerge w:val="continue"/>
            <w:tcBorders>
              <w:top w:val="single" w:color="auto" w:sz="4" w:space="0"/>
              <w:left w:val="single" w:color="auto" w:sz="4" w:space="0"/>
              <w:bottom w:val="single" w:color="auto" w:sz="4" w:space="0"/>
              <w:right w:val="single" w:color="auto" w:sz="4" w:space="0"/>
            </w:tcBorders>
            <w:vAlign w:val="center"/>
          </w:tcPr>
          <w:p w14:paraId="50A75BF5">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3504" w:type="pct"/>
            <w:gridSpan w:val="13"/>
            <w:tcBorders>
              <w:top w:val="single" w:color="auto" w:sz="4" w:space="0"/>
              <w:left w:val="single" w:color="auto" w:sz="4" w:space="0"/>
              <w:bottom w:val="single" w:color="auto" w:sz="4" w:space="0"/>
              <w:right w:val="single" w:color="auto" w:sz="4" w:space="0"/>
            </w:tcBorders>
            <w:vAlign w:val="center"/>
          </w:tcPr>
          <w:p w14:paraId="012EAD18">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大气毒性终点浓度-2 最大影响范围</w:t>
            </w:r>
            <w:r>
              <w:rPr>
                <w:rFonts w:hint="default" w:ascii="Times New Roman" w:hAnsi="Times New Roman" w:eastAsia="宋体" w:cs="Times New Roman"/>
                <w:color w:val="auto"/>
                <w:kern w:val="2"/>
                <w:sz w:val="18"/>
                <w:szCs w:val="18"/>
                <w:highlight w:val="none"/>
                <w:shd w:val="clear" w:color="auto" w:fill="FFFFFF"/>
              </w:rPr>
              <w:t>__</w:t>
            </w:r>
            <w:r>
              <w:rPr>
                <w:rFonts w:hint="default" w:ascii="Times New Roman" w:hAnsi="Times New Roman" w:eastAsia="宋体" w:cs="Times New Roman"/>
                <w:color w:val="auto"/>
                <w:kern w:val="2"/>
                <w:sz w:val="18"/>
                <w:szCs w:val="18"/>
                <w:highlight w:val="none"/>
              </w:rPr>
              <w:t xml:space="preserve"> m</w:t>
            </w:r>
          </w:p>
        </w:tc>
      </w:tr>
      <w:tr w14:paraId="25419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232" w:type="pct"/>
            <w:vMerge w:val="continue"/>
            <w:tcBorders>
              <w:top w:val="single" w:color="auto" w:sz="4" w:space="0"/>
              <w:left w:val="single" w:color="auto" w:sz="4" w:space="0"/>
              <w:bottom w:val="single" w:color="auto" w:sz="4" w:space="0"/>
              <w:right w:val="single" w:color="auto" w:sz="4" w:space="0"/>
            </w:tcBorders>
            <w:vAlign w:val="center"/>
          </w:tcPr>
          <w:p w14:paraId="55AF57D6">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509" w:type="pct"/>
            <w:tcBorders>
              <w:top w:val="single" w:color="auto" w:sz="4" w:space="0"/>
              <w:left w:val="single" w:color="auto" w:sz="4" w:space="0"/>
              <w:bottom w:val="single" w:color="auto" w:sz="4" w:space="0"/>
              <w:right w:val="single" w:color="auto" w:sz="4" w:space="0"/>
            </w:tcBorders>
            <w:vAlign w:val="center"/>
          </w:tcPr>
          <w:p w14:paraId="176CAD4D">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地表水</w:t>
            </w:r>
          </w:p>
        </w:tc>
        <w:tc>
          <w:tcPr>
            <w:tcW w:w="4258" w:type="pct"/>
            <w:gridSpan w:val="15"/>
            <w:tcBorders>
              <w:top w:val="single" w:color="auto" w:sz="4" w:space="0"/>
              <w:left w:val="single" w:color="auto" w:sz="4" w:space="0"/>
              <w:bottom w:val="single" w:color="auto" w:sz="4" w:space="0"/>
              <w:right w:val="single" w:color="auto" w:sz="4" w:space="0"/>
            </w:tcBorders>
            <w:vAlign w:val="center"/>
          </w:tcPr>
          <w:p w14:paraId="5692D7B9">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最近环境敏感目标</w:t>
            </w:r>
            <w:r>
              <w:rPr>
                <w:rFonts w:hint="default" w:ascii="Times New Roman" w:hAnsi="Times New Roman" w:eastAsia="宋体" w:cs="Times New Roman"/>
                <w:color w:val="auto"/>
                <w:kern w:val="2"/>
                <w:sz w:val="18"/>
                <w:szCs w:val="18"/>
                <w:highlight w:val="none"/>
                <w:shd w:val="clear" w:color="auto" w:fill="FFFFFF"/>
              </w:rPr>
              <w:t>__</w:t>
            </w:r>
            <w:r>
              <w:rPr>
                <w:rFonts w:hint="default" w:ascii="Times New Roman" w:hAnsi="Times New Roman" w:eastAsia="宋体" w:cs="Times New Roman"/>
                <w:color w:val="auto"/>
                <w:kern w:val="2"/>
                <w:sz w:val="18"/>
                <w:szCs w:val="18"/>
                <w:highlight w:val="none"/>
              </w:rPr>
              <w:t>，到达时间</w:t>
            </w:r>
            <w:r>
              <w:rPr>
                <w:rFonts w:hint="default" w:ascii="Times New Roman" w:hAnsi="Times New Roman" w:eastAsia="宋体" w:cs="Times New Roman"/>
                <w:color w:val="auto"/>
                <w:kern w:val="2"/>
                <w:sz w:val="18"/>
                <w:szCs w:val="18"/>
                <w:highlight w:val="none"/>
                <w:shd w:val="clear" w:color="auto" w:fill="FFFFFF"/>
              </w:rPr>
              <w:t>__</w:t>
            </w:r>
            <w:r>
              <w:rPr>
                <w:rFonts w:hint="default" w:ascii="Times New Roman" w:hAnsi="Times New Roman" w:eastAsia="宋体" w:cs="Times New Roman"/>
                <w:color w:val="auto"/>
                <w:kern w:val="2"/>
                <w:sz w:val="18"/>
                <w:szCs w:val="18"/>
                <w:highlight w:val="none"/>
              </w:rPr>
              <w:t xml:space="preserve"> h</w:t>
            </w:r>
          </w:p>
        </w:tc>
      </w:tr>
      <w:tr w14:paraId="5C6BA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232" w:type="pct"/>
            <w:vMerge w:val="continue"/>
            <w:tcBorders>
              <w:top w:val="single" w:color="auto" w:sz="4" w:space="0"/>
              <w:left w:val="single" w:color="auto" w:sz="4" w:space="0"/>
              <w:bottom w:val="single" w:color="auto" w:sz="4" w:space="0"/>
              <w:right w:val="single" w:color="auto" w:sz="4" w:space="0"/>
            </w:tcBorders>
            <w:vAlign w:val="center"/>
          </w:tcPr>
          <w:p w14:paraId="436B28D8">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509" w:type="pct"/>
            <w:vMerge w:val="restart"/>
            <w:tcBorders>
              <w:top w:val="single" w:color="auto" w:sz="4" w:space="0"/>
              <w:left w:val="single" w:color="auto" w:sz="4" w:space="0"/>
              <w:bottom w:val="single" w:color="auto" w:sz="4" w:space="0"/>
              <w:right w:val="single" w:color="auto" w:sz="4" w:space="0"/>
            </w:tcBorders>
            <w:vAlign w:val="center"/>
          </w:tcPr>
          <w:p w14:paraId="38B9F9D0">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地下水</w:t>
            </w:r>
          </w:p>
        </w:tc>
        <w:tc>
          <w:tcPr>
            <w:tcW w:w="4258" w:type="pct"/>
            <w:gridSpan w:val="15"/>
            <w:tcBorders>
              <w:top w:val="single" w:color="auto" w:sz="4" w:space="0"/>
              <w:left w:val="single" w:color="auto" w:sz="4" w:space="0"/>
              <w:bottom w:val="single" w:color="auto" w:sz="4" w:space="0"/>
              <w:right w:val="single" w:color="auto" w:sz="4" w:space="0"/>
            </w:tcBorders>
            <w:vAlign w:val="center"/>
          </w:tcPr>
          <w:p w14:paraId="02423941">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下游厂区边界到达时间</w:t>
            </w:r>
            <w:r>
              <w:rPr>
                <w:rFonts w:hint="default" w:ascii="Times New Roman" w:hAnsi="Times New Roman" w:eastAsia="宋体" w:cs="Times New Roman"/>
                <w:color w:val="auto"/>
                <w:kern w:val="2"/>
                <w:sz w:val="18"/>
                <w:szCs w:val="18"/>
                <w:highlight w:val="none"/>
                <w:shd w:val="clear" w:color="auto" w:fill="FFFFFF"/>
              </w:rPr>
              <w:t>__</w:t>
            </w:r>
            <w:r>
              <w:rPr>
                <w:rFonts w:hint="default" w:ascii="Times New Roman" w:hAnsi="Times New Roman" w:eastAsia="宋体" w:cs="Times New Roman"/>
                <w:color w:val="auto"/>
                <w:kern w:val="2"/>
                <w:sz w:val="18"/>
                <w:szCs w:val="18"/>
                <w:highlight w:val="none"/>
              </w:rPr>
              <w:t xml:space="preserve"> d</w:t>
            </w:r>
          </w:p>
        </w:tc>
      </w:tr>
      <w:tr w14:paraId="33209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232" w:type="pct"/>
            <w:vMerge w:val="continue"/>
            <w:tcBorders>
              <w:top w:val="single" w:color="auto" w:sz="4" w:space="0"/>
              <w:left w:val="single" w:color="auto" w:sz="4" w:space="0"/>
              <w:bottom w:val="single" w:color="auto" w:sz="4" w:space="0"/>
              <w:right w:val="single" w:color="auto" w:sz="4" w:space="0"/>
            </w:tcBorders>
            <w:vAlign w:val="center"/>
          </w:tcPr>
          <w:p w14:paraId="347B246C">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509" w:type="pct"/>
            <w:vMerge w:val="continue"/>
            <w:tcBorders>
              <w:top w:val="single" w:color="auto" w:sz="4" w:space="0"/>
              <w:left w:val="single" w:color="auto" w:sz="4" w:space="0"/>
              <w:bottom w:val="single" w:color="auto" w:sz="4" w:space="0"/>
              <w:right w:val="single" w:color="auto" w:sz="4" w:space="0"/>
            </w:tcBorders>
            <w:vAlign w:val="center"/>
          </w:tcPr>
          <w:p w14:paraId="6AA2CCCB">
            <w:pPr>
              <w:adjustRightInd/>
              <w:snapToGrid/>
              <w:spacing w:after="0" w:line="280" w:lineRule="exact"/>
              <w:rPr>
                <w:rFonts w:hint="default" w:ascii="Times New Roman" w:hAnsi="Times New Roman" w:eastAsia="宋体" w:cs="Times New Roman"/>
                <w:color w:val="auto"/>
                <w:kern w:val="2"/>
                <w:sz w:val="18"/>
                <w:szCs w:val="18"/>
                <w:highlight w:val="none"/>
              </w:rPr>
            </w:pPr>
          </w:p>
        </w:tc>
        <w:tc>
          <w:tcPr>
            <w:tcW w:w="4258" w:type="pct"/>
            <w:gridSpan w:val="15"/>
            <w:tcBorders>
              <w:top w:val="single" w:color="auto" w:sz="4" w:space="0"/>
              <w:left w:val="single" w:color="auto" w:sz="4" w:space="0"/>
              <w:bottom w:val="single" w:color="auto" w:sz="4" w:space="0"/>
              <w:right w:val="single" w:color="auto" w:sz="4" w:space="0"/>
            </w:tcBorders>
            <w:vAlign w:val="center"/>
          </w:tcPr>
          <w:p w14:paraId="4B30865E">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最近环境敏感目标</w:t>
            </w:r>
            <w:r>
              <w:rPr>
                <w:rFonts w:hint="default" w:ascii="Times New Roman" w:hAnsi="Times New Roman" w:eastAsia="宋体" w:cs="Times New Roman"/>
                <w:color w:val="auto"/>
                <w:kern w:val="2"/>
                <w:sz w:val="18"/>
                <w:szCs w:val="18"/>
                <w:highlight w:val="none"/>
                <w:shd w:val="clear" w:color="auto" w:fill="FFFFFF"/>
              </w:rPr>
              <w:t>__</w:t>
            </w:r>
            <w:r>
              <w:rPr>
                <w:rFonts w:hint="default" w:ascii="Times New Roman" w:hAnsi="Times New Roman" w:eastAsia="宋体" w:cs="Times New Roman"/>
                <w:color w:val="auto"/>
                <w:kern w:val="2"/>
                <w:sz w:val="18"/>
                <w:szCs w:val="18"/>
                <w:highlight w:val="none"/>
              </w:rPr>
              <w:t xml:space="preserve"> ，到达时间</w:t>
            </w:r>
            <w:r>
              <w:rPr>
                <w:rFonts w:hint="default" w:ascii="Times New Roman" w:hAnsi="Times New Roman" w:eastAsia="宋体" w:cs="Times New Roman"/>
                <w:color w:val="auto"/>
                <w:kern w:val="2"/>
                <w:sz w:val="18"/>
                <w:szCs w:val="18"/>
                <w:highlight w:val="none"/>
                <w:shd w:val="clear" w:color="auto" w:fill="FFFFFF"/>
              </w:rPr>
              <w:t>__</w:t>
            </w:r>
            <w:r>
              <w:rPr>
                <w:rFonts w:hint="default" w:ascii="Times New Roman" w:hAnsi="Times New Roman" w:eastAsia="宋体" w:cs="Times New Roman"/>
                <w:color w:val="auto"/>
                <w:kern w:val="2"/>
                <w:sz w:val="18"/>
                <w:szCs w:val="18"/>
                <w:highlight w:val="none"/>
              </w:rPr>
              <w:t xml:space="preserve"> d</w:t>
            </w:r>
          </w:p>
        </w:tc>
      </w:tr>
      <w:tr w14:paraId="7771D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741" w:type="pct"/>
            <w:gridSpan w:val="2"/>
            <w:tcBorders>
              <w:top w:val="single" w:color="auto" w:sz="4" w:space="0"/>
              <w:left w:val="single" w:color="auto" w:sz="4" w:space="0"/>
              <w:bottom w:val="single" w:color="auto" w:sz="4" w:space="0"/>
              <w:right w:val="single" w:color="auto" w:sz="4" w:space="0"/>
            </w:tcBorders>
            <w:vAlign w:val="center"/>
          </w:tcPr>
          <w:p w14:paraId="558DECFD">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重点风险防范措施</w:t>
            </w:r>
          </w:p>
        </w:tc>
        <w:tc>
          <w:tcPr>
            <w:tcW w:w="4258" w:type="pct"/>
            <w:gridSpan w:val="15"/>
            <w:tcBorders>
              <w:top w:val="single" w:color="auto" w:sz="4" w:space="0"/>
              <w:left w:val="single" w:color="auto" w:sz="4" w:space="0"/>
              <w:bottom w:val="single" w:color="auto" w:sz="4" w:space="0"/>
              <w:right w:val="single" w:color="auto" w:sz="4" w:space="0"/>
            </w:tcBorders>
            <w:vAlign w:val="center"/>
          </w:tcPr>
          <w:p w14:paraId="01C9D06A">
            <w:pPr>
              <w:widowControl w:val="0"/>
              <w:tabs>
                <w:tab w:val="left" w:pos="827"/>
                <w:tab w:val="left" w:pos="2256"/>
              </w:tabs>
              <w:adjustRightInd/>
              <w:snapToGrid/>
              <w:spacing w:after="0" w:line="280" w:lineRule="exact"/>
              <w:jc w:val="center"/>
              <w:rPr>
                <w:rFonts w:hint="default"/>
                <w:color w:val="auto"/>
              </w:rPr>
            </w:pPr>
            <w:r>
              <w:rPr>
                <w:rFonts w:hint="default" w:ascii="Times New Roman" w:hAnsi="Times New Roman" w:eastAsia="宋体" w:cs="Times New Roman"/>
                <w:color w:val="auto"/>
                <w:kern w:val="2"/>
                <w:sz w:val="18"/>
                <w:szCs w:val="18"/>
                <w:highlight w:val="none"/>
              </w:rPr>
              <w:t>1、废气防范措施：平时加强废气处理设施的维护保养，及时发现处理设备的隐患，并及时进行维修，确保废气处理系统正常运行；建立健全的环保机构，配置必要的监测仪器，对管理人员和技术人员进行岗位培训，对废气处理实行全过程跟踪控制。2、</w:t>
            </w:r>
            <w:r>
              <w:rPr>
                <w:rFonts w:hint="eastAsia" w:ascii="Times New Roman" w:hAnsi="Times New Roman" w:eastAsia="宋体" w:cs="Times New Roman"/>
                <w:color w:val="auto"/>
                <w:kern w:val="2"/>
                <w:sz w:val="18"/>
                <w:szCs w:val="18"/>
                <w:highlight w:val="none"/>
                <w:lang w:val="en-US" w:eastAsia="zh-CN"/>
              </w:rPr>
              <w:t>土壤、地下水污染</w:t>
            </w:r>
            <w:r>
              <w:rPr>
                <w:rFonts w:hint="default" w:ascii="Times New Roman" w:hAnsi="Times New Roman" w:eastAsia="宋体" w:cs="Times New Roman"/>
                <w:color w:val="auto"/>
                <w:kern w:val="2"/>
                <w:sz w:val="18"/>
                <w:szCs w:val="18"/>
                <w:highlight w:val="none"/>
              </w:rPr>
              <w:t>风险防范措施：</w:t>
            </w:r>
            <w:r>
              <w:rPr>
                <w:rFonts w:hint="default" w:ascii="Times New Roman" w:hAnsi="Times New Roman" w:eastAsia="宋体" w:cs="Times New Roman"/>
                <w:color w:val="auto"/>
                <w:kern w:val="2"/>
                <w:sz w:val="18"/>
                <w:szCs w:val="18"/>
                <w:highlight w:val="none"/>
                <w:lang w:val="en-US" w:eastAsia="zh-CN"/>
              </w:rPr>
              <w:t>（1）定期检查、维护原料储存区和危险废物暂存区包装，确保密闭贮存，避免发生泄漏。（2）定期检查污水管线及其连接处，避免发生泄漏等现象，维护各工序正常运转，避免发生泄漏。（3）定期检查生产车间、原料和危险废物贮存区地面防渗情况，围堰等事故收集设施运行情况，如果发现防渗层破裂或事故收集设施损坏及时汇报修复。</w:t>
            </w:r>
            <w:r>
              <w:rPr>
                <w:rFonts w:hint="default" w:ascii="Times New Roman" w:hAnsi="Times New Roman" w:eastAsia="宋体" w:cs="Times New Roman"/>
                <w:color w:val="auto"/>
                <w:kern w:val="2"/>
                <w:sz w:val="18"/>
                <w:szCs w:val="18"/>
                <w:highlight w:val="none"/>
              </w:rPr>
              <w:t>3、</w:t>
            </w:r>
            <w:r>
              <w:rPr>
                <w:rFonts w:hint="eastAsia" w:ascii="Times New Roman" w:hAnsi="Times New Roman" w:eastAsia="宋体" w:cs="Times New Roman"/>
                <w:color w:val="auto"/>
                <w:kern w:val="2"/>
                <w:sz w:val="18"/>
                <w:szCs w:val="18"/>
                <w:highlight w:val="none"/>
                <w:lang w:val="en-US" w:eastAsia="zh-CN"/>
              </w:rPr>
              <w:t>危险废物贮存过程风险防范措施：危险废物贮存库严格按照《危险废物贮存污染控制标准》（GB18597-2023）《危险废物收集 贮存 运输技术规范》（HJ2025-2012）等相关要求进行建设。</w:t>
            </w:r>
            <w:r>
              <w:rPr>
                <w:rFonts w:hint="default" w:ascii="Times New Roman" w:hAnsi="Times New Roman" w:eastAsia="宋体" w:cs="Times New Roman"/>
                <w:color w:val="auto"/>
                <w:kern w:val="2"/>
                <w:sz w:val="18"/>
                <w:szCs w:val="18"/>
                <w:highlight w:val="none"/>
              </w:rPr>
              <w:t>4、</w:t>
            </w:r>
            <w:r>
              <w:rPr>
                <w:rFonts w:hint="eastAsia" w:ascii="Times New Roman" w:hAnsi="Times New Roman" w:eastAsia="宋体" w:cs="Times New Roman"/>
                <w:color w:val="auto"/>
                <w:kern w:val="2"/>
                <w:sz w:val="18"/>
                <w:szCs w:val="18"/>
                <w:highlight w:val="none"/>
                <w:lang w:val="en-US" w:eastAsia="zh-CN"/>
              </w:rPr>
              <w:t>天然气泄露</w:t>
            </w:r>
            <w:r>
              <w:rPr>
                <w:rFonts w:hint="default" w:ascii="Times New Roman" w:hAnsi="Times New Roman" w:eastAsia="宋体" w:cs="Times New Roman"/>
                <w:color w:val="auto"/>
                <w:kern w:val="2"/>
                <w:sz w:val="18"/>
                <w:szCs w:val="18"/>
                <w:highlight w:val="none"/>
              </w:rPr>
              <w:t>措施：</w:t>
            </w:r>
            <w:r>
              <w:rPr>
                <w:rFonts w:hint="eastAsia" w:ascii="Times New Roman" w:hAnsi="Times New Roman" w:eastAsia="宋体" w:cs="Times New Roman"/>
                <w:color w:val="auto"/>
                <w:kern w:val="2"/>
                <w:sz w:val="18"/>
                <w:szCs w:val="18"/>
                <w:highlight w:val="none"/>
                <w:lang w:val="en-US" w:eastAsia="zh-CN"/>
              </w:rPr>
              <w:t>设置燃气报警器</w:t>
            </w:r>
            <w:r>
              <w:rPr>
                <w:rFonts w:hint="default" w:ascii="Times New Roman" w:hAnsi="Times New Roman" w:eastAsia="宋体" w:cs="Times New Roman"/>
                <w:color w:val="auto"/>
                <w:kern w:val="2"/>
                <w:sz w:val="18"/>
                <w:szCs w:val="18"/>
                <w:highlight w:val="none"/>
              </w:rPr>
              <w:t>；5、泄漏事故预防措施：</w:t>
            </w:r>
            <w:r>
              <w:rPr>
                <w:rFonts w:hint="eastAsia" w:ascii="Times New Roman" w:hAnsi="Times New Roman" w:eastAsia="宋体" w:cs="Times New Roman"/>
                <w:color w:val="auto"/>
                <w:kern w:val="2"/>
                <w:sz w:val="18"/>
                <w:szCs w:val="18"/>
                <w:highlight w:val="none"/>
                <w:lang w:val="en-US" w:eastAsia="zh-CN"/>
              </w:rPr>
              <w:t>厂区内分区防渗</w:t>
            </w:r>
            <w:r>
              <w:rPr>
                <w:rFonts w:hint="default" w:ascii="Times New Roman" w:hAnsi="Times New Roman" w:eastAsia="宋体" w:cs="Times New Roman"/>
                <w:color w:val="auto"/>
                <w:kern w:val="2"/>
                <w:sz w:val="18"/>
                <w:szCs w:val="18"/>
                <w:highlight w:val="none"/>
              </w:rPr>
              <w:t>。</w:t>
            </w:r>
          </w:p>
        </w:tc>
      </w:tr>
      <w:tr w14:paraId="3D98A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741" w:type="pct"/>
            <w:gridSpan w:val="2"/>
            <w:tcBorders>
              <w:top w:val="single" w:color="auto" w:sz="4" w:space="0"/>
              <w:left w:val="single" w:color="auto" w:sz="4" w:space="0"/>
              <w:bottom w:val="single" w:color="auto" w:sz="4" w:space="0"/>
              <w:right w:val="single" w:color="auto" w:sz="4" w:space="0"/>
            </w:tcBorders>
            <w:vAlign w:val="center"/>
          </w:tcPr>
          <w:p w14:paraId="4450317B">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评价结论与建议</w:t>
            </w:r>
          </w:p>
        </w:tc>
        <w:tc>
          <w:tcPr>
            <w:tcW w:w="4258" w:type="pct"/>
            <w:gridSpan w:val="15"/>
            <w:tcBorders>
              <w:top w:val="single" w:color="auto" w:sz="4" w:space="0"/>
              <w:left w:val="single" w:color="auto" w:sz="4" w:space="0"/>
              <w:bottom w:val="single" w:color="auto" w:sz="4" w:space="0"/>
              <w:right w:val="single" w:color="auto" w:sz="4" w:space="0"/>
            </w:tcBorders>
            <w:vAlign w:val="center"/>
          </w:tcPr>
          <w:p w14:paraId="66F22E2A">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建设单位应认真落实环评提出的各项环境风险防范对策措施，生产过程中加强环境风险管控，编制环境风险应急预案，定期进行应急演练。在做好以上各项安全和环境风险防范措施的前提下，项目的环境风险可接受。</w:t>
            </w:r>
          </w:p>
        </w:tc>
      </w:tr>
      <w:tr w14:paraId="7807A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5000" w:type="pct"/>
            <w:gridSpan w:val="17"/>
            <w:tcBorders>
              <w:top w:val="single" w:color="auto" w:sz="4" w:space="0"/>
              <w:left w:val="single" w:color="auto" w:sz="4" w:space="0"/>
              <w:bottom w:val="single" w:color="auto" w:sz="4" w:space="0"/>
              <w:right w:val="single" w:color="auto" w:sz="4" w:space="0"/>
            </w:tcBorders>
            <w:vAlign w:val="center"/>
          </w:tcPr>
          <w:p w14:paraId="58BC87E0">
            <w:pPr>
              <w:widowControl w:val="0"/>
              <w:tabs>
                <w:tab w:val="left" w:pos="827"/>
                <w:tab w:val="left" w:pos="2256"/>
              </w:tabs>
              <w:adjustRightInd/>
              <w:snapToGrid/>
              <w:spacing w:after="0" w:line="280" w:lineRule="exact"/>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rPr>
              <w:t>注：“□”为勾选项，“</w:t>
            </w:r>
            <w:r>
              <w:rPr>
                <w:rFonts w:hint="default" w:ascii="Times New Roman" w:hAnsi="Times New Roman" w:eastAsia="宋体" w:cs="Times New Roman"/>
                <w:color w:val="auto"/>
                <w:kern w:val="2"/>
                <w:sz w:val="18"/>
                <w:szCs w:val="18"/>
                <w:highlight w:val="none"/>
                <w:shd w:val="clear" w:color="auto" w:fill="FFFFFF"/>
              </w:rPr>
              <w:t>__</w:t>
            </w:r>
            <w:r>
              <w:rPr>
                <w:rFonts w:hint="default" w:ascii="Times New Roman" w:hAnsi="Times New Roman" w:eastAsia="宋体" w:cs="Times New Roman"/>
                <w:color w:val="auto"/>
                <w:kern w:val="2"/>
                <w:sz w:val="18"/>
                <w:szCs w:val="18"/>
                <w:highlight w:val="none"/>
              </w:rPr>
              <w:t xml:space="preserve"> ”为填写项。</w:t>
            </w:r>
          </w:p>
        </w:tc>
      </w:tr>
    </w:tbl>
    <w:p w14:paraId="3C475971">
      <w:pPr>
        <w:rPr>
          <w:rFonts w:hint="default" w:ascii="Times New Roman" w:hAnsi="Times New Roman" w:cs="Times New Roman"/>
          <w:color w:val="FF0000"/>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linePitch="312" w:charSpace="0"/>
        </w:sectPr>
      </w:pPr>
    </w:p>
    <w:p w14:paraId="33868848">
      <w:pPr>
        <w:keepNext w:val="0"/>
        <w:keepLines w:val="0"/>
        <w:pageBreakBefore w:val="0"/>
        <w:widowControl/>
        <w:kinsoku w:val="0"/>
        <w:wordWrap/>
        <w:overflowPunct/>
        <w:topLinePunct w:val="0"/>
        <w:autoSpaceDE w:val="0"/>
        <w:autoSpaceDN w:val="0"/>
        <w:bidi w:val="0"/>
        <w:adjustRightInd/>
        <w:snapToGrid/>
        <w:spacing w:after="0"/>
        <w:ind w:left="0" w:firstLine="0"/>
        <w:jc w:val="center"/>
        <w:textAlignment w:val="baseline"/>
        <w:outlineLvl w:val="0"/>
        <w:rPr>
          <w:rFonts w:hint="default" w:ascii="Times New Roman" w:hAnsi="Times New Roman" w:eastAsia="宋体" w:cs="Times New Roman"/>
          <w:b/>
          <w:smallCaps/>
          <w:snapToGrid w:val="0"/>
          <w:color w:val="auto"/>
          <w:kern w:val="2"/>
          <w:sz w:val="21"/>
          <w:szCs w:val="21"/>
          <w:highlight w:val="none"/>
        </w:rPr>
      </w:pPr>
      <w:bookmarkStart w:id="105" w:name="_Toc17982"/>
      <w:bookmarkStart w:id="106" w:name="_Toc28293"/>
      <w:r>
        <w:rPr>
          <w:rFonts w:hint="default" w:ascii="Times New Roman" w:hAnsi="Times New Roman" w:eastAsia="宋体" w:cs="Times New Roman"/>
          <w:b/>
          <w:smallCaps/>
          <w:snapToGrid w:val="0"/>
          <w:color w:val="auto"/>
          <w:kern w:val="2"/>
          <w:sz w:val="21"/>
          <w:szCs w:val="21"/>
          <w:highlight w:val="none"/>
        </w:rPr>
        <w:t>附表5  声环境影响评价自查表</w:t>
      </w:r>
      <w:bookmarkEnd w:id="105"/>
      <w:bookmarkEnd w:id="106"/>
    </w:p>
    <w:tbl>
      <w:tblPr>
        <w:tblStyle w:val="22"/>
        <w:tblW w:w="499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942"/>
        <w:gridCol w:w="1663"/>
        <w:gridCol w:w="970"/>
        <w:gridCol w:w="892"/>
        <w:gridCol w:w="213"/>
        <w:gridCol w:w="701"/>
        <w:gridCol w:w="864"/>
        <w:gridCol w:w="338"/>
        <w:gridCol w:w="743"/>
        <w:gridCol w:w="1197"/>
      </w:tblGrid>
      <w:tr w14:paraId="0BC2EF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1529" w:type="pct"/>
            <w:gridSpan w:val="2"/>
            <w:noWrap w:val="0"/>
            <w:vAlign w:val="center"/>
          </w:tcPr>
          <w:p w14:paraId="4C0DECB1">
            <w:pPr>
              <w:kinsoku w:val="0"/>
              <w:overflowPunct w:val="0"/>
              <w:autoSpaceDE w:val="0"/>
              <w:autoSpaceDN w:val="0"/>
              <w:adjustRightInd/>
              <w:snapToGrid/>
              <w:spacing w:after="0" w:line="240" w:lineRule="auto"/>
              <w:ind w:right="15"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工作内容</w:t>
            </w:r>
          </w:p>
        </w:tc>
        <w:tc>
          <w:tcPr>
            <w:tcW w:w="3470" w:type="pct"/>
            <w:gridSpan w:val="8"/>
            <w:noWrap w:val="0"/>
            <w:vAlign w:val="center"/>
          </w:tcPr>
          <w:p w14:paraId="7F5FAB33">
            <w:pPr>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自查项目</w:t>
            </w:r>
          </w:p>
        </w:tc>
      </w:tr>
      <w:tr w14:paraId="00024F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553" w:type="pct"/>
            <w:vMerge w:val="restart"/>
            <w:noWrap w:val="0"/>
            <w:vAlign w:val="center"/>
          </w:tcPr>
          <w:p w14:paraId="1FC0ED4D">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评价等级与范围</w:t>
            </w:r>
          </w:p>
        </w:tc>
        <w:tc>
          <w:tcPr>
            <w:tcW w:w="976" w:type="pct"/>
            <w:noWrap w:val="0"/>
            <w:vAlign w:val="center"/>
          </w:tcPr>
          <w:p w14:paraId="31B920FC">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评价等级</w:t>
            </w:r>
          </w:p>
        </w:tc>
        <w:tc>
          <w:tcPr>
            <w:tcW w:w="3470" w:type="pct"/>
            <w:gridSpan w:val="8"/>
            <w:noWrap w:val="0"/>
            <w:vAlign w:val="center"/>
          </w:tcPr>
          <w:p w14:paraId="714F046C">
            <w:pPr>
              <w:tabs>
                <w:tab w:val="left" w:pos="2189"/>
                <w:tab w:val="left" w:pos="3720"/>
              </w:tabs>
              <w:kinsoku w:val="0"/>
              <w:overflowPunct w:val="0"/>
              <w:autoSpaceDE w:val="0"/>
              <w:autoSpaceDN w:val="0"/>
              <w:adjustRightInd/>
              <w:snapToGrid/>
              <w:spacing w:after="0" w:line="240" w:lineRule="auto"/>
              <w:ind w:firstLine="900" w:firstLineChars="500"/>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一级□              二</w:t>
            </w:r>
            <w:r>
              <w:rPr>
                <w:rFonts w:hint="default" w:ascii="Times New Roman" w:hAnsi="Times New Roman" w:eastAsia="宋体" w:cs="Times New Roman"/>
                <w:snapToGrid w:val="0"/>
                <w:color w:val="auto"/>
                <w:spacing w:val="-3"/>
                <w:kern w:val="0"/>
                <w:sz w:val="18"/>
                <w:szCs w:val="24"/>
                <w:highlight w:val="none"/>
              </w:rPr>
              <w:t>级</w:t>
            </w:r>
            <w:r>
              <w:rPr>
                <w:rFonts w:hint="default" w:ascii="Times New Roman" w:hAnsi="Times New Roman" w:eastAsia="宋体" w:cs="Times New Roman"/>
                <w:snapToGrid w:val="0"/>
                <w:color w:val="auto"/>
                <w:kern w:val="0"/>
                <w:sz w:val="18"/>
                <w:szCs w:val="24"/>
                <w:highlight w:val="none"/>
              </w:rPr>
              <w:sym w:font="Wingdings 2" w:char="0052"/>
            </w:r>
            <w:r>
              <w:rPr>
                <w:rFonts w:hint="default" w:ascii="Times New Roman" w:hAnsi="Times New Roman" w:eastAsia="宋体" w:cs="Times New Roman"/>
                <w:snapToGrid w:val="0"/>
                <w:color w:val="auto"/>
                <w:kern w:val="0"/>
                <w:sz w:val="18"/>
                <w:szCs w:val="24"/>
                <w:highlight w:val="none"/>
              </w:rPr>
              <w:t xml:space="preserve">          三级</w:t>
            </w:r>
            <w:r>
              <w:rPr>
                <w:rFonts w:hint="default" w:ascii="Times New Roman" w:hAnsi="Times New Roman" w:eastAsia="宋体" w:cs="Times New Roman"/>
                <w:snapToGrid w:val="0"/>
                <w:color w:val="auto"/>
                <w:kern w:val="0"/>
                <w:sz w:val="18"/>
                <w:szCs w:val="24"/>
                <w:highlight w:val="none"/>
              </w:rPr>
              <w:sym w:font="Wingdings 2" w:char="00A3"/>
            </w:r>
          </w:p>
        </w:tc>
      </w:tr>
      <w:tr w14:paraId="2228F4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553" w:type="pct"/>
            <w:vMerge w:val="continue"/>
            <w:noWrap w:val="0"/>
            <w:vAlign w:val="center"/>
          </w:tcPr>
          <w:p w14:paraId="0230E98D">
            <w:pPr>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p>
        </w:tc>
        <w:tc>
          <w:tcPr>
            <w:tcW w:w="976" w:type="pct"/>
            <w:noWrap w:val="0"/>
            <w:vAlign w:val="center"/>
          </w:tcPr>
          <w:p w14:paraId="62A66CFE">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18"/>
                <w:szCs w:val="24"/>
                <w:highlight w:val="none"/>
              </w:rPr>
            </w:pPr>
            <w:r>
              <w:rPr>
                <w:rFonts w:hint="default" w:ascii="Times New Roman" w:hAnsi="Times New Roman" w:eastAsia="宋体" w:cs="Times New Roman"/>
                <w:snapToGrid w:val="0"/>
                <w:color w:val="auto"/>
                <w:kern w:val="0"/>
                <w:sz w:val="18"/>
                <w:szCs w:val="24"/>
                <w:highlight w:val="none"/>
              </w:rPr>
              <w:t>评价范围</w:t>
            </w:r>
          </w:p>
        </w:tc>
        <w:tc>
          <w:tcPr>
            <w:tcW w:w="3470" w:type="pct"/>
            <w:gridSpan w:val="8"/>
            <w:noWrap w:val="0"/>
            <w:vAlign w:val="center"/>
          </w:tcPr>
          <w:p w14:paraId="240094F2">
            <w:pPr>
              <w:kinsoku w:val="0"/>
              <w:overflowPunct w:val="0"/>
              <w:autoSpaceDE w:val="0"/>
              <w:autoSpaceDN w:val="0"/>
              <w:adjustRightInd/>
              <w:snapToGrid/>
              <w:spacing w:after="0" w:line="240" w:lineRule="auto"/>
              <w:ind w:left="339" w:firstLine="0" w:firstLineChars="0"/>
              <w:jc w:val="center"/>
              <w:rPr>
                <w:rFonts w:hint="default" w:ascii="Times New Roman" w:hAnsi="Times New Roman" w:eastAsia="宋体" w:cs="Times New Roman"/>
                <w:snapToGrid w:val="0"/>
                <w:color w:val="auto"/>
                <w:kern w:val="0"/>
                <w:sz w:val="18"/>
                <w:szCs w:val="24"/>
                <w:highlight w:val="none"/>
              </w:rPr>
            </w:pPr>
            <w:r>
              <w:rPr>
                <w:rFonts w:hint="default" w:ascii="Times New Roman" w:hAnsi="Times New Roman" w:eastAsia="宋体" w:cs="Times New Roman"/>
                <w:snapToGrid w:val="0"/>
                <w:color w:val="auto"/>
                <w:kern w:val="0"/>
                <w:sz w:val="18"/>
                <w:szCs w:val="24"/>
                <w:highlight w:val="none"/>
              </w:rPr>
              <w:t>200 m</w:t>
            </w:r>
            <w:r>
              <w:rPr>
                <w:rFonts w:hint="default" w:ascii="Times New Roman" w:hAnsi="Times New Roman" w:eastAsia="宋体" w:cs="Times New Roman"/>
                <w:snapToGrid w:val="0"/>
                <w:color w:val="auto"/>
                <w:kern w:val="0"/>
                <w:sz w:val="18"/>
                <w:szCs w:val="24"/>
                <w:highlight w:val="none"/>
              </w:rPr>
              <w:sym w:font="Wingdings 2" w:char="0052"/>
            </w:r>
            <w:r>
              <w:rPr>
                <w:rFonts w:hint="default" w:ascii="Times New Roman" w:hAnsi="Times New Roman" w:eastAsia="宋体" w:cs="Times New Roman"/>
                <w:snapToGrid w:val="0"/>
                <w:color w:val="auto"/>
                <w:kern w:val="0"/>
                <w:sz w:val="18"/>
                <w:szCs w:val="24"/>
                <w:highlight w:val="none"/>
              </w:rPr>
              <w:t xml:space="preserve">      大于 200 m□             小于 200 m□</w:t>
            </w:r>
          </w:p>
        </w:tc>
      </w:tr>
      <w:tr w14:paraId="2E199C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553" w:type="pct"/>
            <w:noWrap w:val="0"/>
            <w:vAlign w:val="center"/>
          </w:tcPr>
          <w:p w14:paraId="0BF827E3">
            <w:pPr>
              <w:tabs>
                <w:tab w:val="left" w:pos="2189"/>
                <w:tab w:val="left" w:pos="3720"/>
              </w:tabs>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18"/>
                <w:szCs w:val="24"/>
                <w:highlight w:val="none"/>
              </w:rPr>
            </w:pPr>
            <w:r>
              <w:rPr>
                <w:rFonts w:hint="default" w:ascii="Times New Roman" w:hAnsi="Times New Roman" w:eastAsia="宋体" w:cs="Times New Roman"/>
                <w:snapToGrid w:val="0"/>
                <w:color w:val="auto"/>
                <w:kern w:val="0"/>
                <w:sz w:val="18"/>
                <w:szCs w:val="24"/>
                <w:highlight w:val="none"/>
              </w:rPr>
              <w:t>评价因子</w:t>
            </w:r>
          </w:p>
        </w:tc>
        <w:tc>
          <w:tcPr>
            <w:tcW w:w="976" w:type="pct"/>
            <w:noWrap w:val="0"/>
            <w:vAlign w:val="center"/>
          </w:tcPr>
          <w:p w14:paraId="36213D34">
            <w:pPr>
              <w:tabs>
                <w:tab w:val="left" w:pos="2189"/>
                <w:tab w:val="left" w:pos="3720"/>
              </w:tabs>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18"/>
                <w:szCs w:val="24"/>
                <w:highlight w:val="none"/>
              </w:rPr>
            </w:pPr>
            <w:r>
              <w:rPr>
                <w:rFonts w:hint="default" w:ascii="Times New Roman" w:hAnsi="Times New Roman" w:eastAsia="宋体" w:cs="Times New Roman"/>
                <w:snapToGrid w:val="0"/>
                <w:color w:val="auto"/>
                <w:kern w:val="0"/>
                <w:sz w:val="18"/>
                <w:szCs w:val="24"/>
                <w:highlight w:val="none"/>
              </w:rPr>
              <w:t>评价因子</w:t>
            </w:r>
          </w:p>
        </w:tc>
        <w:tc>
          <w:tcPr>
            <w:tcW w:w="1092" w:type="pct"/>
            <w:gridSpan w:val="2"/>
            <w:noWrap w:val="0"/>
            <w:vAlign w:val="center"/>
          </w:tcPr>
          <w:p w14:paraId="48644A17">
            <w:pPr>
              <w:tabs>
                <w:tab w:val="left" w:pos="2189"/>
                <w:tab w:val="left" w:pos="3720"/>
              </w:tabs>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18"/>
                <w:szCs w:val="24"/>
                <w:highlight w:val="none"/>
              </w:rPr>
            </w:pPr>
            <w:r>
              <w:rPr>
                <w:rFonts w:hint="default" w:ascii="Times New Roman" w:hAnsi="Times New Roman" w:eastAsia="宋体" w:cs="Times New Roman"/>
                <w:snapToGrid w:val="0"/>
                <w:color w:val="auto"/>
                <w:kern w:val="0"/>
                <w:sz w:val="18"/>
                <w:szCs w:val="24"/>
                <w:highlight w:val="none"/>
              </w:rPr>
              <w:t>等效连续A声级</w:t>
            </w:r>
            <w:r>
              <w:rPr>
                <w:rFonts w:hint="default" w:ascii="Times New Roman" w:hAnsi="Times New Roman" w:eastAsia="宋体" w:cs="Times New Roman"/>
                <w:snapToGrid w:val="0"/>
                <w:color w:val="auto"/>
                <w:kern w:val="0"/>
                <w:sz w:val="18"/>
                <w:szCs w:val="24"/>
                <w:highlight w:val="none"/>
              </w:rPr>
              <w:sym w:font="Wingdings 2" w:char="0052"/>
            </w:r>
          </w:p>
        </w:tc>
        <w:tc>
          <w:tcPr>
            <w:tcW w:w="1043" w:type="pct"/>
            <w:gridSpan w:val="3"/>
            <w:noWrap w:val="0"/>
            <w:vAlign w:val="center"/>
          </w:tcPr>
          <w:p w14:paraId="6947AE30">
            <w:pPr>
              <w:tabs>
                <w:tab w:val="left" w:pos="2189"/>
                <w:tab w:val="left" w:pos="3720"/>
              </w:tabs>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18"/>
                <w:szCs w:val="24"/>
                <w:highlight w:val="none"/>
              </w:rPr>
            </w:pPr>
            <w:r>
              <w:rPr>
                <w:rFonts w:hint="default" w:ascii="Times New Roman" w:hAnsi="Times New Roman" w:eastAsia="宋体" w:cs="Times New Roman"/>
                <w:snapToGrid w:val="0"/>
                <w:color w:val="auto"/>
                <w:kern w:val="0"/>
                <w:sz w:val="18"/>
                <w:szCs w:val="24"/>
                <w:highlight w:val="none"/>
              </w:rPr>
              <w:t>最大A声级</w:t>
            </w:r>
            <w:r>
              <w:rPr>
                <w:rFonts w:hint="default" w:ascii="Times New Roman" w:hAnsi="Times New Roman" w:eastAsia="宋体" w:cs="Times New Roman"/>
                <w:snapToGrid w:val="0"/>
                <w:color w:val="auto"/>
                <w:kern w:val="0"/>
                <w:sz w:val="18"/>
                <w:szCs w:val="24"/>
                <w:highlight w:val="none"/>
              </w:rPr>
              <w:sym w:font="Wingdings 2" w:char="00A3"/>
            </w:r>
          </w:p>
        </w:tc>
        <w:tc>
          <w:tcPr>
            <w:tcW w:w="1334" w:type="pct"/>
            <w:gridSpan w:val="3"/>
            <w:noWrap w:val="0"/>
            <w:vAlign w:val="center"/>
          </w:tcPr>
          <w:p w14:paraId="46439545">
            <w:pPr>
              <w:tabs>
                <w:tab w:val="left" w:pos="2189"/>
                <w:tab w:val="left" w:pos="3720"/>
              </w:tabs>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18"/>
                <w:szCs w:val="24"/>
                <w:highlight w:val="none"/>
              </w:rPr>
            </w:pPr>
            <w:r>
              <w:rPr>
                <w:rFonts w:hint="default" w:ascii="Times New Roman" w:hAnsi="Times New Roman" w:eastAsia="宋体" w:cs="Times New Roman"/>
                <w:snapToGrid w:val="0"/>
                <w:color w:val="auto"/>
                <w:kern w:val="0"/>
                <w:sz w:val="18"/>
                <w:szCs w:val="24"/>
                <w:highlight w:val="none"/>
              </w:rPr>
              <w:t>计权等效连续感觉噪声级</w:t>
            </w:r>
            <w:r>
              <w:rPr>
                <w:rFonts w:hint="default" w:ascii="Times New Roman" w:hAnsi="Times New Roman" w:eastAsia="宋体" w:cs="Times New Roman"/>
                <w:snapToGrid w:val="0"/>
                <w:color w:val="auto"/>
                <w:kern w:val="0"/>
                <w:sz w:val="18"/>
                <w:szCs w:val="24"/>
                <w:highlight w:val="none"/>
              </w:rPr>
              <w:sym w:font="Wingdings 2" w:char="00A3"/>
            </w:r>
          </w:p>
        </w:tc>
      </w:tr>
      <w:tr w14:paraId="46B009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553" w:type="pct"/>
            <w:noWrap w:val="0"/>
            <w:vAlign w:val="center"/>
          </w:tcPr>
          <w:p w14:paraId="62A461AA">
            <w:pPr>
              <w:tabs>
                <w:tab w:val="left" w:pos="2189"/>
                <w:tab w:val="left" w:pos="3720"/>
              </w:tabs>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18"/>
                <w:szCs w:val="24"/>
                <w:highlight w:val="none"/>
              </w:rPr>
            </w:pPr>
            <w:r>
              <w:rPr>
                <w:rFonts w:hint="default" w:ascii="Times New Roman" w:hAnsi="Times New Roman" w:eastAsia="宋体" w:cs="Times New Roman"/>
                <w:snapToGrid w:val="0"/>
                <w:color w:val="auto"/>
                <w:kern w:val="0"/>
                <w:sz w:val="18"/>
                <w:szCs w:val="24"/>
                <w:highlight w:val="none"/>
              </w:rPr>
              <w:t>评价标准</w:t>
            </w:r>
          </w:p>
        </w:tc>
        <w:tc>
          <w:tcPr>
            <w:tcW w:w="976" w:type="pct"/>
            <w:noWrap w:val="0"/>
            <w:vAlign w:val="center"/>
          </w:tcPr>
          <w:p w14:paraId="4C10DB68">
            <w:pPr>
              <w:tabs>
                <w:tab w:val="left" w:pos="2189"/>
                <w:tab w:val="left" w:pos="3720"/>
              </w:tabs>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18"/>
                <w:szCs w:val="24"/>
                <w:highlight w:val="none"/>
              </w:rPr>
            </w:pPr>
            <w:r>
              <w:rPr>
                <w:rFonts w:hint="default" w:ascii="Times New Roman" w:hAnsi="Times New Roman" w:eastAsia="宋体" w:cs="Times New Roman"/>
                <w:snapToGrid w:val="0"/>
                <w:color w:val="auto"/>
                <w:kern w:val="0"/>
                <w:sz w:val="18"/>
                <w:szCs w:val="24"/>
                <w:highlight w:val="none"/>
              </w:rPr>
              <w:t>评价标准</w:t>
            </w:r>
          </w:p>
        </w:tc>
        <w:tc>
          <w:tcPr>
            <w:tcW w:w="1092" w:type="pct"/>
            <w:gridSpan w:val="2"/>
            <w:noWrap w:val="0"/>
            <w:vAlign w:val="center"/>
          </w:tcPr>
          <w:p w14:paraId="01691917">
            <w:pPr>
              <w:kinsoku w:val="0"/>
              <w:overflowPunct w:val="0"/>
              <w:autoSpaceDE w:val="0"/>
              <w:autoSpaceDN w:val="0"/>
              <w:adjustRightInd/>
              <w:snapToGrid/>
              <w:spacing w:after="0" w:line="240" w:lineRule="auto"/>
              <w:ind w:firstLine="36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国家标准</w:t>
            </w:r>
            <w:r>
              <w:rPr>
                <w:rFonts w:hint="default" w:ascii="Times New Roman" w:hAnsi="Times New Roman" w:eastAsia="宋体" w:cs="Times New Roman"/>
                <w:snapToGrid w:val="0"/>
                <w:color w:val="auto"/>
                <w:kern w:val="0"/>
                <w:sz w:val="18"/>
                <w:szCs w:val="24"/>
                <w:highlight w:val="none"/>
              </w:rPr>
              <w:sym w:font="Wingdings 2" w:char="0052"/>
            </w:r>
          </w:p>
        </w:tc>
        <w:tc>
          <w:tcPr>
            <w:tcW w:w="1043" w:type="pct"/>
            <w:gridSpan w:val="3"/>
            <w:noWrap w:val="0"/>
            <w:vAlign w:val="center"/>
          </w:tcPr>
          <w:p w14:paraId="3B7736D7">
            <w:pPr>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地方标准□</w:t>
            </w:r>
          </w:p>
        </w:tc>
        <w:tc>
          <w:tcPr>
            <w:tcW w:w="1334" w:type="pct"/>
            <w:gridSpan w:val="3"/>
            <w:noWrap w:val="0"/>
            <w:vAlign w:val="center"/>
          </w:tcPr>
          <w:p w14:paraId="02CB6C0F">
            <w:pPr>
              <w:kinsoku w:val="0"/>
              <w:overflowPunct w:val="0"/>
              <w:autoSpaceDE w:val="0"/>
              <w:autoSpaceDN w:val="0"/>
              <w:adjustRightInd/>
              <w:snapToGrid/>
              <w:spacing w:after="0" w:line="240" w:lineRule="auto"/>
              <w:ind w:left="214"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国外标准□</w:t>
            </w:r>
          </w:p>
        </w:tc>
      </w:tr>
      <w:tr w14:paraId="4F3D03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553" w:type="pct"/>
            <w:vMerge w:val="restart"/>
            <w:noWrap w:val="0"/>
            <w:vAlign w:val="center"/>
          </w:tcPr>
          <w:p w14:paraId="30DCB796">
            <w:pPr>
              <w:kinsoku w:val="0"/>
              <w:overflowPunct w:val="0"/>
              <w:autoSpaceDE w:val="0"/>
              <w:autoSpaceDN w:val="0"/>
              <w:adjustRightInd/>
              <w:snapToGrid/>
              <w:spacing w:after="0" w:line="240" w:lineRule="auto"/>
              <w:ind w:left="119"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现状评价</w:t>
            </w:r>
          </w:p>
        </w:tc>
        <w:tc>
          <w:tcPr>
            <w:tcW w:w="976" w:type="pct"/>
            <w:noWrap w:val="0"/>
            <w:vAlign w:val="center"/>
          </w:tcPr>
          <w:p w14:paraId="5C81062E">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环境功能区</w:t>
            </w:r>
          </w:p>
        </w:tc>
        <w:tc>
          <w:tcPr>
            <w:tcW w:w="569" w:type="pct"/>
            <w:noWrap w:val="0"/>
            <w:vAlign w:val="center"/>
          </w:tcPr>
          <w:p w14:paraId="50309383">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Times New Roman" w:cs="Times New Roman"/>
                <w:snapToGrid w:val="0"/>
                <w:color w:val="auto"/>
                <w:kern w:val="0"/>
                <w:sz w:val="18"/>
                <w:szCs w:val="24"/>
                <w:highlight w:val="none"/>
              </w:rPr>
              <w:t>0</w:t>
            </w:r>
            <w:r>
              <w:rPr>
                <w:rFonts w:hint="default" w:ascii="Times New Roman" w:hAnsi="Times New Roman" w:eastAsia="宋体" w:cs="Times New Roman"/>
                <w:snapToGrid w:val="0"/>
                <w:color w:val="auto"/>
                <w:kern w:val="0"/>
                <w:sz w:val="18"/>
                <w:szCs w:val="24"/>
                <w:highlight w:val="none"/>
              </w:rPr>
              <w:t>类区□</w:t>
            </w:r>
          </w:p>
        </w:tc>
        <w:tc>
          <w:tcPr>
            <w:tcW w:w="522" w:type="pct"/>
            <w:noWrap w:val="0"/>
            <w:vAlign w:val="center"/>
          </w:tcPr>
          <w:p w14:paraId="1B33D3CC">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Times New Roman" w:cs="Times New Roman"/>
                <w:snapToGrid w:val="0"/>
                <w:color w:val="auto"/>
                <w:kern w:val="0"/>
                <w:sz w:val="18"/>
                <w:szCs w:val="24"/>
                <w:highlight w:val="none"/>
              </w:rPr>
              <w:t>1</w:t>
            </w:r>
            <w:r>
              <w:rPr>
                <w:rFonts w:hint="default" w:ascii="Times New Roman" w:hAnsi="Times New Roman" w:eastAsia="宋体" w:cs="Times New Roman"/>
                <w:snapToGrid w:val="0"/>
                <w:color w:val="auto"/>
                <w:kern w:val="0"/>
                <w:sz w:val="18"/>
                <w:szCs w:val="24"/>
                <w:highlight w:val="none"/>
              </w:rPr>
              <w:t>类区</w:t>
            </w:r>
            <w:r>
              <w:rPr>
                <w:rFonts w:hint="default" w:ascii="Times New Roman" w:hAnsi="Times New Roman" w:eastAsia="宋体" w:cs="Times New Roman"/>
                <w:snapToGrid w:val="0"/>
                <w:color w:val="auto"/>
                <w:kern w:val="0"/>
                <w:sz w:val="18"/>
                <w:szCs w:val="24"/>
                <w:highlight w:val="none"/>
              </w:rPr>
              <w:sym w:font="Wingdings 2" w:char="00A3"/>
            </w:r>
          </w:p>
        </w:tc>
        <w:tc>
          <w:tcPr>
            <w:tcW w:w="536" w:type="pct"/>
            <w:gridSpan w:val="2"/>
            <w:noWrap w:val="0"/>
            <w:vAlign w:val="center"/>
          </w:tcPr>
          <w:p w14:paraId="5537F742">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Times New Roman" w:cs="Times New Roman"/>
                <w:snapToGrid w:val="0"/>
                <w:color w:val="auto"/>
                <w:kern w:val="0"/>
                <w:sz w:val="18"/>
                <w:szCs w:val="24"/>
                <w:highlight w:val="none"/>
              </w:rPr>
              <w:t>2</w:t>
            </w:r>
            <w:r>
              <w:rPr>
                <w:rFonts w:hint="default" w:ascii="Times New Roman" w:hAnsi="Times New Roman" w:eastAsia="宋体" w:cs="Times New Roman"/>
                <w:snapToGrid w:val="0"/>
                <w:color w:val="auto"/>
                <w:kern w:val="0"/>
                <w:sz w:val="18"/>
                <w:szCs w:val="24"/>
                <w:highlight w:val="none"/>
              </w:rPr>
              <w:t>类区</w:t>
            </w:r>
            <w:r>
              <w:rPr>
                <w:rFonts w:hint="default" w:ascii="Times New Roman" w:hAnsi="Times New Roman" w:eastAsia="宋体" w:cs="Times New Roman"/>
                <w:snapToGrid w:val="0"/>
                <w:color w:val="auto"/>
                <w:kern w:val="0"/>
                <w:sz w:val="18"/>
                <w:szCs w:val="24"/>
                <w:highlight w:val="none"/>
              </w:rPr>
              <w:sym w:font="Wingdings 2" w:char="0052"/>
            </w:r>
          </w:p>
        </w:tc>
        <w:tc>
          <w:tcPr>
            <w:tcW w:w="506" w:type="pct"/>
            <w:noWrap w:val="0"/>
            <w:vAlign w:val="center"/>
          </w:tcPr>
          <w:p w14:paraId="6F9C84A5">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Times New Roman" w:cs="Times New Roman"/>
                <w:snapToGrid w:val="0"/>
                <w:color w:val="auto"/>
                <w:kern w:val="0"/>
                <w:sz w:val="18"/>
                <w:szCs w:val="24"/>
                <w:highlight w:val="none"/>
              </w:rPr>
              <w:t>3</w:t>
            </w:r>
            <w:r>
              <w:rPr>
                <w:rFonts w:hint="default" w:ascii="Times New Roman" w:hAnsi="Times New Roman" w:eastAsia="宋体" w:cs="Times New Roman"/>
                <w:snapToGrid w:val="0"/>
                <w:color w:val="auto"/>
                <w:kern w:val="0"/>
                <w:sz w:val="18"/>
                <w:szCs w:val="24"/>
                <w:highlight w:val="none"/>
              </w:rPr>
              <w:t>类区</w:t>
            </w:r>
            <w:r>
              <w:rPr>
                <w:rFonts w:hint="default" w:ascii="Times New Roman" w:hAnsi="Times New Roman" w:eastAsia="宋体" w:cs="Times New Roman"/>
                <w:snapToGrid w:val="0"/>
                <w:color w:val="auto"/>
                <w:kern w:val="0"/>
                <w:sz w:val="18"/>
                <w:szCs w:val="24"/>
                <w:highlight w:val="none"/>
              </w:rPr>
              <w:sym w:font="Wingdings 2" w:char="00A3"/>
            </w:r>
          </w:p>
        </w:tc>
        <w:tc>
          <w:tcPr>
            <w:tcW w:w="634" w:type="pct"/>
            <w:gridSpan w:val="2"/>
            <w:noWrap w:val="0"/>
            <w:vAlign w:val="center"/>
          </w:tcPr>
          <w:p w14:paraId="13A1B079">
            <w:pPr>
              <w:kinsoku w:val="0"/>
              <w:overflowPunct w:val="0"/>
              <w:autoSpaceDE w:val="0"/>
              <w:autoSpaceDN w:val="0"/>
              <w:adjustRightInd/>
              <w:snapToGrid/>
              <w:spacing w:after="0" w:line="240" w:lineRule="auto"/>
              <w:ind w:left="16"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Times New Roman" w:cs="Times New Roman"/>
                <w:snapToGrid w:val="0"/>
                <w:color w:val="auto"/>
                <w:spacing w:val="1"/>
                <w:kern w:val="0"/>
                <w:sz w:val="18"/>
                <w:szCs w:val="24"/>
                <w:highlight w:val="none"/>
              </w:rPr>
              <w:t>4</w:t>
            </w:r>
            <w:r>
              <w:rPr>
                <w:rFonts w:hint="default" w:ascii="Times New Roman" w:hAnsi="Times New Roman" w:eastAsia="Times New Roman" w:cs="Times New Roman"/>
                <w:snapToGrid w:val="0"/>
                <w:color w:val="auto"/>
                <w:kern w:val="0"/>
                <w:sz w:val="18"/>
                <w:szCs w:val="24"/>
                <w:highlight w:val="none"/>
              </w:rPr>
              <w:t>a</w:t>
            </w:r>
            <w:r>
              <w:rPr>
                <w:rFonts w:hint="default" w:ascii="Times New Roman" w:hAnsi="Times New Roman" w:eastAsia="宋体" w:cs="Times New Roman"/>
                <w:snapToGrid w:val="0"/>
                <w:color w:val="auto"/>
                <w:kern w:val="0"/>
                <w:sz w:val="18"/>
                <w:szCs w:val="24"/>
                <w:highlight w:val="none"/>
              </w:rPr>
              <w:t>类区</w:t>
            </w:r>
            <w:r>
              <w:rPr>
                <w:rFonts w:hint="default" w:ascii="Times New Roman" w:hAnsi="Times New Roman" w:eastAsia="宋体" w:cs="Times New Roman"/>
                <w:snapToGrid w:val="0"/>
                <w:color w:val="auto"/>
                <w:kern w:val="0"/>
                <w:sz w:val="18"/>
                <w:szCs w:val="24"/>
                <w:highlight w:val="none"/>
              </w:rPr>
              <w:sym w:font="Wingdings 2" w:char="00A3"/>
            </w:r>
          </w:p>
        </w:tc>
        <w:tc>
          <w:tcPr>
            <w:tcW w:w="699" w:type="pct"/>
            <w:noWrap w:val="0"/>
            <w:vAlign w:val="center"/>
          </w:tcPr>
          <w:p w14:paraId="016F1DF3">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Times New Roman" w:cs="Times New Roman"/>
                <w:snapToGrid w:val="0"/>
                <w:color w:val="auto"/>
                <w:spacing w:val="1"/>
                <w:kern w:val="0"/>
                <w:sz w:val="18"/>
                <w:szCs w:val="24"/>
                <w:highlight w:val="none"/>
              </w:rPr>
              <w:t>4</w:t>
            </w:r>
            <w:r>
              <w:rPr>
                <w:rFonts w:hint="default" w:ascii="Times New Roman" w:hAnsi="Times New Roman" w:eastAsia="Times New Roman" w:cs="Times New Roman"/>
                <w:snapToGrid w:val="0"/>
                <w:color w:val="auto"/>
                <w:kern w:val="0"/>
                <w:sz w:val="18"/>
                <w:szCs w:val="24"/>
                <w:highlight w:val="none"/>
              </w:rPr>
              <w:t>b</w:t>
            </w:r>
            <w:r>
              <w:rPr>
                <w:rFonts w:hint="default" w:ascii="Times New Roman" w:hAnsi="Times New Roman" w:eastAsia="宋体" w:cs="Times New Roman"/>
                <w:snapToGrid w:val="0"/>
                <w:color w:val="auto"/>
                <w:kern w:val="0"/>
                <w:sz w:val="18"/>
                <w:szCs w:val="24"/>
                <w:highlight w:val="none"/>
              </w:rPr>
              <w:t>类区□</w:t>
            </w:r>
          </w:p>
        </w:tc>
      </w:tr>
      <w:tr w14:paraId="204FB3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553" w:type="pct"/>
            <w:vMerge w:val="continue"/>
            <w:noWrap w:val="0"/>
            <w:vAlign w:val="center"/>
          </w:tcPr>
          <w:p w14:paraId="754C1385">
            <w:pPr>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p>
        </w:tc>
        <w:tc>
          <w:tcPr>
            <w:tcW w:w="976" w:type="pct"/>
            <w:noWrap w:val="0"/>
            <w:vAlign w:val="center"/>
          </w:tcPr>
          <w:p w14:paraId="195A7355">
            <w:pPr>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评价年度</w:t>
            </w:r>
          </w:p>
        </w:tc>
        <w:tc>
          <w:tcPr>
            <w:tcW w:w="569" w:type="pct"/>
            <w:noWrap w:val="0"/>
            <w:vAlign w:val="center"/>
          </w:tcPr>
          <w:p w14:paraId="4D3342E4">
            <w:pPr>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初期□</w:t>
            </w:r>
          </w:p>
        </w:tc>
        <w:tc>
          <w:tcPr>
            <w:tcW w:w="1059" w:type="pct"/>
            <w:gridSpan w:val="3"/>
            <w:noWrap w:val="0"/>
            <w:vAlign w:val="center"/>
          </w:tcPr>
          <w:p w14:paraId="391B54B8">
            <w:pPr>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近期</w:t>
            </w:r>
            <w:r>
              <w:rPr>
                <w:rFonts w:hint="default" w:ascii="Times New Roman" w:hAnsi="Times New Roman" w:eastAsia="宋体" w:cs="Times New Roman"/>
                <w:snapToGrid w:val="0"/>
                <w:color w:val="auto"/>
                <w:kern w:val="0"/>
                <w:sz w:val="18"/>
                <w:szCs w:val="24"/>
                <w:highlight w:val="none"/>
              </w:rPr>
              <w:sym w:font="Wingdings 2" w:char="0052"/>
            </w:r>
          </w:p>
        </w:tc>
        <w:tc>
          <w:tcPr>
            <w:tcW w:w="1141" w:type="pct"/>
            <w:gridSpan w:val="3"/>
            <w:noWrap w:val="0"/>
            <w:vAlign w:val="center"/>
          </w:tcPr>
          <w:p w14:paraId="0EEDA168">
            <w:pPr>
              <w:adjustRightInd/>
              <w:snapToGrid/>
              <w:spacing w:after="0" w:line="240" w:lineRule="auto"/>
              <w:ind w:firstLine="0" w:firstLineChars="0"/>
              <w:jc w:val="center"/>
              <w:rPr>
                <w:rFonts w:hint="default" w:ascii="Times New Roman" w:hAnsi="Times New Roman" w:eastAsia="宋体" w:cs="Times New Roman"/>
                <w:snapToGrid w:val="0"/>
                <w:color w:val="auto"/>
                <w:kern w:val="0"/>
                <w:sz w:val="18"/>
                <w:szCs w:val="24"/>
                <w:highlight w:val="none"/>
              </w:rPr>
            </w:pPr>
            <w:r>
              <w:rPr>
                <w:rFonts w:hint="default" w:ascii="Times New Roman" w:hAnsi="Times New Roman" w:eastAsia="宋体" w:cs="Times New Roman"/>
                <w:snapToGrid w:val="0"/>
                <w:color w:val="auto"/>
                <w:kern w:val="0"/>
                <w:sz w:val="18"/>
                <w:szCs w:val="24"/>
                <w:highlight w:val="none"/>
              </w:rPr>
              <w:t>中期□</w:t>
            </w:r>
          </w:p>
        </w:tc>
        <w:tc>
          <w:tcPr>
            <w:tcW w:w="699" w:type="pct"/>
            <w:noWrap w:val="0"/>
            <w:vAlign w:val="center"/>
          </w:tcPr>
          <w:p w14:paraId="574AF3B3">
            <w:pPr>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远期□</w:t>
            </w:r>
          </w:p>
        </w:tc>
      </w:tr>
      <w:tr w14:paraId="0117AE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553" w:type="pct"/>
            <w:vMerge w:val="continue"/>
            <w:noWrap w:val="0"/>
            <w:vAlign w:val="center"/>
          </w:tcPr>
          <w:p w14:paraId="1B1BA726">
            <w:pPr>
              <w:kinsoku w:val="0"/>
              <w:overflowPunct w:val="0"/>
              <w:autoSpaceDE w:val="0"/>
              <w:autoSpaceDN w:val="0"/>
              <w:adjustRightInd/>
              <w:snapToGrid/>
              <w:spacing w:after="0" w:line="240" w:lineRule="auto"/>
              <w:ind w:left="119" w:firstLine="0" w:firstLineChars="0"/>
              <w:jc w:val="center"/>
              <w:rPr>
                <w:rFonts w:hint="default" w:ascii="Times New Roman" w:hAnsi="Times New Roman" w:eastAsia="宋体" w:cs="Times New Roman"/>
                <w:snapToGrid w:val="0"/>
                <w:color w:val="auto"/>
                <w:kern w:val="0"/>
                <w:sz w:val="24"/>
                <w:szCs w:val="24"/>
                <w:highlight w:val="none"/>
              </w:rPr>
            </w:pPr>
          </w:p>
        </w:tc>
        <w:tc>
          <w:tcPr>
            <w:tcW w:w="976" w:type="pct"/>
            <w:noWrap w:val="0"/>
            <w:vAlign w:val="center"/>
          </w:tcPr>
          <w:p w14:paraId="2E319E8B">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现状调查方法</w:t>
            </w:r>
          </w:p>
        </w:tc>
        <w:tc>
          <w:tcPr>
            <w:tcW w:w="3470" w:type="pct"/>
            <w:gridSpan w:val="8"/>
            <w:noWrap w:val="0"/>
            <w:vAlign w:val="center"/>
          </w:tcPr>
          <w:p w14:paraId="61F43FE4">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现场实测法</w:t>
            </w:r>
            <w:r>
              <w:rPr>
                <w:rFonts w:hint="default" w:ascii="Times New Roman" w:hAnsi="Times New Roman" w:eastAsia="宋体" w:cs="Times New Roman"/>
                <w:snapToGrid w:val="0"/>
                <w:color w:val="auto"/>
                <w:kern w:val="0"/>
                <w:sz w:val="18"/>
                <w:szCs w:val="24"/>
                <w:highlight w:val="none"/>
              </w:rPr>
              <w:sym w:font="Wingdings 2" w:char="0052"/>
            </w:r>
            <w:r>
              <w:rPr>
                <w:rFonts w:hint="default" w:ascii="Times New Roman" w:hAnsi="Times New Roman" w:eastAsia="宋体" w:cs="Times New Roman"/>
                <w:snapToGrid w:val="0"/>
                <w:color w:val="auto"/>
                <w:kern w:val="0"/>
                <w:sz w:val="18"/>
                <w:szCs w:val="24"/>
                <w:highlight w:val="none"/>
              </w:rPr>
              <w:t xml:space="preserve">       现场实测加模型计算法□           收集资料□</w:t>
            </w:r>
          </w:p>
        </w:tc>
      </w:tr>
      <w:tr w14:paraId="62E9EE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553" w:type="pct"/>
            <w:vMerge w:val="continue"/>
            <w:noWrap w:val="0"/>
            <w:vAlign w:val="center"/>
          </w:tcPr>
          <w:p w14:paraId="0494E53D">
            <w:pPr>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p>
        </w:tc>
        <w:tc>
          <w:tcPr>
            <w:tcW w:w="976" w:type="pct"/>
            <w:noWrap w:val="0"/>
            <w:vAlign w:val="center"/>
          </w:tcPr>
          <w:p w14:paraId="75FAC45A">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18"/>
                <w:szCs w:val="24"/>
                <w:highlight w:val="none"/>
              </w:rPr>
            </w:pPr>
            <w:r>
              <w:rPr>
                <w:rFonts w:hint="default" w:ascii="Times New Roman" w:hAnsi="Times New Roman" w:eastAsia="宋体" w:cs="Times New Roman"/>
                <w:snapToGrid w:val="0"/>
                <w:color w:val="auto"/>
                <w:kern w:val="0"/>
                <w:sz w:val="18"/>
                <w:szCs w:val="24"/>
                <w:highlight w:val="none"/>
              </w:rPr>
              <w:t>现状评价</w:t>
            </w:r>
          </w:p>
        </w:tc>
        <w:tc>
          <w:tcPr>
            <w:tcW w:w="1092" w:type="pct"/>
            <w:gridSpan w:val="2"/>
            <w:noWrap w:val="0"/>
            <w:vAlign w:val="center"/>
          </w:tcPr>
          <w:p w14:paraId="2B86AF26">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18"/>
                <w:szCs w:val="24"/>
                <w:highlight w:val="none"/>
              </w:rPr>
            </w:pPr>
            <w:r>
              <w:rPr>
                <w:rFonts w:hint="default" w:ascii="Times New Roman" w:hAnsi="Times New Roman" w:eastAsia="宋体" w:cs="Times New Roman"/>
                <w:snapToGrid w:val="0"/>
                <w:color w:val="auto"/>
                <w:kern w:val="0"/>
                <w:sz w:val="18"/>
                <w:szCs w:val="24"/>
                <w:highlight w:val="none"/>
              </w:rPr>
              <w:t>达标百分比</w:t>
            </w:r>
          </w:p>
        </w:tc>
        <w:tc>
          <w:tcPr>
            <w:tcW w:w="2377" w:type="pct"/>
            <w:gridSpan w:val="6"/>
            <w:noWrap w:val="0"/>
            <w:vAlign w:val="center"/>
          </w:tcPr>
          <w:p w14:paraId="10F97E49">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18"/>
                <w:szCs w:val="24"/>
                <w:highlight w:val="none"/>
              </w:rPr>
            </w:pPr>
            <w:r>
              <w:rPr>
                <w:rFonts w:hint="default" w:ascii="Times New Roman" w:hAnsi="Times New Roman" w:eastAsia="宋体" w:cs="Times New Roman"/>
                <w:snapToGrid w:val="0"/>
                <w:color w:val="auto"/>
                <w:kern w:val="0"/>
                <w:sz w:val="18"/>
                <w:szCs w:val="24"/>
                <w:highlight w:val="none"/>
              </w:rPr>
              <w:t>100%</w:t>
            </w:r>
          </w:p>
        </w:tc>
      </w:tr>
      <w:tr w14:paraId="23046B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553" w:type="pct"/>
            <w:noWrap w:val="0"/>
            <w:vAlign w:val="center"/>
          </w:tcPr>
          <w:p w14:paraId="2BCD0CED">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噪声源调查</w:t>
            </w:r>
          </w:p>
        </w:tc>
        <w:tc>
          <w:tcPr>
            <w:tcW w:w="976" w:type="pct"/>
            <w:noWrap w:val="0"/>
            <w:vAlign w:val="center"/>
          </w:tcPr>
          <w:p w14:paraId="6B199B6F">
            <w:pPr>
              <w:kinsoku w:val="0"/>
              <w:overflowPunct w:val="0"/>
              <w:autoSpaceDE w:val="0"/>
              <w:autoSpaceDN w:val="0"/>
              <w:adjustRightInd/>
              <w:snapToGrid/>
              <w:spacing w:after="0" w:line="240" w:lineRule="auto"/>
              <w:ind w:right="3"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噪声源调查方法</w:t>
            </w:r>
          </w:p>
        </w:tc>
        <w:tc>
          <w:tcPr>
            <w:tcW w:w="3470" w:type="pct"/>
            <w:gridSpan w:val="8"/>
            <w:noWrap w:val="0"/>
            <w:vAlign w:val="center"/>
          </w:tcPr>
          <w:p w14:paraId="56B0DE9A">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现场实测□               已有资料</w:t>
            </w:r>
            <w:r>
              <w:rPr>
                <w:rFonts w:hint="default" w:ascii="Times New Roman" w:hAnsi="Times New Roman" w:eastAsia="宋体" w:cs="Times New Roman"/>
                <w:snapToGrid w:val="0"/>
                <w:color w:val="auto"/>
                <w:kern w:val="0"/>
                <w:sz w:val="18"/>
                <w:szCs w:val="24"/>
                <w:highlight w:val="none"/>
              </w:rPr>
              <w:sym w:font="Wingdings 2" w:char="0052"/>
            </w:r>
            <w:r>
              <w:rPr>
                <w:rFonts w:hint="default" w:ascii="Times New Roman" w:hAnsi="Times New Roman" w:eastAsia="宋体" w:cs="Times New Roman"/>
                <w:snapToGrid w:val="0"/>
                <w:color w:val="auto"/>
                <w:kern w:val="0"/>
                <w:sz w:val="18"/>
                <w:szCs w:val="24"/>
                <w:highlight w:val="none"/>
              </w:rPr>
              <w:t xml:space="preserve">                 研究成果□</w:t>
            </w:r>
          </w:p>
        </w:tc>
      </w:tr>
      <w:tr w14:paraId="6AF5C9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553" w:type="pct"/>
            <w:vMerge w:val="restart"/>
            <w:noWrap w:val="0"/>
            <w:vAlign w:val="center"/>
          </w:tcPr>
          <w:p w14:paraId="2D43C987">
            <w:pPr>
              <w:kinsoku w:val="0"/>
              <w:overflowPunct w:val="0"/>
              <w:autoSpaceDE w:val="0"/>
              <w:autoSpaceDN w:val="0"/>
              <w:adjustRightInd/>
              <w:snapToGrid/>
              <w:spacing w:after="0" w:line="240" w:lineRule="auto"/>
              <w:ind w:left="119"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声环境影响预测与评价</w:t>
            </w:r>
          </w:p>
        </w:tc>
        <w:tc>
          <w:tcPr>
            <w:tcW w:w="976" w:type="pct"/>
            <w:noWrap w:val="0"/>
            <w:vAlign w:val="center"/>
          </w:tcPr>
          <w:p w14:paraId="169EF70F">
            <w:pPr>
              <w:kinsoku w:val="0"/>
              <w:overflowPunct w:val="0"/>
              <w:autoSpaceDE w:val="0"/>
              <w:autoSpaceDN w:val="0"/>
              <w:adjustRightInd/>
              <w:snapToGrid/>
              <w:spacing w:after="0" w:line="240" w:lineRule="auto"/>
              <w:ind w:right="3" w:firstLine="0" w:firstLineChars="0"/>
              <w:jc w:val="center"/>
              <w:rPr>
                <w:rFonts w:hint="default" w:ascii="Times New Roman" w:hAnsi="Times New Roman" w:eastAsia="宋体" w:cs="Times New Roman"/>
                <w:snapToGrid w:val="0"/>
                <w:color w:val="auto"/>
                <w:kern w:val="0"/>
                <w:sz w:val="18"/>
                <w:szCs w:val="24"/>
                <w:highlight w:val="none"/>
              </w:rPr>
            </w:pPr>
            <w:r>
              <w:rPr>
                <w:rFonts w:hint="default" w:ascii="Times New Roman" w:hAnsi="Times New Roman" w:eastAsia="宋体" w:cs="Times New Roman"/>
                <w:snapToGrid w:val="0"/>
                <w:color w:val="auto"/>
                <w:kern w:val="0"/>
                <w:sz w:val="18"/>
                <w:szCs w:val="24"/>
                <w:highlight w:val="none"/>
              </w:rPr>
              <w:t>预测模型</w:t>
            </w:r>
          </w:p>
        </w:tc>
        <w:tc>
          <w:tcPr>
            <w:tcW w:w="3470" w:type="pct"/>
            <w:gridSpan w:val="8"/>
            <w:noWrap w:val="0"/>
            <w:vAlign w:val="center"/>
          </w:tcPr>
          <w:p w14:paraId="543E8C6C">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18"/>
                <w:szCs w:val="24"/>
                <w:highlight w:val="none"/>
              </w:rPr>
            </w:pPr>
            <w:r>
              <w:rPr>
                <w:rFonts w:hint="default" w:ascii="Times New Roman" w:hAnsi="Times New Roman" w:eastAsia="宋体" w:cs="Times New Roman"/>
                <w:snapToGrid w:val="0"/>
                <w:color w:val="auto"/>
                <w:kern w:val="0"/>
                <w:sz w:val="18"/>
                <w:szCs w:val="24"/>
                <w:highlight w:val="none"/>
              </w:rPr>
              <w:t>导则推荐模型</w:t>
            </w:r>
            <w:r>
              <w:rPr>
                <w:rFonts w:hint="default" w:ascii="Times New Roman" w:hAnsi="Times New Roman" w:eastAsia="宋体" w:cs="Times New Roman"/>
                <w:snapToGrid w:val="0"/>
                <w:color w:val="auto"/>
                <w:kern w:val="0"/>
                <w:sz w:val="18"/>
                <w:szCs w:val="24"/>
                <w:highlight w:val="none"/>
              </w:rPr>
              <w:sym w:font="Wingdings 2" w:char="0052"/>
            </w:r>
            <w:r>
              <w:rPr>
                <w:rFonts w:hint="default" w:ascii="Times New Roman" w:hAnsi="Times New Roman" w:eastAsia="宋体" w:cs="Times New Roman"/>
                <w:snapToGrid w:val="0"/>
                <w:color w:val="auto"/>
                <w:kern w:val="0"/>
                <w:sz w:val="18"/>
                <w:szCs w:val="24"/>
                <w:highlight w:val="none"/>
              </w:rPr>
              <w:t xml:space="preserve">                             其他□</w:t>
            </w:r>
          </w:p>
        </w:tc>
      </w:tr>
      <w:tr w14:paraId="264E4B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553" w:type="pct"/>
            <w:vMerge w:val="continue"/>
            <w:noWrap w:val="0"/>
            <w:vAlign w:val="center"/>
          </w:tcPr>
          <w:p w14:paraId="12DD8125">
            <w:pPr>
              <w:kinsoku w:val="0"/>
              <w:overflowPunct w:val="0"/>
              <w:autoSpaceDE w:val="0"/>
              <w:autoSpaceDN w:val="0"/>
              <w:adjustRightInd/>
              <w:snapToGrid/>
              <w:spacing w:after="0" w:line="240" w:lineRule="auto"/>
              <w:ind w:left="299" w:firstLine="0" w:firstLineChars="0"/>
              <w:jc w:val="center"/>
              <w:rPr>
                <w:rFonts w:hint="default" w:ascii="Times New Roman" w:hAnsi="Times New Roman" w:eastAsia="宋体" w:cs="Times New Roman"/>
                <w:snapToGrid w:val="0"/>
                <w:color w:val="auto"/>
                <w:kern w:val="0"/>
                <w:sz w:val="24"/>
                <w:szCs w:val="24"/>
                <w:highlight w:val="none"/>
              </w:rPr>
            </w:pPr>
          </w:p>
        </w:tc>
        <w:tc>
          <w:tcPr>
            <w:tcW w:w="976" w:type="pct"/>
            <w:noWrap w:val="0"/>
            <w:vAlign w:val="center"/>
          </w:tcPr>
          <w:p w14:paraId="6089185E">
            <w:pPr>
              <w:kinsoku w:val="0"/>
              <w:overflowPunct w:val="0"/>
              <w:autoSpaceDE w:val="0"/>
              <w:autoSpaceDN w:val="0"/>
              <w:adjustRightInd/>
              <w:snapToGrid/>
              <w:spacing w:after="0" w:line="240" w:lineRule="auto"/>
              <w:ind w:right="3"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预测范围</w:t>
            </w:r>
          </w:p>
        </w:tc>
        <w:tc>
          <w:tcPr>
            <w:tcW w:w="3470" w:type="pct"/>
            <w:gridSpan w:val="8"/>
            <w:noWrap w:val="0"/>
            <w:vAlign w:val="center"/>
          </w:tcPr>
          <w:p w14:paraId="1BC24A1A">
            <w:pPr>
              <w:kinsoku w:val="0"/>
              <w:overflowPunct w:val="0"/>
              <w:autoSpaceDE w:val="0"/>
              <w:autoSpaceDN w:val="0"/>
              <w:adjustRightInd/>
              <w:snapToGrid/>
              <w:spacing w:after="0" w:line="240" w:lineRule="auto"/>
              <w:ind w:left="339"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200 m</w:t>
            </w:r>
            <w:r>
              <w:rPr>
                <w:rFonts w:hint="default" w:ascii="Times New Roman" w:hAnsi="Times New Roman" w:eastAsia="宋体" w:cs="Times New Roman"/>
                <w:snapToGrid w:val="0"/>
                <w:color w:val="auto"/>
                <w:kern w:val="0"/>
                <w:sz w:val="18"/>
                <w:szCs w:val="24"/>
                <w:highlight w:val="none"/>
              </w:rPr>
              <w:sym w:font="Wingdings 2" w:char="0052"/>
            </w:r>
            <w:r>
              <w:rPr>
                <w:rFonts w:hint="default" w:ascii="Times New Roman" w:hAnsi="Times New Roman" w:eastAsia="宋体" w:cs="Times New Roman"/>
                <w:snapToGrid w:val="0"/>
                <w:color w:val="auto"/>
                <w:kern w:val="0"/>
                <w:sz w:val="18"/>
                <w:szCs w:val="24"/>
                <w:highlight w:val="none"/>
              </w:rPr>
              <w:tab/>
            </w:r>
            <w:r>
              <w:rPr>
                <w:rFonts w:hint="default" w:ascii="Times New Roman" w:hAnsi="Times New Roman" w:eastAsia="宋体" w:cs="Times New Roman"/>
                <w:snapToGrid w:val="0"/>
                <w:color w:val="auto"/>
                <w:kern w:val="0"/>
                <w:sz w:val="18"/>
                <w:szCs w:val="24"/>
                <w:highlight w:val="none"/>
              </w:rPr>
              <w:t xml:space="preserve">      大于 200 m□</w:t>
            </w:r>
            <w:r>
              <w:rPr>
                <w:rFonts w:hint="default" w:ascii="Times New Roman" w:hAnsi="Times New Roman" w:eastAsia="宋体" w:cs="Times New Roman"/>
                <w:snapToGrid w:val="0"/>
                <w:color w:val="auto"/>
                <w:kern w:val="0"/>
                <w:sz w:val="18"/>
                <w:szCs w:val="24"/>
                <w:highlight w:val="none"/>
              </w:rPr>
              <w:tab/>
            </w:r>
            <w:r>
              <w:rPr>
                <w:rFonts w:hint="default" w:ascii="Times New Roman" w:hAnsi="Times New Roman" w:eastAsia="宋体" w:cs="Times New Roman"/>
                <w:snapToGrid w:val="0"/>
                <w:color w:val="auto"/>
                <w:kern w:val="0"/>
                <w:sz w:val="18"/>
                <w:szCs w:val="24"/>
                <w:highlight w:val="none"/>
              </w:rPr>
              <w:t xml:space="preserve">             小于 200 m□</w:t>
            </w:r>
          </w:p>
        </w:tc>
      </w:tr>
      <w:tr w14:paraId="6C0396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553" w:type="pct"/>
            <w:vMerge w:val="continue"/>
            <w:noWrap w:val="0"/>
            <w:vAlign w:val="center"/>
          </w:tcPr>
          <w:p w14:paraId="39050FCD">
            <w:pPr>
              <w:kinsoku w:val="0"/>
              <w:overflowPunct w:val="0"/>
              <w:autoSpaceDE w:val="0"/>
              <w:autoSpaceDN w:val="0"/>
              <w:adjustRightInd/>
              <w:snapToGrid/>
              <w:spacing w:after="0" w:line="240" w:lineRule="auto"/>
              <w:ind w:left="119" w:firstLine="0" w:firstLineChars="0"/>
              <w:jc w:val="center"/>
              <w:rPr>
                <w:rFonts w:hint="default" w:ascii="Times New Roman" w:hAnsi="Times New Roman" w:eastAsia="宋体" w:cs="Times New Roman"/>
                <w:snapToGrid w:val="0"/>
                <w:color w:val="auto"/>
                <w:kern w:val="0"/>
                <w:sz w:val="24"/>
                <w:szCs w:val="24"/>
                <w:highlight w:val="none"/>
              </w:rPr>
            </w:pPr>
          </w:p>
        </w:tc>
        <w:tc>
          <w:tcPr>
            <w:tcW w:w="976" w:type="pct"/>
            <w:noWrap w:val="0"/>
            <w:vAlign w:val="center"/>
          </w:tcPr>
          <w:p w14:paraId="5E7190B7">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预测因子</w:t>
            </w:r>
          </w:p>
        </w:tc>
        <w:tc>
          <w:tcPr>
            <w:tcW w:w="3470" w:type="pct"/>
            <w:gridSpan w:val="8"/>
            <w:noWrap w:val="0"/>
            <w:vAlign w:val="center"/>
          </w:tcPr>
          <w:p w14:paraId="138BC723">
            <w:pPr>
              <w:kinsoku w:val="0"/>
              <w:overflowPunct w:val="0"/>
              <w:autoSpaceDE w:val="0"/>
              <w:autoSpaceDN w:val="0"/>
              <w:adjustRightInd/>
              <w:snapToGrid/>
              <w:spacing w:after="0" w:line="240" w:lineRule="auto"/>
              <w:ind w:left="229"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等效连续</w:t>
            </w:r>
            <w:r>
              <w:rPr>
                <w:rFonts w:hint="default" w:ascii="Times New Roman" w:hAnsi="Times New Roman" w:eastAsia="宋体" w:cs="Times New Roman"/>
                <w:snapToGrid w:val="0"/>
                <w:color w:val="auto"/>
                <w:spacing w:val="-45"/>
                <w:kern w:val="0"/>
                <w:sz w:val="18"/>
                <w:szCs w:val="24"/>
                <w:highlight w:val="none"/>
              </w:rPr>
              <w:t xml:space="preserve"> </w:t>
            </w:r>
            <w:r>
              <w:rPr>
                <w:rFonts w:hint="default" w:ascii="Times New Roman" w:hAnsi="Times New Roman" w:eastAsia="Times New Roman" w:cs="Times New Roman"/>
                <w:snapToGrid w:val="0"/>
                <w:color w:val="auto"/>
                <w:kern w:val="0"/>
                <w:sz w:val="18"/>
                <w:szCs w:val="24"/>
                <w:highlight w:val="none"/>
              </w:rPr>
              <w:t>A</w:t>
            </w:r>
            <w:r>
              <w:rPr>
                <w:rFonts w:hint="default" w:ascii="Times New Roman" w:hAnsi="Times New Roman" w:eastAsia="宋体" w:cs="Times New Roman"/>
                <w:snapToGrid w:val="0"/>
                <w:color w:val="auto"/>
                <w:kern w:val="0"/>
                <w:sz w:val="18"/>
                <w:szCs w:val="24"/>
                <w:highlight w:val="none"/>
              </w:rPr>
              <w:t>声级</w:t>
            </w:r>
            <w:r>
              <w:rPr>
                <w:rFonts w:hint="default" w:ascii="Times New Roman" w:hAnsi="Times New Roman" w:eastAsia="宋体" w:cs="Times New Roman"/>
                <w:snapToGrid w:val="0"/>
                <w:color w:val="auto"/>
                <w:kern w:val="0"/>
                <w:sz w:val="18"/>
                <w:szCs w:val="24"/>
                <w:highlight w:val="none"/>
              </w:rPr>
              <w:sym w:font="Wingdings 2" w:char="0052"/>
            </w:r>
            <w:r>
              <w:rPr>
                <w:rFonts w:hint="default" w:ascii="Times New Roman" w:hAnsi="Times New Roman" w:eastAsia="宋体" w:cs="Times New Roman"/>
                <w:snapToGrid w:val="0"/>
                <w:color w:val="auto"/>
                <w:kern w:val="0"/>
                <w:sz w:val="18"/>
                <w:szCs w:val="24"/>
                <w:highlight w:val="none"/>
              </w:rPr>
              <w:t xml:space="preserve">      最大</w:t>
            </w:r>
            <w:r>
              <w:rPr>
                <w:rFonts w:hint="default" w:ascii="Times New Roman" w:hAnsi="Times New Roman" w:eastAsia="宋体" w:cs="Times New Roman"/>
                <w:snapToGrid w:val="0"/>
                <w:color w:val="auto"/>
                <w:spacing w:val="-45"/>
                <w:kern w:val="0"/>
                <w:sz w:val="18"/>
                <w:szCs w:val="24"/>
                <w:highlight w:val="none"/>
              </w:rPr>
              <w:t xml:space="preserve"> </w:t>
            </w:r>
            <w:r>
              <w:rPr>
                <w:rFonts w:hint="default" w:ascii="Times New Roman" w:hAnsi="Times New Roman" w:eastAsia="Times New Roman" w:cs="Times New Roman"/>
                <w:snapToGrid w:val="0"/>
                <w:color w:val="auto"/>
                <w:kern w:val="0"/>
                <w:sz w:val="18"/>
                <w:szCs w:val="24"/>
                <w:highlight w:val="none"/>
              </w:rPr>
              <w:t>A</w:t>
            </w:r>
            <w:r>
              <w:rPr>
                <w:rFonts w:hint="default" w:ascii="Times New Roman" w:hAnsi="Times New Roman" w:eastAsia="宋体" w:cs="Times New Roman"/>
                <w:snapToGrid w:val="0"/>
                <w:color w:val="auto"/>
                <w:kern w:val="0"/>
                <w:sz w:val="18"/>
                <w:szCs w:val="24"/>
                <w:highlight w:val="none"/>
              </w:rPr>
              <w:t>声级□    计权等效连续感觉噪声级□</w:t>
            </w:r>
          </w:p>
        </w:tc>
      </w:tr>
      <w:tr w14:paraId="0AE56C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553" w:type="pct"/>
            <w:vMerge w:val="continue"/>
            <w:noWrap w:val="0"/>
            <w:vAlign w:val="center"/>
          </w:tcPr>
          <w:p w14:paraId="0EA08CCE">
            <w:pPr>
              <w:kinsoku w:val="0"/>
              <w:overflowPunct w:val="0"/>
              <w:autoSpaceDE w:val="0"/>
              <w:autoSpaceDN w:val="0"/>
              <w:adjustRightInd/>
              <w:snapToGrid/>
              <w:spacing w:after="0" w:line="240" w:lineRule="auto"/>
              <w:ind w:left="299" w:firstLine="0" w:firstLineChars="0"/>
              <w:jc w:val="center"/>
              <w:rPr>
                <w:rFonts w:hint="default" w:ascii="Times New Roman" w:hAnsi="Times New Roman" w:eastAsia="宋体" w:cs="Times New Roman"/>
                <w:snapToGrid w:val="0"/>
                <w:color w:val="auto"/>
                <w:kern w:val="0"/>
                <w:sz w:val="24"/>
                <w:szCs w:val="24"/>
                <w:highlight w:val="none"/>
              </w:rPr>
            </w:pPr>
          </w:p>
        </w:tc>
        <w:tc>
          <w:tcPr>
            <w:tcW w:w="976" w:type="pct"/>
            <w:noWrap w:val="0"/>
            <w:vAlign w:val="center"/>
          </w:tcPr>
          <w:p w14:paraId="0C908717">
            <w:pPr>
              <w:kinsoku w:val="0"/>
              <w:overflowPunct w:val="0"/>
              <w:autoSpaceDE w:val="0"/>
              <w:autoSpaceDN w:val="0"/>
              <w:adjustRightInd/>
              <w:snapToGrid/>
              <w:spacing w:after="0" w:line="240" w:lineRule="auto"/>
              <w:ind w:right="3"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厂界噪声贡献值</w:t>
            </w:r>
          </w:p>
        </w:tc>
        <w:tc>
          <w:tcPr>
            <w:tcW w:w="3470" w:type="pct"/>
            <w:gridSpan w:val="8"/>
            <w:noWrap w:val="0"/>
            <w:vAlign w:val="center"/>
          </w:tcPr>
          <w:p w14:paraId="52752910">
            <w:pPr>
              <w:kinsoku w:val="0"/>
              <w:overflowPunct w:val="0"/>
              <w:autoSpaceDE w:val="0"/>
              <w:autoSpaceDN w:val="0"/>
              <w:adjustRightInd/>
              <w:snapToGrid/>
              <w:spacing w:after="0" w:line="240" w:lineRule="auto"/>
              <w:ind w:left="206"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达标</w:t>
            </w:r>
            <w:r>
              <w:rPr>
                <w:rFonts w:hint="default" w:ascii="Times New Roman" w:hAnsi="Times New Roman" w:eastAsia="宋体" w:cs="Times New Roman"/>
                <w:snapToGrid w:val="0"/>
                <w:color w:val="auto"/>
                <w:spacing w:val="1"/>
                <w:kern w:val="0"/>
                <w:sz w:val="18"/>
                <w:szCs w:val="24"/>
                <w:highlight w:val="none"/>
              </w:rPr>
              <w:t xml:space="preserve"> </w:t>
            </w:r>
            <w:r>
              <w:rPr>
                <w:rFonts w:hint="default" w:ascii="Times New Roman" w:hAnsi="Times New Roman" w:eastAsia="宋体" w:cs="Times New Roman"/>
                <w:snapToGrid w:val="0"/>
                <w:color w:val="auto"/>
                <w:kern w:val="0"/>
                <w:sz w:val="18"/>
                <w:szCs w:val="24"/>
                <w:highlight w:val="none"/>
              </w:rPr>
              <w:sym w:font="Wingdings 2" w:char="0052"/>
            </w:r>
            <w:r>
              <w:rPr>
                <w:rFonts w:hint="default" w:ascii="Times New Roman" w:hAnsi="Times New Roman" w:eastAsia="宋体" w:cs="Times New Roman"/>
                <w:snapToGrid w:val="0"/>
                <w:color w:val="auto"/>
                <w:kern w:val="0"/>
                <w:sz w:val="18"/>
                <w:szCs w:val="24"/>
                <w:highlight w:val="none"/>
              </w:rPr>
              <w:t xml:space="preserve">                  不达标□</w:t>
            </w:r>
          </w:p>
        </w:tc>
      </w:tr>
      <w:tr w14:paraId="6E3412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553" w:type="pct"/>
            <w:vMerge w:val="continue"/>
            <w:noWrap w:val="0"/>
            <w:vAlign w:val="center"/>
          </w:tcPr>
          <w:p w14:paraId="6D646FEE">
            <w:pPr>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p>
        </w:tc>
        <w:tc>
          <w:tcPr>
            <w:tcW w:w="976" w:type="pct"/>
            <w:noWrap w:val="0"/>
            <w:vAlign w:val="center"/>
          </w:tcPr>
          <w:p w14:paraId="38744198">
            <w:pPr>
              <w:kinsoku w:val="0"/>
              <w:overflowPunct w:val="0"/>
              <w:autoSpaceDE w:val="0"/>
              <w:autoSpaceDN w:val="0"/>
              <w:adjustRightInd/>
              <w:snapToGrid/>
              <w:spacing w:after="0" w:line="240" w:lineRule="auto"/>
              <w:ind w:right="3"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声环境保护目标处噪声值</w:t>
            </w:r>
          </w:p>
        </w:tc>
        <w:tc>
          <w:tcPr>
            <w:tcW w:w="3470" w:type="pct"/>
            <w:gridSpan w:val="8"/>
            <w:noWrap w:val="0"/>
            <w:vAlign w:val="center"/>
          </w:tcPr>
          <w:p w14:paraId="56DD8392">
            <w:pPr>
              <w:kinsoku w:val="0"/>
              <w:overflowPunct w:val="0"/>
              <w:autoSpaceDE w:val="0"/>
              <w:autoSpaceDN w:val="0"/>
              <w:adjustRightInd/>
              <w:snapToGrid/>
              <w:spacing w:after="0" w:line="240" w:lineRule="auto"/>
              <w:ind w:left="252"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达标</w:t>
            </w:r>
            <w:r>
              <w:rPr>
                <w:rFonts w:hint="default" w:ascii="Times New Roman" w:hAnsi="Times New Roman" w:eastAsia="宋体" w:cs="Times New Roman"/>
                <w:snapToGrid w:val="0"/>
                <w:color w:val="auto"/>
                <w:kern w:val="0"/>
                <w:sz w:val="18"/>
                <w:szCs w:val="24"/>
                <w:highlight w:val="none"/>
              </w:rPr>
              <w:sym w:font="Wingdings 2" w:char="0052"/>
            </w:r>
            <w:r>
              <w:rPr>
                <w:rFonts w:hint="default" w:ascii="Times New Roman" w:hAnsi="Times New Roman" w:eastAsia="宋体" w:cs="Times New Roman"/>
                <w:snapToGrid w:val="0"/>
                <w:color w:val="auto"/>
                <w:kern w:val="0"/>
                <w:sz w:val="18"/>
                <w:szCs w:val="24"/>
                <w:highlight w:val="none"/>
              </w:rPr>
              <w:t xml:space="preserve">             不达标□</w:t>
            </w:r>
          </w:p>
        </w:tc>
      </w:tr>
      <w:tr w14:paraId="0D94DB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553" w:type="pct"/>
            <w:vMerge w:val="restart"/>
            <w:noWrap w:val="0"/>
            <w:vAlign w:val="center"/>
          </w:tcPr>
          <w:p w14:paraId="6C9233C0">
            <w:pPr>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12"/>
                <w:szCs w:val="24"/>
                <w:highlight w:val="none"/>
              </w:rPr>
            </w:pPr>
          </w:p>
          <w:p w14:paraId="3858CCDB">
            <w:pPr>
              <w:kinsoku w:val="0"/>
              <w:overflowPunct w:val="0"/>
              <w:autoSpaceDE w:val="0"/>
              <w:autoSpaceDN w:val="0"/>
              <w:adjustRightInd/>
              <w:snapToGrid/>
              <w:spacing w:after="0" w:line="240" w:lineRule="auto"/>
              <w:jc w:val="both"/>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环境监测计划</w:t>
            </w:r>
          </w:p>
        </w:tc>
        <w:tc>
          <w:tcPr>
            <w:tcW w:w="976" w:type="pct"/>
            <w:noWrap w:val="0"/>
            <w:vAlign w:val="center"/>
          </w:tcPr>
          <w:p w14:paraId="0D84B928">
            <w:pPr>
              <w:kinsoku w:val="0"/>
              <w:overflowPunct w:val="0"/>
              <w:autoSpaceDE w:val="0"/>
              <w:autoSpaceDN w:val="0"/>
              <w:adjustRightInd/>
              <w:snapToGrid/>
              <w:spacing w:after="0" w:line="240" w:lineRule="auto"/>
              <w:ind w:left="140" w:right="143"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排放监测</w:t>
            </w:r>
          </w:p>
        </w:tc>
        <w:tc>
          <w:tcPr>
            <w:tcW w:w="3470" w:type="pct"/>
            <w:gridSpan w:val="8"/>
            <w:noWrap w:val="0"/>
            <w:vAlign w:val="center"/>
          </w:tcPr>
          <w:p w14:paraId="332EE252">
            <w:pPr>
              <w:tabs>
                <w:tab w:val="left" w:pos="1606"/>
              </w:tabs>
              <w:kinsoku w:val="0"/>
              <w:overflowPunct w:val="0"/>
              <w:autoSpaceDE w:val="0"/>
              <w:autoSpaceDN w:val="0"/>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厂界监测</w:t>
            </w:r>
            <w:r>
              <w:rPr>
                <w:rFonts w:hint="default" w:ascii="Times New Roman" w:hAnsi="Times New Roman" w:eastAsia="宋体" w:cs="Times New Roman"/>
                <w:snapToGrid w:val="0"/>
                <w:color w:val="auto"/>
                <w:kern w:val="0"/>
                <w:sz w:val="18"/>
                <w:szCs w:val="24"/>
                <w:highlight w:val="none"/>
              </w:rPr>
              <w:sym w:font="Wingdings 2" w:char="0052"/>
            </w:r>
            <w:r>
              <w:rPr>
                <w:rFonts w:hint="default" w:ascii="Times New Roman" w:hAnsi="Times New Roman" w:eastAsia="宋体" w:cs="Times New Roman"/>
                <w:snapToGrid w:val="0"/>
                <w:color w:val="auto"/>
                <w:kern w:val="0"/>
                <w:sz w:val="18"/>
                <w:szCs w:val="24"/>
                <w:highlight w:val="none"/>
              </w:rPr>
              <w:t xml:space="preserve">  固定位置监</w:t>
            </w:r>
            <w:r>
              <w:rPr>
                <w:rFonts w:hint="default" w:ascii="Times New Roman" w:hAnsi="Times New Roman" w:eastAsia="宋体" w:cs="Times New Roman"/>
                <w:snapToGrid w:val="0"/>
                <w:color w:val="auto"/>
                <w:spacing w:val="-3"/>
                <w:kern w:val="0"/>
                <w:sz w:val="18"/>
                <w:szCs w:val="24"/>
                <w:highlight w:val="none"/>
              </w:rPr>
              <w:t>测</w:t>
            </w:r>
            <w:r>
              <w:rPr>
                <w:rFonts w:hint="default" w:ascii="Times New Roman" w:hAnsi="Times New Roman" w:eastAsia="宋体" w:cs="Times New Roman"/>
                <w:snapToGrid w:val="0"/>
                <w:color w:val="auto"/>
                <w:kern w:val="0"/>
                <w:sz w:val="18"/>
                <w:szCs w:val="24"/>
                <w:highlight w:val="none"/>
              </w:rPr>
              <w:t>□  自动监测□</w:t>
            </w:r>
            <w:r>
              <w:rPr>
                <w:rFonts w:hint="default" w:ascii="Times New Roman" w:hAnsi="Times New Roman" w:eastAsia="宋体" w:cs="Times New Roman"/>
                <w:snapToGrid w:val="0"/>
                <w:color w:val="auto"/>
                <w:spacing w:val="1"/>
                <w:kern w:val="0"/>
                <w:sz w:val="18"/>
                <w:szCs w:val="24"/>
                <w:highlight w:val="none"/>
              </w:rPr>
              <w:t xml:space="preserve">  </w:t>
            </w:r>
            <w:r>
              <w:rPr>
                <w:rFonts w:hint="default" w:ascii="Times New Roman" w:hAnsi="Times New Roman" w:eastAsia="宋体" w:cs="Times New Roman"/>
                <w:snapToGrid w:val="0"/>
                <w:color w:val="auto"/>
                <w:kern w:val="0"/>
                <w:sz w:val="18"/>
                <w:szCs w:val="24"/>
                <w:highlight w:val="none"/>
              </w:rPr>
              <w:t>手动监测□  无监测□</w:t>
            </w:r>
          </w:p>
        </w:tc>
      </w:tr>
      <w:tr w14:paraId="6636DA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553" w:type="pct"/>
            <w:vMerge w:val="continue"/>
            <w:noWrap w:val="0"/>
            <w:vAlign w:val="center"/>
          </w:tcPr>
          <w:p w14:paraId="0A8F35A8">
            <w:pPr>
              <w:kinsoku w:val="0"/>
              <w:overflowPunct w:val="0"/>
              <w:autoSpaceDE w:val="0"/>
              <w:autoSpaceDN w:val="0"/>
              <w:adjustRightInd/>
              <w:snapToGrid/>
              <w:spacing w:after="0" w:line="240" w:lineRule="auto"/>
              <w:ind w:left="299" w:firstLine="0" w:firstLineChars="0"/>
              <w:jc w:val="center"/>
              <w:rPr>
                <w:rFonts w:hint="default" w:ascii="Times New Roman" w:hAnsi="Times New Roman" w:eastAsia="宋体" w:cs="Times New Roman"/>
                <w:snapToGrid w:val="0"/>
                <w:color w:val="auto"/>
                <w:kern w:val="0"/>
                <w:sz w:val="24"/>
                <w:szCs w:val="24"/>
                <w:highlight w:val="none"/>
              </w:rPr>
            </w:pPr>
          </w:p>
        </w:tc>
        <w:tc>
          <w:tcPr>
            <w:tcW w:w="976" w:type="pct"/>
            <w:noWrap w:val="0"/>
            <w:vAlign w:val="center"/>
          </w:tcPr>
          <w:p w14:paraId="52811D7B">
            <w:pPr>
              <w:kinsoku w:val="0"/>
              <w:overflowPunct w:val="0"/>
              <w:autoSpaceDE w:val="0"/>
              <w:autoSpaceDN w:val="0"/>
              <w:adjustRightInd/>
              <w:snapToGrid/>
              <w:spacing w:after="0" w:line="240" w:lineRule="auto"/>
              <w:ind w:firstLine="36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声环境保护目标处噪声监测</w:t>
            </w:r>
          </w:p>
        </w:tc>
        <w:tc>
          <w:tcPr>
            <w:tcW w:w="1217" w:type="pct"/>
            <w:gridSpan w:val="3"/>
            <w:noWrap w:val="0"/>
            <w:vAlign w:val="center"/>
          </w:tcPr>
          <w:p w14:paraId="178057E3">
            <w:pPr>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监测因子</w:t>
            </w:r>
            <w:r>
              <w:rPr>
                <w:rFonts w:hint="default" w:ascii="Times New Roman" w:hAnsi="Times New Roman" w:eastAsia="宋体" w:cs="Times New Roman"/>
                <w:snapToGrid w:val="0"/>
                <w:color w:val="auto"/>
                <w:spacing w:val="-92"/>
                <w:kern w:val="0"/>
                <w:sz w:val="18"/>
                <w:szCs w:val="24"/>
                <w:highlight w:val="none"/>
              </w:rPr>
              <w:t>：</w:t>
            </w:r>
            <w:r>
              <w:rPr>
                <w:rFonts w:hint="default" w:ascii="Times New Roman" w:hAnsi="Times New Roman" w:eastAsia="宋体" w:cs="Times New Roman"/>
                <w:snapToGrid w:val="0"/>
                <w:color w:val="auto"/>
                <w:kern w:val="0"/>
                <w:sz w:val="18"/>
                <w:szCs w:val="24"/>
                <w:highlight w:val="none"/>
              </w:rPr>
              <w:t>（</w:t>
            </w:r>
            <w:r>
              <w:rPr>
                <w:rFonts w:hint="default" w:ascii="Times New Roman" w:hAnsi="Times New Roman" w:eastAsia="宋体" w:cs="Times New Roman"/>
                <w:snapToGrid w:val="0"/>
                <w:color w:val="auto"/>
                <w:kern w:val="0"/>
                <w:sz w:val="18"/>
                <w:szCs w:val="24"/>
                <w:highlight w:val="none"/>
                <w:lang w:val="en-US" w:eastAsia="zh-CN"/>
              </w:rPr>
              <w:t xml:space="preserve">  </w:t>
            </w:r>
            <w:r>
              <w:rPr>
                <w:rFonts w:hint="default" w:ascii="Times New Roman" w:hAnsi="Times New Roman" w:eastAsia="宋体" w:cs="Times New Roman"/>
                <w:snapToGrid w:val="0"/>
                <w:color w:val="auto"/>
                <w:kern w:val="0"/>
                <w:sz w:val="18"/>
                <w:szCs w:val="24"/>
                <w:highlight w:val="none"/>
              </w:rPr>
              <w:t>）</w:t>
            </w:r>
          </w:p>
        </w:tc>
        <w:tc>
          <w:tcPr>
            <w:tcW w:w="1116" w:type="pct"/>
            <w:gridSpan w:val="3"/>
            <w:noWrap w:val="0"/>
            <w:vAlign w:val="center"/>
          </w:tcPr>
          <w:p w14:paraId="0B41BDEF">
            <w:pPr>
              <w:tabs>
                <w:tab w:val="left" w:pos="1753"/>
              </w:tabs>
              <w:kinsoku w:val="0"/>
              <w:overflowPunct w:val="0"/>
              <w:autoSpaceDE w:val="0"/>
              <w:autoSpaceDN w:val="0"/>
              <w:adjustRightInd/>
              <w:snapToGrid/>
              <w:spacing w:after="0" w:line="240" w:lineRule="auto"/>
              <w:ind w:left="219"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监测点位数（  ）</w:t>
            </w:r>
          </w:p>
        </w:tc>
        <w:tc>
          <w:tcPr>
            <w:tcW w:w="1135" w:type="pct"/>
            <w:gridSpan w:val="2"/>
            <w:noWrap w:val="0"/>
            <w:vAlign w:val="center"/>
          </w:tcPr>
          <w:p w14:paraId="1952089B">
            <w:pPr>
              <w:kinsoku w:val="0"/>
              <w:overflowPunct w:val="0"/>
              <w:autoSpaceDE w:val="0"/>
              <w:autoSpaceDN w:val="0"/>
              <w:adjustRightInd/>
              <w:snapToGrid/>
              <w:spacing w:after="0" w:line="240" w:lineRule="auto"/>
              <w:ind w:left="303"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无监测</w:t>
            </w:r>
            <w:r>
              <w:rPr>
                <w:rFonts w:hint="default" w:ascii="Times New Roman" w:hAnsi="Times New Roman" w:eastAsia="宋体" w:cs="Times New Roman"/>
                <w:snapToGrid w:val="0"/>
                <w:color w:val="auto"/>
                <w:kern w:val="0"/>
                <w:sz w:val="18"/>
                <w:szCs w:val="24"/>
                <w:highlight w:val="none"/>
              </w:rPr>
              <w:sym w:font="Wingdings 2" w:char="0052"/>
            </w:r>
          </w:p>
        </w:tc>
      </w:tr>
      <w:tr w14:paraId="1820A7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553" w:type="pct"/>
            <w:noWrap w:val="0"/>
            <w:vAlign w:val="center"/>
          </w:tcPr>
          <w:p w14:paraId="7A0DF2AE">
            <w:pPr>
              <w:kinsoku w:val="0"/>
              <w:overflowPunct w:val="0"/>
              <w:autoSpaceDE w:val="0"/>
              <w:autoSpaceDN w:val="0"/>
              <w:adjustRightInd/>
              <w:snapToGrid/>
              <w:spacing w:after="0" w:line="240" w:lineRule="auto"/>
              <w:ind w:firstLine="36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评价结论</w:t>
            </w:r>
          </w:p>
        </w:tc>
        <w:tc>
          <w:tcPr>
            <w:tcW w:w="976" w:type="pct"/>
            <w:noWrap w:val="0"/>
            <w:vAlign w:val="center"/>
          </w:tcPr>
          <w:p w14:paraId="562BC1EC">
            <w:pPr>
              <w:kinsoku w:val="0"/>
              <w:overflowPunct w:val="0"/>
              <w:autoSpaceDE w:val="0"/>
              <w:autoSpaceDN w:val="0"/>
              <w:adjustRightInd/>
              <w:snapToGrid/>
              <w:spacing w:after="0" w:line="240" w:lineRule="auto"/>
              <w:ind w:left="339"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环境影响</w:t>
            </w:r>
          </w:p>
        </w:tc>
        <w:tc>
          <w:tcPr>
            <w:tcW w:w="3470" w:type="pct"/>
            <w:gridSpan w:val="8"/>
            <w:noWrap w:val="0"/>
            <w:vAlign w:val="center"/>
          </w:tcPr>
          <w:p w14:paraId="74A010ED">
            <w:pPr>
              <w:adjustRightInd/>
              <w:snapToGrid/>
              <w:spacing w:after="0" w:line="240" w:lineRule="auto"/>
              <w:ind w:firstLine="0" w:firstLineChars="0"/>
              <w:jc w:val="center"/>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可行</w:t>
            </w:r>
            <w:r>
              <w:rPr>
                <w:rFonts w:hint="default" w:ascii="Times New Roman" w:hAnsi="Times New Roman" w:eastAsia="宋体" w:cs="Times New Roman"/>
                <w:snapToGrid w:val="0"/>
                <w:color w:val="auto"/>
                <w:kern w:val="0"/>
                <w:sz w:val="18"/>
                <w:szCs w:val="24"/>
                <w:highlight w:val="none"/>
              </w:rPr>
              <w:sym w:font="Wingdings 2" w:char="0052"/>
            </w:r>
            <w:r>
              <w:rPr>
                <w:rFonts w:hint="default" w:ascii="Times New Roman" w:hAnsi="Times New Roman" w:eastAsia="宋体" w:cs="Times New Roman"/>
                <w:snapToGrid w:val="0"/>
                <w:color w:val="auto"/>
                <w:kern w:val="0"/>
                <w:sz w:val="18"/>
                <w:szCs w:val="24"/>
                <w:highlight w:val="none"/>
              </w:rPr>
              <w:t xml:space="preserve">                          </w:t>
            </w:r>
            <w:r>
              <w:rPr>
                <w:rFonts w:hint="default" w:ascii="Times New Roman" w:hAnsi="Times New Roman" w:eastAsia="宋体" w:cs="Times New Roman"/>
                <w:snapToGrid w:val="0"/>
                <w:color w:val="auto"/>
                <w:kern w:val="0"/>
                <w:sz w:val="18"/>
                <w:szCs w:val="24"/>
                <w:highlight w:val="none"/>
              </w:rPr>
              <w:tab/>
            </w:r>
            <w:r>
              <w:rPr>
                <w:rFonts w:hint="default" w:ascii="Times New Roman" w:hAnsi="Times New Roman" w:eastAsia="宋体" w:cs="Times New Roman"/>
                <w:snapToGrid w:val="0"/>
                <w:color w:val="auto"/>
                <w:kern w:val="0"/>
                <w:sz w:val="18"/>
                <w:szCs w:val="24"/>
                <w:highlight w:val="none"/>
              </w:rPr>
              <w:t>不可行□</w:t>
            </w:r>
          </w:p>
        </w:tc>
      </w:tr>
      <w:tr w14:paraId="742EBF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54" w:hRule="atLeast"/>
        </w:trPr>
        <w:tc>
          <w:tcPr>
            <w:tcW w:w="5000" w:type="pct"/>
            <w:gridSpan w:val="10"/>
            <w:noWrap w:val="0"/>
            <w:vAlign w:val="top"/>
          </w:tcPr>
          <w:p w14:paraId="175E160E">
            <w:pPr>
              <w:tabs>
                <w:tab w:val="left" w:pos="3064"/>
              </w:tabs>
              <w:kinsoku w:val="0"/>
              <w:overflowPunct w:val="0"/>
              <w:autoSpaceDE w:val="0"/>
              <w:autoSpaceDN w:val="0"/>
              <w:adjustRightInd/>
              <w:snapToGrid/>
              <w:spacing w:after="0" w:line="240" w:lineRule="auto"/>
              <w:ind w:left="90" w:firstLine="0" w:firstLineChars="0"/>
              <w:jc w:val="left"/>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18"/>
                <w:szCs w:val="24"/>
                <w:highlight w:val="none"/>
              </w:rPr>
              <w:t>注</w:t>
            </w:r>
            <w:r>
              <w:rPr>
                <w:rFonts w:hint="default" w:ascii="Times New Roman" w:hAnsi="Times New Roman" w:eastAsia="宋体" w:cs="Times New Roman"/>
                <w:snapToGrid w:val="0"/>
                <w:color w:val="auto"/>
                <w:spacing w:val="-92"/>
                <w:kern w:val="0"/>
                <w:sz w:val="18"/>
                <w:szCs w:val="24"/>
                <w:highlight w:val="none"/>
              </w:rPr>
              <w:t>：</w:t>
            </w:r>
            <w:r>
              <w:rPr>
                <w:rFonts w:hint="default" w:ascii="Times New Roman" w:hAnsi="Times New Roman" w:eastAsia="宋体" w:cs="Times New Roman"/>
                <w:snapToGrid w:val="0"/>
                <w:color w:val="auto"/>
                <w:kern w:val="0"/>
                <w:sz w:val="18"/>
                <w:szCs w:val="24"/>
                <w:highlight w:val="none"/>
              </w:rPr>
              <w:t>“□”为勾选项</w:t>
            </w:r>
            <w:r>
              <w:rPr>
                <w:rFonts w:hint="default" w:ascii="Times New Roman" w:hAnsi="Times New Roman" w:eastAsia="宋体" w:cs="Times New Roman"/>
                <w:snapToGrid w:val="0"/>
                <w:color w:val="auto"/>
                <w:spacing w:val="1"/>
                <w:kern w:val="0"/>
                <w:sz w:val="18"/>
                <w:szCs w:val="24"/>
                <w:highlight w:val="none"/>
              </w:rPr>
              <w:t xml:space="preserve"> </w:t>
            </w:r>
            <w:r>
              <w:rPr>
                <w:rFonts w:hint="default" w:ascii="Times New Roman" w:hAnsi="Times New Roman" w:eastAsia="宋体" w:cs="Times New Roman"/>
                <w:snapToGrid w:val="0"/>
                <w:color w:val="auto"/>
                <w:kern w:val="0"/>
                <w:sz w:val="18"/>
                <w:szCs w:val="24"/>
                <w:highlight w:val="none"/>
              </w:rPr>
              <w:t>，可√</w:t>
            </w:r>
            <w:r>
              <w:rPr>
                <w:rFonts w:hint="default" w:ascii="Times New Roman" w:hAnsi="Times New Roman" w:eastAsia="宋体" w:cs="Times New Roman"/>
                <w:snapToGrid w:val="0"/>
                <w:color w:val="auto"/>
                <w:spacing w:val="1"/>
                <w:kern w:val="0"/>
                <w:sz w:val="18"/>
                <w:szCs w:val="24"/>
                <w:highlight w:val="none"/>
              </w:rPr>
              <w:t xml:space="preserve"> </w:t>
            </w:r>
            <w:r>
              <w:rPr>
                <w:rFonts w:hint="default" w:ascii="Times New Roman" w:hAnsi="Times New Roman" w:eastAsia="宋体" w:cs="Times New Roman"/>
                <w:snapToGrid w:val="0"/>
                <w:color w:val="auto"/>
                <w:spacing w:val="-92"/>
                <w:kern w:val="0"/>
                <w:sz w:val="18"/>
                <w:szCs w:val="24"/>
                <w:highlight w:val="none"/>
              </w:rPr>
              <w:t>；“</w:t>
            </w:r>
            <w:r>
              <w:rPr>
                <w:rFonts w:hint="default" w:ascii="Times New Roman" w:hAnsi="Times New Roman" w:eastAsia="宋体" w:cs="Times New Roman"/>
                <w:snapToGrid w:val="0"/>
                <w:color w:val="auto"/>
                <w:kern w:val="0"/>
                <w:sz w:val="18"/>
                <w:szCs w:val="24"/>
                <w:highlight w:val="none"/>
              </w:rPr>
              <w:t>“（）”</w:t>
            </w:r>
            <w:r>
              <w:rPr>
                <w:rFonts w:hint="default" w:ascii="Times New Roman" w:hAnsi="Times New Roman" w:eastAsia="宋体" w:cs="Times New Roman"/>
                <w:snapToGrid w:val="0"/>
                <w:color w:val="auto"/>
                <w:spacing w:val="1"/>
                <w:kern w:val="0"/>
                <w:sz w:val="18"/>
                <w:szCs w:val="24"/>
                <w:highlight w:val="none"/>
              </w:rPr>
              <w:t xml:space="preserve"> </w:t>
            </w:r>
            <w:r>
              <w:rPr>
                <w:rFonts w:hint="default" w:ascii="Times New Roman" w:hAnsi="Times New Roman" w:eastAsia="宋体" w:cs="Times New Roman"/>
                <w:snapToGrid w:val="0"/>
                <w:color w:val="auto"/>
                <w:kern w:val="0"/>
                <w:sz w:val="18"/>
                <w:szCs w:val="24"/>
                <w:highlight w:val="none"/>
              </w:rPr>
              <w:t>为内容填写项。</w:t>
            </w:r>
          </w:p>
        </w:tc>
      </w:tr>
    </w:tbl>
    <w:p w14:paraId="39949B7D">
      <w:pPr>
        <w:adjustRightInd/>
        <w:snapToGrid/>
        <w:spacing w:after="0" w:line="240" w:lineRule="auto"/>
        <w:ind w:firstLine="0" w:firstLineChars="0"/>
        <w:rPr>
          <w:rFonts w:hint="default" w:ascii="Times New Roman" w:hAnsi="Times New Roman" w:eastAsia="宋体" w:cs="Times New Roman"/>
          <w:snapToGrid w:val="0"/>
          <w:color w:val="FF0000"/>
          <w:kern w:val="2"/>
          <w:sz w:val="21"/>
          <w:szCs w:val="22"/>
          <w:highlight w:val="none"/>
        </w:rPr>
      </w:pPr>
    </w:p>
    <w:p w14:paraId="66ACE994">
      <w:pPr>
        <w:rPr>
          <w:rFonts w:hint="default" w:ascii="Times New Roman" w:hAnsi="Times New Roman" w:cs="Times New Roman"/>
          <w:color w:val="FF0000"/>
          <w:highlight w:val="none"/>
        </w:rPr>
        <w:sectPr>
          <w:footerReference r:id="rId18" w:type="default"/>
          <w:pgSz w:w="11906" w:h="16838"/>
          <w:pgMar w:top="1440" w:right="1797" w:bottom="1440" w:left="1797" w:header="1021" w:footer="1021" w:gutter="0"/>
          <w:pgBorders>
            <w:top w:val="none" w:sz="0" w:space="0"/>
            <w:left w:val="none" w:sz="0" w:space="0"/>
            <w:bottom w:val="none" w:sz="0" w:space="0"/>
            <w:right w:val="none" w:sz="0" w:space="0"/>
          </w:pgBorders>
          <w:cols w:space="720" w:num="1"/>
          <w:docGrid w:linePitch="326" w:charSpace="0"/>
        </w:sectPr>
      </w:pPr>
    </w:p>
    <w:p w14:paraId="479E2AD8">
      <w:pPr>
        <w:keepNext w:val="0"/>
        <w:keepLines w:val="0"/>
        <w:pageBreakBefore w:val="0"/>
        <w:widowControl/>
        <w:kinsoku w:val="0"/>
        <w:wordWrap/>
        <w:overflowPunct/>
        <w:topLinePunct w:val="0"/>
        <w:autoSpaceDE w:val="0"/>
        <w:autoSpaceDN w:val="0"/>
        <w:bidi w:val="0"/>
        <w:adjustRightInd/>
        <w:snapToGrid/>
        <w:spacing w:after="0"/>
        <w:ind w:left="0" w:firstLine="0"/>
        <w:jc w:val="center"/>
        <w:textAlignment w:val="baseline"/>
        <w:outlineLvl w:val="0"/>
        <w:rPr>
          <w:rFonts w:hint="default" w:ascii="Times New Roman" w:hAnsi="Times New Roman" w:eastAsia="宋体" w:cs="Times New Roman"/>
          <w:b/>
          <w:smallCaps/>
          <w:snapToGrid w:val="0"/>
          <w:color w:val="auto"/>
          <w:kern w:val="2"/>
          <w:sz w:val="21"/>
          <w:szCs w:val="21"/>
          <w:highlight w:val="none"/>
        </w:rPr>
      </w:pPr>
      <w:bookmarkStart w:id="107" w:name="_Toc18510"/>
      <w:bookmarkStart w:id="108" w:name="_Toc3754"/>
      <w:r>
        <w:rPr>
          <w:rFonts w:hint="default" w:ascii="Times New Roman" w:hAnsi="Times New Roman" w:eastAsia="宋体" w:cs="Times New Roman"/>
          <w:b/>
          <w:smallCaps/>
          <w:snapToGrid w:val="0"/>
          <w:color w:val="auto"/>
          <w:kern w:val="2"/>
          <w:sz w:val="21"/>
          <w:szCs w:val="21"/>
          <w:highlight w:val="none"/>
        </w:rPr>
        <w:t>附表6  生态环境影响评价自查表</w:t>
      </w:r>
      <w:bookmarkEnd w:id="107"/>
      <w:bookmarkEnd w:id="108"/>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7"/>
        <w:gridCol w:w="1028"/>
        <w:gridCol w:w="6477"/>
      </w:tblGrid>
      <w:tr w14:paraId="7463F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00" w:type="pct"/>
            <w:gridSpan w:val="2"/>
            <w:noWrap w:val="0"/>
            <w:vAlign w:val="center"/>
          </w:tcPr>
          <w:p w14:paraId="2526AA6D">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工作内容</w:t>
            </w:r>
          </w:p>
        </w:tc>
        <w:tc>
          <w:tcPr>
            <w:tcW w:w="3800" w:type="pct"/>
            <w:noWrap w:val="0"/>
            <w:vAlign w:val="center"/>
          </w:tcPr>
          <w:p w14:paraId="7E0C8D5C">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自查项目</w:t>
            </w:r>
          </w:p>
        </w:tc>
      </w:tr>
      <w:tr w14:paraId="5F844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97" w:type="pct"/>
            <w:vMerge w:val="restart"/>
            <w:noWrap w:val="0"/>
            <w:vAlign w:val="center"/>
          </w:tcPr>
          <w:p w14:paraId="14DDEDA5">
            <w:pPr>
              <w:pStyle w:val="99"/>
              <w:widowControl/>
              <w:autoSpaceDE/>
              <w:autoSpaceDN/>
              <w:adjustRightInd/>
              <w:snapToGrid/>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生态影响识别</w:t>
            </w:r>
          </w:p>
        </w:tc>
        <w:tc>
          <w:tcPr>
            <w:tcW w:w="603" w:type="pct"/>
            <w:noWrap w:val="0"/>
            <w:vAlign w:val="center"/>
          </w:tcPr>
          <w:p w14:paraId="52F05053">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生态保护目标</w:t>
            </w:r>
          </w:p>
        </w:tc>
        <w:tc>
          <w:tcPr>
            <w:tcW w:w="3800" w:type="pct"/>
            <w:noWrap w:val="0"/>
            <w:vAlign w:val="center"/>
          </w:tcPr>
          <w:p w14:paraId="099477E9">
            <w:pPr>
              <w:pStyle w:val="99"/>
              <w:widowControl/>
              <w:autoSpaceDE/>
              <w:autoSpaceDN/>
              <w:adjustRightInd/>
              <w:snapToGrid/>
              <w:spacing w:after="0"/>
              <w:jc w:val="both"/>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重要物种□；国家公园□；自然保护区□；自然公园□；世界自然遗产□；生态保护红线□；重要生境□；其他具有重要生态功能、对保护生物多样性具有重要意义的区域□；其他</w:t>
            </w:r>
            <w:r>
              <w:rPr>
                <w:rFonts w:hint="default" w:ascii="Times New Roman" w:hAnsi="Times New Roman" w:eastAsia="宋体" w:cs="Times New Roman"/>
                <w:snapToGrid w:val="0"/>
                <w:color w:val="auto"/>
                <w:kern w:val="0"/>
                <w:sz w:val="18"/>
                <w:szCs w:val="18"/>
                <w:highlight w:val="none"/>
              </w:rPr>
              <w:sym w:font="Wingdings 2" w:char="00A3"/>
            </w:r>
          </w:p>
        </w:tc>
      </w:tr>
      <w:tr w14:paraId="7116D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97" w:type="pct"/>
            <w:vMerge w:val="continue"/>
            <w:noWrap w:val="0"/>
            <w:vAlign w:val="center"/>
          </w:tcPr>
          <w:p w14:paraId="2CC36DDC">
            <w:pPr>
              <w:pStyle w:val="99"/>
              <w:widowControl/>
              <w:autoSpaceDE/>
              <w:autoSpaceDN/>
              <w:adjustRightInd/>
              <w:snapToGrid/>
              <w:spacing w:after="0"/>
              <w:jc w:val="center"/>
              <w:rPr>
                <w:rFonts w:hint="default" w:ascii="Times New Roman" w:hAnsi="Times New Roman" w:eastAsia="宋体" w:cs="Times New Roman"/>
                <w:snapToGrid w:val="0"/>
                <w:color w:val="auto"/>
                <w:kern w:val="0"/>
                <w:sz w:val="18"/>
                <w:szCs w:val="18"/>
                <w:highlight w:val="none"/>
              </w:rPr>
            </w:pPr>
          </w:p>
        </w:tc>
        <w:tc>
          <w:tcPr>
            <w:tcW w:w="603" w:type="pct"/>
            <w:noWrap w:val="0"/>
            <w:vAlign w:val="center"/>
          </w:tcPr>
          <w:p w14:paraId="4C989B9F">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影响方式</w:t>
            </w:r>
          </w:p>
        </w:tc>
        <w:tc>
          <w:tcPr>
            <w:tcW w:w="3800" w:type="pct"/>
            <w:noWrap w:val="0"/>
            <w:vAlign w:val="center"/>
          </w:tcPr>
          <w:p w14:paraId="3CDC6469">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工程占用</w:t>
            </w:r>
            <w:r>
              <w:rPr>
                <w:rFonts w:hint="default" w:ascii="Times New Roman" w:hAnsi="Times New Roman" w:eastAsia="宋体" w:cs="Times New Roman"/>
                <w:snapToGrid w:val="0"/>
                <w:color w:val="auto"/>
                <w:kern w:val="0"/>
                <w:sz w:val="18"/>
                <w:szCs w:val="18"/>
                <w:highlight w:val="none"/>
              </w:rPr>
              <w:sym w:font="Wingdings 2" w:char="00A3"/>
            </w:r>
            <w:r>
              <w:rPr>
                <w:rFonts w:hint="default" w:ascii="Times New Roman" w:hAnsi="Times New Roman" w:eastAsia="宋体" w:cs="Times New Roman"/>
                <w:snapToGrid w:val="0"/>
                <w:color w:val="auto"/>
                <w:kern w:val="0"/>
                <w:sz w:val="18"/>
                <w:szCs w:val="18"/>
                <w:highlight w:val="none"/>
              </w:rPr>
              <w:t>；施工活动干扰</w:t>
            </w:r>
            <w:r>
              <w:rPr>
                <w:rFonts w:hint="default" w:ascii="Times New Roman" w:hAnsi="Times New Roman" w:eastAsia="宋体" w:cs="Times New Roman"/>
                <w:snapToGrid w:val="0"/>
                <w:color w:val="auto"/>
                <w:kern w:val="0"/>
                <w:sz w:val="18"/>
                <w:szCs w:val="18"/>
                <w:highlight w:val="none"/>
              </w:rPr>
              <w:sym w:font="Wingdings 2" w:char="00A3"/>
            </w:r>
            <w:r>
              <w:rPr>
                <w:rFonts w:hint="default" w:ascii="Times New Roman" w:hAnsi="Times New Roman" w:eastAsia="宋体" w:cs="Times New Roman"/>
                <w:snapToGrid w:val="0"/>
                <w:color w:val="auto"/>
                <w:kern w:val="0"/>
                <w:sz w:val="18"/>
                <w:szCs w:val="18"/>
                <w:highlight w:val="none"/>
              </w:rPr>
              <w:t>；改变环境条件</w:t>
            </w:r>
            <w:r>
              <w:rPr>
                <w:rFonts w:hint="default" w:ascii="Times New Roman" w:hAnsi="Times New Roman" w:eastAsia="宋体" w:cs="Times New Roman"/>
                <w:snapToGrid w:val="0"/>
                <w:color w:val="auto"/>
                <w:kern w:val="0"/>
                <w:sz w:val="18"/>
                <w:szCs w:val="18"/>
                <w:highlight w:val="none"/>
              </w:rPr>
              <w:sym w:font="Wingdings 2" w:char="00A3"/>
            </w:r>
            <w:r>
              <w:rPr>
                <w:rFonts w:hint="default" w:ascii="Times New Roman" w:hAnsi="Times New Roman" w:eastAsia="宋体" w:cs="Times New Roman"/>
                <w:snapToGrid w:val="0"/>
                <w:color w:val="auto"/>
                <w:kern w:val="0"/>
                <w:sz w:val="18"/>
                <w:szCs w:val="18"/>
                <w:highlight w:val="none"/>
              </w:rPr>
              <w:t>；其他</w:t>
            </w:r>
            <w:r>
              <w:rPr>
                <w:rFonts w:hint="default" w:ascii="Times New Roman" w:hAnsi="Times New Roman" w:eastAsia="宋体" w:cs="Times New Roman"/>
                <w:snapToGrid w:val="0"/>
                <w:color w:val="auto"/>
                <w:kern w:val="0"/>
                <w:sz w:val="18"/>
                <w:szCs w:val="18"/>
                <w:highlight w:val="none"/>
              </w:rPr>
              <w:sym w:font="Wingdings 2" w:char="00A3"/>
            </w:r>
          </w:p>
        </w:tc>
      </w:tr>
      <w:tr w14:paraId="7855E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97" w:type="pct"/>
            <w:vMerge w:val="continue"/>
            <w:noWrap w:val="0"/>
            <w:vAlign w:val="center"/>
          </w:tcPr>
          <w:p w14:paraId="5B4A6F6B">
            <w:pPr>
              <w:pStyle w:val="99"/>
              <w:widowControl/>
              <w:autoSpaceDE/>
              <w:autoSpaceDN/>
              <w:adjustRightInd/>
              <w:snapToGrid/>
              <w:spacing w:after="0"/>
              <w:jc w:val="center"/>
              <w:rPr>
                <w:rFonts w:hint="default" w:ascii="Times New Roman" w:hAnsi="Times New Roman" w:eastAsia="宋体" w:cs="Times New Roman"/>
                <w:snapToGrid w:val="0"/>
                <w:color w:val="auto"/>
                <w:kern w:val="0"/>
                <w:sz w:val="18"/>
                <w:szCs w:val="18"/>
                <w:highlight w:val="none"/>
              </w:rPr>
            </w:pPr>
          </w:p>
        </w:tc>
        <w:tc>
          <w:tcPr>
            <w:tcW w:w="603" w:type="pct"/>
            <w:noWrap w:val="0"/>
            <w:vAlign w:val="center"/>
          </w:tcPr>
          <w:p w14:paraId="15740945">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评价因子</w:t>
            </w:r>
          </w:p>
        </w:tc>
        <w:tc>
          <w:tcPr>
            <w:tcW w:w="3800" w:type="pct"/>
            <w:noWrap w:val="0"/>
            <w:vAlign w:val="center"/>
          </w:tcPr>
          <w:p w14:paraId="219154E6">
            <w:pPr>
              <w:pStyle w:val="99"/>
              <w:widowControl/>
              <w:autoSpaceDE/>
              <w:autoSpaceDN/>
              <w:adjustRightInd/>
              <w:snapToGrid/>
              <w:spacing w:after="0"/>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物种</w:t>
            </w:r>
            <w:r>
              <w:rPr>
                <w:rFonts w:hint="default" w:ascii="Times New Roman" w:hAnsi="Times New Roman" w:eastAsia="宋体" w:cs="Times New Roman"/>
                <w:snapToGrid w:val="0"/>
                <w:color w:val="auto"/>
                <w:kern w:val="0"/>
                <w:sz w:val="18"/>
                <w:szCs w:val="18"/>
                <w:highlight w:val="none"/>
              </w:rPr>
              <w:sym w:font="Wingdings 2" w:char="00A3"/>
            </w:r>
            <w:r>
              <w:rPr>
                <w:rFonts w:hint="default" w:ascii="Times New Roman" w:hAnsi="Times New Roman" w:eastAsia="宋体" w:cs="Times New Roman"/>
                <w:snapToGrid w:val="0"/>
                <w:color w:val="auto"/>
                <w:kern w:val="0"/>
                <w:sz w:val="18"/>
                <w:szCs w:val="18"/>
                <w:highlight w:val="none"/>
              </w:rPr>
              <w:t>（ ）</w:t>
            </w:r>
          </w:p>
          <w:p w14:paraId="1E0E6B70">
            <w:pPr>
              <w:pStyle w:val="99"/>
              <w:widowControl/>
              <w:autoSpaceDE/>
              <w:autoSpaceDN/>
              <w:adjustRightInd/>
              <w:snapToGrid/>
              <w:spacing w:after="0"/>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生境□（ ）</w:t>
            </w:r>
          </w:p>
          <w:p w14:paraId="0822CB7F">
            <w:pPr>
              <w:pStyle w:val="99"/>
              <w:widowControl/>
              <w:autoSpaceDE/>
              <w:autoSpaceDN/>
              <w:adjustRightInd/>
              <w:snapToGrid/>
              <w:spacing w:after="0"/>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生物群落□（ ）</w:t>
            </w:r>
          </w:p>
          <w:p w14:paraId="19A8E5F6">
            <w:pPr>
              <w:pStyle w:val="99"/>
              <w:widowControl/>
              <w:autoSpaceDE/>
              <w:autoSpaceDN/>
              <w:adjustRightInd/>
              <w:snapToGrid/>
              <w:spacing w:after="0"/>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生态系统□（ ）</w:t>
            </w:r>
          </w:p>
          <w:p w14:paraId="72577135">
            <w:pPr>
              <w:pStyle w:val="99"/>
              <w:widowControl/>
              <w:autoSpaceDE/>
              <w:autoSpaceDN/>
              <w:adjustRightInd/>
              <w:snapToGrid/>
              <w:spacing w:after="0"/>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生物多样性□（ ）</w:t>
            </w:r>
          </w:p>
          <w:p w14:paraId="0A3A6B16">
            <w:pPr>
              <w:pStyle w:val="99"/>
              <w:widowControl/>
              <w:autoSpaceDE/>
              <w:autoSpaceDN/>
              <w:adjustRightInd/>
              <w:snapToGrid/>
              <w:spacing w:after="0"/>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生态敏感区□（ ）</w:t>
            </w:r>
          </w:p>
          <w:p w14:paraId="1D7B28CA">
            <w:pPr>
              <w:pStyle w:val="99"/>
              <w:widowControl/>
              <w:autoSpaceDE/>
              <w:autoSpaceDN/>
              <w:adjustRightInd/>
              <w:snapToGrid/>
              <w:spacing w:after="0"/>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自然景观□（ ）</w:t>
            </w:r>
          </w:p>
          <w:p w14:paraId="0EECBAEE">
            <w:pPr>
              <w:pStyle w:val="99"/>
              <w:widowControl/>
              <w:autoSpaceDE/>
              <w:autoSpaceDN/>
              <w:adjustRightInd/>
              <w:snapToGrid/>
              <w:spacing w:after="0"/>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自然遗迹□（ ）</w:t>
            </w:r>
          </w:p>
          <w:p w14:paraId="55D9FC48">
            <w:pPr>
              <w:pStyle w:val="99"/>
              <w:widowControl/>
              <w:autoSpaceDE/>
              <w:autoSpaceDN/>
              <w:adjustRightInd/>
              <w:snapToGrid w:val="0"/>
              <w:spacing w:after="0"/>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其他□（ ）</w:t>
            </w:r>
          </w:p>
        </w:tc>
      </w:tr>
      <w:tr w14:paraId="16A97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00" w:type="pct"/>
            <w:gridSpan w:val="2"/>
            <w:noWrap w:val="0"/>
            <w:vAlign w:val="center"/>
          </w:tcPr>
          <w:p w14:paraId="04FE2AEA">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评价等级</w:t>
            </w:r>
          </w:p>
        </w:tc>
        <w:tc>
          <w:tcPr>
            <w:tcW w:w="3800" w:type="pct"/>
            <w:noWrap w:val="0"/>
            <w:vAlign w:val="center"/>
          </w:tcPr>
          <w:p w14:paraId="6FBB0F29">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一级□ 二级□ 三级</w:t>
            </w:r>
            <w:r>
              <w:rPr>
                <w:rFonts w:hint="eastAsia" w:cs="Times New Roman"/>
                <w:snapToGrid w:val="0"/>
                <w:color w:val="auto"/>
                <w:kern w:val="0"/>
                <w:sz w:val="18"/>
                <w:szCs w:val="18"/>
                <w:highlight w:val="none"/>
                <w:lang w:eastAsia="zh-CN"/>
              </w:rPr>
              <w:t>☑</w:t>
            </w:r>
            <w:r>
              <w:rPr>
                <w:rFonts w:hint="default" w:ascii="Times New Roman" w:hAnsi="Times New Roman" w:eastAsia="宋体" w:cs="Times New Roman"/>
                <w:snapToGrid w:val="0"/>
                <w:color w:val="auto"/>
                <w:kern w:val="0"/>
                <w:sz w:val="18"/>
                <w:szCs w:val="18"/>
                <w:highlight w:val="none"/>
              </w:rPr>
              <w:t xml:space="preserve"> 生态影响简单分析</w:t>
            </w:r>
            <w:r>
              <w:rPr>
                <w:rFonts w:hint="default" w:ascii="Times New Roman" w:hAnsi="Times New Roman" w:eastAsia="宋体" w:cs="Times New Roman"/>
                <w:snapToGrid w:val="0"/>
                <w:color w:val="auto"/>
                <w:kern w:val="0"/>
                <w:sz w:val="18"/>
                <w:szCs w:val="18"/>
                <w:highlight w:val="none"/>
              </w:rPr>
              <w:sym w:font="Wingdings 2" w:char="00A3"/>
            </w:r>
          </w:p>
        </w:tc>
      </w:tr>
      <w:tr w14:paraId="5E222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200" w:type="pct"/>
            <w:gridSpan w:val="2"/>
            <w:noWrap w:val="0"/>
            <w:vAlign w:val="center"/>
          </w:tcPr>
          <w:p w14:paraId="0E4E981E">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评价范围</w:t>
            </w:r>
          </w:p>
        </w:tc>
        <w:tc>
          <w:tcPr>
            <w:tcW w:w="3800" w:type="pct"/>
            <w:noWrap w:val="0"/>
            <w:vAlign w:val="center"/>
          </w:tcPr>
          <w:p w14:paraId="7DDEC0B1">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陆域面积：（ ）km</w:t>
            </w:r>
            <w:r>
              <w:rPr>
                <w:rFonts w:hint="default" w:ascii="Times New Roman" w:hAnsi="Times New Roman" w:eastAsia="宋体" w:cs="Times New Roman"/>
                <w:snapToGrid w:val="0"/>
                <w:color w:val="auto"/>
                <w:kern w:val="0"/>
                <w:sz w:val="18"/>
                <w:szCs w:val="18"/>
                <w:highlight w:val="none"/>
                <w:vertAlign w:val="superscript"/>
              </w:rPr>
              <w:t>2</w:t>
            </w:r>
            <w:r>
              <w:rPr>
                <w:rFonts w:hint="default" w:ascii="Times New Roman" w:hAnsi="Times New Roman" w:eastAsia="宋体" w:cs="Times New Roman"/>
                <w:snapToGrid w:val="0"/>
                <w:color w:val="auto"/>
                <w:kern w:val="0"/>
                <w:sz w:val="18"/>
                <w:szCs w:val="18"/>
                <w:highlight w:val="none"/>
              </w:rPr>
              <w:t>；水域面积：（ ）km</w:t>
            </w:r>
            <w:r>
              <w:rPr>
                <w:rFonts w:hint="default" w:ascii="Times New Roman" w:hAnsi="Times New Roman" w:eastAsia="宋体" w:cs="Times New Roman"/>
                <w:snapToGrid w:val="0"/>
                <w:color w:val="auto"/>
                <w:kern w:val="0"/>
                <w:sz w:val="18"/>
                <w:szCs w:val="18"/>
                <w:highlight w:val="none"/>
                <w:vertAlign w:val="superscript"/>
              </w:rPr>
              <w:t>2</w:t>
            </w:r>
          </w:p>
        </w:tc>
      </w:tr>
      <w:tr w14:paraId="64293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97" w:type="pct"/>
            <w:vMerge w:val="restart"/>
            <w:noWrap w:val="0"/>
            <w:vAlign w:val="center"/>
          </w:tcPr>
          <w:p w14:paraId="476E0FF8">
            <w:pPr>
              <w:pStyle w:val="99"/>
              <w:widowControl/>
              <w:autoSpaceDE/>
              <w:autoSpaceDN/>
              <w:adjustRightInd/>
              <w:snapToGrid/>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生态现状调查与评价</w:t>
            </w:r>
          </w:p>
        </w:tc>
        <w:tc>
          <w:tcPr>
            <w:tcW w:w="603" w:type="pct"/>
            <w:noWrap w:val="0"/>
            <w:vAlign w:val="center"/>
          </w:tcPr>
          <w:p w14:paraId="3FA916A2">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调查方法</w:t>
            </w:r>
          </w:p>
        </w:tc>
        <w:tc>
          <w:tcPr>
            <w:tcW w:w="3800" w:type="pct"/>
            <w:noWrap w:val="0"/>
            <w:vAlign w:val="center"/>
          </w:tcPr>
          <w:p w14:paraId="712F9E3E">
            <w:pPr>
              <w:pStyle w:val="99"/>
              <w:widowControl/>
              <w:autoSpaceDE/>
              <w:autoSpaceDN/>
              <w:adjustRightInd/>
              <w:snapToGrid/>
              <w:spacing w:after="0"/>
              <w:jc w:val="both"/>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资料收集</w:t>
            </w:r>
            <w:r>
              <w:rPr>
                <w:rFonts w:hint="default" w:ascii="Times New Roman" w:hAnsi="Times New Roman" w:eastAsia="宋体" w:cs="Times New Roman"/>
                <w:snapToGrid w:val="0"/>
                <w:color w:val="auto"/>
                <w:kern w:val="0"/>
                <w:sz w:val="18"/>
                <w:szCs w:val="18"/>
                <w:highlight w:val="none"/>
              </w:rPr>
              <w:sym w:font="Wingdings 2" w:char="0052"/>
            </w:r>
            <w:r>
              <w:rPr>
                <w:rFonts w:hint="default" w:ascii="Times New Roman" w:hAnsi="Times New Roman" w:eastAsia="宋体" w:cs="Times New Roman"/>
                <w:snapToGrid w:val="0"/>
                <w:color w:val="auto"/>
                <w:kern w:val="0"/>
                <w:sz w:val="18"/>
                <w:szCs w:val="18"/>
                <w:highlight w:val="none"/>
              </w:rPr>
              <w:t>；遥感调查□；调查样方、样线□；调查点位、断面□；专家和公众咨询法□；其他</w:t>
            </w:r>
            <w:r>
              <w:rPr>
                <w:rFonts w:hint="default" w:ascii="Times New Roman" w:hAnsi="Times New Roman" w:eastAsia="宋体" w:cs="Times New Roman"/>
                <w:snapToGrid w:val="0"/>
                <w:color w:val="auto"/>
                <w:kern w:val="0"/>
                <w:sz w:val="18"/>
                <w:szCs w:val="18"/>
                <w:highlight w:val="none"/>
              </w:rPr>
              <w:sym w:font="Wingdings 2" w:char="00A3"/>
            </w:r>
          </w:p>
        </w:tc>
      </w:tr>
      <w:tr w14:paraId="4D82B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97" w:type="pct"/>
            <w:vMerge w:val="continue"/>
            <w:noWrap w:val="0"/>
            <w:vAlign w:val="center"/>
          </w:tcPr>
          <w:p w14:paraId="201AF668">
            <w:pPr>
              <w:pStyle w:val="99"/>
              <w:widowControl/>
              <w:autoSpaceDE/>
              <w:autoSpaceDN/>
              <w:adjustRightInd/>
              <w:snapToGrid/>
              <w:spacing w:after="0"/>
              <w:jc w:val="center"/>
              <w:rPr>
                <w:rFonts w:hint="default" w:ascii="Times New Roman" w:hAnsi="Times New Roman" w:eastAsia="宋体" w:cs="Times New Roman"/>
                <w:snapToGrid w:val="0"/>
                <w:color w:val="auto"/>
                <w:kern w:val="0"/>
                <w:sz w:val="18"/>
                <w:szCs w:val="18"/>
                <w:highlight w:val="none"/>
              </w:rPr>
            </w:pPr>
          </w:p>
        </w:tc>
        <w:tc>
          <w:tcPr>
            <w:tcW w:w="603" w:type="pct"/>
            <w:noWrap w:val="0"/>
            <w:vAlign w:val="center"/>
          </w:tcPr>
          <w:p w14:paraId="1BB8C218">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调查时间</w:t>
            </w:r>
          </w:p>
        </w:tc>
        <w:tc>
          <w:tcPr>
            <w:tcW w:w="3800" w:type="pct"/>
            <w:noWrap w:val="0"/>
            <w:vAlign w:val="center"/>
          </w:tcPr>
          <w:p w14:paraId="6E80CFFD">
            <w:pPr>
              <w:pStyle w:val="99"/>
              <w:widowControl/>
              <w:autoSpaceDE/>
              <w:autoSpaceDN/>
              <w:adjustRightInd/>
              <w:snapToGrid/>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春季□；夏季□；秋季□；冬季□</w:t>
            </w:r>
          </w:p>
          <w:p w14:paraId="4E3CA632">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丰水期□；枯水期□；平水期□</w:t>
            </w:r>
          </w:p>
        </w:tc>
      </w:tr>
      <w:tr w14:paraId="408ED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97" w:type="pct"/>
            <w:vMerge w:val="continue"/>
            <w:noWrap w:val="0"/>
            <w:vAlign w:val="center"/>
          </w:tcPr>
          <w:p w14:paraId="558C091E">
            <w:pPr>
              <w:pStyle w:val="99"/>
              <w:widowControl/>
              <w:autoSpaceDE/>
              <w:autoSpaceDN/>
              <w:adjustRightInd/>
              <w:snapToGrid/>
              <w:spacing w:after="0"/>
              <w:jc w:val="center"/>
              <w:rPr>
                <w:rFonts w:hint="default" w:ascii="Times New Roman" w:hAnsi="Times New Roman" w:eastAsia="宋体" w:cs="Times New Roman"/>
                <w:snapToGrid w:val="0"/>
                <w:color w:val="auto"/>
                <w:kern w:val="0"/>
                <w:sz w:val="18"/>
                <w:szCs w:val="18"/>
                <w:highlight w:val="none"/>
              </w:rPr>
            </w:pPr>
          </w:p>
        </w:tc>
        <w:tc>
          <w:tcPr>
            <w:tcW w:w="603" w:type="pct"/>
            <w:noWrap w:val="0"/>
            <w:vAlign w:val="center"/>
          </w:tcPr>
          <w:p w14:paraId="1F0C54FE">
            <w:pPr>
              <w:pStyle w:val="99"/>
              <w:widowControl/>
              <w:autoSpaceDE/>
              <w:autoSpaceDN/>
              <w:adjustRightInd/>
              <w:snapToGrid/>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所在区域的生态问题</w:t>
            </w:r>
          </w:p>
        </w:tc>
        <w:tc>
          <w:tcPr>
            <w:tcW w:w="3800" w:type="pct"/>
            <w:noWrap w:val="0"/>
            <w:vAlign w:val="center"/>
          </w:tcPr>
          <w:p w14:paraId="46712D07">
            <w:pPr>
              <w:pStyle w:val="99"/>
              <w:widowControl/>
              <w:autoSpaceDE/>
              <w:autoSpaceDN/>
              <w:adjustRightInd/>
              <w:snapToGrid w:val="0"/>
              <w:spacing w:after="0"/>
              <w:jc w:val="both"/>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水土流失□；沙漠化□；石漠化□；盐渍化□；生物入侵□；污染危害□；其他□</w:t>
            </w:r>
          </w:p>
        </w:tc>
      </w:tr>
      <w:tr w14:paraId="011A9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97" w:type="pct"/>
            <w:vMerge w:val="continue"/>
            <w:noWrap w:val="0"/>
            <w:vAlign w:val="center"/>
          </w:tcPr>
          <w:p w14:paraId="42492B2C">
            <w:pPr>
              <w:pStyle w:val="99"/>
              <w:widowControl/>
              <w:autoSpaceDE/>
              <w:autoSpaceDN/>
              <w:adjustRightInd/>
              <w:snapToGrid/>
              <w:spacing w:after="0"/>
              <w:jc w:val="center"/>
              <w:rPr>
                <w:rFonts w:hint="default" w:ascii="Times New Roman" w:hAnsi="Times New Roman" w:eastAsia="宋体" w:cs="Times New Roman"/>
                <w:snapToGrid w:val="0"/>
                <w:color w:val="auto"/>
                <w:kern w:val="0"/>
                <w:sz w:val="18"/>
                <w:szCs w:val="18"/>
                <w:highlight w:val="none"/>
              </w:rPr>
            </w:pPr>
          </w:p>
        </w:tc>
        <w:tc>
          <w:tcPr>
            <w:tcW w:w="603" w:type="pct"/>
            <w:noWrap w:val="0"/>
            <w:vAlign w:val="center"/>
          </w:tcPr>
          <w:p w14:paraId="13301326">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评价内容</w:t>
            </w:r>
          </w:p>
        </w:tc>
        <w:tc>
          <w:tcPr>
            <w:tcW w:w="3800" w:type="pct"/>
            <w:noWrap w:val="0"/>
            <w:vAlign w:val="center"/>
          </w:tcPr>
          <w:p w14:paraId="0443B75A">
            <w:pPr>
              <w:pStyle w:val="99"/>
              <w:widowControl/>
              <w:autoSpaceDE/>
              <w:autoSpaceDN/>
              <w:adjustRightInd/>
              <w:snapToGrid/>
              <w:spacing w:after="0"/>
              <w:jc w:val="both"/>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植被/植物群落□；土地利用</w:t>
            </w:r>
            <w:r>
              <w:rPr>
                <w:rFonts w:hint="default" w:ascii="Times New Roman" w:hAnsi="Times New Roman" w:eastAsia="宋体" w:cs="Times New Roman"/>
                <w:snapToGrid w:val="0"/>
                <w:color w:val="auto"/>
                <w:kern w:val="0"/>
                <w:sz w:val="18"/>
                <w:szCs w:val="18"/>
                <w:highlight w:val="none"/>
              </w:rPr>
              <w:sym w:font="Wingdings 2" w:char="0052"/>
            </w:r>
            <w:r>
              <w:rPr>
                <w:rFonts w:hint="default" w:ascii="Times New Roman" w:hAnsi="Times New Roman" w:eastAsia="宋体" w:cs="Times New Roman"/>
                <w:snapToGrid w:val="0"/>
                <w:color w:val="auto"/>
                <w:kern w:val="0"/>
                <w:sz w:val="18"/>
                <w:szCs w:val="18"/>
                <w:highlight w:val="none"/>
              </w:rPr>
              <w:t>；生态系统□；生物多样性□；重要物种□；生态敏感区□；其他□</w:t>
            </w:r>
          </w:p>
        </w:tc>
      </w:tr>
      <w:tr w14:paraId="64752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97" w:type="pct"/>
            <w:vMerge w:val="restart"/>
            <w:noWrap w:val="0"/>
            <w:vAlign w:val="center"/>
          </w:tcPr>
          <w:p w14:paraId="0AB38B7F">
            <w:pPr>
              <w:pStyle w:val="99"/>
              <w:widowControl/>
              <w:autoSpaceDE/>
              <w:autoSpaceDN/>
              <w:adjustRightInd/>
              <w:snapToGrid/>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生态影响预测与评价</w:t>
            </w:r>
          </w:p>
        </w:tc>
        <w:tc>
          <w:tcPr>
            <w:tcW w:w="603" w:type="pct"/>
            <w:noWrap w:val="0"/>
            <w:vAlign w:val="center"/>
          </w:tcPr>
          <w:p w14:paraId="2E8A4A2F">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评价方法</w:t>
            </w:r>
          </w:p>
        </w:tc>
        <w:tc>
          <w:tcPr>
            <w:tcW w:w="3800" w:type="pct"/>
            <w:noWrap w:val="0"/>
            <w:vAlign w:val="center"/>
          </w:tcPr>
          <w:p w14:paraId="03A6450F">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定性□；定性和定量□</w:t>
            </w:r>
          </w:p>
        </w:tc>
      </w:tr>
      <w:tr w14:paraId="6F651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97" w:type="pct"/>
            <w:vMerge w:val="continue"/>
            <w:noWrap w:val="0"/>
            <w:vAlign w:val="center"/>
          </w:tcPr>
          <w:p w14:paraId="1B722E26">
            <w:pPr>
              <w:pStyle w:val="99"/>
              <w:widowControl/>
              <w:autoSpaceDE/>
              <w:autoSpaceDN/>
              <w:adjustRightInd/>
              <w:snapToGrid/>
              <w:spacing w:after="0"/>
              <w:jc w:val="center"/>
              <w:rPr>
                <w:rFonts w:hint="default" w:ascii="Times New Roman" w:hAnsi="Times New Roman" w:eastAsia="宋体" w:cs="Times New Roman"/>
                <w:snapToGrid w:val="0"/>
                <w:color w:val="auto"/>
                <w:kern w:val="0"/>
                <w:sz w:val="18"/>
                <w:szCs w:val="18"/>
                <w:highlight w:val="none"/>
              </w:rPr>
            </w:pPr>
          </w:p>
        </w:tc>
        <w:tc>
          <w:tcPr>
            <w:tcW w:w="603" w:type="pct"/>
            <w:noWrap w:val="0"/>
            <w:vAlign w:val="center"/>
          </w:tcPr>
          <w:p w14:paraId="5EDDFF76">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评价内容</w:t>
            </w:r>
          </w:p>
        </w:tc>
        <w:tc>
          <w:tcPr>
            <w:tcW w:w="3800" w:type="pct"/>
            <w:noWrap w:val="0"/>
            <w:vAlign w:val="center"/>
          </w:tcPr>
          <w:p w14:paraId="793AEA45">
            <w:pPr>
              <w:pStyle w:val="99"/>
              <w:widowControl/>
              <w:autoSpaceDE/>
              <w:autoSpaceDN/>
              <w:adjustRightInd/>
              <w:snapToGrid/>
              <w:spacing w:after="0"/>
              <w:jc w:val="both"/>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植被/植物群落□；土地利用□；生态系统□；生物多样性□；重要物种□；生态敏感区□；生物入侵风险□；其他□</w:t>
            </w:r>
          </w:p>
        </w:tc>
      </w:tr>
      <w:tr w14:paraId="03CB6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97" w:type="pct"/>
            <w:vMerge w:val="restart"/>
            <w:noWrap w:val="0"/>
            <w:vAlign w:val="center"/>
          </w:tcPr>
          <w:p w14:paraId="47C4446F">
            <w:pPr>
              <w:pStyle w:val="99"/>
              <w:widowControl/>
              <w:autoSpaceDE/>
              <w:autoSpaceDN/>
              <w:adjustRightInd/>
              <w:snapToGrid/>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生态保护对策措施</w:t>
            </w:r>
          </w:p>
        </w:tc>
        <w:tc>
          <w:tcPr>
            <w:tcW w:w="603" w:type="pct"/>
            <w:noWrap w:val="0"/>
            <w:vAlign w:val="center"/>
          </w:tcPr>
          <w:p w14:paraId="069D33D4">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对策措施</w:t>
            </w:r>
          </w:p>
        </w:tc>
        <w:tc>
          <w:tcPr>
            <w:tcW w:w="3800" w:type="pct"/>
            <w:noWrap w:val="0"/>
            <w:vAlign w:val="center"/>
          </w:tcPr>
          <w:p w14:paraId="06956369">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避让□；减缓□；生态修复□；生态补偿□；科研□；其他□</w:t>
            </w:r>
          </w:p>
        </w:tc>
      </w:tr>
      <w:tr w14:paraId="5DA52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97" w:type="pct"/>
            <w:vMerge w:val="continue"/>
            <w:noWrap w:val="0"/>
            <w:vAlign w:val="center"/>
          </w:tcPr>
          <w:p w14:paraId="3325071C">
            <w:pPr>
              <w:pStyle w:val="99"/>
              <w:widowControl/>
              <w:autoSpaceDE/>
              <w:autoSpaceDN/>
              <w:adjustRightInd/>
              <w:snapToGrid/>
              <w:spacing w:after="0"/>
              <w:jc w:val="center"/>
              <w:rPr>
                <w:rFonts w:hint="default" w:ascii="Times New Roman" w:hAnsi="Times New Roman" w:eastAsia="宋体" w:cs="Times New Roman"/>
                <w:snapToGrid w:val="0"/>
                <w:color w:val="auto"/>
                <w:kern w:val="0"/>
                <w:sz w:val="18"/>
                <w:szCs w:val="18"/>
                <w:highlight w:val="none"/>
              </w:rPr>
            </w:pPr>
          </w:p>
        </w:tc>
        <w:tc>
          <w:tcPr>
            <w:tcW w:w="603" w:type="pct"/>
            <w:noWrap w:val="0"/>
            <w:vAlign w:val="center"/>
          </w:tcPr>
          <w:p w14:paraId="49E5754A">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生态监测计划</w:t>
            </w:r>
          </w:p>
        </w:tc>
        <w:tc>
          <w:tcPr>
            <w:tcW w:w="3800" w:type="pct"/>
            <w:noWrap w:val="0"/>
            <w:vAlign w:val="center"/>
          </w:tcPr>
          <w:p w14:paraId="15398B42">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全生命周期□；长期跟踪□；常规□；无</w:t>
            </w:r>
            <w:r>
              <w:rPr>
                <w:rFonts w:hint="default" w:ascii="Times New Roman" w:hAnsi="Times New Roman" w:eastAsia="宋体" w:cs="Times New Roman"/>
                <w:snapToGrid w:val="0"/>
                <w:color w:val="auto"/>
                <w:kern w:val="0"/>
                <w:sz w:val="18"/>
                <w:szCs w:val="18"/>
                <w:highlight w:val="none"/>
              </w:rPr>
              <w:sym w:font="Wingdings 2" w:char="0052"/>
            </w:r>
          </w:p>
        </w:tc>
      </w:tr>
      <w:tr w14:paraId="74899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97" w:type="pct"/>
            <w:vMerge w:val="continue"/>
            <w:noWrap w:val="0"/>
            <w:vAlign w:val="center"/>
          </w:tcPr>
          <w:p w14:paraId="50FEA210">
            <w:pPr>
              <w:pStyle w:val="99"/>
              <w:widowControl/>
              <w:autoSpaceDE/>
              <w:autoSpaceDN/>
              <w:adjustRightInd/>
              <w:snapToGrid/>
              <w:spacing w:after="0"/>
              <w:jc w:val="center"/>
              <w:rPr>
                <w:rFonts w:hint="default" w:ascii="Times New Roman" w:hAnsi="Times New Roman" w:eastAsia="宋体" w:cs="Times New Roman"/>
                <w:snapToGrid w:val="0"/>
                <w:color w:val="auto"/>
                <w:kern w:val="0"/>
                <w:sz w:val="18"/>
                <w:szCs w:val="18"/>
                <w:highlight w:val="none"/>
              </w:rPr>
            </w:pPr>
          </w:p>
        </w:tc>
        <w:tc>
          <w:tcPr>
            <w:tcW w:w="603" w:type="pct"/>
            <w:noWrap w:val="0"/>
            <w:vAlign w:val="center"/>
          </w:tcPr>
          <w:p w14:paraId="6556FDDB">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环境管理</w:t>
            </w:r>
          </w:p>
        </w:tc>
        <w:tc>
          <w:tcPr>
            <w:tcW w:w="3800" w:type="pct"/>
            <w:noWrap w:val="0"/>
            <w:vAlign w:val="center"/>
          </w:tcPr>
          <w:p w14:paraId="27190E23">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环境监理□；环境影响后评价□；其他□</w:t>
            </w:r>
          </w:p>
        </w:tc>
      </w:tr>
      <w:tr w14:paraId="49673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597" w:type="pct"/>
            <w:noWrap w:val="0"/>
            <w:vAlign w:val="center"/>
          </w:tcPr>
          <w:p w14:paraId="6B913004">
            <w:pPr>
              <w:pStyle w:val="99"/>
              <w:widowControl/>
              <w:autoSpaceDE/>
              <w:autoSpaceDN/>
              <w:adjustRightInd/>
              <w:snapToGrid/>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评价结论</w:t>
            </w:r>
          </w:p>
        </w:tc>
        <w:tc>
          <w:tcPr>
            <w:tcW w:w="603" w:type="pct"/>
            <w:noWrap w:val="0"/>
            <w:vAlign w:val="center"/>
          </w:tcPr>
          <w:p w14:paraId="6F596008">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生态影响</w:t>
            </w:r>
          </w:p>
        </w:tc>
        <w:tc>
          <w:tcPr>
            <w:tcW w:w="3800" w:type="pct"/>
            <w:noWrap w:val="0"/>
            <w:vAlign w:val="center"/>
          </w:tcPr>
          <w:p w14:paraId="55281BCD">
            <w:pPr>
              <w:pStyle w:val="99"/>
              <w:widowControl/>
              <w:autoSpaceDE/>
              <w:autoSpaceDN/>
              <w:adjustRightInd/>
              <w:snapToGrid w:val="0"/>
              <w:spacing w:after="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可行</w:t>
            </w:r>
            <w:r>
              <w:rPr>
                <w:rFonts w:hint="default" w:ascii="Times New Roman" w:hAnsi="Times New Roman" w:eastAsia="宋体" w:cs="Times New Roman"/>
                <w:snapToGrid w:val="0"/>
                <w:color w:val="auto"/>
                <w:kern w:val="0"/>
                <w:sz w:val="18"/>
                <w:szCs w:val="18"/>
                <w:highlight w:val="none"/>
              </w:rPr>
              <w:sym w:font="Wingdings 2" w:char="0052"/>
            </w:r>
            <w:r>
              <w:rPr>
                <w:rFonts w:hint="default" w:ascii="Times New Roman" w:hAnsi="Times New Roman" w:eastAsia="宋体" w:cs="Times New Roman"/>
                <w:snapToGrid w:val="0"/>
                <w:color w:val="auto"/>
                <w:kern w:val="0"/>
                <w:sz w:val="18"/>
                <w:szCs w:val="18"/>
                <w:highlight w:val="none"/>
              </w:rPr>
              <w:t>；不可行□</w:t>
            </w:r>
          </w:p>
        </w:tc>
      </w:tr>
      <w:tr w14:paraId="6C151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5000" w:type="pct"/>
            <w:gridSpan w:val="3"/>
            <w:noWrap w:val="0"/>
            <w:vAlign w:val="center"/>
          </w:tcPr>
          <w:p w14:paraId="16305D71">
            <w:pPr>
              <w:pStyle w:val="99"/>
              <w:widowControl/>
              <w:autoSpaceDE/>
              <w:autoSpaceDN/>
              <w:adjustRightInd/>
              <w:snapToGrid w:val="0"/>
              <w:spacing w:after="0"/>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注：“□”为勾选项，可√；“（ ）”为内容填写项。</w:t>
            </w:r>
          </w:p>
        </w:tc>
      </w:tr>
    </w:tbl>
    <w:p w14:paraId="4CA7E5F3">
      <w:pPr>
        <w:pStyle w:val="13"/>
        <w:rPr>
          <w:rFonts w:hint="eastAsia"/>
          <w:lang w:val="en-US" w:eastAsia="zh-CN"/>
        </w:rPr>
        <w:sectPr>
          <w:pgSz w:w="11906" w:h="16839"/>
          <w:pgMar w:top="1440" w:right="1800" w:bottom="1440" w:left="1800" w:header="907" w:footer="913" w:gutter="0"/>
          <w:pgBorders>
            <w:top w:val="none" w:sz="0" w:space="0"/>
            <w:left w:val="none" w:sz="0" w:space="0"/>
            <w:bottom w:val="none" w:sz="0" w:space="0"/>
            <w:right w:val="none" w:sz="0" w:space="0"/>
          </w:pgBorders>
          <w:pgNumType w:fmt="decimal"/>
          <w:cols w:space="720" w:num="1"/>
        </w:sectPr>
      </w:pPr>
    </w:p>
    <w:p w14:paraId="3D2C8505">
      <w:pPr>
        <w:adjustRightInd/>
        <w:snapToGrid/>
        <w:spacing w:after="0"/>
        <w:jc w:val="both"/>
        <w:outlineLvl w:val="0"/>
        <w:rPr>
          <w:rFonts w:hint="eastAsia" w:ascii="Times New Roman" w:hAnsi="Times New Roman" w:eastAsia="宋体" w:cs="Times New Roman"/>
          <w:b/>
          <w:smallCaps/>
          <w:snapToGrid w:val="0"/>
          <w:color w:val="auto"/>
          <w:kern w:val="2"/>
          <w:sz w:val="21"/>
          <w:szCs w:val="21"/>
          <w:highlight w:val="none"/>
          <w:lang w:val="en-US" w:eastAsia="zh-CN"/>
        </w:rPr>
      </w:pPr>
      <w:bookmarkStart w:id="109" w:name="_Toc7300"/>
      <w:bookmarkStart w:id="110" w:name="_Toc5901"/>
      <w:bookmarkStart w:id="111" w:name="_Toc2164"/>
      <w:r>
        <w:rPr>
          <w:rFonts w:hint="eastAsia" w:ascii="Times New Roman" w:hAnsi="Times New Roman" w:eastAsia="宋体" w:cs="Times New Roman"/>
          <w:b/>
          <w:smallCaps/>
          <w:snapToGrid w:val="0"/>
          <w:color w:val="auto"/>
          <w:kern w:val="2"/>
          <w:sz w:val="21"/>
          <w:szCs w:val="21"/>
          <w:highlight w:val="none"/>
          <w:lang w:val="en-US" w:eastAsia="zh-CN"/>
        </w:rPr>
        <w:t>附图</w:t>
      </w:r>
      <w:bookmarkEnd w:id="109"/>
      <w:bookmarkEnd w:id="110"/>
      <w:bookmarkEnd w:id="111"/>
    </w:p>
    <w:p w14:paraId="45FEA0FD">
      <w:pPr>
        <w:adjustRightInd/>
        <w:snapToGrid/>
        <w:spacing w:after="0"/>
        <w:jc w:val="both"/>
        <w:outlineLvl w:val="0"/>
        <w:rPr>
          <w:rFonts w:hint="default" w:ascii="Times New Roman" w:hAnsi="Times New Roman" w:eastAsia="宋体" w:cs="Times New Roman"/>
          <w:b/>
          <w:smallCaps/>
          <w:snapToGrid w:val="0"/>
          <w:color w:val="auto"/>
          <w:kern w:val="2"/>
          <w:sz w:val="21"/>
          <w:szCs w:val="21"/>
          <w:highlight w:val="none"/>
          <w:lang w:val="en-US" w:eastAsia="zh-CN"/>
        </w:rPr>
      </w:pPr>
      <w:bookmarkStart w:id="112" w:name="_Toc15355"/>
      <w:bookmarkStart w:id="113" w:name="_Toc21861"/>
      <w:bookmarkStart w:id="114" w:name="_Toc23779"/>
      <w:r>
        <w:rPr>
          <w:rFonts w:hint="eastAsia" w:ascii="Times New Roman" w:hAnsi="Times New Roman" w:eastAsia="宋体" w:cs="Times New Roman"/>
          <w:b/>
          <w:smallCaps/>
          <w:snapToGrid w:val="0"/>
          <w:color w:val="auto"/>
          <w:kern w:val="2"/>
          <w:sz w:val="21"/>
          <w:szCs w:val="21"/>
          <w:highlight w:val="none"/>
          <w:lang w:val="en-US" w:eastAsia="zh-CN"/>
        </w:rPr>
        <w:t>附图1</w:t>
      </w:r>
      <w:bookmarkEnd w:id="112"/>
      <w:bookmarkEnd w:id="113"/>
      <w:r>
        <w:rPr>
          <w:rFonts w:hint="eastAsia" w:ascii="Times New Roman" w:hAnsi="Times New Roman" w:eastAsia="宋体" w:cs="Times New Roman"/>
          <w:b/>
          <w:smallCaps/>
          <w:snapToGrid w:val="0"/>
          <w:color w:val="auto"/>
          <w:kern w:val="2"/>
          <w:sz w:val="21"/>
          <w:szCs w:val="21"/>
          <w:highlight w:val="none"/>
          <w:lang w:val="en-US" w:eastAsia="zh-CN"/>
        </w:rPr>
        <w:t>地理位置图</w:t>
      </w:r>
      <w:bookmarkEnd w:id="114"/>
    </w:p>
    <w:p w14:paraId="49440D86">
      <w:pPr>
        <w:keepNext w:val="0"/>
        <w:keepLines w:val="0"/>
        <w:pageBreakBefore w:val="0"/>
        <w:widowControl/>
        <w:kinsoku w:val="0"/>
        <w:wordWrap/>
        <w:overflowPunct/>
        <w:topLinePunct w:val="0"/>
        <w:autoSpaceDE w:val="0"/>
        <w:autoSpaceDN w:val="0"/>
        <w:bidi w:val="0"/>
        <w:adjustRightInd w:val="0"/>
        <w:snapToGrid w:val="0"/>
        <w:jc w:val="center"/>
        <w:textAlignment w:val="baseline"/>
        <w:rPr>
          <w:rFonts w:hint="default" w:ascii="Times New Roman" w:hAnsi="Times New Roman" w:cs="Times New Roman"/>
          <w:color w:val="FF0000"/>
          <w:lang w:val="en-US" w:eastAsia="zh-CN"/>
        </w:rPr>
      </w:pPr>
      <w:r>
        <w:rPr>
          <w:sz w:val="21"/>
        </w:rPr>
        <mc:AlternateContent>
          <mc:Choice Requires="wps">
            <w:drawing>
              <wp:anchor distT="0" distB="0" distL="114300" distR="114300" simplePos="0" relativeHeight="251687936" behindDoc="0" locked="0" layoutInCell="1" allowOverlap="1">
                <wp:simplePos x="0" y="0"/>
                <wp:positionH relativeFrom="column">
                  <wp:posOffset>4824095</wp:posOffset>
                </wp:positionH>
                <wp:positionV relativeFrom="paragraph">
                  <wp:posOffset>2266950</wp:posOffset>
                </wp:positionV>
                <wp:extent cx="1032510" cy="476885"/>
                <wp:effectExtent l="6350" t="6350" r="8890" b="316865"/>
                <wp:wrapNone/>
                <wp:docPr id="104" name="椭圆形标注 104"/>
                <wp:cNvGraphicFramePr/>
                <a:graphic xmlns:a="http://schemas.openxmlformats.org/drawingml/2006/main">
                  <a:graphicData uri="http://schemas.microsoft.com/office/word/2010/wordprocessingShape">
                    <wps:wsp>
                      <wps:cNvSpPr/>
                      <wps:spPr>
                        <a:xfrm>
                          <a:off x="5671820" y="3055620"/>
                          <a:ext cx="1032510" cy="476885"/>
                        </a:xfrm>
                        <a:prstGeom prst="wedgeEllipseCallout">
                          <a:avLst>
                            <a:gd name="adj1" fmla="val -33948"/>
                            <a:gd name="adj2" fmla="val 109121"/>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20AAAD5">
                            <w:pPr>
                              <w:jc w:val="center"/>
                              <w:rPr>
                                <w:rFonts w:hint="eastAsia" w:eastAsia="宋体"/>
                                <w:color w:val="FF0000"/>
                                <w:lang w:val="en-US" w:eastAsia="zh-CN"/>
                              </w:rPr>
                            </w:pPr>
                            <w:r>
                              <w:rPr>
                                <w:rFonts w:hint="eastAsia" w:eastAsia="宋体"/>
                                <w:color w:val="FF0000"/>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3" type="#_x0000_t63" style="position:absolute;left:0pt;margin-left:379.85pt;margin-top:178.5pt;height:37.55pt;width:81.3pt;z-index:251687936;v-text-anchor:middle;mso-width-relative:page;mso-height-relative:page;" filled="f" stroked="t" coordsize="21600,21600" o:gfxdata="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B3BAEy2AAAAAsBAAAPAAAAAAAA&#10;AAEAIAAAACIAAABkcnMvZG93bnJldi54bWxQSwECFAAUAAAACACHTuJApeLnL70CAABRBQAADgAA&#10;AAAAAAABACAAAAAnAQAAZHJzL2Uyb0RvYy54bWxQSwUGAAAAAAYABgBZAQAAVgYAAAAA&#10;" adj="3467,34370">
                <v:fill on="f" focussize="0,0"/>
                <v:stroke weight="1pt" color="#000000 [3213]" miterlimit="8" joinstyle="miter"/>
                <v:imagedata o:title=""/>
                <o:lock v:ext="edit" aspectratio="f"/>
                <v:textbox>
                  <w:txbxContent>
                    <w:p w14:paraId="420AAAD5">
                      <w:pPr>
                        <w:jc w:val="center"/>
                        <w:rPr>
                          <w:rFonts w:hint="eastAsia" w:eastAsia="宋体"/>
                          <w:color w:val="FF0000"/>
                          <w:lang w:val="en-US" w:eastAsia="zh-CN"/>
                        </w:rPr>
                      </w:pPr>
                      <w:r>
                        <w:rPr>
                          <w:rFonts w:hint="eastAsia" w:eastAsia="宋体"/>
                          <w:color w:val="FF0000"/>
                          <w:lang w:val="en-US" w:eastAsia="zh-CN"/>
                        </w:rPr>
                        <w:t>本项目</w:t>
                      </w:r>
                    </w:p>
                  </w:txbxContent>
                </v:textbox>
              </v:shape>
            </w:pict>
          </mc:Fallback>
        </mc:AlternateContent>
      </w:r>
      <w:r>
        <w:rPr>
          <w:sz w:val="21"/>
        </w:rPr>
        <mc:AlternateContent>
          <mc:Choice Requires="wps">
            <w:drawing>
              <wp:anchor distT="0" distB="0" distL="114300" distR="114300" simplePos="0" relativeHeight="251686912" behindDoc="0" locked="0" layoutInCell="1" allowOverlap="1">
                <wp:simplePos x="0" y="0"/>
                <wp:positionH relativeFrom="column">
                  <wp:posOffset>7983855</wp:posOffset>
                </wp:positionH>
                <wp:positionV relativeFrom="paragraph">
                  <wp:posOffset>17145</wp:posOffset>
                </wp:positionV>
                <wp:extent cx="1127125" cy="928370"/>
                <wp:effectExtent l="0" t="0" r="15875" b="5080"/>
                <wp:wrapNone/>
                <wp:docPr id="102" name="文本框 102"/>
                <wp:cNvGraphicFramePr/>
                <a:graphic xmlns:a="http://schemas.openxmlformats.org/drawingml/2006/main">
                  <a:graphicData uri="http://schemas.microsoft.com/office/word/2010/wordprocessingShape">
                    <wps:wsp>
                      <wps:cNvSpPr txBox="1"/>
                      <wps:spPr>
                        <a:xfrm>
                          <a:off x="8648700" y="1392555"/>
                          <a:ext cx="1127125" cy="9283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586F603">
                            <w:r>
                              <w:drawing>
                                <wp:inline distT="0" distB="0" distL="114300" distR="114300">
                                  <wp:extent cx="827405" cy="838835"/>
                                  <wp:effectExtent l="0" t="0" r="10795" b="18415"/>
                                  <wp:docPr id="10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9"/>
                                          <pic:cNvPicPr>
                                            <a:picLocks noChangeAspect="1"/>
                                          </pic:cNvPicPr>
                                        </pic:nvPicPr>
                                        <pic:blipFill>
                                          <a:blip r:embed="rId117"/>
                                          <a:stretch>
                                            <a:fillRect/>
                                          </a:stretch>
                                        </pic:blipFill>
                                        <pic:spPr>
                                          <a:xfrm>
                                            <a:off x="0" y="0"/>
                                            <a:ext cx="827405" cy="8388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8.65pt;margin-top:1.35pt;height:73.1pt;width:88.75pt;z-index:251686912;mso-width-relative:page;mso-height-relative:page;" fillcolor="#FFFFFF [3201]" filled="t" stroked="f" coordsize="21600,21600" o:gfxdata="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Hdw&#10;oHHUAAAACwEAAA8AAAAAAAAAAQAgAAAAIgAAAGRycy9kb3ducmV2LnhtbFBLAQIUABQAAAAIAIdO&#10;4kBdpRU6YAIAAJ8EAAAOAAAAAAAAAAEAIAAAACMBAABkcnMvZTJvRG9jLnhtbFBLBQYAAAAABgAG&#10;AFkBAAD1BQAAAAA=&#10;">
                <v:fill on="t" focussize="0,0"/>
                <v:stroke on="f" weight="0.5pt"/>
                <v:imagedata o:title=""/>
                <o:lock v:ext="edit" aspectratio="f"/>
                <v:textbox>
                  <w:txbxContent>
                    <w:p w14:paraId="4586F603">
                      <w:r>
                        <w:drawing>
                          <wp:inline distT="0" distB="0" distL="114300" distR="114300">
                            <wp:extent cx="827405" cy="838835"/>
                            <wp:effectExtent l="0" t="0" r="10795" b="18415"/>
                            <wp:docPr id="10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9"/>
                                    <pic:cNvPicPr>
                                      <a:picLocks noChangeAspect="1"/>
                                    </pic:cNvPicPr>
                                  </pic:nvPicPr>
                                  <pic:blipFill>
                                    <a:blip r:embed="rId117"/>
                                    <a:stretch>
                                      <a:fillRect/>
                                    </a:stretch>
                                  </pic:blipFill>
                                  <pic:spPr>
                                    <a:xfrm>
                                      <a:off x="0" y="0"/>
                                      <a:ext cx="827405" cy="838835"/>
                                    </a:xfrm>
                                    <a:prstGeom prst="rect">
                                      <a:avLst/>
                                    </a:prstGeom>
                                    <a:noFill/>
                                    <a:ln>
                                      <a:noFill/>
                                    </a:ln>
                                  </pic:spPr>
                                </pic:pic>
                              </a:graphicData>
                            </a:graphic>
                          </wp:inline>
                        </w:drawing>
                      </w:r>
                    </w:p>
                  </w:txbxContent>
                </v:textbox>
              </v:shape>
            </w:pict>
          </mc:Fallback>
        </mc:AlternateContent>
      </w:r>
      <w:r>
        <w:drawing>
          <wp:inline distT="0" distB="0" distL="114300" distR="114300">
            <wp:extent cx="9022715" cy="4924425"/>
            <wp:effectExtent l="0" t="0" r="6985" b="9525"/>
            <wp:docPr id="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
                    <pic:cNvPicPr>
                      <a:picLocks noChangeAspect="1"/>
                    </pic:cNvPicPr>
                  </pic:nvPicPr>
                  <pic:blipFill>
                    <a:blip r:embed="rId118"/>
                    <a:stretch>
                      <a:fillRect/>
                    </a:stretch>
                  </pic:blipFill>
                  <pic:spPr>
                    <a:xfrm>
                      <a:off x="0" y="0"/>
                      <a:ext cx="9022715" cy="4924425"/>
                    </a:xfrm>
                    <a:prstGeom prst="rect">
                      <a:avLst/>
                    </a:prstGeom>
                    <a:noFill/>
                    <a:ln>
                      <a:noFill/>
                    </a:ln>
                  </pic:spPr>
                </pic:pic>
              </a:graphicData>
            </a:graphic>
          </wp:inline>
        </w:drawing>
      </w:r>
    </w:p>
    <w:p w14:paraId="1AAB81C6"/>
    <w:p w14:paraId="57BFC695"/>
    <w:p w14:paraId="7C769515">
      <w:pPr>
        <w:sectPr>
          <w:headerReference r:id="rId19" w:type="default"/>
          <w:footerReference r:id="rId20" w:type="default"/>
          <w:pgSz w:w="16838" w:h="11906" w:orient="landscape"/>
          <w:pgMar w:top="1417" w:right="1134" w:bottom="1417" w:left="1134" w:header="850"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47B24EBE">
      <w:pPr>
        <w:adjustRightInd/>
        <w:snapToGrid/>
        <w:spacing w:after="0"/>
        <w:jc w:val="both"/>
        <w:outlineLvl w:val="0"/>
        <w:rPr>
          <w:rFonts w:hint="eastAsia" w:ascii="Times New Roman" w:hAnsi="Times New Roman" w:eastAsia="宋体" w:cs="Times New Roman"/>
          <w:b/>
          <w:smallCaps/>
          <w:snapToGrid w:val="0"/>
          <w:color w:val="auto"/>
          <w:kern w:val="2"/>
          <w:sz w:val="21"/>
          <w:szCs w:val="21"/>
          <w:highlight w:val="none"/>
          <w:lang w:val="en-US" w:eastAsia="zh-CN"/>
        </w:rPr>
      </w:pPr>
      <w:bookmarkStart w:id="115" w:name="_Toc27122"/>
      <w:bookmarkStart w:id="116" w:name="_Toc24411"/>
      <w:bookmarkStart w:id="117" w:name="_Toc16437"/>
      <w:r>
        <w:rPr>
          <w:rFonts w:hint="eastAsia" w:ascii="Times New Roman" w:hAnsi="Times New Roman" w:eastAsia="宋体" w:cs="Times New Roman"/>
          <w:b/>
          <w:smallCaps/>
          <w:snapToGrid w:val="0"/>
          <w:color w:val="auto"/>
          <w:kern w:val="2"/>
          <w:sz w:val="21"/>
          <w:szCs w:val="21"/>
          <w:highlight w:val="none"/>
          <w:lang w:val="en-US" w:eastAsia="zh-CN"/>
        </w:rPr>
        <w:t>附图2厂区平面布置图</w:t>
      </w:r>
      <w:bookmarkEnd w:id="115"/>
      <w:bookmarkEnd w:id="116"/>
      <w:bookmarkEnd w:id="117"/>
    </w:p>
    <w:p w14:paraId="1FABCD22">
      <w:pPr>
        <w:pStyle w:val="13"/>
        <w:ind w:left="0" w:leftChars="0" w:firstLine="0" w:firstLineChars="0"/>
        <w:jc w:val="center"/>
        <w:rPr>
          <w:rFonts w:hint="eastAsia" w:eastAsia="宋体"/>
          <w:lang w:eastAsia="zh-CN"/>
        </w:rPr>
      </w:pPr>
      <w:r>
        <w:rPr>
          <w:sz w:val="21"/>
        </w:rPr>
        <mc:AlternateContent>
          <mc:Choice Requires="wps">
            <w:drawing>
              <wp:anchor distT="0" distB="0" distL="114300" distR="114300" simplePos="0" relativeHeight="251722752" behindDoc="0" locked="0" layoutInCell="1" allowOverlap="1">
                <wp:simplePos x="0" y="0"/>
                <wp:positionH relativeFrom="column">
                  <wp:posOffset>3235960</wp:posOffset>
                </wp:positionH>
                <wp:positionV relativeFrom="paragraph">
                  <wp:posOffset>7933055</wp:posOffset>
                </wp:positionV>
                <wp:extent cx="676275" cy="457200"/>
                <wp:effectExtent l="6350" t="300990" r="22225" b="22860"/>
                <wp:wrapNone/>
                <wp:docPr id="159" name="圆角矩形标注 159"/>
                <wp:cNvGraphicFramePr/>
                <a:graphic xmlns:a="http://schemas.openxmlformats.org/drawingml/2006/main">
                  <a:graphicData uri="http://schemas.microsoft.com/office/word/2010/wordprocessingShape">
                    <wps:wsp>
                      <wps:cNvSpPr/>
                      <wps:spPr>
                        <a:xfrm>
                          <a:off x="0" y="0"/>
                          <a:ext cx="676275" cy="457200"/>
                        </a:xfrm>
                        <a:prstGeom prst="wedgeRoundRectCallout">
                          <a:avLst>
                            <a:gd name="adj1" fmla="val 44178"/>
                            <a:gd name="adj2" fmla="val -110416"/>
                            <a:gd name="adj3" fmla="val 16667"/>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68C1A89">
                            <w:pPr>
                              <w:jc w:val="center"/>
                              <w:rPr>
                                <w:rFonts w:hint="default" w:eastAsia="宋体"/>
                                <w:color w:val="FF0000"/>
                                <w:lang w:val="en-US" w:eastAsia="zh-CN"/>
                              </w:rPr>
                            </w:pPr>
                            <w:r>
                              <w:rPr>
                                <w:rFonts w:hint="eastAsia" w:eastAsia="宋体"/>
                                <w:color w:val="FF0000"/>
                                <w:lang w:val="en-US" w:eastAsia="zh-CN"/>
                              </w:rPr>
                              <w:t>DA004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54.8pt;margin-top:624.65pt;height:36pt;width:53.25pt;z-index:251722752;v-text-anchor:middle;mso-width-relative:page;mso-height-relative:page;" filled="f" stroked="t" coordsize="21600,21600" o:gfxdata="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AUuqQh2QAAAA0BAAAPAAAA&#10;AAAAAAEAIAAAACIAAABkcnMvZG93bnJldi54bWxQSwECFAAUAAAACACHTuJAnpb5Hb8CAABtBQAA&#10;DgAAAAAAAAABACAAAAAoAQAAZHJzL2Uyb0RvYy54bWxQSwUGAAAAAAYABgBZAQAAWQYAAAAA&#10;" adj="20342,-13050,14400">
                <v:fill on="f" focussize="0,0"/>
                <v:stroke weight="1pt" color="#000000 [3213]" miterlimit="8" joinstyle="miter"/>
                <v:imagedata o:title=""/>
                <o:lock v:ext="edit" aspectratio="f"/>
                <v:textbox>
                  <w:txbxContent>
                    <w:p w14:paraId="668C1A89">
                      <w:pPr>
                        <w:jc w:val="center"/>
                        <w:rPr>
                          <w:rFonts w:hint="default" w:eastAsia="宋体"/>
                          <w:color w:val="FF0000"/>
                          <w:lang w:val="en-US" w:eastAsia="zh-CN"/>
                        </w:rPr>
                      </w:pPr>
                      <w:r>
                        <w:rPr>
                          <w:rFonts w:hint="eastAsia" w:eastAsia="宋体"/>
                          <w:color w:val="FF0000"/>
                          <w:lang w:val="en-US" w:eastAsia="zh-CN"/>
                        </w:rPr>
                        <w:t>DA004</w:t>
                      </w:r>
                    </w:p>
                  </w:txbxContent>
                </v:textbox>
              </v:shape>
            </w:pict>
          </mc:Fallback>
        </mc:AlternateContent>
      </w:r>
      <w:r>
        <w:rPr>
          <w:sz w:val="21"/>
        </w:rPr>
        <mc:AlternateContent>
          <mc:Choice Requires="wps">
            <w:drawing>
              <wp:anchor distT="0" distB="0" distL="114300" distR="114300" simplePos="0" relativeHeight="251720704" behindDoc="0" locked="0" layoutInCell="1" allowOverlap="1">
                <wp:simplePos x="0" y="0"/>
                <wp:positionH relativeFrom="column">
                  <wp:posOffset>4169410</wp:posOffset>
                </wp:positionH>
                <wp:positionV relativeFrom="paragraph">
                  <wp:posOffset>1351280</wp:posOffset>
                </wp:positionV>
                <wp:extent cx="676275" cy="457200"/>
                <wp:effectExtent l="85090" t="6350" r="19685" b="279400"/>
                <wp:wrapNone/>
                <wp:docPr id="157" name="圆角矩形标注 157"/>
                <wp:cNvGraphicFramePr/>
                <a:graphic xmlns:a="http://schemas.openxmlformats.org/drawingml/2006/main">
                  <a:graphicData uri="http://schemas.microsoft.com/office/word/2010/wordprocessingShape">
                    <wps:wsp>
                      <wps:cNvSpPr/>
                      <wps:spPr>
                        <a:xfrm>
                          <a:off x="0" y="0"/>
                          <a:ext cx="676275" cy="457200"/>
                        </a:xfrm>
                        <a:prstGeom prst="wedgeRoundRectCallout">
                          <a:avLst>
                            <a:gd name="adj1" fmla="val -58638"/>
                            <a:gd name="adj2" fmla="val 104166"/>
                            <a:gd name="adj3" fmla="val 16667"/>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4829D70">
                            <w:pPr>
                              <w:jc w:val="center"/>
                              <w:rPr>
                                <w:rFonts w:hint="default" w:eastAsia="宋体"/>
                                <w:color w:val="FF0000"/>
                                <w:lang w:val="en-US" w:eastAsia="zh-CN"/>
                              </w:rPr>
                            </w:pPr>
                            <w:r>
                              <w:rPr>
                                <w:rFonts w:hint="eastAsia" w:eastAsia="宋体"/>
                                <w:color w:val="FF0000"/>
                                <w:lang w:val="en-US" w:eastAsia="zh-CN"/>
                              </w:rPr>
                              <w:t>DA002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8.3pt;margin-top:106.4pt;height:36pt;width:53.25pt;z-index:251720704;v-text-anchor:middle;mso-width-relative:page;mso-height-relative:page;" filled="f" stroked="t" coordsize="21600,21600" o:gfxdata="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CW51AB3AAAAAsBAAAP&#10;AAAAAAAAAAEAIAAAACIAAABkcnMvZG93bnJldi54bWxQSwECFAAUAAAACACHTuJA6H0srL8CAABt&#10;BQAADgAAAAAAAAABACAAAAArAQAAZHJzL2Uyb0RvYy54bWxQSwUGAAAAAAYABgBZAQAAXAYAAAAA&#10;" adj="-1866,33300,14400">
                <v:fill on="f" focussize="0,0"/>
                <v:stroke weight="1pt" color="#000000 [3213]" miterlimit="8" joinstyle="miter"/>
                <v:imagedata o:title=""/>
                <o:lock v:ext="edit" aspectratio="f"/>
                <v:textbox>
                  <w:txbxContent>
                    <w:p w14:paraId="14829D70">
                      <w:pPr>
                        <w:jc w:val="center"/>
                        <w:rPr>
                          <w:rFonts w:hint="default" w:eastAsia="宋体"/>
                          <w:color w:val="FF0000"/>
                          <w:lang w:val="en-US" w:eastAsia="zh-CN"/>
                        </w:rPr>
                      </w:pPr>
                      <w:r>
                        <w:rPr>
                          <w:rFonts w:hint="eastAsia" w:eastAsia="宋体"/>
                          <w:color w:val="FF0000"/>
                          <w:lang w:val="en-US" w:eastAsia="zh-CN"/>
                        </w:rPr>
                        <w:t>DA002</w:t>
                      </w:r>
                    </w:p>
                  </w:txbxContent>
                </v:textbox>
              </v:shape>
            </w:pict>
          </mc:Fallback>
        </mc:AlternateContent>
      </w:r>
      <w:r>
        <w:rPr>
          <w:sz w:val="21"/>
        </w:rPr>
        <mc:AlternateContent>
          <mc:Choice Requires="wps">
            <w:drawing>
              <wp:anchor distT="0" distB="0" distL="114300" distR="114300" simplePos="0" relativeHeight="251721728" behindDoc="0" locked="0" layoutInCell="1" allowOverlap="1">
                <wp:simplePos x="0" y="0"/>
                <wp:positionH relativeFrom="column">
                  <wp:posOffset>3093085</wp:posOffset>
                </wp:positionH>
                <wp:positionV relativeFrom="paragraph">
                  <wp:posOffset>1751330</wp:posOffset>
                </wp:positionV>
                <wp:extent cx="676275" cy="457200"/>
                <wp:effectExtent l="6350" t="6350" r="22225" b="203200"/>
                <wp:wrapNone/>
                <wp:docPr id="158" name="圆角矩形标注 158"/>
                <wp:cNvGraphicFramePr/>
                <a:graphic xmlns:a="http://schemas.openxmlformats.org/drawingml/2006/main">
                  <a:graphicData uri="http://schemas.microsoft.com/office/word/2010/wordprocessingShape">
                    <wps:wsp>
                      <wps:cNvSpPr/>
                      <wps:spPr>
                        <a:xfrm>
                          <a:off x="0" y="0"/>
                          <a:ext cx="676275" cy="457200"/>
                        </a:xfrm>
                        <a:prstGeom prst="wedgeRoundRectCallout">
                          <a:avLst>
                            <a:gd name="adj1" fmla="val 34273"/>
                            <a:gd name="adj2" fmla="val 89583"/>
                            <a:gd name="adj3" fmla="val 16667"/>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4BC66B4">
                            <w:pPr>
                              <w:jc w:val="center"/>
                              <w:rPr>
                                <w:rFonts w:hint="default" w:eastAsia="宋体"/>
                                <w:color w:val="FF0000"/>
                                <w:lang w:val="en-US" w:eastAsia="zh-CN"/>
                              </w:rPr>
                            </w:pPr>
                            <w:r>
                              <w:rPr>
                                <w:rFonts w:hint="eastAsia" w:eastAsia="宋体"/>
                                <w:color w:val="FF0000"/>
                                <w:lang w:val="en-US" w:eastAsia="zh-CN"/>
                              </w:rPr>
                              <w:t>DA003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43.55pt;margin-top:137.9pt;height:36pt;width:53.25pt;z-index:251721728;v-text-anchor:middle;mso-width-relative:page;mso-height-relative:page;" filled="f" stroked="t" coordsize="21600,21600" o:gfxdata="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BdmGMu3AAAAAsBAAAPAAAA&#10;AAAAAAEAIAAAACIAAABkcnMvZG93bnJldi54bWxQSwECFAAUAAAACACHTuJAAaUuAbwCAABrBQAA&#10;DgAAAAAAAAABACAAAAArAQAAZHJzL2Uyb0RvYy54bWxQSwUGAAAAAAYABgBZAQAAWQYAAAAA&#10;" adj="18203,30150,14400">
                <v:fill on="f" focussize="0,0"/>
                <v:stroke weight="1pt" color="#000000 [3213]" miterlimit="8" joinstyle="miter"/>
                <v:imagedata o:title=""/>
                <o:lock v:ext="edit" aspectratio="f"/>
                <v:textbox>
                  <w:txbxContent>
                    <w:p w14:paraId="04BC66B4">
                      <w:pPr>
                        <w:jc w:val="center"/>
                        <w:rPr>
                          <w:rFonts w:hint="default" w:eastAsia="宋体"/>
                          <w:color w:val="FF0000"/>
                          <w:lang w:val="en-US" w:eastAsia="zh-CN"/>
                        </w:rPr>
                      </w:pPr>
                      <w:r>
                        <w:rPr>
                          <w:rFonts w:hint="eastAsia" w:eastAsia="宋体"/>
                          <w:color w:val="FF0000"/>
                          <w:lang w:val="en-US" w:eastAsia="zh-CN"/>
                        </w:rPr>
                        <w:t>DA003</w:t>
                      </w:r>
                    </w:p>
                  </w:txbxContent>
                </v:textbox>
              </v:shape>
            </w:pict>
          </mc:Fallback>
        </mc:AlternateContent>
      </w:r>
      <w:r>
        <w:rPr>
          <w:sz w:val="21"/>
        </w:rPr>
        <mc:AlternateContent>
          <mc:Choice Requires="wps">
            <w:drawing>
              <wp:anchor distT="0" distB="0" distL="114300" distR="114300" simplePos="0" relativeHeight="251719680" behindDoc="0" locked="0" layoutInCell="1" allowOverlap="1">
                <wp:simplePos x="0" y="0"/>
                <wp:positionH relativeFrom="column">
                  <wp:posOffset>1816735</wp:posOffset>
                </wp:positionH>
                <wp:positionV relativeFrom="paragraph">
                  <wp:posOffset>2919730</wp:posOffset>
                </wp:positionV>
                <wp:extent cx="676275" cy="457200"/>
                <wp:effectExtent l="6350" t="6350" r="22225" b="203200"/>
                <wp:wrapNone/>
                <wp:docPr id="156" name="圆角矩形标注 156"/>
                <wp:cNvGraphicFramePr/>
                <a:graphic xmlns:a="http://schemas.openxmlformats.org/drawingml/2006/main">
                  <a:graphicData uri="http://schemas.microsoft.com/office/word/2010/wordprocessingShape">
                    <wps:wsp>
                      <wps:cNvSpPr/>
                      <wps:spPr>
                        <a:xfrm>
                          <a:off x="2668905" y="1931670"/>
                          <a:ext cx="676275" cy="457200"/>
                        </a:xfrm>
                        <a:prstGeom prst="wedgeRoundRectCallout">
                          <a:avLst>
                            <a:gd name="adj1" fmla="val 34273"/>
                            <a:gd name="adj2" fmla="val 89583"/>
                            <a:gd name="adj3" fmla="val 16667"/>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30FA2E7">
                            <w:pPr>
                              <w:jc w:val="center"/>
                              <w:rPr>
                                <w:rFonts w:hint="default" w:eastAsia="宋体"/>
                                <w:color w:val="FF0000"/>
                                <w:lang w:val="en-US" w:eastAsia="zh-CN"/>
                              </w:rPr>
                            </w:pPr>
                            <w:r>
                              <w:rPr>
                                <w:rFonts w:hint="eastAsia" w:eastAsia="宋体"/>
                                <w:color w:val="FF0000"/>
                                <w:lang w:val="en-US" w:eastAsia="zh-CN"/>
                              </w:rPr>
                              <w:t>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43.05pt;margin-top:229.9pt;height:36pt;width:53.25pt;z-index:251719680;v-text-anchor:middle;mso-width-relative:page;mso-height-relative:page;" filled="f" stroked="t" coordsize="21600,21600" o:gfxdata="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IDm8Czc&#10;AAAACwEAAA8AAAAAAAAAAQAgAAAAIgAAAGRycy9kb3ducmV2LnhtbFBLAQIUABQAAAAIAIdO4kAG&#10;/qu/xwIAAHcFAAAOAAAAAAAAAAEAIAAAACsBAABkcnMvZTJvRG9jLnhtbFBLBQYAAAAABgAGAFkB&#10;AABkBgAAAAA=&#10;" adj="18203,30150,14400">
                <v:fill on="f" focussize="0,0"/>
                <v:stroke weight="1pt" color="#000000 [3213]" miterlimit="8" joinstyle="miter"/>
                <v:imagedata o:title=""/>
                <o:lock v:ext="edit" aspectratio="f"/>
                <v:textbox>
                  <w:txbxContent>
                    <w:p w14:paraId="230FA2E7">
                      <w:pPr>
                        <w:jc w:val="center"/>
                        <w:rPr>
                          <w:rFonts w:hint="default" w:eastAsia="宋体"/>
                          <w:color w:val="FF0000"/>
                          <w:lang w:val="en-US" w:eastAsia="zh-CN"/>
                        </w:rPr>
                      </w:pPr>
                      <w:r>
                        <w:rPr>
                          <w:rFonts w:hint="eastAsia" w:eastAsia="宋体"/>
                          <w:color w:val="FF0000"/>
                          <w:lang w:val="en-US" w:eastAsia="zh-CN"/>
                        </w:rPr>
                        <w:t>DA001</w:t>
                      </w:r>
                    </w:p>
                  </w:txbxContent>
                </v:textbox>
              </v:shape>
            </w:pict>
          </mc:Fallback>
        </mc:AlternateContent>
      </w:r>
      <w:r>
        <w:rPr>
          <w:sz w:val="21"/>
        </w:rPr>
        <mc:AlternateContent>
          <mc:Choice Requires="wps">
            <w:drawing>
              <wp:anchor distT="0" distB="0" distL="114300" distR="114300" simplePos="0" relativeHeight="251716608" behindDoc="0" locked="0" layoutInCell="1" allowOverlap="1">
                <wp:simplePos x="0" y="0"/>
                <wp:positionH relativeFrom="column">
                  <wp:posOffset>3989705</wp:posOffset>
                </wp:positionH>
                <wp:positionV relativeFrom="paragraph">
                  <wp:posOffset>2094865</wp:posOffset>
                </wp:positionV>
                <wp:extent cx="133350" cy="142875"/>
                <wp:effectExtent l="6350" t="6350" r="12700" b="22225"/>
                <wp:wrapNone/>
                <wp:docPr id="153" name="同心圆 153"/>
                <wp:cNvGraphicFramePr/>
                <a:graphic xmlns:a="http://schemas.openxmlformats.org/drawingml/2006/main">
                  <a:graphicData uri="http://schemas.microsoft.com/office/word/2010/wordprocessingShape">
                    <wps:wsp>
                      <wps:cNvSpPr/>
                      <wps:spPr>
                        <a:xfrm>
                          <a:off x="0" y="0"/>
                          <a:ext cx="133350" cy="142875"/>
                        </a:xfrm>
                        <a:prstGeom prst="donu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14.15pt;margin-top:164.95pt;height:11.25pt;width:10.5pt;z-index:251716608;v-text-anchor:middle;mso-width-relative:page;mso-height-relative:page;" fillcolor="#FF0000" filled="t" stroked="t" coordsize="21600,21600" o:gfxdata="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&#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FBe+UXdAAAACwEAAA8AAAAAAAAAAQAgAAAAIgAAAGRy&#10;cy9kb3ducmV2LnhtbFBLAQIUABQAAAAIAIdO4kD6UL8/cgIAAPsEAAAOAAAAAAAAAAEAIAAAACwB&#10;AABkcnMvZTJvRG9jLnhtbFBLBQYAAAAABgAGAFkBAAAQBgAAAAA=&#10;" adj="5400">
                <v:fill on="t"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717632" behindDoc="0" locked="0" layoutInCell="1" allowOverlap="1">
                <wp:simplePos x="0" y="0"/>
                <wp:positionH relativeFrom="column">
                  <wp:posOffset>2389505</wp:posOffset>
                </wp:positionH>
                <wp:positionV relativeFrom="paragraph">
                  <wp:posOffset>3571240</wp:posOffset>
                </wp:positionV>
                <wp:extent cx="133350" cy="142875"/>
                <wp:effectExtent l="6350" t="6350" r="12700" b="22225"/>
                <wp:wrapNone/>
                <wp:docPr id="154" name="同心圆 154"/>
                <wp:cNvGraphicFramePr/>
                <a:graphic xmlns:a="http://schemas.openxmlformats.org/drawingml/2006/main">
                  <a:graphicData uri="http://schemas.microsoft.com/office/word/2010/wordprocessingShape">
                    <wps:wsp>
                      <wps:cNvSpPr/>
                      <wps:spPr>
                        <a:xfrm>
                          <a:off x="0" y="0"/>
                          <a:ext cx="133350" cy="142875"/>
                        </a:xfrm>
                        <a:prstGeom prst="donu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188.15pt;margin-top:281.2pt;height:11.25pt;width:10.5pt;z-index:251717632;v-text-anchor:middle;mso-width-relative:page;mso-height-relative:page;" fillcolor="#FF0000" filled="t" stroked="t" coordsize="21600,21600" o:gfxdata="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LFbsereAAAACwEAAA8AAAAAAAAAAQAgAAAAIgAA&#10;AGRycy9kb3ducmV2LnhtbFBLAQIUABQAAAAIAIdO4kCcMWIedAIAAPsEAAAOAAAAAAAAAAEAIAAA&#10;AC0BAABkcnMvZTJvRG9jLnhtbFBLBQYAAAAABgAGAFkBAAATBgAAAAA=&#10;" adj="5400">
                <v:fill on="t"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718656" behindDoc="0" locked="0" layoutInCell="1" allowOverlap="1">
                <wp:simplePos x="0" y="0"/>
                <wp:positionH relativeFrom="column">
                  <wp:posOffset>3827780</wp:posOffset>
                </wp:positionH>
                <wp:positionV relativeFrom="paragraph">
                  <wp:posOffset>7486015</wp:posOffset>
                </wp:positionV>
                <wp:extent cx="133350" cy="142875"/>
                <wp:effectExtent l="6350" t="6350" r="12700" b="22225"/>
                <wp:wrapNone/>
                <wp:docPr id="155" name="同心圆 155"/>
                <wp:cNvGraphicFramePr/>
                <a:graphic xmlns:a="http://schemas.openxmlformats.org/drawingml/2006/main">
                  <a:graphicData uri="http://schemas.microsoft.com/office/word/2010/wordprocessingShape">
                    <wps:wsp>
                      <wps:cNvSpPr/>
                      <wps:spPr>
                        <a:xfrm>
                          <a:off x="0" y="0"/>
                          <a:ext cx="133350" cy="142875"/>
                        </a:xfrm>
                        <a:prstGeom prst="donu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01.4pt;margin-top:589.45pt;height:11.25pt;width:10.5pt;z-index:251718656;v-text-anchor:middle;mso-width-relative:page;mso-height-relative:page;" fillcolor="#FF0000" filled="t" stroked="t" coordsize="21600,21600" o:gfxdata="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Vusi63gAAAA0BAAAPAAAAAAAAAAEAIAAAACIA&#10;AABkcnMvZG93bnJldi54bWxQSwECFAAUAAAACACHTuJA5pGQE3UCAAD7BAAADgAAAAAAAAABACAA&#10;AAAtAQAAZHJzL2Uyb0RvYy54bWxQSwUGAAAAAAYABgBZAQAAFAYAAAAA&#10;" adj="5400">
                <v:fill on="t" focussize="0,0"/>
                <v:stroke weight="1pt" color="#FF0000 [2404]" miterlimit="8" joinstyle="miter"/>
                <v:imagedata o:title=""/>
                <o:lock v:ext="edit" aspectratio="f"/>
              </v:shape>
            </w:pict>
          </mc:Fallback>
        </mc:AlternateContent>
      </w:r>
      <w:r>
        <w:rPr>
          <w:rFonts w:hint="eastAsia" w:eastAsia="宋体"/>
          <w:lang w:eastAsia="zh-CN"/>
        </w:rPr>
        <w:drawing>
          <wp:inline distT="0" distB="0" distL="114300" distR="114300">
            <wp:extent cx="7110730" cy="6745605"/>
            <wp:effectExtent l="1523365" t="1345565" r="1522730" b="1354455"/>
            <wp:docPr id="149" name="图片 149" descr="天时利-黑龙江厂房方案-2025-0920_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天时利-黑龙江厂房方案-2025-0920_01(1)(1)"/>
                    <pic:cNvPicPr>
                      <a:picLocks noChangeAspect="1"/>
                    </pic:cNvPicPr>
                  </pic:nvPicPr>
                  <pic:blipFill>
                    <a:blip r:embed="rId119"/>
                    <a:stretch>
                      <a:fillRect/>
                    </a:stretch>
                  </pic:blipFill>
                  <pic:spPr>
                    <a:xfrm rot="13560000">
                      <a:off x="0" y="0"/>
                      <a:ext cx="7110730" cy="6745605"/>
                    </a:xfrm>
                    <a:prstGeom prst="rect">
                      <a:avLst/>
                    </a:prstGeom>
                  </pic:spPr>
                </pic:pic>
              </a:graphicData>
            </a:graphic>
          </wp:inline>
        </w:drawing>
      </w:r>
      <w:r>
        <w:rPr>
          <w:sz w:val="21"/>
        </w:rPr>
        <mc:AlternateContent>
          <mc:Choice Requires="wps">
            <w:drawing>
              <wp:anchor distT="0" distB="0" distL="114300" distR="114300" simplePos="0" relativeHeight="251715584" behindDoc="0" locked="0" layoutInCell="1" allowOverlap="1">
                <wp:simplePos x="0" y="0"/>
                <wp:positionH relativeFrom="column">
                  <wp:posOffset>3703955</wp:posOffset>
                </wp:positionH>
                <wp:positionV relativeFrom="paragraph">
                  <wp:posOffset>2380615</wp:posOffset>
                </wp:positionV>
                <wp:extent cx="133350" cy="142875"/>
                <wp:effectExtent l="6350" t="6350" r="12700" b="22225"/>
                <wp:wrapNone/>
                <wp:docPr id="152" name="同心圆 152"/>
                <wp:cNvGraphicFramePr/>
                <a:graphic xmlns:a="http://schemas.openxmlformats.org/drawingml/2006/main">
                  <a:graphicData uri="http://schemas.microsoft.com/office/word/2010/wordprocessingShape">
                    <wps:wsp>
                      <wps:cNvSpPr/>
                      <wps:spPr>
                        <a:xfrm>
                          <a:off x="4603750" y="3392805"/>
                          <a:ext cx="133350" cy="142875"/>
                        </a:xfrm>
                        <a:prstGeom prst="donu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91.65pt;margin-top:187.45pt;height:11.25pt;width:10.5pt;z-index:251715584;v-text-anchor:middle;mso-width-relative:page;mso-height-relative:page;" fillcolor="#FF0000" filled="t" stroked="t" coordsize="21600,21600" o:gfxdata="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O4sbr3eAAAACwEAAA8AAAAA&#10;AAAAAQAgAAAAIgAAAGRycy9kb3ducmV2LnhtbFBLAQIUABQAAAAIAIdO4kD/KoxYgAIAAAcFAAAO&#10;AAAAAAAAAAEAIAAAAC0BAABkcnMvZTJvRG9jLnhtbFBLBQYAAAAABgAGAFkBAAAfBgAAAAA=&#10;" adj="5400">
                <v:fill on="t" focussize="0,0"/>
                <v:stroke weight="1pt" color="#FF0000 [24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714560" behindDoc="0" locked="0" layoutInCell="1" allowOverlap="1">
                <wp:simplePos x="0" y="0"/>
                <wp:positionH relativeFrom="column">
                  <wp:posOffset>7905750</wp:posOffset>
                </wp:positionH>
                <wp:positionV relativeFrom="paragraph">
                  <wp:posOffset>73025</wp:posOffset>
                </wp:positionV>
                <wp:extent cx="1127125" cy="928370"/>
                <wp:effectExtent l="0" t="0" r="15875" b="5080"/>
                <wp:wrapNone/>
                <wp:docPr id="150" name="文本框 150"/>
                <wp:cNvGraphicFramePr/>
                <a:graphic xmlns:a="http://schemas.openxmlformats.org/drawingml/2006/main">
                  <a:graphicData uri="http://schemas.microsoft.com/office/word/2010/wordprocessingShape">
                    <wps:wsp>
                      <wps:cNvSpPr txBox="1"/>
                      <wps:spPr>
                        <a:xfrm>
                          <a:off x="0" y="0"/>
                          <a:ext cx="1127125" cy="9283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7466FE2">
                            <w:r>
                              <w:drawing>
                                <wp:inline distT="0" distB="0" distL="114300" distR="114300">
                                  <wp:extent cx="827405" cy="838835"/>
                                  <wp:effectExtent l="0" t="0" r="10795" b="18415"/>
                                  <wp:docPr id="15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9"/>
                                          <pic:cNvPicPr>
                                            <a:picLocks noChangeAspect="1"/>
                                          </pic:cNvPicPr>
                                        </pic:nvPicPr>
                                        <pic:blipFill>
                                          <a:blip r:embed="rId117"/>
                                          <a:stretch>
                                            <a:fillRect/>
                                          </a:stretch>
                                        </pic:blipFill>
                                        <pic:spPr>
                                          <a:xfrm>
                                            <a:off x="0" y="0"/>
                                            <a:ext cx="827405" cy="8388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2.5pt;margin-top:5.75pt;height:73.1pt;width:88.75pt;z-index:251714560;mso-width-relative:page;mso-height-relative:page;" fillcolor="#FFFFFF [3201]" filled="t" stroked="f" coordsize="21600,21600" o:gfxdata="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8aEw/1QAAAAwBAAAPAAAA&#10;AAAAAAEAIAAAACIAAABkcnMvZG93bnJldi54bWxQSwECFAAUAAAACACHTuJARE0av1ECAACTBAAA&#10;DgAAAAAAAAABACAAAAAkAQAAZHJzL2Uyb0RvYy54bWxQSwUGAAAAAAYABgBZAQAA5wUAAAAA&#10;">
                <v:fill on="t" focussize="0,0"/>
                <v:stroke on="f" weight="0.5pt"/>
                <v:imagedata o:title=""/>
                <o:lock v:ext="edit" aspectratio="f"/>
                <v:textbox>
                  <w:txbxContent>
                    <w:p w14:paraId="57466FE2">
                      <w:r>
                        <w:drawing>
                          <wp:inline distT="0" distB="0" distL="114300" distR="114300">
                            <wp:extent cx="827405" cy="838835"/>
                            <wp:effectExtent l="0" t="0" r="10795" b="18415"/>
                            <wp:docPr id="15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9"/>
                                    <pic:cNvPicPr>
                                      <a:picLocks noChangeAspect="1"/>
                                    </pic:cNvPicPr>
                                  </pic:nvPicPr>
                                  <pic:blipFill>
                                    <a:blip r:embed="rId117"/>
                                    <a:stretch>
                                      <a:fillRect/>
                                    </a:stretch>
                                  </pic:blipFill>
                                  <pic:spPr>
                                    <a:xfrm>
                                      <a:off x="0" y="0"/>
                                      <a:ext cx="827405" cy="838835"/>
                                    </a:xfrm>
                                    <a:prstGeom prst="rect">
                                      <a:avLst/>
                                    </a:prstGeom>
                                    <a:noFill/>
                                    <a:ln>
                                      <a:noFill/>
                                    </a:ln>
                                  </pic:spPr>
                                </pic:pic>
                              </a:graphicData>
                            </a:graphic>
                          </wp:inline>
                        </w:drawing>
                      </w:r>
                    </w:p>
                  </w:txbxContent>
                </v:textbox>
              </v:shape>
            </w:pict>
          </mc:Fallback>
        </mc:AlternateContent>
      </w:r>
    </w:p>
    <w:p w14:paraId="7747ED69">
      <w:pPr>
        <w:pStyle w:val="13"/>
        <w:sectPr>
          <w:pgSz w:w="16838" w:h="23811"/>
          <w:pgMar w:top="1134" w:right="1417" w:bottom="1134" w:left="1417" w:header="850"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609C526F">
      <w:pPr>
        <w:adjustRightInd/>
        <w:snapToGrid/>
        <w:spacing w:after="0"/>
        <w:jc w:val="both"/>
        <w:outlineLvl w:val="0"/>
        <w:rPr>
          <w:rFonts w:hint="eastAsia" w:ascii="Times New Roman" w:hAnsi="Times New Roman" w:eastAsia="宋体" w:cs="Times New Roman"/>
          <w:b/>
          <w:smallCaps/>
          <w:snapToGrid w:val="0"/>
          <w:color w:val="auto"/>
          <w:kern w:val="2"/>
          <w:sz w:val="21"/>
          <w:szCs w:val="21"/>
          <w:highlight w:val="none"/>
          <w:lang w:val="en-US" w:eastAsia="zh-CN"/>
        </w:rPr>
      </w:pPr>
      <w:bookmarkStart w:id="118" w:name="_Toc22175"/>
      <w:r>
        <w:rPr>
          <w:rFonts w:hint="eastAsia" w:ascii="Times New Roman" w:hAnsi="Times New Roman" w:eastAsia="宋体" w:cs="Times New Roman"/>
          <w:b/>
          <w:smallCaps/>
          <w:snapToGrid w:val="0"/>
          <w:color w:val="auto"/>
          <w:kern w:val="2"/>
          <w:sz w:val="21"/>
          <w:szCs w:val="21"/>
          <w:highlight w:val="none"/>
          <w:lang w:val="en-US" w:eastAsia="zh-CN"/>
        </w:rPr>
        <w:t>附图3项目评价范围及环境敏感目标分布示意图</w:t>
      </w:r>
      <w:bookmarkEnd w:id="118"/>
    </w:p>
    <w:p w14:paraId="239481A0">
      <w:pPr>
        <w:pStyle w:val="13"/>
        <w:jc w:val="center"/>
      </w:pPr>
      <w:r>
        <w:rPr>
          <w:sz w:val="21"/>
        </w:rPr>
        <mc:AlternateContent>
          <mc:Choice Requires="wps">
            <w:drawing>
              <wp:anchor distT="0" distB="0" distL="114300" distR="114300" simplePos="0" relativeHeight="251708416" behindDoc="0" locked="0" layoutInCell="1" allowOverlap="1">
                <wp:simplePos x="0" y="0"/>
                <wp:positionH relativeFrom="column">
                  <wp:posOffset>6049645</wp:posOffset>
                </wp:positionH>
                <wp:positionV relativeFrom="paragraph">
                  <wp:posOffset>3569970</wp:posOffset>
                </wp:positionV>
                <wp:extent cx="248920" cy="161290"/>
                <wp:effectExtent l="6350" t="6350" r="11430" b="22860"/>
                <wp:wrapNone/>
                <wp:docPr id="137" name="矩形 137"/>
                <wp:cNvGraphicFramePr/>
                <a:graphic xmlns:a="http://schemas.openxmlformats.org/drawingml/2006/main">
                  <a:graphicData uri="http://schemas.microsoft.com/office/word/2010/wordprocessingShape">
                    <wps:wsp>
                      <wps:cNvSpPr/>
                      <wps:spPr>
                        <a:xfrm>
                          <a:off x="7164070" y="4538345"/>
                          <a:ext cx="248920" cy="16129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6.35pt;margin-top:281.1pt;height:12.7pt;width:19.6pt;z-index:251708416;v-text-anchor:middle;mso-width-relative:page;mso-height-relative:page;" filled="f" stroked="t" coordsize="21600,21600" o:gfxdata="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BFywrLYAAAACwEAAA8AAAAAAAAAAQAgAAAAIgAA&#10;AGRycy9kb3ducmV2LnhtbFBLAQIUABQAAAAIAIdO4kB4T0DTegIAANoEAAAOAAAAAAAAAAEAIAAA&#10;ACcBAABkcnMvZTJvRG9jLnhtbFBLBQYAAAAABgAGAFkBAAATBgAAAAA=&#10;">
                <v:fill on="f" focussize="0,0"/>
                <v:stroke weight="1pt" color="#FF0000 [2404]" miterlimit="8" joinstyle="miter"/>
                <v:imagedata o:title=""/>
                <o:lock v:ext="edit" aspectratio="f"/>
              </v:rect>
            </w:pict>
          </mc:Fallback>
        </mc:AlternateContent>
      </w:r>
      <w:r>
        <w:rPr>
          <w:sz w:val="21"/>
        </w:rPr>
        <mc:AlternateContent>
          <mc:Choice Requires="wps">
            <w:drawing>
              <wp:anchor distT="0" distB="0" distL="114300" distR="114300" simplePos="0" relativeHeight="251712512" behindDoc="0" locked="0" layoutInCell="1" allowOverlap="1">
                <wp:simplePos x="0" y="0"/>
                <wp:positionH relativeFrom="column">
                  <wp:posOffset>6042025</wp:posOffset>
                </wp:positionH>
                <wp:positionV relativeFrom="paragraph">
                  <wp:posOffset>5026660</wp:posOffset>
                </wp:positionV>
                <wp:extent cx="248920" cy="161290"/>
                <wp:effectExtent l="6350" t="6350" r="11430" b="22860"/>
                <wp:wrapNone/>
                <wp:docPr id="143" name="矩形 143"/>
                <wp:cNvGraphicFramePr/>
                <a:graphic xmlns:a="http://schemas.openxmlformats.org/drawingml/2006/main">
                  <a:graphicData uri="http://schemas.microsoft.com/office/word/2010/wordprocessingShape">
                    <wps:wsp>
                      <wps:cNvSpPr/>
                      <wps:spPr>
                        <a:xfrm>
                          <a:off x="0" y="0"/>
                          <a:ext cx="248920" cy="161290"/>
                        </a:xfrm>
                        <a:prstGeom prst="rect">
                          <a:avLst/>
                        </a:prstGeom>
                        <a:noFill/>
                        <a:ln>
                          <a:solidFill>
                            <a:srgbClr val="FF00F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5.75pt;margin-top:395.8pt;height:12.7pt;width:19.6pt;z-index:251712512;v-text-anchor:middle;mso-width-relative:page;mso-height-relative:page;" filled="f" stroked="t" coordsize="21600,21600" o:gfxdata="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423NftwAAAALAQAADwAAAAAAAAABACAAAAAiAAAAZHJzL2Rvd25y&#10;ZXYueG1sUEsBAhQAFAAAAAgAh07iQCJbfRVsAgAAzgQAAA4AAAAAAAAAAQAgAAAAKwEAAGRycy9l&#10;Mm9Eb2MueG1sUEsFBgAAAAAGAAYAWQEAAAkGAAAAAA==&#10;">
                <v:fill on="f" focussize="0,0"/>
                <v:stroke weight="1pt" color="#FF00FF [2404]" miterlimit="8" joinstyle="miter"/>
                <v:imagedata o:title=""/>
                <o:lock v:ext="edit" aspectratio="f"/>
              </v:rect>
            </w:pict>
          </mc:Fallback>
        </mc:AlternateContent>
      </w:r>
      <w:r>
        <w:rPr>
          <w:sz w:val="21"/>
        </w:rPr>
        <mc:AlternateContent>
          <mc:Choice Requires="wps">
            <w:drawing>
              <wp:anchor distT="0" distB="0" distL="114300" distR="114300" simplePos="0" relativeHeight="251709440" behindDoc="0" locked="0" layoutInCell="1" allowOverlap="1">
                <wp:simplePos x="0" y="0"/>
                <wp:positionH relativeFrom="column">
                  <wp:posOffset>6031865</wp:posOffset>
                </wp:positionH>
                <wp:positionV relativeFrom="paragraph">
                  <wp:posOffset>3853815</wp:posOffset>
                </wp:positionV>
                <wp:extent cx="248920" cy="161290"/>
                <wp:effectExtent l="19050" t="19050" r="36830" b="29210"/>
                <wp:wrapNone/>
                <wp:docPr id="139" name="矩形 139"/>
                <wp:cNvGraphicFramePr/>
                <a:graphic xmlns:a="http://schemas.openxmlformats.org/drawingml/2006/main">
                  <a:graphicData uri="http://schemas.microsoft.com/office/word/2010/wordprocessingShape">
                    <wps:wsp>
                      <wps:cNvSpPr/>
                      <wps:spPr>
                        <a:xfrm>
                          <a:off x="0" y="0"/>
                          <a:ext cx="248920" cy="161290"/>
                        </a:xfrm>
                        <a:prstGeom prst="rect">
                          <a:avLst/>
                        </a:prstGeom>
                        <a:noFill/>
                        <a:ln w="381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4.95pt;margin-top:303.45pt;height:12.7pt;width:19.6pt;z-index:251709440;v-text-anchor:middle;mso-width-relative:page;mso-height-relative:page;" filled="f" stroked="t" coordsize="21600,21600" o:gfxdata="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I0X292gAAAAsBAAAPAAAAAAAAAAEAIAAAACIAAABkcnMvZG93bnJldi54&#10;bWxQSwECFAAUAAAACACHTuJAOIJd0WoCAADOBAAADgAAAAAAAAABACAAAAApAQAAZHJzL2Uyb0Rv&#10;Yy54bWxQSwUGAAAAAAYABgBZAQAABQYAAAAA&#10;">
                <v:fill on="f" focussize="0,0"/>
                <v:stroke weight="3pt" color="#FFFF00 [2404]" miterlimit="8" joinstyle="miter"/>
                <v:imagedata o:title=""/>
                <o:lock v:ext="edit" aspectratio="f"/>
              </v:rect>
            </w:pict>
          </mc:Fallback>
        </mc:AlternateContent>
      </w:r>
      <w:r>
        <w:rPr>
          <w:sz w:val="21"/>
        </w:rPr>
        <mc:AlternateContent>
          <mc:Choice Requires="wps">
            <w:drawing>
              <wp:anchor distT="0" distB="0" distL="114300" distR="114300" simplePos="0" relativeHeight="251713536" behindDoc="0" locked="0" layoutInCell="1" allowOverlap="1">
                <wp:simplePos x="0" y="0"/>
                <wp:positionH relativeFrom="column">
                  <wp:posOffset>6045200</wp:posOffset>
                </wp:positionH>
                <wp:positionV relativeFrom="paragraph">
                  <wp:posOffset>4748530</wp:posOffset>
                </wp:positionV>
                <wp:extent cx="248920" cy="161290"/>
                <wp:effectExtent l="6350" t="6350" r="11430" b="22860"/>
                <wp:wrapNone/>
                <wp:docPr id="144" name="矩形 144"/>
                <wp:cNvGraphicFramePr/>
                <a:graphic xmlns:a="http://schemas.openxmlformats.org/drawingml/2006/main">
                  <a:graphicData uri="http://schemas.microsoft.com/office/word/2010/wordprocessingShape">
                    <wps:wsp>
                      <wps:cNvSpPr/>
                      <wps:spPr>
                        <a:xfrm>
                          <a:off x="0" y="0"/>
                          <a:ext cx="248920" cy="161290"/>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6pt;margin-top:373.9pt;height:12.7pt;width:19.6pt;z-index:251713536;v-text-anchor:middle;mso-width-relative:page;mso-height-relative:page;" filled="f" stroked="t" coordsize="21600,21600" o:gfxdata="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yn7CA9gAAAALAQAADwAAAAAAAAABACAAAAAiAAAAZHJzL2Rvd25yZXYueG1s&#10;UEsBAhQAFAAAAAgAh07iQLIAl/dqAgAAzgQAAA4AAAAAAAAAAQAgAAAAJwEAAGRycy9lMm9Eb2Mu&#10;eG1sUEsFBgAAAAAGAAYAWQEAAAMGAAAAAA==&#10;">
                <v:fill on="f" focussize="0,0"/>
                <v:stroke weight="1pt" color="#00B0F0 [2404]" miterlimit="8" joinstyle="miter"/>
                <v:imagedata o:title=""/>
                <o:lock v:ext="edit" aspectratio="f"/>
              </v:rect>
            </w:pict>
          </mc:Fallback>
        </mc:AlternateContent>
      </w:r>
      <w:r>
        <w:rPr>
          <w:sz w:val="21"/>
        </w:rPr>
        <mc:AlternateContent>
          <mc:Choice Requires="wps">
            <w:drawing>
              <wp:anchor distT="0" distB="0" distL="114300" distR="114300" simplePos="0" relativeHeight="251711488" behindDoc="0" locked="0" layoutInCell="1" allowOverlap="1">
                <wp:simplePos x="0" y="0"/>
                <wp:positionH relativeFrom="column">
                  <wp:posOffset>6033770</wp:posOffset>
                </wp:positionH>
                <wp:positionV relativeFrom="paragraph">
                  <wp:posOffset>4453255</wp:posOffset>
                </wp:positionV>
                <wp:extent cx="248920" cy="161290"/>
                <wp:effectExtent l="6350" t="6350" r="11430" b="22860"/>
                <wp:wrapNone/>
                <wp:docPr id="142" name="矩形 142"/>
                <wp:cNvGraphicFramePr/>
                <a:graphic xmlns:a="http://schemas.openxmlformats.org/drawingml/2006/main">
                  <a:graphicData uri="http://schemas.microsoft.com/office/word/2010/wordprocessingShape">
                    <wps:wsp>
                      <wps:cNvSpPr/>
                      <wps:spPr>
                        <a:xfrm>
                          <a:off x="0" y="0"/>
                          <a:ext cx="248920" cy="161290"/>
                        </a:xfrm>
                        <a:prstGeom prst="rect">
                          <a:avLst/>
                        </a:prstGeom>
                        <a:noFill/>
                        <a:ln>
                          <a:solidFill>
                            <a:srgbClr val="7030A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5.1pt;margin-top:350.65pt;height:12.7pt;width:19.6pt;z-index:251711488;v-text-anchor:middle;mso-width-relative:page;mso-height-relative:page;" filled="f" stroked="t" coordsize="21600,21600" o:gfxdata="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MBecxTaAAAACwEAAA8AAAAAAAAAAQAgAAAAIgAAAGRycy9kb3ducmV2&#10;LnhtbFBLAQIUABQAAAAIAIdO4kCRFsxibAIAAM4EAAAOAAAAAAAAAAEAIAAAACkBAABkcnMvZTJv&#10;RG9jLnhtbFBLBQYAAAAABgAGAFkBAAAHBgAAAAA=&#10;">
                <v:fill on="f" focussize="0,0"/>
                <v:stroke weight="1pt" color="#7030A0 [2404]" miterlimit="8" joinstyle="miter"/>
                <v:imagedata o:title=""/>
                <o:lock v:ext="edit" aspectratio="f"/>
              </v:rect>
            </w:pict>
          </mc:Fallback>
        </mc:AlternateContent>
      </w:r>
      <w:r>
        <w:rPr>
          <w:sz w:val="21"/>
        </w:rPr>
        <mc:AlternateContent>
          <mc:Choice Requires="wps">
            <w:drawing>
              <wp:anchor distT="0" distB="0" distL="114300" distR="114300" simplePos="0" relativeHeight="251710464" behindDoc="0" locked="0" layoutInCell="1" allowOverlap="1">
                <wp:simplePos x="0" y="0"/>
                <wp:positionH relativeFrom="column">
                  <wp:posOffset>6025515</wp:posOffset>
                </wp:positionH>
                <wp:positionV relativeFrom="paragraph">
                  <wp:posOffset>4163695</wp:posOffset>
                </wp:positionV>
                <wp:extent cx="248920" cy="161290"/>
                <wp:effectExtent l="6350" t="6350" r="11430" b="22860"/>
                <wp:wrapNone/>
                <wp:docPr id="140" name="矩形 140"/>
                <wp:cNvGraphicFramePr/>
                <a:graphic xmlns:a="http://schemas.openxmlformats.org/drawingml/2006/main">
                  <a:graphicData uri="http://schemas.microsoft.com/office/word/2010/wordprocessingShape">
                    <wps:wsp>
                      <wps:cNvSpPr/>
                      <wps:spPr>
                        <a:xfrm>
                          <a:off x="0" y="0"/>
                          <a:ext cx="248920" cy="161290"/>
                        </a:xfrm>
                        <a:prstGeom prst="rect">
                          <a:avLst/>
                        </a:prstGeom>
                        <a:noFill/>
                        <a:ln>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4.45pt;margin-top:327.85pt;height:12.7pt;width:19.6pt;z-index:251710464;v-text-anchor:middle;mso-width-relative:page;mso-height-relative:page;" filled="f" stroked="t" coordsize="21600,21600" o:gfxdata="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iW6yCdoAAAALAQAADwAAAAAAAAABACAAAAAiAAAAZHJzL2Rvd25yZXYu&#10;eG1sUEsBAhQAFAAAAAgAh07iQJ/WWLBrAgAAzgQAAA4AAAAAAAAAAQAgAAAAKQEAAGRycy9lMm9E&#10;b2MueG1sUEsFBgAAAAAGAAYAWQEAAAYGAAAAAA==&#10;">
                <v:fill on="f" focussize="0,0"/>
                <v:stroke weight="1pt" color="#92D050 [2404]" miterlimit="8" joinstyle="miter"/>
                <v:imagedata o:title=""/>
                <o:lock v:ext="edit" aspectratio="f"/>
              </v:rect>
            </w:pict>
          </mc:Fallback>
        </mc:AlternateContent>
      </w:r>
      <w:r>
        <w:rPr>
          <w:rFonts w:hint="default" w:ascii="Times New Roman" w:hAnsi="Times New Roman" w:cs="Times New Roman"/>
          <w:sz w:val="21"/>
        </w:rPr>
        <mc:AlternateContent>
          <mc:Choice Requires="wps">
            <w:drawing>
              <wp:anchor distT="0" distB="0" distL="114300" distR="114300" simplePos="0" relativeHeight="251707392" behindDoc="0" locked="0" layoutInCell="1" allowOverlap="1">
                <wp:simplePos x="0" y="0"/>
                <wp:positionH relativeFrom="column">
                  <wp:posOffset>5909945</wp:posOffset>
                </wp:positionH>
                <wp:positionV relativeFrom="paragraph">
                  <wp:posOffset>3216910</wp:posOffset>
                </wp:positionV>
                <wp:extent cx="2485390" cy="2080260"/>
                <wp:effectExtent l="4445" t="4445" r="5715" b="10795"/>
                <wp:wrapNone/>
                <wp:docPr id="136" name="文本框 136"/>
                <wp:cNvGraphicFramePr/>
                <a:graphic xmlns:a="http://schemas.openxmlformats.org/drawingml/2006/main">
                  <a:graphicData uri="http://schemas.microsoft.com/office/word/2010/wordprocessingShape">
                    <wps:wsp>
                      <wps:cNvSpPr txBox="1"/>
                      <wps:spPr>
                        <a:xfrm>
                          <a:off x="0" y="0"/>
                          <a:ext cx="2485390" cy="20802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ED80231">
                            <w:pPr>
                              <w:keepNext w:val="0"/>
                              <w:keepLines w:val="0"/>
                              <w:pageBreakBefore w:val="0"/>
                              <w:widowControl/>
                              <w:kinsoku w:val="0"/>
                              <w:wordWrap/>
                              <w:overflowPunct/>
                              <w:topLinePunct w:val="0"/>
                              <w:bidi w:val="0"/>
                              <w:adjustRightInd w:val="0"/>
                              <w:snapToGrid w:val="0"/>
                              <w:spacing w:line="360" w:lineRule="auto"/>
                              <w:ind w:firstLine="0" w:firstLineChars="0"/>
                              <w:jc w:val="center"/>
                              <w:textAlignment w:val="baseline"/>
                              <w:rPr>
                                <w:rFonts w:hint="eastAsia"/>
                                <w:sz w:val="24"/>
                                <w:szCs w:val="24"/>
                                <w:lang w:eastAsia="zh-CN"/>
                              </w:rPr>
                            </w:pPr>
                            <w:r>
                              <w:rPr>
                                <w:rFonts w:hint="eastAsia"/>
                                <w:sz w:val="24"/>
                                <w:szCs w:val="24"/>
                                <w:lang w:eastAsia="zh-CN"/>
                              </w:rPr>
                              <w:t>图例</w:t>
                            </w:r>
                          </w:p>
                          <w:p w14:paraId="1AC0D6E8">
                            <w:pPr>
                              <w:keepNext w:val="0"/>
                              <w:keepLines w:val="0"/>
                              <w:pageBreakBefore w:val="0"/>
                              <w:widowControl/>
                              <w:kinsoku w:val="0"/>
                              <w:wordWrap/>
                              <w:overflowPunct/>
                              <w:topLinePunct w:val="0"/>
                              <w:bidi w:val="0"/>
                              <w:adjustRightInd w:val="0"/>
                              <w:snapToGrid w:val="0"/>
                              <w:spacing w:line="360" w:lineRule="auto"/>
                              <w:ind w:firstLine="240" w:firstLineChars="100"/>
                              <w:jc w:val="center"/>
                              <w:textAlignment w:val="baseline"/>
                              <w:rPr>
                                <w:rFonts w:hint="eastAsia"/>
                                <w:sz w:val="24"/>
                                <w:szCs w:val="24"/>
                                <w:lang w:eastAsia="zh-CN"/>
                              </w:rPr>
                            </w:pPr>
                            <w:r>
                              <w:rPr>
                                <w:rFonts w:hint="eastAsia"/>
                                <w:sz w:val="24"/>
                                <w:szCs w:val="24"/>
                                <w:lang w:eastAsia="zh-CN"/>
                              </w:rPr>
                              <w:t>项目所在地</w:t>
                            </w:r>
                          </w:p>
                          <w:p w14:paraId="5AB468ED">
                            <w:pPr>
                              <w:pStyle w:val="7"/>
                              <w:keepNext w:val="0"/>
                              <w:keepLines w:val="0"/>
                              <w:pageBreakBefore w:val="0"/>
                              <w:widowControl/>
                              <w:kinsoku w:val="0"/>
                              <w:wordWrap/>
                              <w:overflowPunct/>
                              <w:topLinePunct w:val="0"/>
                              <w:bidi w:val="0"/>
                              <w:adjustRightInd w:val="0"/>
                              <w:snapToGrid w:val="0"/>
                              <w:spacing w:line="360" w:lineRule="auto"/>
                              <w:ind w:left="0" w:leftChars="0" w:firstLine="240" w:firstLineChars="100"/>
                              <w:jc w:val="center"/>
                              <w:textAlignment w:val="baseline"/>
                              <w:rPr>
                                <w:rFonts w:hint="default"/>
                                <w:sz w:val="24"/>
                                <w:szCs w:val="24"/>
                                <w:lang w:val="en-US" w:eastAsia="zh-CN"/>
                              </w:rPr>
                            </w:pPr>
                            <w:r>
                              <w:rPr>
                                <w:rFonts w:hint="eastAsia"/>
                                <w:sz w:val="24"/>
                                <w:szCs w:val="24"/>
                                <w:lang w:eastAsia="zh-CN"/>
                              </w:rPr>
                              <w:t>大气环境</w:t>
                            </w:r>
                            <w:r>
                              <w:rPr>
                                <w:rFonts w:hint="eastAsia"/>
                                <w:sz w:val="24"/>
                                <w:szCs w:val="24"/>
                                <w:lang w:val="en-US" w:eastAsia="zh-CN"/>
                              </w:rPr>
                              <w:t>评价范围</w:t>
                            </w:r>
                          </w:p>
                          <w:p w14:paraId="3E56B6A4">
                            <w:pPr>
                              <w:pStyle w:val="7"/>
                              <w:keepNext w:val="0"/>
                              <w:keepLines w:val="0"/>
                              <w:pageBreakBefore w:val="0"/>
                              <w:widowControl/>
                              <w:kinsoku w:val="0"/>
                              <w:wordWrap/>
                              <w:overflowPunct/>
                              <w:topLinePunct w:val="0"/>
                              <w:bidi w:val="0"/>
                              <w:adjustRightInd w:val="0"/>
                              <w:snapToGrid w:val="0"/>
                              <w:spacing w:line="360" w:lineRule="auto"/>
                              <w:ind w:left="0" w:leftChars="0" w:firstLine="240" w:firstLineChars="100"/>
                              <w:jc w:val="center"/>
                              <w:textAlignment w:val="baseline"/>
                              <w:rPr>
                                <w:rFonts w:hint="eastAsia"/>
                                <w:sz w:val="24"/>
                                <w:szCs w:val="24"/>
                                <w:lang w:val="en-US" w:eastAsia="zh-CN"/>
                              </w:rPr>
                            </w:pPr>
                            <w:r>
                              <w:rPr>
                                <w:rFonts w:hint="eastAsia"/>
                                <w:sz w:val="24"/>
                                <w:szCs w:val="24"/>
                                <w:lang w:val="en-US" w:eastAsia="zh-CN"/>
                              </w:rPr>
                              <w:t>声环境及生态环境评价范围</w:t>
                            </w:r>
                          </w:p>
                          <w:p w14:paraId="2AB3FAF4">
                            <w:pPr>
                              <w:keepNext w:val="0"/>
                              <w:keepLines w:val="0"/>
                              <w:pageBreakBefore w:val="0"/>
                              <w:widowControl/>
                              <w:kinsoku w:val="0"/>
                              <w:wordWrap/>
                              <w:overflowPunct/>
                              <w:topLinePunct w:val="0"/>
                              <w:bidi w:val="0"/>
                              <w:adjustRightInd w:val="0"/>
                              <w:snapToGrid w:val="0"/>
                              <w:spacing w:line="360" w:lineRule="auto"/>
                              <w:ind w:firstLine="240" w:firstLineChars="100"/>
                              <w:jc w:val="center"/>
                              <w:textAlignment w:val="baseline"/>
                              <w:rPr>
                                <w:rFonts w:hint="eastAsia"/>
                                <w:sz w:val="24"/>
                                <w:szCs w:val="24"/>
                                <w:lang w:val="en-US" w:eastAsia="zh-CN"/>
                              </w:rPr>
                            </w:pPr>
                            <w:r>
                              <w:rPr>
                                <w:rFonts w:hint="eastAsia"/>
                                <w:sz w:val="24"/>
                                <w:szCs w:val="24"/>
                                <w:lang w:val="en-US" w:eastAsia="zh-CN"/>
                              </w:rPr>
                              <w:t>土壤环境评价范围</w:t>
                            </w:r>
                          </w:p>
                          <w:p w14:paraId="599C2447">
                            <w:pPr>
                              <w:pStyle w:val="8"/>
                              <w:keepNext w:val="0"/>
                              <w:keepLines w:val="0"/>
                              <w:pageBreakBefore w:val="0"/>
                              <w:widowControl/>
                              <w:kinsoku w:val="0"/>
                              <w:wordWrap/>
                              <w:overflowPunct/>
                              <w:topLinePunct w:val="0"/>
                              <w:bidi w:val="0"/>
                              <w:adjustRightInd w:val="0"/>
                              <w:snapToGrid w:val="0"/>
                              <w:spacing w:before="0" w:line="360" w:lineRule="auto"/>
                              <w:ind w:firstLine="240" w:firstLineChars="100"/>
                              <w:jc w:val="center"/>
                              <w:textAlignment w:val="baseline"/>
                              <w:rPr>
                                <w:rFonts w:hint="default"/>
                                <w:sz w:val="24"/>
                                <w:szCs w:val="24"/>
                                <w:lang w:val="en-US" w:eastAsia="zh-CN"/>
                              </w:rPr>
                            </w:pPr>
                            <w:r>
                              <w:rPr>
                                <w:rFonts w:hint="eastAsia"/>
                                <w:sz w:val="24"/>
                                <w:szCs w:val="24"/>
                                <w:lang w:val="en-US" w:eastAsia="zh-CN"/>
                              </w:rPr>
                              <w:t>地下水环境评价范围</w:t>
                            </w:r>
                          </w:p>
                          <w:p w14:paraId="08B8AA12">
                            <w:pPr>
                              <w:pStyle w:val="7"/>
                              <w:keepNext w:val="0"/>
                              <w:keepLines w:val="0"/>
                              <w:pageBreakBefore w:val="0"/>
                              <w:widowControl/>
                              <w:kinsoku w:val="0"/>
                              <w:wordWrap/>
                              <w:overflowPunct/>
                              <w:topLinePunct w:val="0"/>
                              <w:bidi w:val="0"/>
                              <w:adjustRightInd w:val="0"/>
                              <w:snapToGrid w:val="0"/>
                              <w:spacing w:line="360" w:lineRule="auto"/>
                              <w:ind w:left="0" w:leftChars="0" w:firstLine="240" w:firstLineChars="100"/>
                              <w:jc w:val="center"/>
                              <w:textAlignment w:val="baseline"/>
                              <w:rPr>
                                <w:rFonts w:hint="eastAsia"/>
                                <w:sz w:val="24"/>
                                <w:szCs w:val="24"/>
                                <w:lang w:eastAsia="zh-CN"/>
                              </w:rPr>
                            </w:pPr>
                            <w:r>
                              <w:rPr>
                                <w:rFonts w:hint="eastAsia"/>
                                <w:sz w:val="24"/>
                                <w:szCs w:val="24"/>
                                <w:lang w:eastAsia="zh-CN"/>
                              </w:rPr>
                              <w:t>保护目标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5.35pt;margin-top:253.3pt;height:163.8pt;width:195.7pt;z-index:251707392;mso-width-relative:page;mso-height-relative:page;" fillcolor="#FFFFFF [3201]" filled="t" stroked="t" coordsize="21600,21600" o:gfxdata="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lnV1FNgAAAAMAQAADwAAAAAAAAABACAAAAAiAAAAZHJzL2Rvd25yZXYueG1sUEsBAhQAFAAAAAgA&#10;h07iQOF4ni1eAgAAvAQAAA4AAAAAAAAAAQAgAAAAJwEAAGRycy9lMm9Eb2MueG1sUEsFBgAAAAAG&#10;AAYAWQEAAPcFAAAAAA==&#10;">
                <v:fill on="t" focussize="0,0"/>
                <v:stroke weight="0.5pt" color="#000000 [3204]" joinstyle="round"/>
                <v:imagedata o:title=""/>
                <o:lock v:ext="edit" aspectratio="f"/>
                <v:textbox>
                  <w:txbxContent>
                    <w:p w14:paraId="4ED80231">
                      <w:pPr>
                        <w:keepNext w:val="0"/>
                        <w:keepLines w:val="0"/>
                        <w:pageBreakBefore w:val="0"/>
                        <w:widowControl/>
                        <w:kinsoku w:val="0"/>
                        <w:wordWrap/>
                        <w:overflowPunct/>
                        <w:topLinePunct w:val="0"/>
                        <w:bidi w:val="0"/>
                        <w:adjustRightInd w:val="0"/>
                        <w:snapToGrid w:val="0"/>
                        <w:spacing w:line="360" w:lineRule="auto"/>
                        <w:ind w:firstLine="0" w:firstLineChars="0"/>
                        <w:jc w:val="center"/>
                        <w:textAlignment w:val="baseline"/>
                        <w:rPr>
                          <w:rFonts w:hint="eastAsia"/>
                          <w:sz w:val="24"/>
                          <w:szCs w:val="24"/>
                          <w:lang w:eastAsia="zh-CN"/>
                        </w:rPr>
                      </w:pPr>
                      <w:r>
                        <w:rPr>
                          <w:rFonts w:hint="eastAsia"/>
                          <w:sz w:val="24"/>
                          <w:szCs w:val="24"/>
                          <w:lang w:eastAsia="zh-CN"/>
                        </w:rPr>
                        <w:t>图例</w:t>
                      </w:r>
                    </w:p>
                    <w:p w14:paraId="1AC0D6E8">
                      <w:pPr>
                        <w:keepNext w:val="0"/>
                        <w:keepLines w:val="0"/>
                        <w:pageBreakBefore w:val="0"/>
                        <w:widowControl/>
                        <w:kinsoku w:val="0"/>
                        <w:wordWrap/>
                        <w:overflowPunct/>
                        <w:topLinePunct w:val="0"/>
                        <w:bidi w:val="0"/>
                        <w:adjustRightInd w:val="0"/>
                        <w:snapToGrid w:val="0"/>
                        <w:spacing w:line="360" w:lineRule="auto"/>
                        <w:ind w:firstLine="240" w:firstLineChars="100"/>
                        <w:jc w:val="center"/>
                        <w:textAlignment w:val="baseline"/>
                        <w:rPr>
                          <w:rFonts w:hint="eastAsia"/>
                          <w:sz w:val="24"/>
                          <w:szCs w:val="24"/>
                          <w:lang w:eastAsia="zh-CN"/>
                        </w:rPr>
                      </w:pPr>
                      <w:r>
                        <w:rPr>
                          <w:rFonts w:hint="eastAsia"/>
                          <w:sz w:val="24"/>
                          <w:szCs w:val="24"/>
                          <w:lang w:eastAsia="zh-CN"/>
                        </w:rPr>
                        <w:t>项目所在地</w:t>
                      </w:r>
                    </w:p>
                    <w:p w14:paraId="5AB468ED">
                      <w:pPr>
                        <w:pStyle w:val="7"/>
                        <w:keepNext w:val="0"/>
                        <w:keepLines w:val="0"/>
                        <w:pageBreakBefore w:val="0"/>
                        <w:widowControl/>
                        <w:kinsoku w:val="0"/>
                        <w:wordWrap/>
                        <w:overflowPunct/>
                        <w:topLinePunct w:val="0"/>
                        <w:bidi w:val="0"/>
                        <w:adjustRightInd w:val="0"/>
                        <w:snapToGrid w:val="0"/>
                        <w:spacing w:line="360" w:lineRule="auto"/>
                        <w:ind w:left="0" w:leftChars="0" w:firstLine="240" w:firstLineChars="100"/>
                        <w:jc w:val="center"/>
                        <w:textAlignment w:val="baseline"/>
                        <w:rPr>
                          <w:rFonts w:hint="default"/>
                          <w:sz w:val="24"/>
                          <w:szCs w:val="24"/>
                          <w:lang w:val="en-US" w:eastAsia="zh-CN"/>
                        </w:rPr>
                      </w:pPr>
                      <w:r>
                        <w:rPr>
                          <w:rFonts w:hint="eastAsia"/>
                          <w:sz w:val="24"/>
                          <w:szCs w:val="24"/>
                          <w:lang w:eastAsia="zh-CN"/>
                        </w:rPr>
                        <w:t>大气环境</w:t>
                      </w:r>
                      <w:r>
                        <w:rPr>
                          <w:rFonts w:hint="eastAsia"/>
                          <w:sz w:val="24"/>
                          <w:szCs w:val="24"/>
                          <w:lang w:val="en-US" w:eastAsia="zh-CN"/>
                        </w:rPr>
                        <w:t>评价范围</w:t>
                      </w:r>
                    </w:p>
                    <w:p w14:paraId="3E56B6A4">
                      <w:pPr>
                        <w:pStyle w:val="7"/>
                        <w:keepNext w:val="0"/>
                        <w:keepLines w:val="0"/>
                        <w:pageBreakBefore w:val="0"/>
                        <w:widowControl/>
                        <w:kinsoku w:val="0"/>
                        <w:wordWrap/>
                        <w:overflowPunct/>
                        <w:topLinePunct w:val="0"/>
                        <w:bidi w:val="0"/>
                        <w:adjustRightInd w:val="0"/>
                        <w:snapToGrid w:val="0"/>
                        <w:spacing w:line="360" w:lineRule="auto"/>
                        <w:ind w:left="0" w:leftChars="0" w:firstLine="240" w:firstLineChars="100"/>
                        <w:jc w:val="center"/>
                        <w:textAlignment w:val="baseline"/>
                        <w:rPr>
                          <w:rFonts w:hint="eastAsia"/>
                          <w:sz w:val="24"/>
                          <w:szCs w:val="24"/>
                          <w:lang w:val="en-US" w:eastAsia="zh-CN"/>
                        </w:rPr>
                      </w:pPr>
                      <w:r>
                        <w:rPr>
                          <w:rFonts w:hint="eastAsia"/>
                          <w:sz w:val="24"/>
                          <w:szCs w:val="24"/>
                          <w:lang w:val="en-US" w:eastAsia="zh-CN"/>
                        </w:rPr>
                        <w:t>声环境及生态环境评价范围</w:t>
                      </w:r>
                    </w:p>
                    <w:p w14:paraId="2AB3FAF4">
                      <w:pPr>
                        <w:keepNext w:val="0"/>
                        <w:keepLines w:val="0"/>
                        <w:pageBreakBefore w:val="0"/>
                        <w:widowControl/>
                        <w:kinsoku w:val="0"/>
                        <w:wordWrap/>
                        <w:overflowPunct/>
                        <w:topLinePunct w:val="0"/>
                        <w:bidi w:val="0"/>
                        <w:adjustRightInd w:val="0"/>
                        <w:snapToGrid w:val="0"/>
                        <w:spacing w:line="360" w:lineRule="auto"/>
                        <w:ind w:firstLine="240" w:firstLineChars="100"/>
                        <w:jc w:val="center"/>
                        <w:textAlignment w:val="baseline"/>
                        <w:rPr>
                          <w:rFonts w:hint="eastAsia"/>
                          <w:sz w:val="24"/>
                          <w:szCs w:val="24"/>
                          <w:lang w:val="en-US" w:eastAsia="zh-CN"/>
                        </w:rPr>
                      </w:pPr>
                      <w:r>
                        <w:rPr>
                          <w:rFonts w:hint="eastAsia"/>
                          <w:sz w:val="24"/>
                          <w:szCs w:val="24"/>
                          <w:lang w:val="en-US" w:eastAsia="zh-CN"/>
                        </w:rPr>
                        <w:t>土壤环境评价范围</w:t>
                      </w:r>
                    </w:p>
                    <w:p w14:paraId="599C2447">
                      <w:pPr>
                        <w:pStyle w:val="8"/>
                        <w:keepNext w:val="0"/>
                        <w:keepLines w:val="0"/>
                        <w:pageBreakBefore w:val="0"/>
                        <w:widowControl/>
                        <w:kinsoku w:val="0"/>
                        <w:wordWrap/>
                        <w:overflowPunct/>
                        <w:topLinePunct w:val="0"/>
                        <w:bidi w:val="0"/>
                        <w:adjustRightInd w:val="0"/>
                        <w:snapToGrid w:val="0"/>
                        <w:spacing w:before="0" w:line="360" w:lineRule="auto"/>
                        <w:ind w:firstLine="240" w:firstLineChars="100"/>
                        <w:jc w:val="center"/>
                        <w:textAlignment w:val="baseline"/>
                        <w:rPr>
                          <w:rFonts w:hint="default"/>
                          <w:sz w:val="24"/>
                          <w:szCs w:val="24"/>
                          <w:lang w:val="en-US" w:eastAsia="zh-CN"/>
                        </w:rPr>
                      </w:pPr>
                      <w:r>
                        <w:rPr>
                          <w:rFonts w:hint="eastAsia"/>
                          <w:sz w:val="24"/>
                          <w:szCs w:val="24"/>
                          <w:lang w:val="en-US" w:eastAsia="zh-CN"/>
                        </w:rPr>
                        <w:t>地下水环境评价范围</w:t>
                      </w:r>
                    </w:p>
                    <w:p w14:paraId="08B8AA12">
                      <w:pPr>
                        <w:pStyle w:val="7"/>
                        <w:keepNext w:val="0"/>
                        <w:keepLines w:val="0"/>
                        <w:pageBreakBefore w:val="0"/>
                        <w:widowControl/>
                        <w:kinsoku w:val="0"/>
                        <w:wordWrap/>
                        <w:overflowPunct/>
                        <w:topLinePunct w:val="0"/>
                        <w:bidi w:val="0"/>
                        <w:adjustRightInd w:val="0"/>
                        <w:snapToGrid w:val="0"/>
                        <w:spacing w:line="360" w:lineRule="auto"/>
                        <w:ind w:left="0" w:leftChars="0" w:firstLine="240" w:firstLineChars="100"/>
                        <w:jc w:val="center"/>
                        <w:textAlignment w:val="baseline"/>
                        <w:rPr>
                          <w:rFonts w:hint="eastAsia"/>
                          <w:sz w:val="24"/>
                          <w:szCs w:val="24"/>
                          <w:lang w:eastAsia="zh-CN"/>
                        </w:rPr>
                      </w:pPr>
                      <w:r>
                        <w:rPr>
                          <w:rFonts w:hint="eastAsia"/>
                          <w:sz w:val="24"/>
                          <w:szCs w:val="24"/>
                          <w:lang w:eastAsia="zh-CN"/>
                        </w:rPr>
                        <w:t>保护目标</w:t>
                      </w:r>
                    </w:p>
                  </w:txbxContent>
                </v:textbox>
              </v:shape>
            </w:pict>
          </mc:Fallback>
        </mc:AlternateContent>
      </w:r>
      <w:r>
        <w:rPr>
          <w:color w:val="auto"/>
          <w:sz w:val="21"/>
        </w:rPr>
        <mc:AlternateContent>
          <mc:Choice Requires="wps">
            <w:drawing>
              <wp:anchor distT="0" distB="0" distL="114300" distR="114300" simplePos="0" relativeHeight="251706368" behindDoc="0" locked="0" layoutInCell="1" allowOverlap="1">
                <wp:simplePos x="0" y="0"/>
                <wp:positionH relativeFrom="column">
                  <wp:posOffset>7285355</wp:posOffset>
                </wp:positionH>
                <wp:positionV relativeFrom="paragraph">
                  <wp:posOffset>6350</wp:posOffset>
                </wp:positionV>
                <wp:extent cx="1127125" cy="928370"/>
                <wp:effectExtent l="0" t="0" r="15875" b="5080"/>
                <wp:wrapNone/>
                <wp:docPr id="134" name="文本框 134"/>
                <wp:cNvGraphicFramePr/>
                <a:graphic xmlns:a="http://schemas.openxmlformats.org/drawingml/2006/main">
                  <a:graphicData uri="http://schemas.microsoft.com/office/word/2010/wordprocessingShape">
                    <wps:wsp>
                      <wps:cNvSpPr txBox="1"/>
                      <wps:spPr>
                        <a:xfrm>
                          <a:off x="0" y="0"/>
                          <a:ext cx="1127125" cy="9283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397CB1B">
                            <w:r>
                              <w:drawing>
                                <wp:inline distT="0" distB="0" distL="114300" distR="114300">
                                  <wp:extent cx="827405" cy="838835"/>
                                  <wp:effectExtent l="0" t="0" r="10795" b="18415"/>
                                  <wp:docPr id="13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39"/>
                                          <pic:cNvPicPr>
                                            <a:picLocks noChangeAspect="1"/>
                                          </pic:cNvPicPr>
                                        </pic:nvPicPr>
                                        <pic:blipFill>
                                          <a:blip r:embed="rId117"/>
                                          <a:stretch>
                                            <a:fillRect/>
                                          </a:stretch>
                                        </pic:blipFill>
                                        <pic:spPr>
                                          <a:xfrm>
                                            <a:off x="0" y="0"/>
                                            <a:ext cx="827405" cy="8388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3.65pt;margin-top:0.5pt;height:73.1pt;width:88.75pt;z-index:251706368;mso-width-relative:page;mso-height-relative:page;" fillcolor="#FFFFFF [3201]" filled="t" stroked="f" coordsize="21600,21600" o:gfxdata="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M9d1nUAAAACwEAAA8A&#10;AAAAAAAAAQAgAAAAIgAAAGRycy9kb3ducmV2LnhtbFBLAQIUABQAAAAIAIdO4kBR2mxrVAIAAJME&#10;AAAOAAAAAAAAAAEAIAAAACMBAABkcnMvZTJvRG9jLnhtbFBLBQYAAAAABgAGAFkBAADpBQAAAAA=&#10;">
                <v:fill on="t" focussize="0,0"/>
                <v:stroke on="f" weight="0.5pt"/>
                <v:imagedata o:title=""/>
                <o:lock v:ext="edit" aspectratio="f"/>
                <v:textbox>
                  <w:txbxContent>
                    <w:p w14:paraId="7397CB1B">
                      <w:r>
                        <w:drawing>
                          <wp:inline distT="0" distB="0" distL="114300" distR="114300">
                            <wp:extent cx="827405" cy="838835"/>
                            <wp:effectExtent l="0" t="0" r="10795" b="18415"/>
                            <wp:docPr id="13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39"/>
                                    <pic:cNvPicPr>
                                      <a:picLocks noChangeAspect="1"/>
                                    </pic:cNvPicPr>
                                  </pic:nvPicPr>
                                  <pic:blipFill>
                                    <a:blip r:embed="rId117"/>
                                    <a:stretch>
                                      <a:fillRect/>
                                    </a:stretch>
                                  </pic:blipFill>
                                  <pic:spPr>
                                    <a:xfrm>
                                      <a:off x="0" y="0"/>
                                      <a:ext cx="827405" cy="838835"/>
                                    </a:xfrm>
                                    <a:prstGeom prst="rect">
                                      <a:avLst/>
                                    </a:prstGeom>
                                    <a:noFill/>
                                    <a:ln>
                                      <a:noFill/>
                                    </a:ln>
                                  </pic:spPr>
                                </pic:pic>
                              </a:graphicData>
                            </a:graphic>
                          </wp:inline>
                        </w:drawing>
                      </w:r>
                    </w:p>
                  </w:txbxContent>
                </v:textbox>
              </v:shape>
            </w:pict>
          </mc:Fallback>
        </mc:AlternateContent>
      </w:r>
      <w:r>
        <w:drawing>
          <wp:inline distT="0" distB="0" distL="114300" distR="114300">
            <wp:extent cx="7211060" cy="5311140"/>
            <wp:effectExtent l="0" t="0" r="8890" b="3810"/>
            <wp:docPr id="14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1"/>
                    <pic:cNvPicPr>
                      <a:picLocks noChangeAspect="1"/>
                    </pic:cNvPicPr>
                  </pic:nvPicPr>
                  <pic:blipFill>
                    <a:blip r:embed="rId120"/>
                    <a:stretch>
                      <a:fillRect/>
                    </a:stretch>
                  </pic:blipFill>
                  <pic:spPr>
                    <a:xfrm>
                      <a:off x="0" y="0"/>
                      <a:ext cx="7211060" cy="5311140"/>
                    </a:xfrm>
                    <a:prstGeom prst="rect">
                      <a:avLst/>
                    </a:prstGeom>
                    <a:noFill/>
                    <a:ln>
                      <a:noFill/>
                    </a:ln>
                  </pic:spPr>
                </pic:pic>
              </a:graphicData>
            </a:graphic>
          </wp:inline>
        </w:drawing>
      </w:r>
    </w:p>
    <w:p w14:paraId="2B3A7E5D">
      <w:pPr>
        <w:pStyle w:val="13"/>
        <w:sectPr>
          <w:pgSz w:w="16838" w:h="11906" w:orient="landscape"/>
          <w:pgMar w:top="1417" w:right="1134" w:bottom="1417" w:left="1134" w:header="850"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6D27FB5B">
      <w:pPr>
        <w:adjustRightInd/>
        <w:snapToGrid/>
        <w:spacing w:after="0"/>
        <w:jc w:val="both"/>
        <w:outlineLvl w:val="0"/>
        <w:rPr>
          <w:rFonts w:hint="eastAsia" w:ascii="Times New Roman" w:hAnsi="Times New Roman" w:eastAsia="宋体" w:cs="Times New Roman"/>
          <w:b/>
          <w:smallCaps/>
          <w:snapToGrid w:val="0"/>
          <w:color w:val="auto"/>
          <w:kern w:val="2"/>
          <w:sz w:val="21"/>
          <w:szCs w:val="21"/>
          <w:highlight w:val="none"/>
          <w:lang w:val="en-US" w:eastAsia="zh-CN"/>
        </w:rPr>
      </w:pPr>
      <w:bookmarkStart w:id="119" w:name="_Toc7211"/>
      <w:bookmarkStart w:id="120" w:name="_Toc2350"/>
      <w:r>
        <w:rPr>
          <w:rFonts w:hint="eastAsia" w:ascii="Times New Roman" w:hAnsi="Times New Roman" w:eastAsia="宋体" w:cs="Times New Roman"/>
          <w:b/>
          <w:smallCaps/>
          <w:snapToGrid w:val="0"/>
          <w:color w:val="auto"/>
          <w:kern w:val="2"/>
          <w:sz w:val="21"/>
          <w:szCs w:val="21"/>
          <w:highlight w:val="none"/>
          <w:lang w:val="en-US" w:eastAsia="zh-CN"/>
        </w:rPr>
        <w:t>附图</w:t>
      </w:r>
      <w:bookmarkEnd w:id="119"/>
      <w:r>
        <w:rPr>
          <w:rFonts w:hint="eastAsia" w:ascii="Times New Roman" w:hAnsi="Times New Roman" w:eastAsia="宋体" w:cs="Times New Roman"/>
          <w:b/>
          <w:smallCaps/>
          <w:snapToGrid w:val="0"/>
          <w:color w:val="auto"/>
          <w:kern w:val="2"/>
          <w:sz w:val="21"/>
          <w:szCs w:val="21"/>
          <w:highlight w:val="none"/>
          <w:lang w:val="en-US" w:eastAsia="zh-CN"/>
        </w:rPr>
        <w:t>4厂界四周情况图</w:t>
      </w:r>
      <w:bookmarkEnd w:id="120"/>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09"/>
        <w:gridCol w:w="4629"/>
      </w:tblGrid>
      <w:tr w14:paraId="3031E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9" w:type="dxa"/>
            <w:vAlign w:val="center"/>
          </w:tcPr>
          <w:p w14:paraId="19D7E955">
            <w:pPr>
              <w:pStyle w:val="29"/>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drawing>
                <wp:inline distT="0" distB="0" distL="114300" distR="114300">
                  <wp:extent cx="2910205" cy="2182495"/>
                  <wp:effectExtent l="0" t="0" r="4445" b="8255"/>
                  <wp:docPr id="111" name="图片 111" descr="微信图片_20251028141916_495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微信图片_20251028141916_495_24"/>
                          <pic:cNvPicPr>
                            <a:picLocks noChangeAspect="1"/>
                          </pic:cNvPicPr>
                        </pic:nvPicPr>
                        <pic:blipFill>
                          <a:blip r:embed="rId121"/>
                          <a:stretch>
                            <a:fillRect/>
                          </a:stretch>
                        </pic:blipFill>
                        <pic:spPr>
                          <a:xfrm>
                            <a:off x="0" y="0"/>
                            <a:ext cx="2910205" cy="2182495"/>
                          </a:xfrm>
                          <a:prstGeom prst="rect">
                            <a:avLst/>
                          </a:prstGeom>
                        </pic:spPr>
                      </pic:pic>
                    </a:graphicData>
                  </a:graphic>
                </wp:inline>
              </w:drawing>
            </w:r>
          </w:p>
        </w:tc>
        <w:tc>
          <w:tcPr>
            <w:tcW w:w="4629" w:type="dxa"/>
            <w:vAlign w:val="center"/>
          </w:tcPr>
          <w:p w14:paraId="02E7F422">
            <w:pPr>
              <w:pStyle w:val="29"/>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drawing>
                <wp:inline distT="0" distB="0" distL="114300" distR="114300">
                  <wp:extent cx="2796540" cy="2096770"/>
                  <wp:effectExtent l="0" t="0" r="3810" b="17780"/>
                  <wp:docPr id="112" name="图片 112" descr="微信图片_20251028141917_496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微信图片_20251028141917_496_24"/>
                          <pic:cNvPicPr>
                            <a:picLocks noChangeAspect="1"/>
                          </pic:cNvPicPr>
                        </pic:nvPicPr>
                        <pic:blipFill>
                          <a:blip r:embed="rId122"/>
                          <a:stretch>
                            <a:fillRect/>
                          </a:stretch>
                        </pic:blipFill>
                        <pic:spPr>
                          <a:xfrm>
                            <a:off x="0" y="0"/>
                            <a:ext cx="2796540" cy="2096770"/>
                          </a:xfrm>
                          <a:prstGeom prst="rect">
                            <a:avLst/>
                          </a:prstGeom>
                        </pic:spPr>
                      </pic:pic>
                    </a:graphicData>
                  </a:graphic>
                </wp:inline>
              </w:drawing>
            </w:r>
          </w:p>
        </w:tc>
      </w:tr>
      <w:tr w14:paraId="40D56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809" w:type="dxa"/>
            <w:vAlign w:val="center"/>
          </w:tcPr>
          <w:p w14:paraId="5C9CEC13">
            <w:pPr>
              <w:pStyle w:val="29"/>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项目东</w:t>
            </w:r>
            <w:r>
              <w:rPr>
                <w:rFonts w:hint="eastAsia" w:ascii="Times New Roman" w:hAnsi="Times New Roman" w:cs="Times New Roman"/>
                <w:color w:val="auto"/>
                <w:highlight w:val="none"/>
                <w:vertAlign w:val="baseline"/>
                <w:lang w:val="en-US" w:eastAsia="zh-CN"/>
              </w:rPr>
              <w:t>北</w:t>
            </w:r>
            <w:r>
              <w:rPr>
                <w:rFonts w:hint="default" w:ascii="Times New Roman" w:hAnsi="Times New Roman" w:cs="Times New Roman"/>
                <w:color w:val="auto"/>
                <w:highlight w:val="none"/>
                <w:vertAlign w:val="baseline"/>
                <w:lang w:val="en-US" w:eastAsia="zh-CN"/>
              </w:rPr>
              <w:t>侧</w:t>
            </w:r>
          </w:p>
        </w:tc>
        <w:tc>
          <w:tcPr>
            <w:tcW w:w="4629" w:type="dxa"/>
            <w:vAlign w:val="center"/>
          </w:tcPr>
          <w:p w14:paraId="713443FA">
            <w:pPr>
              <w:pStyle w:val="29"/>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项目</w:t>
            </w:r>
            <w:r>
              <w:rPr>
                <w:rFonts w:hint="eastAsia" w:ascii="Times New Roman" w:hAnsi="Times New Roman" w:cs="Times New Roman"/>
                <w:color w:val="auto"/>
                <w:highlight w:val="none"/>
                <w:vertAlign w:val="baseline"/>
                <w:lang w:val="en-US" w:eastAsia="zh-CN"/>
              </w:rPr>
              <w:t>东</w:t>
            </w:r>
            <w:r>
              <w:rPr>
                <w:rFonts w:hint="default" w:ascii="Times New Roman" w:hAnsi="Times New Roman" w:cs="Times New Roman"/>
                <w:color w:val="auto"/>
                <w:highlight w:val="none"/>
                <w:vertAlign w:val="baseline"/>
                <w:lang w:val="en-US" w:eastAsia="zh-CN"/>
              </w:rPr>
              <w:t>南侧</w:t>
            </w:r>
          </w:p>
        </w:tc>
      </w:tr>
      <w:tr w14:paraId="18B24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9" w:type="dxa"/>
            <w:vAlign w:val="center"/>
          </w:tcPr>
          <w:p w14:paraId="05FBAEBB">
            <w:pPr>
              <w:pStyle w:val="29"/>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drawing>
                <wp:inline distT="0" distB="0" distL="114300" distR="114300">
                  <wp:extent cx="2914015" cy="3886200"/>
                  <wp:effectExtent l="0" t="0" r="635" b="0"/>
                  <wp:docPr id="113" name="图片 113" descr="微信图片_20251028141926_504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微信图片_20251028141926_504_24"/>
                          <pic:cNvPicPr>
                            <a:picLocks noChangeAspect="1"/>
                          </pic:cNvPicPr>
                        </pic:nvPicPr>
                        <pic:blipFill>
                          <a:blip r:embed="rId123"/>
                          <a:stretch>
                            <a:fillRect/>
                          </a:stretch>
                        </pic:blipFill>
                        <pic:spPr>
                          <a:xfrm>
                            <a:off x="0" y="0"/>
                            <a:ext cx="2914015" cy="3886200"/>
                          </a:xfrm>
                          <a:prstGeom prst="rect">
                            <a:avLst/>
                          </a:prstGeom>
                        </pic:spPr>
                      </pic:pic>
                    </a:graphicData>
                  </a:graphic>
                </wp:inline>
              </w:drawing>
            </w:r>
          </w:p>
        </w:tc>
        <w:tc>
          <w:tcPr>
            <w:tcW w:w="4629" w:type="dxa"/>
            <w:vAlign w:val="center"/>
          </w:tcPr>
          <w:p w14:paraId="5F463FDD">
            <w:pPr>
              <w:pStyle w:val="29"/>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drawing>
                <wp:inline distT="0" distB="0" distL="114300" distR="114300">
                  <wp:extent cx="2792095" cy="3723640"/>
                  <wp:effectExtent l="0" t="0" r="8255" b="10160"/>
                  <wp:docPr id="115" name="图片 115" descr="微信图片_20251028141907_484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微信图片_20251028141907_484_24"/>
                          <pic:cNvPicPr>
                            <a:picLocks noChangeAspect="1"/>
                          </pic:cNvPicPr>
                        </pic:nvPicPr>
                        <pic:blipFill>
                          <a:blip r:embed="rId124"/>
                          <a:stretch>
                            <a:fillRect/>
                          </a:stretch>
                        </pic:blipFill>
                        <pic:spPr>
                          <a:xfrm>
                            <a:off x="0" y="0"/>
                            <a:ext cx="2792095" cy="3723640"/>
                          </a:xfrm>
                          <a:prstGeom prst="rect">
                            <a:avLst/>
                          </a:prstGeom>
                        </pic:spPr>
                      </pic:pic>
                    </a:graphicData>
                  </a:graphic>
                </wp:inline>
              </w:drawing>
            </w:r>
          </w:p>
        </w:tc>
      </w:tr>
      <w:tr w14:paraId="7FB5C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9" w:type="dxa"/>
            <w:vAlign w:val="center"/>
          </w:tcPr>
          <w:p w14:paraId="5B3821DA">
            <w:pPr>
              <w:pStyle w:val="29"/>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项目西</w:t>
            </w:r>
            <w:r>
              <w:rPr>
                <w:rFonts w:hint="eastAsia" w:ascii="Times New Roman" w:hAnsi="Times New Roman" w:cs="Times New Roman"/>
                <w:color w:val="auto"/>
                <w:highlight w:val="none"/>
                <w:vertAlign w:val="baseline"/>
                <w:lang w:val="en-US" w:eastAsia="zh-CN"/>
              </w:rPr>
              <w:t>南</w:t>
            </w:r>
            <w:r>
              <w:rPr>
                <w:rFonts w:hint="default" w:ascii="Times New Roman" w:hAnsi="Times New Roman" w:cs="Times New Roman"/>
                <w:color w:val="auto"/>
                <w:highlight w:val="none"/>
                <w:vertAlign w:val="baseline"/>
                <w:lang w:val="en-US" w:eastAsia="zh-CN"/>
              </w:rPr>
              <w:t>侧</w:t>
            </w:r>
          </w:p>
        </w:tc>
        <w:tc>
          <w:tcPr>
            <w:tcW w:w="4629" w:type="dxa"/>
            <w:vAlign w:val="center"/>
          </w:tcPr>
          <w:p w14:paraId="134F84D0">
            <w:pPr>
              <w:pStyle w:val="29"/>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项目</w:t>
            </w:r>
            <w:r>
              <w:rPr>
                <w:rFonts w:hint="eastAsia" w:ascii="Times New Roman" w:hAnsi="Times New Roman" w:cs="Times New Roman"/>
                <w:color w:val="auto"/>
                <w:highlight w:val="none"/>
                <w:vertAlign w:val="baseline"/>
                <w:lang w:val="en-US" w:eastAsia="zh-CN"/>
              </w:rPr>
              <w:t>西</w:t>
            </w:r>
            <w:r>
              <w:rPr>
                <w:rFonts w:hint="default" w:ascii="Times New Roman" w:hAnsi="Times New Roman" w:cs="Times New Roman"/>
                <w:color w:val="auto"/>
                <w:highlight w:val="none"/>
                <w:vertAlign w:val="baseline"/>
                <w:lang w:val="en-US" w:eastAsia="zh-CN"/>
              </w:rPr>
              <w:t>北侧</w:t>
            </w:r>
          </w:p>
        </w:tc>
      </w:tr>
    </w:tbl>
    <w:p w14:paraId="2F1CB5C7">
      <w:pPr>
        <w:pStyle w:val="12"/>
        <w:ind w:left="0" w:leftChars="0" w:firstLine="0" w:firstLineChars="0"/>
        <w:rPr>
          <w:rFonts w:hint="eastAsia" w:ascii="Times New Roman" w:hAnsi="Times New Roman" w:eastAsia="宋体" w:cs="Times New Roman"/>
          <w:b/>
          <w:smallCaps/>
          <w:snapToGrid w:val="0"/>
          <w:color w:val="FF0000"/>
          <w:kern w:val="2"/>
          <w:sz w:val="21"/>
          <w:szCs w:val="21"/>
          <w:highlight w:val="none"/>
          <w:lang w:val="en-US" w:eastAsia="zh-CN"/>
        </w:rPr>
      </w:pPr>
    </w:p>
    <w:p w14:paraId="7B5CD476">
      <w:pPr>
        <w:pStyle w:val="13"/>
        <w:rPr>
          <w:rFonts w:hint="eastAsia" w:ascii="Times New Roman" w:hAnsi="Times New Roman" w:eastAsia="宋体" w:cs="Times New Roman"/>
          <w:b/>
          <w:smallCaps/>
          <w:snapToGrid w:val="0"/>
          <w:color w:val="FF0000"/>
          <w:kern w:val="2"/>
          <w:sz w:val="21"/>
          <w:szCs w:val="21"/>
          <w:highlight w:val="none"/>
          <w:lang w:val="en-US" w:eastAsia="zh-CN"/>
        </w:rPr>
      </w:pPr>
    </w:p>
    <w:p w14:paraId="791A6C5A">
      <w:pPr>
        <w:rPr>
          <w:rFonts w:hint="eastAsia" w:ascii="Times New Roman" w:hAnsi="Times New Roman" w:eastAsia="宋体" w:cs="Times New Roman"/>
          <w:b/>
          <w:smallCaps/>
          <w:snapToGrid w:val="0"/>
          <w:color w:val="FF0000"/>
          <w:kern w:val="2"/>
          <w:sz w:val="21"/>
          <w:szCs w:val="21"/>
          <w:highlight w:val="none"/>
          <w:lang w:val="en-US" w:eastAsia="zh-CN"/>
        </w:rPr>
      </w:pPr>
    </w:p>
    <w:p w14:paraId="1E3903EA">
      <w:pPr>
        <w:pStyle w:val="12"/>
        <w:rPr>
          <w:rFonts w:hint="eastAsia" w:ascii="Times New Roman" w:hAnsi="Times New Roman" w:eastAsia="宋体" w:cs="Times New Roman"/>
          <w:b/>
          <w:smallCaps/>
          <w:snapToGrid w:val="0"/>
          <w:color w:val="FF0000"/>
          <w:kern w:val="2"/>
          <w:sz w:val="21"/>
          <w:szCs w:val="21"/>
          <w:highlight w:val="none"/>
          <w:lang w:val="en-US" w:eastAsia="zh-CN"/>
        </w:rPr>
        <w:sectPr>
          <w:pgSz w:w="11906" w:h="16838"/>
          <w:pgMar w:top="1134" w:right="1417" w:bottom="1134" w:left="1417" w:header="850"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283C91DB">
      <w:pPr>
        <w:adjustRightInd/>
        <w:snapToGrid/>
        <w:spacing w:after="0"/>
        <w:jc w:val="both"/>
        <w:outlineLvl w:val="0"/>
        <w:rPr>
          <w:rFonts w:hint="default" w:ascii="Times New Roman" w:hAnsi="Times New Roman" w:eastAsia="宋体" w:cs="Times New Roman"/>
          <w:b/>
          <w:smallCaps/>
          <w:snapToGrid w:val="0"/>
          <w:color w:val="auto"/>
          <w:kern w:val="2"/>
          <w:sz w:val="21"/>
          <w:szCs w:val="21"/>
          <w:highlight w:val="none"/>
          <w:lang w:val="en-US" w:eastAsia="zh-CN"/>
        </w:rPr>
      </w:pPr>
      <w:bookmarkStart w:id="121" w:name="_Toc11083"/>
      <w:r>
        <w:rPr>
          <w:rFonts w:hint="eastAsia" w:ascii="Times New Roman" w:hAnsi="Times New Roman" w:eastAsia="宋体" w:cs="Times New Roman"/>
          <w:b/>
          <w:smallCaps/>
          <w:snapToGrid w:val="0"/>
          <w:color w:val="auto"/>
          <w:kern w:val="2"/>
          <w:sz w:val="21"/>
          <w:szCs w:val="21"/>
          <w:highlight w:val="none"/>
          <w:lang w:val="en-US" w:eastAsia="zh-CN"/>
        </w:rPr>
        <w:t>附图5本项目</w:t>
      </w:r>
      <w:bookmarkEnd w:id="121"/>
      <w:r>
        <w:rPr>
          <w:rFonts w:hint="eastAsia" w:ascii="Times New Roman" w:hAnsi="Times New Roman" w:eastAsia="宋体" w:cs="Times New Roman"/>
          <w:b/>
          <w:smallCaps/>
          <w:snapToGrid w:val="0"/>
          <w:color w:val="auto"/>
          <w:kern w:val="2"/>
          <w:sz w:val="21"/>
          <w:szCs w:val="21"/>
          <w:highlight w:val="none"/>
          <w:lang w:val="en-US" w:eastAsia="zh-CN"/>
        </w:rPr>
        <w:t>与黑龙江五常经济开发区（牛家工业示范基地）范围位置关系图</w:t>
      </w:r>
    </w:p>
    <w:p w14:paraId="4FB3ECDC">
      <w:pPr>
        <w:jc w:val="center"/>
        <w:sectPr>
          <w:pgSz w:w="11906" w:h="16838"/>
          <w:pgMar w:top="1134" w:right="1417" w:bottom="1134" w:left="1417" w:header="850"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rPr>
          <w:sz w:val="21"/>
        </w:rPr>
        <mc:AlternateContent>
          <mc:Choice Requires="wps">
            <w:drawing>
              <wp:anchor distT="0" distB="0" distL="114300" distR="114300" simplePos="0" relativeHeight="251723776" behindDoc="0" locked="0" layoutInCell="1" allowOverlap="1">
                <wp:simplePos x="0" y="0"/>
                <wp:positionH relativeFrom="column">
                  <wp:posOffset>1847215</wp:posOffset>
                </wp:positionH>
                <wp:positionV relativeFrom="paragraph">
                  <wp:posOffset>1162685</wp:posOffset>
                </wp:positionV>
                <wp:extent cx="895985" cy="419100"/>
                <wp:effectExtent l="6350" t="142240" r="12065" b="10160"/>
                <wp:wrapNone/>
                <wp:docPr id="167" name="圆角矩形标注 167"/>
                <wp:cNvGraphicFramePr/>
                <a:graphic xmlns:a="http://schemas.openxmlformats.org/drawingml/2006/main">
                  <a:graphicData uri="http://schemas.microsoft.com/office/word/2010/wordprocessingShape">
                    <wps:wsp>
                      <wps:cNvSpPr/>
                      <wps:spPr>
                        <a:xfrm>
                          <a:off x="2670810" y="1127125"/>
                          <a:ext cx="895985" cy="419100"/>
                        </a:xfrm>
                        <a:prstGeom prst="wedgeRoundRectCallout">
                          <a:avLst>
                            <a:gd name="adj1" fmla="val 42983"/>
                            <a:gd name="adj2" fmla="val -80606"/>
                            <a:gd name="adj3" fmla="val 166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2061E9B">
                            <w:pPr>
                              <w:jc w:val="center"/>
                              <w:rPr>
                                <w:rFonts w:hint="eastAsia" w:eastAsia="宋体"/>
                                <w:color w:val="FF0000"/>
                                <w:lang w:val="en-US" w:eastAsia="zh-CN"/>
                              </w:rPr>
                            </w:pPr>
                            <w:r>
                              <w:rPr>
                                <w:rFonts w:hint="eastAsia" w:eastAsia="宋体"/>
                                <w:color w:val="FF0000"/>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45.45pt;margin-top:91.55pt;height:33pt;width:70.55pt;z-index:251723776;v-text-anchor:middle;mso-width-relative:page;mso-height-relative:page;" filled="f" stroked="t" coordsize="21600,21600" o:gfxdata="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" adj="20084,-6611,14400">
                <v:fill on="f" focussize="0,0"/>
                <v:stroke weight="1pt" color="#FF0000 [2404]" miterlimit="8" joinstyle="miter"/>
                <v:imagedata o:title=""/>
                <o:lock v:ext="edit" aspectratio="f"/>
                <v:textbox>
                  <w:txbxContent>
                    <w:p w14:paraId="62061E9B">
                      <w:pPr>
                        <w:jc w:val="center"/>
                        <w:rPr>
                          <w:rFonts w:hint="eastAsia" w:eastAsia="宋体"/>
                          <w:color w:val="FF0000"/>
                          <w:lang w:val="en-US" w:eastAsia="zh-CN"/>
                        </w:rPr>
                      </w:pPr>
                      <w:r>
                        <w:rPr>
                          <w:rFonts w:hint="eastAsia" w:eastAsia="宋体"/>
                          <w:color w:val="FF0000"/>
                          <w:lang w:val="en-US" w:eastAsia="zh-CN"/>
                        </w:rPr>
                        <w:t>本项目</w:t>
                      </w:r>
                    </w:p>
                  </w:txbxContent>
                </v:textbox>
              </v:shape>
            </w:pict>
          </mc:Fallback>
        </mc:AlternateContent>
      </w:r>
      <w:r>
        <w:drawing>
          <wp:inline distT="0" distB="0" distL="114300" distR="114300">
            <wp:extent cx="5438775" cy="7696200"/>
            <wp:effectExtent l="0" t="0" r="9525" b="0"/>
            <wp:docPr id="16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8"/>
                    <pic:cNvPicPr>
                      <a:picLocks noChangeAspect="1"/>
                    </pic:cNvPicPr>
                  </pic:nvPicPr>
                  <pic:blipFill>
                    <a:blip r:embed="rId125"/>
                    <a:stretch>
                      <a:fillRect/>
                    </a:stretch>
                  </pic:blipFill>
                  <pic:spPr>
                    <a:xfrm>
                      <a:off x="0" y="0"/>
                      <a:ext cx="5438775" cy="7696200"/>
                    </a:xfrm>
                    <a:prstGeom prst="rect">
                      <a:avLst/>
                    </a:prstGeom>
                    <a:noFill/>
                    <a:ln>
                      <a:noFill/>
                    </a:ln>
                  </pic:spPr>
                </pic:pic>
              </a:graphicData>
            </a:graphic>
          </wp:inline>
        </w:drawing>
      </w:r>
    </w:p>
    <w:p w14:paraId="25A395B9">
      <w:pPr>
        <w:pStyle w:val="8"/>
        <w:rPr>
          <w:rFonts w:hint="default" w:ascii="Times New Roman" w:hAnsi="Times New Roman" w:cs="Times New Roman"/>
        </w:rPr>
      </w:pPr>
      <w:r>
        <w:rPr>
          <w:rFonts w:hint="default" w:ascii="Times New Roman" w:hAnsi="Times New Roman" w:cs="Times New Roman"/>
        </w:rPr>
        <w:t>图中五常经济开发区范围为《哈尔滨牛家工业示范基地总体规划》（2014年）中的规划范围。</w:t>
      </w:r>
    </w:p>
    <w:p w14:paraId="6D9CF59A">
      <w:pPr>
        <w:pStyle w:val="8"/>
        <w:rPr>
          <w:rFonts w:hint="eastAsia"/>
          <w:lang w:val="en-US" w:eastAsia="zh-CN"/>
        </w:rPr>
      </w:pPr>
      <w:r>
        <w:rPr>
          <w:sz w:val="21"/>
        </w:rPr>
        <mc:AlternateContent>
          <mc:Choice Requires="wps">
            <w:drawing>
              <wp:anchor distT="0" distB="0" distL="114300" distR="114300" simplePos="0" relativeHeight="251727872" behindDoc="0" locked="0" layoutInCell="1" allowOverlap="1">
                <wp:simplePos x="0" y="0"/>
                <wp:positionH relativeFrom="column">
                  <wp:posOffset>4242435</wp:posOffset>
                </wp:positionH>
                <wp:positionV relativeFrom="paragraph">
                  <wp:posOffset>3292475</wp:posOffset>
                </wp:positionV>
                <wp:extent cx="304800" cy="142875"/>
                <wp:effectExtent l="6350" t="6350" r="12700" b="22225"/>
                <wp:wrapNone/>
                <wp:docPr id="147" name="矩形 147"/>
                <wp:cNvGraphicFramePr/>
                <a:graphic xmlns:a="http://schemas.openxmlformats.org/drawingml/2006/main">
                  <a:graphicData uri="http://schemas.microsoft.com/office/word/2010/wordprocessingShape">
                    <wps:wsp>
                      <wps:cNvSpPr/>
                      <wps:spPr>
                        <a:xfrm>
                          <a:off x="0" y="0"/>
                          <a:ext cx="304800" cy="142875"/>
                        </a:xfrm>
                        <a:prstGeom prst="rect">
                          <a:avLst/>
                        </a:prstGeom>
                        <a:solidFill>
                          <a:schemeClr val="accent1">
                            <a:lumMod val="60000"/>
                            <a:lumOff val="40000"/>
                          </a:schemeClr>
                        </a:solidFill>
                        <a:ln>
                          <a:solidFill>
                            <a:schemeClr val="accent1">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4.05pt;margin-top:259.25pt;height:11.25pt;width:24pt;z-index:251727872;v-text-anchor:middle;mso-width-relative:page;mso-height-relative:page;" fillcolor="#91ACE0 [1940]" filled="t" stroked="t" coordsize="21600,21600" o:gfxdata="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QzbGT2wAAAAsB&#10;AAAPAAAAAAAAAAEAIAAAACIAAABkcnMvZG93bnJldi54bWxQSwECFAAUAAAACACHTuJA51Tf7ooC&#10;AABpBQAADgAAAAAAAAABACAAAAAqAQAAZHJzL2Uyb0RvYy54bWxQSwUGAAAAAAYABgBZAQAAJgYA&#10;AAAA&#10;">
                <v:fill on="t" focussize="0,0"/>
                <v:stroke weight="1pt" color="#91ACE0 [1940]" miterlimit="8" joinstyle="miter"/>
                <v:imagedata o:title=""/>
                <o:lock v:ext="edit" aspectratio="f"/>
              </v:rect>
            </w:pict>
          </mc:Fallback>
        </mc:AlternateContent>
      </w:r>
      <w:r>
        <w:rPr>
          <w:sz w:val="21"/>
        </w:rPr>
        <mc:AlternateContent>
          <mc:Choice Requires="wps">
            <w:drawing>
              <wp:anchor distT="0" distB="0" distL="114300" distR="114300" simplePos="0" relativeHeight="251726848" behindDoc="0" locked="0" layoutInCell="1" allowOverlap="1">
                <wp:simplePos x="0" y="0"/>
                <wp:positionH relativeFrom="column">
                  <wp:posOffset>4251960</wp:posOffset>
                </wp:positionH>
                <wp:positionV relativeFrom="paragraph">
                  <wp:posOffset>3044825</wp:posOffset>
                </wp:positionV>
                <wp:extent cx="304800" cy="142875"/>
                <wp:effectExtent l="12700" t="12700" r="25400" b="15875"/>
                <wp:wrapNone/>
                <wp:docPr id="146" name="矩形 146"/>
                <wp:cNvGraphicFramePr/>
                <a:graphic xmlns:a="http://schemas.openxmlformats.org/drawingml/2006/main">
                  <a:graphicData uri="http://schemas.microsoft.com/office/word/2010/wordprocessingShape">
                    <wps:wsp>
                      <wps:cNvSpPr/>
                      <wps:spPr>
                        <a:xfrm>
                          <a:off x="5151755" y="3858895"/>
                          <a:ext cx="304800" cy="142875"/>
                        </a:xfrm>
                        <a:prstGeom prst="rect">
                          <a:avLst/>
                        </a:prstGeom>
                        <a:noFill/>
                        <a:ln w="25400">
                          <a:solidFill>
                            <a:schemeClr val="accent3"/>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4.8pt;margin-top:239.75pt;height:11.25pt;width:24pt;z-index:251726848;v-text-anchor:middle;mso-width-relative:page;mso-height-relative:page;" filled="f" stroked="t" coordsize="21600,21600" o:gfxdata="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I63+3bXAAAACwEAAA8AAAAAAAAAAQAgAAAAIgAA&#10;AGRycy9kb3ducmV2LnhtbFBLAQIUABQAAAAIAIdO4kCHIBNFewIAANoEAAAOAAAAAAAAAAEAIAAA&#10;ACYBAABkcnMvZTJvRG9jLnhtbFBLBQYAAAAABgAGAFkBAAATBgAAAAA=&#10;">
                <v:fill on="f" focussize="0,0"/>
                <v:stroke weight="2pt" color="#F2BA02 [3206]" miterlimit="8" joinstyle="miter"/>
                <v:imagedata o:title=""/>
                <o:lock v:ext="edit" aspectratio="f"/>
              </v:rect>
            </w:pict>
          </mc:Fallback>
        </mc:AlternateContent>
      </w:r>
      <w:r>
        <w:rPr>
          <w:sz w:val="21"/>
        </w:rPr>
        <mc:AlternateContent>
          <mc:Choice Requires="wps">
            <w:drawing>
              <wp:anchor distT="0" distB="0" distL="114300" distR="114300" simplePos="0" relativeHeight="251725824" behindDoc="0" locked="0" layoutInCell="1" allowOverlap="1">
                <wp:simplePos x="0" y="0"/>
                <wp:positionH relativeFrom="column">
                  <wp:posOffset>4156710</wp:posOffset>
                </wp:positionH>
                <wp:positionV relativeFrom="paragraph">
                  <wp:posOffset>2717800</wp:posOffset>
                </wp:positionV>
                <wp:extent cx="1590675" cy="847725"/>
                <wp:effectExtent l="4445" t="5080" r="5080" b="4445"/>
                <wp:wrapNone/>
                <wp:docPr id="124" name="文本框 124"/>
                <wp:cNvGraphicFramePr/>
                <a:graphic xmlns:a="http://schemas.openxmlformats.org/drawingml/2006/main">
                  <a:graphicData uri="http://schemas.microsoft.com/office/word/2010/wordprocessingShape">
                    <wps:wsp>
                      <wps:cNvSpPr txBox="1"/>
                      <wps:spPr>
                        <a:xfrm>
                          <a:off x="0" y="0"/>
                          <a:ext cx="1590675" cy="8477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14F4A53">
                            <w:pPr>
                              <w:keepNext w:val="0"/>
                              <w:keepLines w:val="0"/>
                              <w:pageBreakBefore w:val="0"/>
                              <w:widowControl/>
                              <w:kinsoku w:val="0"/>
                              <w:wordWrap/>
                              <w:overflowPunct/>
                              <w:topLinePunct w:val="0"/>
                              <w:bidi w:val="0"/>
                              <w:adjustRightInd w:val="0"/>
                              <w:snapToGrid w:val="0"/>
                              <w:spacing w:line="360" w:lineRule="auto"/>
                              <w:jc w:val="center"/>
                              <w:textAlignment w:val="baseline"/>
                              <w:rPr>
                                <w:rFonts w:hint="eastAsia" w:eastAsia="宋体"/>
                                <w:lang w:val="en-US" w:eastAsia="zh-CN"/>
                              </w:rPr>
                            </w:pPr>
                            <w:r>
                              <w:rPr>
                                <w:rFonts w:hint="eastAsia" w:eastAsia="宋体"/>
                                <w:lang w:val="en-US" w:eastAsia="zh-CN"/>
                              </w:rPr>
                              <w:t>图例</w:t>
                            </w:r>
                          </w:p>
                          <w:p w14:paraId="78714835">
                            <w:pPr>
                              <w:keepNext w:val="0"/>
                              <w:keepLines w:val="0"/>
                              <w:pageBreakBefore w:val="0"/>
                              <w:widowControl/>
                              <w:kinsoku w:val="0"/>
                              <w:wordWrap/>
                              <w:overflowPunct/>
                              <w:topLinePunct w:val="0"/>
                              <w:bidi w:val="0"/>
                              <w:adjustRightInd w:val="0"/>
                              <w:snapToGrid w:val="0"/>
                              <w:spacing w:line="360" w:lineRule="auto"/>
                              <w:jc w:val="center"/>
                              <w:textAlignment w:val="baseline"/>
                              <w:rPr>
                                <w:rFonts w:hint="eastAsia" w:eastAsia="宋体"/>
                                <w:lang w:val="en-US" w:eastAsia="zh-CN"/>
                              </w:rPr>
                            </w:pPr>
                            <w:r>
                              <w:rPr>
                                <w:rFonts w:hint="eastAsia" w:eastAsia="宋体"/>
                                <w:lang w:val="en-US" w:eastAsia="zh-CN"/>
                              </w:rPr>
                              <w:t>本项目</w:t>
                            </w:r>
                          </w:p>
                          <w:p w14:paraId="69226A33">
                            <w:pPr>
                              <w:keepNext w:val="0"/>
                              <w:keepLines w:val="0"/>
                              <w:pageBreakBefore w:val="0"/>
                              <w:widowControl/>
                              <w:kinsoku w:val="0"/>
                              <w:wordWrap/>
                              <w:overflowPunct/>
                              <w:topLinePunct w:val="0"/>
                              <w:bidi w:val="0"/>
                              <w:adjustRightInd w:val="0"/>
                              <w:snapToGrid w:val="0"/>
                              <w:spacing w:line="360" w:lineRule="auto"/>
                              <w:jc w:val="center"/>
                              <w:textAlignment w:val="baseline"/>
                              <w:rPr>
                                <w:rFonts w:hint="default" w:eastAsia="宋体"/>
                                <w:lang w:val="en-US" w:eastAsia="zh-CN"/>
                              </w:rPr>
                            </w:pPr>
                            <w:r>
                              <w:rPr>
                                <w:rFonts w:hint="eastAsia" w:eastAsia="宋体"/>
                                <w:lang w:val="en-US" w:eastAsia="zh-CN"/>
                              </w:rPr>
                              <w:t xml:space="preserve">    五常经济开发区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7.3pt;margin-top:214pt;height:66.75pt;width:125.25pt;z-index:251725824;mso-width-relative:page;mso-height-relative:page;" fillcolor="#FFFFFF [3201]" filled="t" stroked="t" coordsize="21600,21600" o:gfxdata="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ZcMLb&#10;2AAAAAsBAAAPAAAAAAAAAAEAIAAAACIAAABkcnMvZG93bnJldi54bWxQSwECFAAUAAAACACHTuJA&#10;D5OYUloCAAC7BAAADgAAAAAAAAABACAAAAAnAQAAZHJzL2Uyb0RvYy54bWxQSwUGAAAAAAYABgBZ&#10;AQAA8wUAAAAA&#10;">
                <v:fill on="t" focussize="0,0"/>
                <v:stroke weight="0.5pt" color="#000000 [3204]" joinstyle="round"/>
                <v:imagedata o:title=""/>
                <o:lock v:ext="edit" aspectratio="f"/>
                <v:textbox>
                  <w:txbxContent>
                    <w:p w14:paraId="214F4A53">
                      <w:pPr>
                        <w:keepNext w:val="0"/>
                        <w:keepLines w:val="0"/>
                        <w:pageBreakBefore w:val="0"/>
                        <w:widowControl/>
                        <w:kinsoku w:val="0"/>
                        <w:wordWrap/>
                        <w:overflowPunct/>
                        <w:topLinePunct w:val="0"/>
                        <w:bidi w:val="0"/>
                        <w:adjustRightInd w:val="0"/>
                        <w:snapToGrid w:val="0"/>
                        <w:spacing w:line="360" w:lineRule="auto"/>
                        <w:jc w:val="center"/>
                        <w:textAlignment w:val="baseline"/>
                        <w:rPr>
                          <w:rFonts w:hint="eastAsia" w:eastAsia="宋体"/>
                          <w:lang w:val="en-US" w:eastAsia="zh-CN"/>
                        </w:rPr>
                      </w:pPr>
                      <w:r>
                        <w:rPr>
                          <w:rFonts w:hint="eastAsia" w:eastAsia="宋体"/>
                          <w:lang w:val="en-US" w:eastAsia="zh-CN"/>
                        </w:rPr>
                        <w:t>图例</w:t>
                      </w:r>
                    </w:p>
                    <w:p w14:paraId="78714835">
                      <w:pPr>
                        <w:keepNext w:val="0"/>
                        <w:keepLines w:val="0"/>
                        <w:pageBreakBefore w:val="0"/>
                        <w:widowControl/>
                        <w:kinsoku w:val="0"/>
                        <w:wordWrap/>
                        <w:overflowPunct/>
                        <w:topLinePunct w:val="0"/>
                        <w:bidi w:val="0"/>
                        <w:adjustRightInd w:val="0"/>
                        <w:snapToGrid w:val="0"/>
                        <w:spacing w:line="360" w:lineRule="auto"/>
                        <w:jc w:val="center"/>
                        <w:textAlignment w:val="baseline"/>
                        <w:rPr>
                          <w:rFonts w:hint="eastAsia" w:eastAsia="宋体"/>
                          <w:lang w:val="en-US" w:eastAsia="zh-CN"/>
                        </w:rPr>
                      </w:pPr>
                      <w:r>
                        <w:rPr>
                          <w:rFonts w:hint="eastAsia" w:eastAsia="宋体"/>
                          <w:lang w:val="en-US" w:eastAsia="zh-CN"/>
                        </w:rPr>
                        <w:t>本项目</w:t>
                      </w:r>
                    </w:p>
                    <w:p w14:paraId="69226A33">
                      <w:pPr>
                        <w:keepNext w:val="0"/>
                        <w:keepLines w:val="0"/>
                        <w:pageBreakBefore w:val="0"/>
                        <w:widowControl/>
                        <w:kinsoku w:val="0"/>
                        <w:wordWrap/>
                        <w:overflowPunct/>
                        <w:topLinePunct w:val="0"/>
                        <w:bidi w:val="0"/>
                        <w:adjustRightInd w:val="0"/>
                        <w:snapToGrid w:val="0"/>
                        <w:spacing w:line="360" w:lineRule="auto"/>
                        <w:jc w:val="center"/>
                        <w:textAlignment w:val="baseline"/>
                        <w:rPr>
                          <w:rFonts w:hint="default" w:eastAsia="宋体"/>
                          <w:lang w:val="en-US" w:eastAsia="zh-CN"/>
                        </w:rPr>
                      </w:pPr>
                      <w:r>
                        <w:rPr>
                          <w:rFonts w:hint="eastAsia" w:eastAsia="宋体"/>
                          <w:lang w:val="en-US" w:eastAsia="zh-CN"/>
                        </w:rPr>
                        <w:t xml:space="preserve">    五常经济开发区</w:t>
                      </w:r>
                    </w:p>
                  </w:txbxContent>
                </v:textbox>
              </v:shape>
            </w:pict>
          </mc:Fallback>
        </mc:AlternateContent>
      </w:r>
      <w:r>
        <w:rPr>
          <w:sz w:val="21"/>
        </w:rPr>
        <mc:AlternateContent>
          <mc:Choice Requires="wps">
            <w:drawing>
              <wp:anchor distT="0" distB="0" distL="114300" distR="114300" simplePos="0" relativeHeight="251724800" behindDoc="0" locked="0" layoutInCell="1" allowOverlap="1">
                <wp:simplePos x="0" y="0"/>
                <wp:positionH relativeFrom="column">
                  <wp:posOffset>5023485</wp:posOffset>
                </wp:positionH>
                <wp:positionV relativeFrom="paragraph">
                  <wp:posOffset>79375</wp:posOffset>
                </wp:positionV>
                <wp:extent cx="725170" cy="666750"/>
                <wp:effectExtent l="4445" t="4445" r="13335" b="14605"/>
                <wp:wrapNone/>
                <wp:docPr id="105" name="文本框 105"/>
                <wp:cNvGraphicFramePr/>
                <a:graphic xmlns:a="http://schemas.openxmlformats.org/drawingml/2006/main">
                  <a:graphicData uri="http://schemas.microsoft.com/office/word/2010/wordprocessingShape">
                    <wps:wsp>
                      <wps:cNvSpPr txBox="1"/>
                      <wps:spPr>
                        <a:xfrm>
                          <a:off x="4875530" y="1083945"/>
                          <a:ext cx="725170" cy="6667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F26423A">
                            <w:pPr>
                              <w:rPr>
                                <w:rFonts w:hint="eastAsia" w:eastAsia="宋体"/>
                                <w:lang w:eastAsia="zh-CN"/>
                              </w:rPr>
                            </w:pPr>
                            <w:r>
                              <w:rPr>
                                <w:rFonts w:hint="eastAsia" w:eastAsia="宋体"/>
                                <w:lang w:eastAsia="zh-CN"/>
                              </w:rPr>
                              <w:drawing>
                                <wp:inline distT="0" distB="0" distL="114300" distR="114300">
                                  <wp:extent cx="505460" cy="559435"/>
                                  <wp:effectExtent l="0" t="0" r="8890" b="12065"/>
                                  <wp:docPr id="106" name="图片 106" descr="微信图片_2024011513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微信图片_20240115132349"/>
                                          <pic:cNvPicPr>
                                            <a:picLocks noChangeAspect="1"/>
                                          </pic:cNvPicPr>
                                        </pic:nvPicPr>
                                        <pic:blipFill>
                                          <a:blip r:embed="rId126"/>
                                          <a:stretch>
                                            <a:fillRect/>
                                          </a:stretch>
                                        </pic:blipFill>
                                        <pic:spPr>
                                          <a:xfrm>
                                            <a:off x="0" y="0"/>
                                            <a:ext cx="505460" cy="5594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5.55pt;margin-top:6.25pt;height:52.5pt;width:57.1pt;z-index:251724800;mso-width-relative:page;mso-height-relative:page;" fillcolor="#FFFFFF [3201]" filled="t" stroked="t" coordsize="21600,21600" o:gfxdata="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L7oWr1wAAAAoBAAAPAAAAAAAAAAEAIAAAACIAAABkcnMvZG93bnJldi54bWxQSwECFAAU&#10;AAAACACHTuJAEcWQIGQCAADGBAAADgAAAAAAAAABACAAAAAmAQAAZHJzL2Uyb0RvYy54bWxQSwUG&#10;AAAAAAYABgBZAQAA/AUAAAAA&#10;">
                <v:fill on="t" focussize="0,0"/>
                <v:stroke weight="0.5pt" color="#000000 [3204]" joinstyle="round"/>
                <v:imagedata o:title=""/>
                <o:lock v:ext="edit" aspectratio="f"/>
                <v:textbox>
                  <w:txbxContent>
                    <w:p w14:paraId="1F26423A">
                      <w:pPr>
                        <w:rPr>
                          <w:rFonts w:hint="eastAsia" w:eastAsia="宋体"/>
                          <w:lang w:eastAsia="zh-CN"/>
                        </w:rPr>
                      </w:pPr>
                      <w:r>
                        <w:rPr>
                          <w:rFonts w:hint="eastAsia" w:eastAsia="宋体"/>
                          <w:lang w:eastAsia="zh-CN"/>
                        </w:rPr>
                        <w:drawing>
                          <wp:inline distT="0" distB="0" distL="114300" distR="114300">
                            <wp:extent cx="505460" cy="559435"/>
                            <wp:effectExtent l="0" t="0" r="8890" b="12065"/>
                            <wp:docPr id="106" name="图片 106" descr="微信图片_2024011513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微信图片_20240115132349"/>
                                    <pic:cNvPicPr>
                                      <a:picLocks noChangeAspect="1"/>
                                    </pic:cNvPicPr>
                                  </pic:nvPicPr>
                                  <pic:blipFill>
                                    <a:blip r:embed="rId126"/>
                                    <a:stretch>
                                      <a:fillRect/>
                                    </a:stretch>
                                  </pic:blipFill>
                                  <pic:spPr>
                                    <a:xfrm>
                                      <a:off x="0" y="0"/>
                                      <a:ext cx="505460" cy="559435"/>
                                    </a:xfrm>
                                    <a:prstGeom prst="rect">
                                      <a:avLst/>
                                    </a:prstGeom>
                                  </pic:spPr>
                                </pic:pic>
                              </a:graphicData>
                            </a:graphic>
                          </wp:inline>
                        </w:drawing>
                      </w:r>
                    </w:p>
                  </w:txbxContent>
                </v:textbox>
              </v:shape>
            </w:pict>
          </mc:Fallback>
        </mc:AlternateContent>
      </w:r>
      <w:r>
        <w:drawing>
          <wp:inline distT="0" distB="0" distL="114300" distR="114300">
            <wp:extent cx="5760720" cy="3509645"/>
            <wp:effectExtent l="0" t="0" r="11430" b="14605"/>
            <wp:docPr id="1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0"/>
                    <pic:cNvPicPr>
                      <a:picLocks noChangeAspect="1"/>
                    </pic:cNvPicPr>
                  </pic:nvPicPr>
                  <pic:blipFill>
                    <a:blip r:embed="rId127"/>
                    <a:stretch>
                      <a:fillRect/>
                    </a:stretch>
                  </pic:blipFill>
                  <pic:spPr>
                    <a:xfrm>
                      <a:off x="0" y="0"/>
                      <a:ext cx="5760720" cy="3509645"/>
                    </a:xfrm>
                    <a:prstGeom prst="rect">
                      <a:avLst/>
                    </a:prstGeom>
                    <a:noFill/>
                    <a:ln>
                      <a:noFill/>
                    </a:ln>
                  </pic:spPr>
                </pic:pic>
              </a:graphicData>
            </a:graphic>
          </wp:inline>
        </w:drawing>
      </w:r>
    </w:p>
    <w:p w14:paraId="03D7149B">
      <w:pPr>
        <w:pStyle w:val="13"/>
        <w:rPr>
          <w:rFonts w:hint="eastAsia"/>
          <w:lang w:val="en-US" w:eastAsia="zh-CN"/>
        </w:rPr>
      </w:pPr>
    </w:p>
    <w:p w14:paraId="0F0E5AE0">
      <w:pPr>
        <w:rPr>
          <w:rFonts w:hint="eastAsia"/>
          <w:lang w:val="en-US" w:eastAsia="zh-CN"/>
        </w:rPr>
      </w:pPr>
      <w:r>
        <w:rPr>
          <w:rFonts w:hint="eastAsia"/>
          <w:lang w:val="en-US" w:eastAsia="zh-CN"/>
        </w:rPr>
        <w:br w:type="page"/>
      </w:r>
    </w:p>
    <w:p w14:paraId="2C5607D6">
      <w:pPr>
        <w:adjustRightInd/>
        <w:snapToGrid/>
        <w:spacing w:after="0"/>
        <w:jc w:val="both"/>
        <w:outlineLvl w:val="0"/>
        <w:rPr>
          <w:rFonts w:hint="eastAsia" w:ascii="Times New Roman" w:hAnsi="Times New Roman" w:eastAsia="宋体" w:cs="Times New Roman"/>
          <w:b/>
          <w:smallCaps/>
          <w:snapToGrid w:val="0"/>
          <w:color w:val="auto"/>
          <w:kern w:val="2"/>
          <w:sz w:val="21"/>
          <w:szCs w:val="21"/>
          <w:highlight w:val="none"/>
          <w:lang w:val="en-US" w:eastAsia="zh-CN"/>
        </w:rPr>
      </w:pPr>
      <w:bookmarkStart w:id="122" w:name="_Toc2159"/>
      <w:bookmarkStart w:id="123" w:name="_Toc533"/>
      <w:bookmarkStart w:id="124" w:name="_Toc1546"/>
      <w:r>
        <w:rPr>
          <w:rFonts w:hint="eastAsia" w:ascii="Times New Roman" w:hAnsi="Times New Roman" w:eastAsia="宋体" w:cs="Times New Roman"/>
          <w:b/>
          <w:smallCaps/>
          <w:snapToGrid w:val="0"/>
          <w:color w:val="auto"/>
          <w:kern w:val="2"/>
          <w:sz w:val="21"/>
          <w:szCs w:val="21"/>
          <w:highlight w:val="none"/>
          <w:lang w:val="en-US" w:eastAsia="zh-CN"/>
        </w:rPr>
        <w:t>附件</w:t>
      </w:r>
      <w:bookmarkEnd w:id="122"/>
      <w:bookmarkEnd w:id="123"/>
      <w:bookmarkEnd w:id="124"/>
    </w:p>
    <w:p w14:paraId="783AD94F">
      <w:pPr>
        <w:adjustRightInd/>
        <w:snapToGrid/>
        <w:spacing w:after="0"/>
        <w:jc w:val="both"/>
        <w:outlineLvl w:val="0"/>
        <w:rPr>
          <w:rFonts w:hint="default" w:ascii="Times New Roman" w:hAnsi="Times New Roman" w:eastAsia="宋体" w:cs="Times New Roman"/>
          <w:b/>
          <w:smallCaps/>
          <w:snapToGrid w:val="0"/>
          <w:color w:val="auto"/>
          <w:kern w:val="2"/>
          <w:sz w:val="21"/>
          <w:szCs w:val="21"/>
          <w:highlight w:val="none"/>
          <w:lang w:val="en-US" w:eastAsia="zh-CN"/>
        </w:rPr>
      </w:pPr>
      <w:bookmarkStart w:id="125" w:name="_Toc10043"/>
      <w:r>
        <w:rPr>
          <w:rFonts w:hint="eastAsia" w:ascii="Times New Roman" w:hAnsi="Times New Roman" w:eastAsia="宋体" w:cs="Times New Roman"/>
          <w:b/>
          <w:smallCaps/>
          <w:snapToGrid w:val="0"/>
          <w:color w:val="auto"/>
          <w:kern w:val="2"/>
          <w:sz w:val="21"/>
          <w:szCs w:val="21"/>
          <w:highlight w:val="none"/>
          <w:lang w:val="en-US" w:eastAsia="zh-CN"/>
        </w:rPr>
        <w:t>附件1营业执照</w:t>
      </w:r>
      <w:bookmarkEnd w:id="125"/>
    </w:p>
    <w:p w14:paraId="077A4DF8">
      <w:pPr>
        <w:pStyle w:val="13"/>
        <w:keepNext w:val="0"/>
        <w:keepLines w:val="0"/>
        <w:pageBreakBefore w:val="0"/>
        <w:widowControl/>
        <w:kinsoku w:val="0"/>
        <w:wordWrap/>
        <w:overflowPunct/>
        <w:topLinePunct w:val="0"/>
        <w:autoSpaceDE w:val="0"/>
        <w:autoSpaceDN w:val="0"/>
        <w:bidi w:val="0"/>
        <w:adjustRightInd w:val="0"/>
        <w:snapToGrid w:val="0"/>
        <w:spacing w:line="240" w:lineRule="auto"/>
        <w:ind w:firstLine="0"/>
        <w:jc w:val="center"/>
        <w:textAlignment w:val="baseline"/>
        <w:rPr>
          <w:rFonts w:hint="default"/>
          <w:lang w:val="en-US" w:eastAsia="zh-CN"/>
        </w:rPr>
      </w:pPr>
      <w:r>
        <w:rPr>
          <w:rFonts w:hint="default"/>
          <w:lang w:val="en-US" w:eastAsia="zh-CN"/>
        </w:rPr>
        <w:drawing>
          <wp:inline distT="0" distB="0" distL="114300" distR="114300">
            <wp:extent cx="5753100" cy="4065270"/>
            <wp:effectExtent l="0" t="0" r="0" b="11430"/>
            <wp:docPr id="53" name="图片 53" descr="营业执照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营业执照_01"/>
                    <pic:cNvPicPr>
                      <a:picLocks noChangeAspect="1"/>
                    </pic:cNvPicPr>
                  </pic:nvPicPr>
                  <pic:blipFill>
                    <a:blip r:embed="rId128"/>
                    <a:stretch>
                      <a:fillRect/>
                    </a:stretch>
                  </pic:blipFill>
                  <pic:spPr>
                    <a:xfrm>
                      <a:off x="0" y="0"/>
                      <a:ext cx="5753100" cy="4065270"/>
                    </a:xfrm>
                    <a:prstGeom prst="rect">
                      <a:avLst/>
                    </a:prstGeom>
                  </pic:spPr>
                </pic:pic>
              </a:graphicData>
            </a:graphic>
          </wp:inline>
        </w:drawing>
      </w:r>
    </w:p>
    <w:p w14:paraId="402CAD36">
      <w:pPr>
        <w:rPr>
          <w:rFonts w:hint="eastAsia" w:ascii="Times New Roman" w:hAnsi="Times New Roman" w:eastAsia="宋体" w:cs="Times New Roman"/>
          <w:b/>
          <w:smallCaps/>
          <w:snapToGrid w:val="0"/>
          <w:color w:val="auto"/>
          <w:kern w:val="2"/>
          <w:sz w:val="21"/>
          <w:szCs w:val="21"/>
          <w:highlight w:val="none"/>
          <w:lang w:val="en-US" w:eastAsia="zh-CN"/>
        </w:rPr>
      </w:pPr>
      <w:r>
        <w:rPr>
          <w:rFonts w:hint="eastAsia" w:ascii="Times New Roman" w:hAnsi="Times New Roman" w:eastAsia="宋体" w:cs="Times New Roman"/>
          <w:b/>
          <w:smallCaps/>
          <w:snapToGrid w:val="0"/>
          <w:color w:val="auto"/>
          <w:kern w:val="2"/>
          <w:sz w:val="21"/>
          <w:szCs w:val="21"/>
          <w:highlight w:val="none"/>
          <w:lang w:val="en-US" w:eastAsia="zh-CN"/>
        </w:rPr>
        <w:br w:type="page"/>
      </w:r>
    </w:p>
    <w:p w14:paraId="366C1CC4">
      <w:pPr>
        <w:adjustRightInd/>
        <w:snapToGrid/>
        <w:spacing w:after="0"/>
        <w:jc w:val="both"/>
        <w:outlineLvl w:val="0"/>
        <w:rPr>
          <w:rFonts w:hint="eastAsia" w:ascii="Times New Roman" w:hAnsi="Times New Roman" w:eastAsia="宋体" w:cs="Times New Roman"/>
          <w:b/>
          <w:smallCaps/>
          <w:snapToGrid w:val="0"/>
          <w:color w:val="auto"/>
          <w:kern w:val="2"/>
          <w:sz w:val="21"/>
          <w:szCs w:val="21"/>
          <w:highlight w:val="none"/>
          <w:lang w:val="en-US" w:eastAsia="zh-CN"/>
        </w:rPr>
      </w:pPr>
      <w:bookmarkStart w:id="126" w:name="_Toc4426"/>
      <w:r>
        <w:rPr>
          <w:rFonts w:hint="eastAsia" w:ascii="Times New Roman" w:hAnsi="Times New Roman" w:eastAsia="宋体" w:cs="Times New Roman"/>
          <w:b/>
          <w:smallCaps/>
          <w:snapToGrid w:val="0"/>
          <w:color w:val="auto"/>
          <w:kern w:val="2"/>
          <w:sz w:val="21"/>
          <w:szCs w:val="21"/>
          <w:highlight w:val="none"/>
          <w:lang w:val="en-US" w:eastAsia="zh-CN"/>
        </w:rPr>
        <w:t>附件2</w:t>
      </w:r>
      <w:bookmarkStart w:id="127" w:name="_Hlk144977485"/>
      <w:r>
        <w:rPr>
          <w:rFonts w:hint="eastAsia" w:ascii="Times New Roman" w:hAnsi="Times New Roman" w:eastAsia="宋体" w:cs="Times New Roman"/>
          <w:b/>
          <w:smallCaps/>
          <w:snapToGrid w:val="0"/>
          <w:color w:val="auto"/>
          <w:kern w:val="2"/>
          <w:sz w:val="21"/>
          <w:szCs w:val="21"/>
          <w:highlight w:val="none"/>
          <w:lang w:val="en-US" w:eastAsia="zh-CN"/>
        </w:rPr>
        <w:t>土地手续</w:t>
      </w:r>
      <w:bookmarkEnd w:id="126"/>
    </w:p>
    <w:p w14:paraId="744D63D3">
      <w:pPr>
        <w:pStyle w:val="8"/>
        <w:rPr>
          <w:rFonts w:hint="eastAsia" w:ascii="Times New Roman" w:hAnsi="Times New Roman" w:eastAsia="宋体" w:cs="Times New Roman"/>
          <w:b/>
          <w:smallCaps/>
          <w:snapToGrid w:val="0"/>
          <w:color w:val="auto"/>
          <w:kern w:val="2"/>
          <w:sz w:val="21"/>
          <w:szCs w:val="21"/>
          <w:highlight w:val="none"/>
          <w:lang w:val="en-US" w:eastAsia="zh-CN"/>
        </w:rPr>
      </w:pPr>
      <w:r>
        <w:rPr>
          <w:rFonts w:hint="default"/>
          <w:lang w:val="en-US" w:eastAsia="zh-CN"/>
        </w:rPr>
        <w:drawing>
          <wp:inline distT="0" distB="0" distL="114300" distR="114300">
            <wp:extent cx="5757545" cy="8148955"/>
            <wp:effectExtent l="0" t="0" r="14605" b="4445"/>
            <wp:docPr id="55" name="图片 55" descr="买卖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买卖合同_01"/>
                    <pic:cNvPicPr>
                      <a:picLocks noChangeAspect="1"/>
                    </pic:cNvPicPr>
                  </pic:nvPicPr>
                  <pic:blipFill>
                    <a:blip r:embed="rId129"/>
                    <a:stretch>
                      <a:fillRect/>
                    </a:stretch>
                  </pic:blipFill>
                  <pic:spPr>
                    <a:xfrm>
                      <a:off x="0" y="0"/>
                      <a:ext cx="5757545" cy="8148955"/>
                    </a:xfrm>
                    <a:prstGeom prst="rect">
                      <a:avLst/>
                    </a:prstGeom>
                  </pic:spPr>
                </pic:pic>
              </a:graphicData>
            </a:graphic>
          </wp:inline>
        </w:drawing>
      </w:r>
    </w:p>
    <w:p w14:paraId="07EE974B">
      <w:pPr>
        <w:rPr>
          <w:rFonts w:hint="eastAsia"/>
          <w:lang w:val="en-US" w:eastAsia="zh-CN"/>
        </w:rPr>
      </w:pPr>
    </w:p>
    <w:p w14:paraId="041DB48C">
      <w:pPr>
        <w:pStyle w:val="13"/>
        <w:keepNext w:val="0"/>
        <w:keepLines w:val="0"/>
        <w:pageBreakBefore w:val="0"/>
        <w:widowControl/>
        <w:kinsoku w:val="0"/>
        <w:wordWrap/>
        <w:overflowPunct/>
        <w:topLinePunct w:val="0"/>
        <w:autoSpaceDE w:val="0"/>
        <w:autoSpaceDN w:val="0"/>
        <w:bidi w:val="0"/>
        <w:adjustRightInd w:val="0"/>
        <w:snapToGrid w:val="0"/>
        <w:spacing w:line="240" w:lineRule="auto"/>
        <w:ind w:firstLine="0"/>
        <w:textAlignment w:val="baseline"/>
        <w:rPr>
          <w:rFonts w:hint="default"/>
          <w:lang w:val="en-US" w:eastAsia="zh-CN"/>
        </w:rPr>
      </w:pPr>
      <w:r>
        <w:rPr>
          <w:rFonts w:hint="default"/>
          <w:lang w:val="en-US" w:eastAsia="zh-CN"/>
        </w:rPr>
        <w:drawing>
          <wp:inline distT="0" distB="0" distL="114300" distR="114300">
            <wp:extent cx="5757545" cy="8148955"/>
            <wp:effectExtent l="0" t="0" r="14605" b="4445"/>
            <wp:docPr id="56" name="图片 56" descr="买卖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买卖合同_02"/>
                    <pic:cNvPicPr>
                      <a:picLocks noChangeAspect="1"/>
                    </pic:cNvPicPr>
                  </pic:nvPicPr>
                  <pic:blipFill>
                    <a:blip r:embed="rId130"/>
                    <a:stretch>
                      <a:fillRect/>
                    </a:stretch>
                  </pic:blipFill>
                  <pic:spPr>
                    <a:xfrm>
                      <a:off x="0" y="0"/>
                      <a:ext cx="5757545" cy="8148955"/>
                    </a:xfrm>
                    <a:prstGeom prst="rect">
                      <a:avLst/>
                    </a:prstGeom>
                  </pic:spPr>
                </pic:pic>
              </a:graphicData>
            </a:graphic>
          </wp:inline>
        </w:drawing>
      </w:r>
      <w:r>
        <w:rPr>
          <w:rFonts w:hint="default"/>
          <w:lang w:val="en-US" w:eastAsia="zh-CN"/>
        </w:rPr>
        <w:drawing>
          <wp:inline distT="0" distB="0" distL="114300" distR="114300">
            <wp:extent cx="5757545" cy="8148955"/>
            <wp:effectExtent l="0" t="0" r="14605" b="4445"/>
            <wp:docPr id="57" name="图片 57" descr="买卖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买卖合同_03"/>
                    <pic:cNvPicPr>
                      <a:picLocks noChangeAspect="1"/>
                    </pic:cNvPicPr>
                  </pic:nvPicPr>
                  <pic:blipFill>
                    <a:blip r:embed="rId131"/>
                    <a:stretch>
                      <a:fillRect/>
                    </a:stretch>
                  </pic:blipFill>
                  <pic:spPr>
                    <a:xfrm>
                      <a:off x="0" y="0"/>
                      <a:ext cx="5757545" cy="8148955"/>
                    </a:xfrm>
                    <a:prstGeom prst="rect">
                      <a:avLst/>
                    </a:prstGeom>
                  </pic:spPr>
                </pic:pic>
              </a:graphicData>
            </a:graphic>
          </wp:inline>
        </w:drawing>
      </w:r>
      <w:r>
        <w:rPr>
          <w:rFonts w:hint="default"/>
          <w:lang w:val="en-US" w:eastAsia="zh-CN"/>
        </w:rPr>
        <w:drawing>
          <wp:inline distT="0" distB="0" distL="114300" distR="114300">
            <wp:extent cx="5757545" cy="8148955"/>
            <wp:effectExtent l="0" t="0" r="14605" b="4445"/>
            <wp:docPr id="60" name="图片 60" descr="买卖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买卖合同_04"/>
                    <pic:cNvPicPr>
                      <a:picLocks noChangeAspect="1"/>
                    </pic:cNvPicPr>
                  </pic:nvPicPr>
                  <pic:blipFill>
                    <a:blip r:embed="rId132"/>
                    <a:stretch>
                      <a:fillRect/>
                    </a:stretch>
                  </pic:blipFill>
                  <pic:spPr>
                    <a:xfrm>
                      <a:off x="0" y="0"/>
                      <a:ext cx="5757545" cy="8148955"/>
                    </a:xfrm>
                    <a:prstGeom prst="rect">
                      <a:avLst/>
                    </a:prstGeom>
                  </pic:spPr>
                </pic:pic>
              </a:graphicData>
            </a:graphic>
          </wp:inline>
        </w:drawing>
      </w:r>
      <w:r>
        <w:rPr>
          <w:rFonts w:hint="default"/>
          <w:lang w:val="en-US" w:eastAsia="zh-CN"/>
        </w:rPr>
        <w:drawing>
          <wp:inline distT="0" distB="0" distL="114300" distR="114300">
            <wp:extent cx="5757545" cy="8148955"/>
            <wp:effectExtent l="0" t="0" r="14605" b="4445"/>
            <wp:docPr id="61" name="图片 61" descr="买卖合同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买卖合同_05"/>
                    <pic:cNvPicPr>
                      <a:picLocks noChangeAspect="1"/>
                    </pic:cNvPicPr>
                  </pic:nvPicPr>
                  <pic:blipFill>
                    <a:blip r:embed="rId133"/>
                    <a:stretch>
                      <a:fillRect/>
                    </a:stretch>
                  </pic:blipFill>
                  <pic:spPr>
                    <a:xfrm>
                      <a:off x="0" y="0"/>
                      <a:ext cx="5757545" cy="8148955"/>
                    </a:xfrm>
                    <a:prstGeom prst="rect">
                      <a:avLst/>
                    </a:prstGeom>
                  </pic:spPr>
                </pic:pic>
              </a:graphicData>
            </a:graphic>
          </wp:inline>
        </w:drawing>
      </w:r>
      <w:r>
        <w:rPr>
          <w:rFonts w:hint="default"/>
          <w:lang w:val="en-US" w:eastAsia="zh-CN"/>
        </w:rPr>
        <w:drawing>
          <wp:inline distT="0" distB="0" distL="114300" distR="114300">
            <wp:extent cx="5757545" cy="8148955"/>
            <wp:effectExtent l="0" t="0" r="14605" b="4445"/>
            <wp:docPr id="62" name="图片 62" descr="买卖合同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买卖合同_06"/>
                    <pic:cNvPicPr>
                      <a:picLocks noChangeAspect="1"/>
                    </pic:cNvPicPr>
                  </pic:nvPicPr>
                  <pic:blipFill>
                    <a:blip r:embed="rId134"/>
                    <a:stretch>
                      <a:fillRect/>
                    </a:stretch>
                  </pic:blipFill>
                  <pic:spPr>
                    <a:xfrm>
                      <a:off x="0" y="0"/>
                      <a:ext cx="5757545" cy="8148955"/>
                    </a:xfrm>
                    <a:prstGeom prst="rect">
                      <a:avLst/>
                    </a:prstGeom>
                  </pic:spPr>
                </pic:pic>
              </a:graphicData>
            </a:graphic>
          </wp:inline>
        </w:drawing>
      </w:r>
    </w:p>
    <w:p w14:paraId="78BAD920">
      <w:pPr>
        <w:bidi w:val="0"/>
        <w:rPr>
          <w:rFonts w:hint="eastAsia"/>
          <w:lang w:val="en-US" w:eastAsia="zh-CN"/>
        </w:rPr>
      </w:pPr>
      <w:r>
        <w:drawing>
          <wp:inline distT="0" distB="0" distL="114300" distR="114300">
            <wp:extent cx="5754370" cy="8165465"/>
            <wp:effectExtent l="0" t="0" r="17780" b="6985"/>
            <wp:docPr id="5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4"/>
                    <pic:cNvPicPr>
                      <a:picLocks noChangeAspect="1"/>
                    </pic:cNvPicPr>
                  </pic:nvPicPr>
                  <pic:blipFill>
                    <a:blip r:embed="rId135"/>
                    <a:stretch>
                      <a:fillRect/>
                    </a:stretch>
                  </pic:blipFill>
                  <pic:spPr>
                    <a:xfrm>
                      <a:off x="0" y="0"/>
                      <a:ext cx="5754370" cy="8165465"/>
                    </a:xfrm>
                    <a:prstGeom prst="rect">
                      <a:avLst/>
                    </a:prstGeom>
                    <a:noFill/>
                    <a:ln>
                      <a:noFill/>
                    </a:ln>
                  </pic:spPr>
                </pic:pic>
              </a:graphicData>
            </a:graphic>
          </wp:inline>
        </w:drawing>
      </w:r>
    </w:p>
    <w:p w14:paraId="3EE0E771">
      <w:pPr>
        <w:bidi w:val="0"/>
        <w:rPr>
          <w:rFonts w:hint="eastAsia"/>
          <w:lang w:val="en-US" w:eastAsia="zh-CN"/>
        </w:rPr>
      </w:pPr>
    </w:p>
    <w:p w14:paraId="25FB777E">
      <w:pPr>
        <w:bidi w:val="0"/>
        <w:rPr>
          <w:rFonts w:hint="eastAsia"/>
          <w:lang w:val="en-US" w:eastAsia="zh-CN"/>
        </w:rPr>
      </w:pPr>
    </w:p>
    <w:p w14:paraId="590666DB">
      <w:pPr>
        <w:pStyle w:val="13"/>
        <w:rPr>
          <w:rFonts w:hint="eastAsia"/>
          <w:lang w:val="en-US" w:eastAsia="zh-CN"/>
        </w:rPr>
      </w:pPr>
    </w:p>
    <w:p w14:paraId="6211FADB">
      <w:pPr>
        <w:pStyle w:val="13"/>
        <w:rPr>
          <w:rFonts w:hint="eastAsia"/>
          <w:lang w:val="en-US" w:eastAsia="zh-CN"/>
        </w:rPr>
      </w:pPr>
    </w:p>
    <w:p w14:paraId="3A9AD3A4">
      <w:pPr>
        <w:adjustRightInd/>
        <w:snapToGrid/>
        <w:spacing w:after="0"/>
        <w:jc w:val="both"/>
        <w:outlineLvl w:val="0"/>
        <w:rPr>
          <w:rFonts w:hint="eastAsia" w:ascii="Times New Roman" w:hAnsi="Times New Roman" w:eastAsia="宋体" w:cs="Times New Roman"/>
          <w:b/>
          <w:smallCaps/>
          <w:snapToGrid w:val="0"/>
          <w:color w:val="auto"/>
          <w:kern w:val="2"/>
          <w:sz w:val="21"/>
          <w:szCs w:val="21"/>
          <w:highlight w:val="none"/>
          <w:lang w:val="en-US" w:eastAsia="zh-CN"/>
        </w:rPr>
      </w:pPr>
      <w:bookmarkStart w:id="128" w:name="_Toc1130"/>
      <w:r>
        <w:rPr>
          <w:rFonts w:hint="eastAsia" w:ascii="Times New Roman" w:hAnsi="Times New Roman" w:eastAsia="宋体" w:cs="Times New Roman"/>
          <w:b/>
          <w:smallCaps/>
          <w:snapToGrid w:val="0"/>
          <w:color w:val="auto"/>
          <w:kern w:val="2"/>
          <w:sz w:val="21"/>
          <w:szCs w:val="21"/>
          <w:highlight w:val="none"/>
          <w:lang w:val="en-US" w:eastAsia="zh-CN"/>
        </w:rPr>
        <w:t>附件3检测报告</w:t>
      </w:r>
      <w:bookmarkEnd w:id="128"/>
    </w:p>
    <w:p w14:paraId="54EEB7BE">
      <w:pPr>
        <w:pStyle w:val="8"/>
        <w:rPr>
          <w:rFonts w:hint="eastAsia" w:ascii="Times New Roman" w:hAnsi="Times New Roman" w:eastAsia="宋体" w:cs="Times New Roman"/>
          <w:b/>
          <w:smallCaps/>
          <w:snapToGrid w:val="0"/>
          <w:color w:val="auto"/>
          <w:kern w:val="2"/>
          <w:sz w:val="21"/>
          <w:szCs w:val="21"/>
          <w:highlight w:val="none"/>
          <w:lang w:val="en-US" w:eastAsia="zh-CN"/>
        </w:rPr>
      </w:pPr>
      <w:r>
        <w:drawing>
          <wp:inline distT="0" distB="0" distL="114300" distR="114300">
            <wp:extent cx="5750560" cy="8128635"/>
            <wp:effectExtent l="0" t="0" r="2540" b="5715"/>
            <wp:docPr id="6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5"/>
                    <pic:cNvPicPr>
                      <a:picLocks noChangeAspect="1"/>
                    </pic:cNvPicPr>
                  </pic:nvPicPr>
                  <pic:blipFill>
                    <a:blip r:embed="rId136"/>
                    <a:stretch>
                      <a:fillRect/>
                    </a:stretch>
                  </pic:blipFill>
                  <pic:spPr>
                    <a:xfrm>
                      <a:off x="0" y="0"/>
                      <a:ext cx="5750560" cy="8128635"/>
                    </a:xfrm>
                    <a:prstGeom prst="rect">
                      <a:avLst/>
                    </a:prstGeom>
                    <a:noFill/>
                    <a:ln>
                      <a:noFill/>
                    </a:ln>
                  </pic:spPr>
                </pic:pic>
              </a:graphicData>
            </a:graphic>
          </wp:inline>
        </w:drawing>
      </w:r>
    </w:p>
    <w:p w14:paraId="33D11A10">
      <w:pPr>
        <w:rPr>
          <w:rFonts w:hint="eastAsia"/>
          <w:lang w:val="en-US" w:eastAsia="zh-CN"/>
        </w:rPr>
      </w:pPr>
    </w:p>
    <w:p w14:paraId="26BF98BC">
      <w:pPr>
        <w:pStyle w:val="13"/>
        <w:keepNext w:val="0"/>
        <w:keepLines w:val="0"/>
        <w:pageBreakBefore w:val="0"/>
        <w:widowControl/>
        <w:kinsoku w:val="0"/>
        <w:wordWrap/>
        <w:overflowPunct/>
        <w:topLinePunct w:val="0"/>
        <w:autoSpaceDE w:val="0"/>
        <w:autoSpaceDN w:val="0"/>
        <w:bidi w:val="0"/>
        <w:adjustRightInd w:val="0"/>
        <w:snapToGrid w:val="0"/>
        <w:spacing w:line="240" w:lineRule="auto"/>
        <w:ind w:firstLine="0"/>
        <w:textAlignment w:val="baseline"/>
        <w:rPr>
          <w:rFonts w:hint="eastAsia" w:ascii="Times New Roman" w:hAnsi="Times New Roman" w:eastAsia="宋体" w:cs="Times New Roman"/>
          <w:b/>
          <w:smallCaps/>
          <w:snapToGrid w:val="0"/>
          <w:color w:val="auto"/>
          <w:kern w:val="2"/>
          <w:sz w:val="21"/>
          <w:szCs w:val="21"/>
          <w:highlight w:val="none"/>
          <w:lang w:val="en-US" w:eastAsia="zh-CN"/>
        </w:rPr>
      </w:pPr>
      <w:r>
        <w:drawing>
          <wp:inline distT="0" distB="0" distL="114300" distR="114300">
            <wp:extent cx="5750560" cy="8128635"/>
            <wp:effectExtent l="0" t="0" r="2540" b="5715"/>
            <wp:docPr id="6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6"/>
                    <pic:cNvPicPr>
                      <a:picLocks noChangeAspect="1"/>
                    </pic:cNvPicPr>
                  </pic:nvPicPr>
                  <pic:blipFill>
                    <a:blip r:embed="rId137"/>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6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7"/>
                    <pic:cNvPicPr>
                      <a:picLocks noChangeAspect="1"/>
                    </pic:cNvPicPr>
                  </pic:nvPicPr>
                  <pic:blipFill>
                    <a:blip r:embed="rId138"/>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6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8"/>
                    <pic:cNvPicPr>
                      <a:picLocks noChangeAspect="1"/>
                    </pic:cNvPicPr>
                  </pic:nvPicPr>
                  <pic:blipFill>
                    <a:blip r:embed="rId139"/>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7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9"/>
                    <pic:cNvPicPr>
                      <a:picLocks noChangeAspect="1"/>
                    </pic:cNvPicPr>
                  </pic:nvPicPr>
                  <pic:blipFill>
                    <a:blip r:embed="rId140"/>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7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0"/>
                    <pic:cNvPicPr>
                      <a:picLocks noChangeAspect="1"/>
                    </pic:cNvPicPr>
                  </pic:nvPicPr>
                  <pic:blipFill>
                    <a:blip r:embed="rId141"/>
                    <a:stretch>
                      <a:fillRect/>
                    </a:stretch>
                  </pic:blipFill>
                  <pic:spPr>
                    <a:xfrm>
                      <a:off x="0" y="0"/>
                      <a:ext cx="5750560" cy="8128635"/>
                    </a:xfrm>
                    <a:prstGeom prst="rect">
                      <a:avLst/>
                    </a:prstGeom>
                    <a:noFill/>
                    <a:ln>
                      <a:noFill/>
                    </a:ln>
                  </pic:spPr>
                </pic:pic>
              </a:graphicData>
            </a:graphic>
          </wp:inline>
        </w:drawing>
      </w:r>
      <w:r>
        <w:rPr>
          <w:rFonts w:hint="eastAsia" w:ascii="Times New Roman" w:hAnsi="Times New Roman" w:eastAsia="宋体" w:cs="Times New Roman"/>
          <w:b/>
          <w:smallCaps/>
          <w:snapToGrid w:val="0"/>
          <w:color w:val="auto"/>
          <w:kern w:val="2"/>
          <w:sz w:val="21"/>
          <w:szCs w:val="21"/>
          <w:highlight w:val="none"/>
          <w:lang w:val="en-US" w:eastAsia="zh-CN"/>
        </w:rPr>
        <w:drawing>
          <wp:inline distT="0" distB="0" distL="114300" distR="114300">
            <wp:extent cx="5760720" cy="8138160"/>
            <wp:effectExtent l="0" t="0" r="11430" b="15240"/>
            <wp:docPr id="72" name="图片 72" descr="HY-HJ-25111401黑龙江天时利精密科技有限公司新建项目—黑龙江辰瀚环境保护有限公司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HY-HJ-25111401黑龙江天时利精密科技有限公司新建项目—黑龙江辰瀚环境保护有限公司_07"/>
                    <pic:cNvPicPr>
                      <a:picLocks noChangeAspect="1"/>
                    </pic:cNvPicPr>
                  </pic:nvPicPr>
                  <pic:blipFill>
                    <a:blip r:embed="rId142"/>
                    <a:stretch>
                      <a:fillRect/>
                    </a:stretch>
                  </pic:blipFill>
                  <pic:spPr>
                    <a:xfrm>
                      <a:off x="0" y="0"/>
                      <a:ext cx="5760720" cy="8138160"/>
                    </a:xfrm>
                    <a:prstGeom prst="rect">
                      <a:avLst/>
                    </a:prstGeom>
                  </pic:spPr>
                </pic:pic>
              </a:graphicData>
            </a:graphic>
          </wp:inline>
        </w:drawing>
      </w:r>
    </w:p>
    <w:p w14:paraId="3002A3E5">
      <w:pPr>
        <w:pStyle w:val="13"/>
        <w:keepNext w:val="0"/>
        <w:keepLines w:val="0"/>
        <w:pageBreakBefore w:val="0"/>
        <w:widowControl/>
        <w:kinsoku w:val="0"/>
        <w:wordWrap/>
        <w:overflowPunct/>
        <w:topLinePunct w:val="0"/>
        <w:autoSpaceDE w:val="0"/>
        <w:autoSpaceDN w:val="0"/>
        <w:bidi w:val="0"/>
        <w:adjustRightInd w:val="0"/>
        <w:snapToGrid w:val="0"/>
        <w:spacing w:line="240" w:lineRule="auto"/>
        <w:ind w:firstLine="0"/>
        <w:textAlignment w:val="baseline"/>
        <w:rPr>
          <w:rFonts w:hint="eastAsia" w:ascii="Times New Roman" w:hAnsi="Times New Roman" w:eastAsia="宋体" w:cs="Times New Roman"/>
          <w:b/>
          <w:smallCaps/>
          <w:snapToGrid w:val="0"/>
          <w:color w:val="auto"/>
          <w:kern w:val="2"/>
          <w:sz w:val="21"/>
          <w:szCs w:val="21"/>
          <w:highlight w:val="none"/>
          <w:lang w:val="en-US" w:eastAsia="zh-CN"/>
        </w:rPr>
      </w:pPr>
      <w:r>
        <w:drawing>
          <wp:inline distT="0" distB="0" distL="114300" distR="114300">
            <wp:extent cx="5750560" cy="8128635"/>
            <wp:effectExtent l="0" t="0" r="2540" b="5715"/>
            <wp:docPr id="7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2"/>
                    <pic:cNvPicPr>
                      <a:picLocks noChangeAspect="1"/>
                    </pic:cNvPicPr>
                  </pic:nvPicPr>
                  <pic:blipFill>
                    <a:blip r:embed="rId143"/>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7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3"/>
                    <pic:cNvPicPr>
                      <a:picLocks noChangeAspect="1"/>
                    </pic:cNvPicPr>
                  </pic:nvPicPr>
                  <pic:blipFill>
                    <a:blip r:embed="rId144"/>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7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4"/>
                    <pic:cNvPicPr>
                      <a:picLocks noChangeAspect="1"/>
                    </pic:cNvPicPr>
                  </pic:nvPicPr>
                  <pic:blipFill>
                    <a:blip r:embed="rId145"/>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7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5"/>
                    <pic:cNvPicPr>
                      <a:picLocks noChangeAspect="1"/>
                    </pic:cNvPicPr>
                  </pic:nvPicPr>
                  <pic:blipFill>
                    <a:blip r:embed="rId146"/>
                    <a:stretch>
                      <a:fillRect/>
                    </a:stretch>
                  </pic:blipFill>
                  <pic:spPr>
                    <a:xfrm>
                      <a:off x="0" y="0"/>
                      <a:ext cx="5750560" cy="8128635"/>
                    </a:xfrm>
                    <a:prstGeom prst="rect">
                      <a:avLst/>
                    </a:prstGeom>
                    <a:noFill/>
                    <a:ln>
                      <a:noFill/>
                    </a:ln>
                  </pic:spPr>
                </pic:pic>
              </a:graphicData>
            </a:graphic>
          </wp:inline>
        </w:drawing>
      </w:r>
      <w:r>
        <w:drawing>
          <wp:inline distT="0" distB="0" distL="114300" distR="114300">
            <wp:extent cx="5750560" cy="8128635"/>
            <wp:effectExtent l="0" t="0" r="2540" b="5715"/>
            <wp:docPr id="7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6"/>
                    <pic:cNvPicPr>
                      <a:picLocks noChangeAspect="1"/>
                    </pic:cNvPicPr>
                  </pic:nvPicPr>
                  <pic:blipFill>
                    <a:blip r:embed="rId147"/>
                    <a:stretch>
                      <a:fillRect/>
                    </a:stretch>
                  </pic:blipFill>
                  <pic:spPr>
                    <a:xfrm>
                      <a:off x="0" y="0"/>
                      <a:ext cx="5750560" cy="8128635"/>
                    </a:xfrm>
                    <a:prstGeom prst="rect">
                      <a:avLst/>
                    </a:prstGeom>
                    <a:noFill/>
                    <a:ln>
                      <a:noFill/>
                    </a:ln>
                  </pic:spPr>
                </pic:pic>
              </a:graphicData>
            </a:graphic>
          </wp:inline>
        </w:drawing>
      </w:r>
      <w:r>
        <w:rPr>
          <w:rFonts w:hint="eastAsia" w:ascii="Times New Roman" w:hAnsi="Times New Roman" w:eastAsia="宋体" w:cs="Times New Roman"/>
          <w:b/>
          <w:smallCaps/>
          <w:snapToGrid w:val="0"/>
          <w:color w:val="auto"/>
          <w:kern w:val="2"/>
          <w:sz w:val="21"/>
          <w:szCs w:val="21"/>
          <w:highlight w:val="none"/>
          <w:lang w:val="en-US" w:eastAsia="zh-CN"/>
        </w:rPr>
        <w:drawing>
          <wp:inline distT="0" distB="0" distL="114300" distR="114300">
            <wp:extent cx="5759450" cy="8145780"/>
            <wp:effectExtent l="0" t="0" r="12700" b="7620"/>
            <wp:docPr id="79" name="图片 79" descr="LXW2025103007黑龙江天时利精密科技有限公司新建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LXW2025103007黑龙江天时利精密科技有限公司新建项目_01"/>
                    <pic:cNvPicPr>
                      <a:picLocks noChangeAspect="1"/>
                    </pic:cNvPicPr>
                  </pic:nvPicPr>
                  <pic:blipFill>
                    <a:blip r:embed="rId148"/>
                    <a:stretch>
                      <a:fillRect/>
                    </a:stretch>
                  </pic:blipFill>
                  <pic:spPr>
                    <a:xfrm>
                      <a:off x="0" y="0"/>
                      <a:ext cx="5759450" cy="8145780"/>
                    </a:xfrm>
                    <a:prstGeom prst="rect">
                      <a:avLst/>
                    </a:prstGeom>
                  </pic:spPr>
                </pic:pic>
              </a:graphicData>
            </a:graphic>
          </wp:inline>
        </w:drawing>
      </w:r>
      <w:r>
        <w:rPr>
          <w:rFonts w:hint="eastAsia" w:ascii="Times New Roman" w:hAnsi="Times New Roman" w:eastAsia="宋体" w:cs="Times New Roman"/>
          <w:b/>
          <w:smallCaps/>
          <w:snapToGrid w:val="0"/>
          <w:color w:val="auto"/>
          <w:kern w:val="2"/>
          <w:sz w:val="21"/>
          <w:szCs w:val="21"/>
          <w:highlight w:val="none"/>
          <w:lang w:val="en-US" w:eastAsia="zh-CN"/>
        </w:rPr>
        <w:drawing>
          <wp:inline distT="0" distB="0" distL="114300" distR="114300">
            <wp:extent cx="5759450" cy="8145780"/>
            <wp:effectExtent l="0" t="0" r="12700" b="7620"/>
            <wp:docPr id="80" name="图片 80" descr="LXW2025103007黑龙江天时利精密科技有限公司新建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LXW2025103007黑龙江天时利精密科技有限公司新建项目_02"/>
                    <pic:cNvPicPr>
                      <a:picLocks noChangeAspect="1"/>
                    </pic:cNvPicPr>
                  </pic:nvPicPr>
                  <pic:blipFill>
                    <a:blip r:embed="rId149"/>
                    <a:stretch>
                      <a:fillRect/>
                    </a:stretch>
                  </pic:blipFill>
                  <pic:spPr>
                    <a:xfrm>
                      <a:off x="0" y="0"/>
                      <a:ext cx="5759450" cy="8145780"/>
                    </a:xfrm>
                    <a:prstGeom prst="rect">
                      <a:avLst/>
                    </a:prstGeom>
                  </pic:spPr>
                </pic:pic>
              </a:graphicData>
            </a:graphic>
          </wp:inline>
        </w:drawing>
      </w:r>
      <w:r>
        <w:rPr>
          <w:rFonts w:hint="eastAsia" w:ascii="Times New Roman" w:hAnsi="Times New Roman" w:eastAsia="宋体" w:cs="Times New Roman"/>
          <w:b/>
          <w:smallCaps/>
          <w:snapToGrid w:val="0"/>
          <w:color w:val="auto"/>
          <w:kern w:val="2"/>
          <w:sz w:val="21"/>
          <w:szCs w:val="21"/>
          <w:highlight w:val="none"/>
          <w:lang w:val="en-US" w:eastAsia="zh-CN"/>
        </w:rPr>
        <w:drawing>
          <wp:inline distT="0" distB="0" distL="114300" distR="114300">
            <wp:extent cx="5759450" cy="8145780"/>
            <wp:effectExtent l="0" t="0" r="12700" b="7620"/>
            <wp:docPr id="81" name="图片 81" descr="LXW2025103007黑龙江天时利精密科技有限公司新建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LXW2025103007黑龙江天时利精密科技有限公司新建项目_03"/>
                    <pic:cNvPicPr>
                      <a:picLocks noChangeAspect="1"/>
                    </pic:cNvPicPr>
                  </pic:nvPicPr>
                  <pic:blipFill>
                    <a:blip r:embed="rId150"/>
                    <a:stretch>
                      <a:fillRect/>
                    </a:stretch>
                  </pic:blipFill>
                  <pic:spPr>
                    <a:xfrm>
                      <a:off x="0" y="0"/>
                      <a:ext cx="5759450" cy="8145780"/>
                    </a:xfrm>
                    <a:prstGeom prst="rect">
                      <a:avLst/>
                    </a:prstGeom>
                  </pic:spPr>
                </pic:pic>
              </a:graphicData>
            </a:graphic>
          </wp:inline>
        </w:drawing>
      </w:r>
      <w:r>
        <w:rPr>
          <w:rFonts w:hint="eastAsia" w:ascii="Times New Roman" w:hAnsi="Times New Roman" w:eastAsia="宋体" w:cs="Times New Roman"/>
          <w:b/>
          <w:smallCaps/>
          <w:snapToGrid w:val="0"/>
          <w:color w:val="auto"/>
          <w:kern w:val="2"/>
          <w:sz w:val="21"/>
          <w:szCs w:val="21"/>
          <w:highlight w:val="none"/>
          <w:lang w:val="en-US" w:eastAsia="zh-CN"/>
        </w:rPr>
        <w:drawing>
          <wp:inline distT="0" distB="0" distL="114300" distR="114300">
            <wp:extent cx="5759450" cy="8145780"/>
            <wp:effectExtent l="0" t="0" r="12700" b="7620"/>
            <wp:docPr id="82" name="图片 82" descr="LXW2025103007黑龙江天时利精密科技有限公司新建项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LXW2025103007黑龙江天时利精密科技有限公司新建项目_04"/>
                    <pic:cNvPicPr>
                      <a:picLocks noChangeAspect="1"/>
                    </pic:cNvPicPr>
                  </pic:nvPicPr>
                  <pic:blipFill>
                    <a:blip r:embed="rId151"/>
                    <a:stretch>
                      <a:fillRect/>
                    </a:stretch>
                  </pic:blipFill>
                  <pic:spPr>
                    <a:xfrm>
                      <a:off x="0" y="0"/>
                      <a:ext cx="5759450" cy="8145780"/>
                    </a:xfrm>
                    <a:prstGeom prst="rect">
                      <a:avLst/>
                    </a:prstGeom>
                  </pic:spPr>
                </pic:pic>
              </a:graphicData>
            </a:graphic>
          </wp:inline>
        </w:drawing>
      </w:r>
      <w:r>
        <w:rPr>
          <w:rFonts w:hint="eastAsia" w:ascii="Times New Roman" w:hAnsi="Times New Roman" w:eastAsia="宋体" w:cs="Times New Roman"/>
          <w:b/>
          <w:smallCaps/>
          <w:snapToGrid w:val="0"/>
          <w:color w:val="auto"/>
          <w:kern w:val="2"/>
          <w:sz w:val="21"/>
          <w:szCs w:val="21"/>
          <w:highlight w:val="none"/>
          <w:lang w:val="en-US" w:eastAsia="zh-CN"/>
        </w:rPr>
        <w:drawing>
          <wp:inline distT="0" distB="0" distL="114300" distR="114300">
            <wp:extent cx="5759450" cy="8145780"/>
            <wp:effectExtent l="0" t="0" r="12700" b="7620"/>
            <wp:docPr id="83" name="图片 83" descr="LXW2025103007黑龙江天时利精密科技有限公司新建项目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LXW2025103007黑龙江天时利精密科技有限公司新建项目_05"/>
                    <pic:cNvPicPr>
                      <a:picLocks noChangeAspect="1"/>
                    </pic:cNvPicPr>
                  </pic:nvPicPr>
                  <pic:blipFill>
                    <a:blip r:embed="rId152"/>
                    <a:stretch>
                      <a:fillRect/>
                    </a:stretch>
                  </pic:blipFill>
                  <pic:spPr>
                    <a:xfrm>
                      <a:off x="0" y="0"/>
                      <a:ext cx="5759450" cy="8145780"/>
                    </a:xfrm>
                    <a:prstGeom prst="rect">
                      <a:avLst/>
                    </a:prstGeom>
                  </pic:spPr>
                </pic:pic>
              </a:graphicData>
            </a:graphic>
          </wp:inline>
        </w:drawing>
      </w:r>
    </w:p>
    <w:p w14:paraId="16ADF53A">
      <w:pPr>
        <w:pStyle w:val="13"/>
        <w:keepNext w:val="0"/>
        <w:keepLines w:val="0"/>
        <w:pageBreakBefore w:val="0"/>
        <w:widowControl/>
        <w:kinsoku w:val="0"/>
        <w:wordWrap/>
        <w:overflowPunct/>
        <w:topLinePunct w:val="0"/>
        <w:autoSpaceDE w:val="0"/>
        <w:autoSpaceDN w:val="0"/>
        <w:bidi w:val="0"/>
        <w:adjustRightInd w:val="0"/>
        <w:snapToGrid w:val="0"/>
        <w:spacing w:line="240" w:lineRule="auto"/>
        <w:ind w:firstLine="0"/>
        <w:textAlignment w:val="baseline"/>
        <w:rPr>
          <w:rFonts w:hint="eastAsia" w:ascii="Times New Roman" w:hAnsi="Times New Roman" w:eastAsia="宋体" w:cs="Times New Roman"/>
          <w:b/>
          <w:smallCaps/>
          <w:snapToGrid w:val="0"/>
          <w:color w:val="auto"/>
          <w:kern w:val="2"/>
          <w:sz w:val="21"/>
          <w:szCs w:val="21"/>
          <w:highlight w:val="none"/>
          <w:lang w:val="en-US" w:eastAsia="zh-CN"/>
        </w:rPr>
      </w:pPr>
      <w:r>
        <w:rPr>
          <w:rFonts w:hint="eastAsia" w:ascii="Times New Roman" w:hAnsi="Times New Roman" w:eastAsia="宋体" w:cs="Times New Roman"/>
          <w:b/>
          <w:smallCaps/>
          <w:snapToGrid w:val="0"/>
          <w:color w:val="auto"/>
          <w:kern w:val="2"/>
          <w:sz w:val="21"/>
          <w:szCs w:val="21"/>
          <w:highlight w:val="none"/>
          <w:lang w:val="en-US" w:eastAsia="zh-CN"/>
        </w:rPr>
        <w:drawing>
          <wp:inline distT="0" distB="0" distL="114300" distR="114300">
            <wp:extent cx="5759450" cy="8145780"/>
            <wp:effectExtent l="0" t="0" r="12700" b="7620"/>
            <wp:docPr id="84" name="图片 84" descr="LXW2025103007黑龙江天时利精密科技有限公司新建项目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LXW2025103007黑龙江天时利精密科技有限公司新建项目_06"/>
                    <pic:cNvPicPr>
                      <a:picLocks noChangeAspect="1"/>
                    </pic:cNvPicPr>
                  </pic:nvPicPr>
                  <pic:blipFill>
                    <a:blip r:embed="rId153"/>
                    <a:stretch>
                      <a:fillRect/>
                    </a:stretch>
                  </pic:blipFill>
                  <pic:spPr>
                    <a:xfrm>
                      <a:off x="0" y="0"/>
                      <a:ext cx="5759450" cy="8145780"/>
                    </a:xfrm>
                    <a:prstGeom prst="rect">
                      <a:avLst/>
                    </a:prstGeom>
                  </pic:spPr>
                </pic:pic>
              </a:graphicData>
            </a:graphic>
          </wp:inline>
        </w:drawing>
      </w:r>
      <w:r>
        <w:rPr>
          <w:rFonts w:hint="eastAsia" w:ascii="Times New Roman" w:hAnsi="Times New Roman" w:eastAsia="宋体" w:cs="Times New Roman"/>
          <w:b/>
          <w:smallCaps/>
          <w:snapToGrid w:val="0"/>
          <w:color w:val="auto"/>
          <w:kern w:val="2"/>
          <w:sz w:val="21"/>
          <w:szCs w:val="21"/>
          <w:highlight w:val="none"/>
          <w:lang w:val="en-US" w:eastAsia="zh-CN"/>
        </w:rPr>
        <w:drawing>
          <wp:inline distT="0" distB="0" distL="114300" distR="114300">
            <wp:extent cx="5759450" cy="8145780"/>
            <wp:effectExtent l="0" t="0" r="12700" b="7620"/>
            <wp:docPr id="85" name="图片 85" descr="LXW2025103007黑龙江天时利精密科技有限公司新建项目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LXW2025103007黑龙江天时利精密科技有限公司新建项目_07"/>
                    <pic:cNvPicPr>
                      <a:picLocks noChangeAspect="1"/>
                    </pic:cNvPicPr>
                  </pic:nvPicPr>
                  <pic:blipFill>
                    <a:blip r:embed="rId154"/>
                    <a:stretch>
                      <a:fillRect/>
                    </a:stretch>
                  </pic:blipFill>
                  <pic:spPr>
                    <a:xfrm>
                      <a:off x="0" y="0"/>
                      <a:ext cx="5759450" cy="8145780"/>
                    </a:xfrm>
                    <a:prstGeom prst="rect">
                      <a:avLst/>
                    </a:prstGeom>
                  </pic:spPr>
                </pic:pic>
              </a:graphicData>
            </a:graphic>
          </wp:inline>
        </w:drawing>
      </w:r>
      <w:r>
        <w:rPr>
          <w:rFonts w:hint="eastAsia" w:ascii="Times New Roman" w:hAnsi="Times New Roman" w:eastAsia="宋体" w:cs="Times New Roman"/>
          <w:b/>
          <w:smallCaps/>
          <w:snapToGrid w:val="0"/>
          <w:color w:val="auto"/>
          <w:kern w:val="2"/>
          <w:sz w:val="21"/>
          <w:szCs w:val="21"/>
          <w:highlight w:val="none"/>
          <w:lang w:val="en-US" w:eastAsia="zh-CN"/>
        </w:rPr>
        <w:drawing>
          <wp:inline distT="0" distB="0" distL="114300" distR="114300">
            <wp:extent cx="5759450" cy="8145780"/>
            <wp:effectExtent l="0" t="0" r="12700" b="7620"/>
            <wp:docPr id="86" name="图片 86" descr="LXW2025103007黑龙江天时利精密科技有限公司新建项目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LXW2025103007黑龙江天时利精密科技有限公司新建项目_08"/>
                    <pic:cNvPicPr>
                      <a:picLocks noChangeAspect="1"/>
                    </pic:cNvPicPr>
                  </pic:nvPicPr>
                  <pic:blipFill>
                    <a:blip r:embed="rId155"/>
                    <a:stretch>
                      <a:fillRect/>
                    </a:stretch>
                  </pic:blipFill>
                  <pic:spPr>
                    <a:xfrm>
                      <a:off x="0" y="0"/>
                      <a:ext cx="5759450" cy="8145780"/>
                    </a:xfrm>
                    <a:prstGeom prst="rect">
                      <a:avLst/>
                    </a:prstGeom>
                  </pic:spPr>
                </pic:pic>
              </a:graphicData>
            </a:graphic>
          </wp:inline>
        </w:drawing>
      </w:r>
      <w:r>
        <w:rPr>
          <w:rFonts w:hint="eastAsia" w:ascii="Times New Roman" w:hAnsi="Times New Roman" w:eastAsia="宋体" w:cs="Times New Roman"/>
          <w:b/>
          <w:smallCaps/>
          <w:snapToGrid w:val="0"/>
          <w:color w:val="auto"/>
          <w:kern w:val="2"/>
          <w:sz w:val="21"/>
          <w:szCs w:val="21"/>
          <w:highlight w:val="none"/>
          <w:lang w:val="en-US" w:eastAsia="zh-CN"/>
        </w:rPr>
        <w:drawing>
          <wp:inline distT="0" distB="0" distL="114300" distR="114300">
            <wp:extent cx="5759450" cy="8145780"/>
            <wp:effectExtent l="0" t="0" r="12700" b="7620"/>
            <wp:docPr id="87" name="图片 87" descr="LXW2025103007黑龙江天时利精密科技有限公司新建项目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LXW2025103007黑龙江天时利精密科技有限公司新建项目_09"/>
                    <pic:cNvPicPr>
                      <a:picLocks noChangeAspect="1"/>
                    </pic:cNvPicPr>
                  </pic:nvPicPr>
                  <pic:blipFill>
                    <a:blip r:embed="rId156"/>
                    <a:stretch>
                      <a:fillRect/>
                    </a:stretch>
                  </pic:blipFill>
                  <pic:spPr>
                    <a:xfrm>
                      <a:off x="0" y="0"/>
                      <a:ext cx="5759450" cy="8145780"/>
                    </a:xfrm>
                    <a:prstGeom prst="rect">
                      <a:avLst/>
                    </a:prstGeom>
                  </pic:spPr>
                </pic:pic>
              </a:graphicData>
            </a:graphic>
          </wp:inline>
        </w:drawing>
      </w:r>
      <w:r>
        <w:rPr>
          <w:rFonts w:hint="eastAsia" w:ascii="Times New Roman" w:hAnsi="Times New Roman" w:eastAsia="宋体" w:cs="Times New Roman"/>
          <w:b/>
          <w:smallCaps/>
          <w:snapToGrid w:val="0"/>
          <w:color w:val="auto"/>
          <w:kern w:val="2"/>
          <w:sz w:val="21"/>
          <w:szCs w:val="21"/>
          <w:highlight w:val="none"/>
          <w:lang w:val="en-US" w:eastAsia="zh-CN"/>
        </w:rPr>
        <w:drawing>
          <wp:inline distT="0" distB="0" distL="114300" distR="114300">
            <wp:extent cx="5759450" cy="8145780"/>
            <wp:effectExtent l="0" t="0" r="12700" b="7620"/>
            <wp:docPr id="88" name="图片 88" descr="LXW2025103007黑龙江天时利精密科技有限公司新建项目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LXW2025103007黑龙江天时利精密科技有限公司新建项目_10"/>
                    <pic:cNvPicPr>
                      <a:picLocks noChangeAspect="1"/>
                    </pic:cNvPicPr>
                  </pic:nvPicPr>
                  <pic:blipFill>
                    <a:blip r:embed="rId157"/>
                    <a:stretch>
                      <a:fillRect/>
                    </a:stretch>
                  </pic:blipFill>
                  <pic:spPr>
                    <a:xfrm>
                      <a:off x="0" y="0"/>
                      <a:ext cx="5759450" cy="8145780"/>
                    </a:xfrm>
                    <a:prstGeom prst="rect">
                      <a:avLst/>
                    </a:prstGeom>
                  </pic:spPr>
                </pic:pic>
              </a:graphicData>
            </a:graphic>
          </wp:inline>
        </w:drawing>
      </w:r>
      <w:r>
        <w:rPr>
          <w:rFonts w:hint="eastAsia" w:ascii="Times New Roman" w:hAnsi="Times New Roman" w:eastAsia="宋体" w:cs="Times New Roman"/>
          <w:b/>
          <w:smallCaps/>
          <w:snapToGrid w:val="0"/>
          <w:color w:val="auto"/>
          <w:kern w:val="2"/>
          <w:sz w:val="21"/>
          <w:szCs w:val="21"/>
          <w:highlight w:val="none"/>
          <w:lang w:val="en-US" w:eastAsia="zh-CN"/>
        </w:rPr>
        <w:drawing>
          <wp:inline distT="0" distB="0" distL="114300" distR="114300">
            <wp:extent cx="5759450" cy="8145780"/>
            <wp:effectExtent l="0" t="0" r="12700" b="7620"/>
            <wp:docPr id="89" name="图片 89" descr="LXW2025103007黑龙江天时利精密科技有限公司新建项目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LXW2025103007黑龙江天时利精密科技有限公司新建项目_11"/>
                    <pic:cNvPicPr>
                      <a:picLocks noChangeAspect="1"/>
                    </pic:cNvPicPr>
                  </pic:nvPicPr>
                  <pic:blipFill>
                    <a:blip r:embed="rId158"/>
                    <a:stretch>
                      <a:fillRect/>
                    </a:stretch>
                  </pic:blipFill>
                  <pic:spPr>
                    <a:xfrm>
                      <a:off x="0" y="0"/>
                      <a:ext cx="5759450" cy="8145780"/>
                    </a:xfrm>
                    <a:prstGeom prst="rect">
                      <a:avLst/>
                    </a:prstGeom>
                  </pic:spPr>
                </pic:pic>
              </a:graphicData>
            </a:graphic>
          </wp:inline>
        </w:drawing>
      </w:r>
      <w:r>
        <w:rPr>
          <w:rFonts w:hint="eastAsia" w:ascii="Times New Roman" w:hAnsi="Times New Roman" w:eastAsia="宋体" w:cs="Times New Roman"/>
          <w:b/>
          <w:smallCaps/>
          <w:snapToGrid w:val="0"/>
          <w:color w:val="auto"/>
          <w:kern w:val="2"/>
          <w:sz w:val="21"/>
          <w:szCs w:val="21"/>
          <w:highlight w:val="none"/>
          <w:lang w:val="en-US" w:eastAsia="zh-CN"/>
        </w:rPr>
        <w:drawing>
          <wp:inline distT="0" distB="0" distL="114300" distR="114300">
            <wp:extent cx="5759450" cy="8145780"/>
            <wp:effectExtent l="0" t="0" r="12700" b="7620"/>
            <wp:docPr id="90" name="图片 90" descr="LXW2025103007黑龙江天时利精密科技有限公司新建项目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LXW2025103007黑龙江天时利精密科技有限公司新建项目_12"/>
                    <pic:cNvPicPr>
                      <a:picLocks noChangeAspect="1"/>
                    </pic:cNvPicPr>
                  </pic:nvPicPr>
                  <pic:blipFill>
                    <a:blip r:embed="rId159"/>
                    <a:stretch>
                      <a:fillRect/>
                    </a:stretch>
                  </pic:blipFill>
                  <pic:spPr>
                    <a:xfrm>
                      <a:off x="0" y="0"/>
                      <a:ext cx="5759450" cy="8145780"/>
                    </a:xfrm>
                    <a:prstGeom prst="rect">
                      <a:avLst/>
                    </a:prstGeom>
                  </pic:spPr>
                </pic:pic>
              </a:graphicData>
            </a:graphic>
          </wp:inline>
        </w:drawing>
      </w:r>
    </w:p>
    <w:p w14:paraId="6D00BFA8">
      <w:pPr>
        <w:pStyle w:val="13"/>
        <w:rPr>
          <w:rFonts w:hint="eastAsia" w:ascii="Times New Roman" w:hAnsi="Times New Roman" w:eastAsia="宋体" w:cs="Times New Roman"/>
          <w:b/>
          <w:smallCaps/>
          <w:snapToGrid w:val="0"/>
          <w:color w:val="auto"/>
          <w:kern w:val="2"/>
          <w:sz w:val="21"/>
          <w:szCs w:val="21"/>
          <w:highlight w:val="none"/>
          <w:lang w:val="en-US" w:eastAsia="zh-CN"/>
        </w:rPr>
      </w:pPr>
    </w:p>
    <w:p w14:paraId="3DD2CDA7">
      <w:pPr>
        <w:rPr>
          <w:rFonts w:hint="eastAsia" w:ascii="Times New Roman" w:hAnsi="Times New Roman" w:eastAsia="宋体" w:cs="Times New Roman"/>
          <w:b/>
          <w:smallCaps/>
          <w:snapToGrid w:val="0"/>
          <w:color w:val="auto"/>
          <w:kern w:val="2"/>
          <w:sz w:val="21"/>
          <w:szCs w:val="21"/>
          <w:highlight w:val="none"/>
          <w:lang w:val="en-US" w:eastAsia="zh-CN"/>
        </w:rPr>
      </w:pPr>
      <w:r>
        <w:rPr>
          <w:rFonts w:hint="eastAsia" w:ascii="Times New Roman" w:hAnsi="Times New Roman" w:eastAsia="宋体" w:cs="Times New Roman"/>
          <w:b/>
          <w:smallCaps/>
          <w:snapToGrid w:val="0"/>
          <w:color w:val="auto"/>
          <w:kern w:val="2"/>
          <w:sz w:val="21"/>
          <w:szCs w:val="21"/>
          <w:highlight w:val="none"/>
          <w:lang w:val="en-US" w:eastAsia="zh-CN"/>
        </w:rPr>
        <w:br w:type="page"/>
      </w:r>
    </w:p>
    <w:p w14:paraId="28C3C7B0">
      <w:pPr>
        <w:adjustRightInd/>
        <w:snapToGrid/>
        <w:spacing w:after="0"/>
        <w:jc w:val="both"/>
        <w:outlineLvl w:val="0"/>
        <w:rPr>
          <w:rFonts w:hint="eastAsia" w:ascii="Times New Roman" w:hAnsi="Times New Roman" w:eastAsia="宋体" w:cs="Times New Roman"/>
          <w:b/>
          <w:smallCaps/>
          <w:snapToGrid w:val="0"/>
          <w:color w:val="auto"/>
          <w:kern w:val="2"/>
          <w:sz w:val="21"/>
          <w:szCs w:val="21"/>
          <w:highlight w:val="none"/>
          <w:lang w:val="en-US" w:eastAsia="zh-CN"/>
        </w:rPr>
      </w:pPr>
      <w:bookmarkStart w:id="129" w:name="_Toc2194"/>
      <w:r>
        <w:rPr>
          <w:rFonts w:hint="eastAsia" w:ascii="Times New Roman" w:hAnsi="Times New Roman" w:eastAsia="宋体" w:cs="Times New Roman"/>
          <w:b/>
          <w:smallCaps/>
          <w:snapToGrid w:val="0"/>
          <w:color w:val="auto"/>
          <w:kern w:val="2"/>
          <w:sz w:val="21"/>
          <w:szCs w:val="21"/>
          <w:highlight w:val="none"/>
          <w:lang w:val="en-US" w:eastAsia="zh-CN"/>
        </w:rPr>
        <w:t>附件4天然气成分分析报告</w:t>
      </w:r>
      <w:bookmarkEnd w:id="127"/>
      <w:bookmarkEnd w:id="129"/>
    </w:p>
    <w:p w14:paraId="6EFB8105">
      <w:pPr>
        <w:jc w:val="center"/>
        <w:rPr>
          <w:rFonts w:hint="eastAsia" w:eastAsia="宋体"/>
          <w:lang w:eastAsia="zh-CN"/>
        </w:rPr>
      </w:pPr>
      <w:r>
        <w:rPr>
          <w:rFonts w:hint="eastAsia" w:eastAsia="宋体"/>
          <w:lang w:eastAsia="zh-CN"/>
        </w:rPr>
        <w:drawing>
          <wp:inline distT="0" distB="0" distL="114300" distR="114300">
            <wp:extent cx="5048250" cy="7648575"/>
            <wp:effectExtent l="0" t="0" r="0" b="9525"/>
            <wp:docPr id="34" name="图片 34" descr="1717291742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717291742669"/>
                    <pic:cNvPicPr>
                      <a:picLocks noChangeAspect="1"/>
                    </pic:cNvPicPr>
                  </pic:nvPicPr>
                  <pic:blipFill>
                    <a:blip r:embed="rId160"/>
                    <a:stretch>
                      <a:fillRect/>
                    </a:stretch>
                  </pic:blipFill>
                  <pic:spPr>
                    <a:xfrm>
                      <a:off x="0" y="0"/>
                      <a:ext cx="5048250" cy="7648575"/>
                    </a:xfrm>
                    <a:prstGeom prst="rect">
                      <a:avLst/>
                    </a:prstGeom>
                    <a:noFill/>
                    <a:ln>
                      <a:noFill/>
                    </a:ln>
                  </pic:spPr>
                </pic:pic>
              </a:graphicData>
            </a:graphic>
          </wp:inline>
        </w:drawing>
      </w:r>
    </w:p>
    <w:p w14:paraId="6D2C11E6">
      <w:pPr>
        <w:jc w:val="center"/>
        <w:rPr>
          <w:rFonts w:hint="eastAsia" w:ascii="宋体" w:hAnsi="宋体" w:eastAsia="宋体"/>
          <w:b/>
          <w:sz w:val="28"/>
          <w:szCs w:val="28"/>
          <w:highlight w:val="none"/>
          <w:lang w:eastAsia="zh-CN"/>
        </w:rPr>
        <w:sectPr>
          <w:pgSz w:w="11906" w:h="16838"/>
          <w:pgMar w:top="1134" w:right="1417" w:bottom="1134" w:left="1417" w:header="850"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ascii="宋体" w:hAnsi="宋体" w:eastAsia="宋体"/>
          <w:b/>
          <w:sz w:val="28"/>
          <w:szCs w:val="28"/>
          <w:highlight w:val="none"/>
          <w:lang w:eastAsia="zh-CN"/>
        </w:rPr>
        <w:drawing>
          <wp:inline distT="0" distB="0" distL="114300" distR="114300">
            <wp:extent cx="5114925" cy="7486650"/>
            <wp:effectExtent l="0" t="0" r="5715" b="11430"/>
            <wp:docPr id="29" name="图片 35" descr="171729175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5" descr="1717291758677"/>
                    <pic:cNvPicPr>
                      <a:picLocks noChangeAspect="1"/>
                    </pic:cNvPicPr>
                  </pic:nvPicPr>
                  <pic:blipFill>
                    <a:blip r:embed="rId161"/>
                    <a:stretch>
                      <a:fillRect/>
                    </a:stretch>
                  </pic:blipFill>
                  <pic:spPr>
                    <a:xfrm>
                      <a:off x="0" y="0"/>
                      <a:ext cx="5114925" cy="7486650"/>
                    </a:xfrm>
                    <a:prstGeom prst="rect">
                      <a:avLst/>
                    </a:prstGeom>
                    <a:noFill/>
                    <a:ln>
                      <a:noFill/>
                    </a:ln>
                  </pic:spPr>
                </pic:pic>
              </a:graphicData>
            </a:graphic>
          </wp:inline>
        </w:drawing>
      </w:r>
      <w:r>
        <w:rPr>
          <w:rFonts w:hint="eastAsia" w:ascii="宋体" w:hAnsi="宋体" w:eastAsia="宋体"/>
          <w:b/>
          <w:sz w:val="28"/>
          <w:szCs w:val="28"/>
          <w:highlight w:val="none"/>
          <w:lang w:eastAsia="zh-CN"/>
        </w:rPr>
        <w:drawing>
          <wp:inline distT="0" distB="0" distL="114300" distR="114300">
            <wp:extent cx="5266055" cy="7775575"/>
            <wp:effectExtent l="0" t="0" r="6985" b="12065"/>
            <wp:docPr id="35" name="图片 36" descr="171729177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6" descr="1717291779901"/>
                    <pic:cNvPicPr>
                      <a:picLocks noChangeAspect="1"/>
                    </pic:cNvPicPr>
                  </pic:nvPicPr>
                  <pic:blipFill>
                    <a:blip r:embed="rId162"/>
                    <a:stretch>
                      <a:fillRect/>
                    </a:stretch>
                  </pic:blipFill>
                  <pic:spPr>
                    <a:xfrm>
                      <a:off x="0" y="0"/>
                      <a:ext cx="5266055" cy="7775575"/>
                    </a:xfrm>
                    <a:prstGeom prst="rect">
                      <a:avLst/>
                    </a:prstGeom>
                    <a:noFill/>
                    <a:ln>
                      <a:noFill/>
                    </a:ln>
                  </pic:spPr>
                </pic:pic>
              </a:graphicData>
            </a:graphic>
          </wp:inline>
        </w:drawing>
      </w:r>
      <w:r>
        <w:rPr>
          <w:rFonts w:hint="eastAsia" w:ascii="宋体" w:hAnsi="宋体" w:eastAsia="宋体"/>
          <w:b/>
          <w:sz w:val="28"/>
          <w:szCs w:val="28"/>
          <w:highlight w:val="none"/>
          <w:lang w:eastAsia="zh-CN"/>
        </w:rPr>
        <w:drawing>
          <wp:inline distT="0" distB="0" distL="114300" distR="114300">
            <wp:extent cx="5265420" cy="7494905"/>
            <wp:effectExtent l="0" t="0" r="7620" b="3175"/>
            <wp:docPr id="58" name="图片 37" descr="171729226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7" descr="1717292262449"/>
                    <pic:cNvPicPr>
                      <a:picLocks noChangeAspect="1"/>
                    </pic:cNvPicPr>
                  </pic:nvPicPr>
                  <pic:blipFill>
                    <a:blip r:embed="rId163"/>
                    <a:stretch>
                      <a:fillRect/>
                    </a:stretch>
                  </pic:blipFill>
                  <pic:spPr>
                    <a:xfrm>
                      <a:off x="0" y="0"/>
                      <a:ext cx="5265420" cy="7494905"/>
                    </a:xfrm>
                    <a:prstGeom prst="rect">
                      <a:avLst/>
                    </a:prstGeom>
                    <a:noFill/>
                    <a:ln>
                      <a:noFill/>
                    </a:ln>
                  </pic:spPr>
                </pic:pic>
              </a:graphicData>
            </a:graphic>
          </wp:inline>
        </w:drawing>
      </w:r>
    </w:p>
    <w:p w14:paraId="0FD33C99">
      <w:pPr>
        <w:adjustRightInd/>
        <w:snapToGrid/>
        <w:spacing w:after="0"/>
        <w:jc w:val="both"/>
        <w:outlineLvl w:val="0"/>
        <w:rPr>
          <w:rFonts w:hint="eastAsia" w:ascii="Times New Roman" w:hAnsi="Times New Roman" w:eastAsia="宋体" w:cs="Times New Roman"/>
          <w:b/>
          <w:smallCaps/>
          <w:snapToGrid w:val="0"/>
          <w:color w:val="auto"/>
          <w:kern w:val="2"/>
          <w:sz w:val="21"/>
          <w:szCs w:val="21"/>
          <w:highlight w:val="none"/>
          <w:lang w:val="en-US" w:eastAsia="zh-CN"/>
        </w:rPr>
      </w:pPr>
      <w:bookmarkStart w:id="130" w:name="_Toc20275"/>
      <w:r>
        <w:rPr>
          <w:rFonts w:hint="eastAsia" w:ascii="Times New Roman" w:hAnsi="Times New Roman" w:eastAsia="宋体" w:cs="Times New Roman"/>
          <w:b/>
          <w:smallCaps/>
          <w:snapToGrid w:val="0"/>
          <w:color w:val="auto"/>
          <w:kern w:val="2"/>
          <w:sz w:val="21"/>
          <w:szCs w:val="21"/>
          <w:highlight w:val="none"/>
          <w:lang w:val="en-US" w:eastAsia="zh-CN"/>
        </w:rPr>
        <w:t>附件</w:t>
      </w:r>
      <w:r>
        <w:rPr>
          <w:rFonts w:hint="default" w:ascii="Times New Roman" w:hAnsi="Times New Roman" w:eastAsia="宋体" w:cs="Times New Roman"/>
          <w:b/>
          <w:smallCaps/>
          <w:snapToGrid w:val="0"/>
          <w:color w:val="auto"/>
          <w:kern w:val="2"/>
          <w:sz w:val="21"/>
          <w:szCs w:val="21"/>
          <w:highlight w:val="none"/>
          <w:lang w:val="en-US" w:eastAsia="zh-CN"/>
        </w:rPr>
        <w:t>5</w:t>
      </w:r>
      <w:r>
        <w:rPr>
          <w:rFonts w:hint="eastAsia" w:ascii="Times New Roman" w:hAnsi="Times New Roman" w:eastAsia="宋体" w:cs="Times New Roman"/>
          <w:b/>
          <w:smallCaps/>
          <w:snapToGrid w:val="0"/>
          <w:color w:val="auto"/>
          <w:kern w:val="2"/>
          <w:sz w:val="21"/>
          <w:szCs w:val="21"/>
          <w:highlight w:val="none"/>
          <w:lang w:val="en-US" w:eastAsia="zh-CN"/>
        </w:rPr>
        <w:t>生态环境分区管控分析报告</w:t>
      </w:r>
      <w:bookmarkEnd w:id="130"/>
    </w:p>
    <w:p w14:paraId="0D3E54FA">
      <w:pPr>
        <w:pStyle w:val="13"/>
        <w:ind w:left="0" w:leftChars="0" w:firstLine="0" w:firstLineChars="0"/>
        <w:rPr>
          <w:rFonts w:hint="eastAsia"/>
          <w:lang w:val="en-US" w:eastAsia="zh-CN"/>
        </w:rPr>
      </w:pPr>
      <w:r>
        <w:rPr>
          <w:rFonts w:hint="eastAsia"/>
          <w:lang w:val="en-US" w:eastAsia="zh-CN"/>
        </w:rPr>
        <w:drawing>
          <wp:inline distT="0" distB="0" distL="114300" distR="114300">
            <wp:extent cx="5752465" cy="4067175"/>
            <wp:effectExtent l="0" t="0" r="635" b="9525"/>
            <wp:docPr id="91" name="图片 91" descr="黑龙江天时利精密科技有限公司新建_2025年11月03日141329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黑龙江天时利精密科技有限公司新建_2025年11月03日141329_分析报告_01"/>
                    <pic:cNvPicPr>
                      <a:picLocks noChangeAspect="1"/>
                    </pic:cNvPicPr>
                  </pic:nvPicPr>
                  <pic:blipFill>
                    <a:blip r:embed="rId164"/>
                    <a:stretch>
                      <a:fillRect/>
                    </a:stretch>
                  </pic:blipFill>
                  <pic:spPr>
                    <a:xfrm>
                      <a:off x="0" y="0"/>
                      <a:ext cx="5752465" cy="4067175"/>
                    </a:xfrm>
                    <a:prstGeom prst="rect">
                      <a:avLst/>
                    </a:prstGeom>
                  </pic:spPr>
                </pic:pic>
              </a:graphicData>
            </a:graphic>
          </wp:inline>
        </w:drawing>
      </w:r>
      <w:r>
        <w:rPr>
          <w:rFonts w:hint="eastAsia"/>
          <w:lang w:val="en-US" w:eastAsia="zh-CN"/>
        </w:rPr>
        <w:drawing>
          <wp:inline distT="0" distB="0" distL="114300" distR="114300">
            <wp:extent cx="5752465" cy="4067175"/>
            <wp:effectExtent l="0" t="0" r="635" b="9525"/>
            <wp:docPr id="92" name="图片 92" descr="黑龙江天时利精密科技有限公司新建_2025年11月03日141329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黑龙江天时利精密科技有限公司新建_2025年11月03日141329_分析报告_02"/>
                    <pic:cNvPicPr>
                      <a:picLocks noChangeAspect="1"/>
                    </pic:cNvPicPr>
                  </pic:nvPicPr>
                  <pic:blipFill>
                    <a:blip r:embed="rId165"/>
                    <a:stretch>
                      <a:fillRect/>
                    </a:stretch>
                  </pic:blipFill>
                  <pic:spPr>
                    <a:xfrm>
                      <a:off x="0" y="0"/>
                      <a:ext cx="5752465" cy="4067175"/>
                    </a:xfrm>
                    <a:prstGeom prst="rect">
                      <a:avLst/>
                    </a:prstGeom>
                  </pic:spPr>
                </pic:pic>
              </a:graphicData>
            </a:graphic>
          </wp:inline>
        </w:drawing>
      </w:r>
      <w:r>
        <w:rPr>
          <w:rFonts w:hint="eastAsia"/>
          <w:lang w:val="en-US" w:eastAsia="zh-CN"/>
        </w:rPr>
        <w:drawing>
          <wp:inline distT="0" distB="0" distL="114300" distR="114300">
            <wp:extent cx="5752465" cy="4067175"/>
            <wp:effectExtent l="0" t="0" r="635" b="9525"/>
            <wp:docPr id="93" name="图片 93" descr="黑龙江天时利精密科技有限公司新建_2025年11月03日141329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黑龙江天时利精密科技有限公司新建_2025年11月03日141329_分析报告_03"/>
                    <pic:cNvPicPr>
                      <a:picLocks noChangeAspect="1"/>
                    </pic:cNvPicPr>
                  </pic:nvPicPr>
                  <pic:blipFill>
                    <a:blip r:embed="rId166"/>
                    <a:stretch>
                      <a:fillRect/>
                    </a:stretch>
                  </pic:blipFill>
                  <pic:spPr>
                    <a:xfrm>
                      <a:off x="0" y="0"/>
                      <a:ext cx="5752465" cy="4067175"/>
                    </a:xfrm>
                    <a:prstGeom prst="rect">
                      <a:avLst/>
                    </a:prstGeom>
                  </pic:spPr>
                </pic:pic>
              </a:graphicData>
            </a:graphic>
          </wp:inline>
        </w:drawing>
      </w:r>
      <w:r>
        <w:rPr>
          <w:rFonts w:hint="eastAsia"/>
          <w:lang w:val="en-US" w:eastAsia="zh-CN"/>
        </w:rPr>
        <w:drawing>
          <wp:inline distT="0" distB="0" distL="114300" distR="114300">
            <wp:extent cx="5752465" cy="4067175"/>
            <wp:effectExtent l="0" t="0" r="635" b="9525"/>
            <wp:docPr id="94" name="图片 94" descr="黑龙江天时利精密科技有限公司新建_2025年11月03日141329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黑龙江天时利精密科技有限公司新建_2025年11月03日141329_分析报告_04"/>
                    <pic:cNvPicPr>
                      <a:picLocks noChangeAspect="1"/>
                    </pic:cNvPicPr>
                  </pic:nvPicPr>
                  <pic:blipFill>
                    <a:blip r:embed="rId167"/>
                    <a:stretch>
                      <a:fillRect/>
                    </a:stretch>
                  </pic:blipFill>
                  <pic:spPr>
                    <a:xfrm>
                      <a:off x="0" y="0"/>
                      <a:ext cx="5752465" cy="4067175"/>
                    </a:xfrm>
                    <a:prstGeom prst="rect">
                      <a:avLst/>
                    </a:prstGeom>
                  </pic:spPr>
                </pic:pic>
              </a:graphicData>
            </a:graphic>
          </wp:inline>
        </w:drawing>
      </w:r>
      <w:r>
        <w:rPr>
          <w:rFonts w:hint="eastAsia"/>
          <w:lang w:val="en-US" w:eastAsia="zh-CN"/>
        </w:rPr>
        <w:drawing>
          <wp:inline distT="0" distB="0" distL="114300" distR="114300">
            <wp:extent cx="5752465" cy="4067175"/>
            <wp:effectExtent l="0" t="0" r="635" b="9525"/>
            <wp:docPr id="95" name="图片 95" descr="黑龙江天时利精密科技有限公司新建_2025年11月03日141329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黑龙江天时利精密科技有限公司新建_2025年11月03日141329_分析报告_05"/>
                    <pic:cNvPicPr>
                      <a:picLocks noChangeAspect="1"/>
                    </pic:cNvPicPr>
                  </pic:nvPicPr>
                  <pic:blipFill>
                    <a:blip r:embed="rId168"/>
                    <a:stretch>
                      <a:fillRect/>
                    </a:stretch>
                  </pic:blipFill>
                  <pic:spPr>
                    <a:xfrm>
                      <a:off x="0" y="0"/>
                      <a:ext cx="5752465" cy="4067175"/>
                    </a:xfrm>
                    <a:prstGeom prst="rect">
                      <a:avLst/>
                    </a:prstGeom>
                  </pic:spPr>
                </pic:pic>
              </a:graphicData>
            </a:graphic>
          </wp:inline>
        </w:drawing>
      </w:r>
      <w:r>
        <w:rPr>
          <w:rFonts w:hint="eastAsia"/>
          <w:lang w:val="en-US" w:eastAsia="zh-CN"/>
        </w:rPr>
        <w:drawing>
          <wp:inline distT="0" distB="0" distL="114300" distR="114300">
            <wp:extent cx="5752465" cy="4067175"/>
            <wp:effectExtent l="0" t="0" r="635" b="9525"/>
            <wp:docPr id="96" name="图片 96" descr="黑龙江天时利精密科技有限公司新建_2025年11月03日141329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黑龙江天时利精密科技有限公司新建_2025年11月03日141329_分析报告_06"/>
                    <pic:cNvPicPr>
                      <a:picLocks noChangeAspect="1"/>
                    </pic:cNvPicPr>
                  </pic:nvPicPr>
                  <pic:blipFill>
                    <a:blip r:embed="rId169"/>
                    <a:stretch>
                      <a:fillRect/>
                    </a:stretch>
                  </pic:blipFill>
                  <pic:spPr>
                    <a:xfrm>
                      <a:off x="0" y="0"/>
                      <a:ext cx="5752465" cy="4067175"/>
                    </a:xfrm>
                    <a:prstGeom prst="rect">
                      <a:avLst/>
                    </a:prstGeom>
                  </pic:spPr>
                </pic:pic>
              </a:graphicData>
            </a:graphic>
          </wp:inline>
        </w:drawing>
      </w:r>
      <w:r>
        <w:rPr>
          <w:rFonts w:hint="eastAsia"/>
          <w:lang w:val="en-US" w:eastAsia="zh-CN"/>
        </w:rPr>
        <w:drawing>
          <wp:inline distT="0" distB="0" distL="114300" distR="114300">
            <wp:extent cx="5752465" cy="4067175"/>
            <wp:effectExtent l="0" t="0" r="635" b="9525"/>
            <wp:docPr id="97" name="图片 97" descr="黑龙江天时利精密科技有限公司新建_2025年11月03日141329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黑龙江天时利精密科技有限公司新建_2025年11月03日141329_分析报告_07"/>
                    <pic:cNvPicPr>
                      <a:picLocks noChangeAspect="1"/>
                    </pic:cNvPicPr>
                  </pic:nvPicPr>
                  <pic:blipFill>
                    <a:blip r:embed="rId170"/>
                    <a:stretch>
                      <a:fillRect/>
                    </a:stretch>
                  </pic:blipFill>
                  <pic:spPr>
                    <a:xfrm>
                      <a:off x="0" y="0"/>
                      <a:ext cx="5752465" cy="4067175"/>
                    </a:xfrm>
                    <a:prstGeom prst="rect">
                      <a:avLst/>
                    </a:prstGeom>
                  </pic:spPr>
                </pic:pic>
              </a:graphicData>
            </a:graphic>
          </wp:inline>
        </w:drawing>
      </w:r>
      <w:r>
        <w:rPr>
          <w:rFonts w:hint="eastAsia"/>
          <w:lang w:val="en-US" w:eastAsia="zh-CN"/>
        </w:rPr>
        <w:drawing>
          <wp:inline distT="0" distB="0" distL="114300" distR="114300">
            <wp:extent cx="5752465" cy="4067175"/>
            <wp:effectExtent l="0" t="0" r="635" b="9525"/>
            <wp:docPr id="98" name="图片 98" descr="黑龙江天时利精密科技有限公司新建_2025年11月03日141329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黑龙江天时利精密科技有限公司新建_2025年11月03日141329_分析报告_08"/>
                    <pic:cNvPicPr>
                      <a:picLocks noChangeAspect="1"/>
                    </pic:cNvPicPr>
                  </pic:nvPicPr>
                  <pic:blipFill>
                    <a:blip r:embed="rId171"/>
                    <a:stretch>
                      <a:fillRect/>
                    </a:stretch>
                  </pic:blipFill>
                  <pic:spPr>
                    <a:xfrm>
                      <a:off x="0" y="0"/>
                      <a:ext cx="5752465" cy="4067175"/>
                    </a:xfrm>
                    <a:prstGeom prst="rect">
                      <a:avLst/>
                    </a:prstGeom>
                  </pic:spPr>
                </pic:pic>
              </a:graphicData>
            </a:graphic>
          </wp:inline>
        </w:drawing>
      </w:r>
      <w:r>
        <w:rPr>
          <w:rFonts w:hint="eastAsia"/>
          <w:lang w:val="en-US" w:eastAsia="zh-CN"/>
        </w:rPr>
        <w:drawing>
          <wp:inline distT="0" distB="0" distL="114300" distR="114300">
            <wp:extent cx="5752465" cy="4067175"/>
            <wp:effectExtent l="0" t="0" r="635" b="9525"/>
            <wp:docPr id="99" name="图片 99" descr="黑龙江天时利精密科技有限公司新建_2025年11月03日141329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黑龙江天时利精密科技有限公司新建_2025年11月03日141329_分析报告_09"/>
                    <pic:cNvPicPr>
                      <a:picLocks noChangeAspect="1"/>
                    </pic:cNvPicPr>
                  </pic:nvPicPr>
                  <pic:blipFill>
                    <a:blip r:embed="rId172"/>
                    <a:stretch>
                      <a:fillRect/>
                    </a:stretch>
                  </pic:blipFill>
                  <pic:spPr>
                    <a:xfrm>
                      <a:off x="0" y="0"/>
                      <a:ext cx="5752465" cy="4067175"/>
                    </a:xfrm>
                    <a:prstGeom prst="rect">
                      <a:avLst/>
                    </a:prstGeom>
                  </pic:spPr>
                </pic:pic>
              </a:graphicData>
            </a:graphic>
          </wp:inline>
        </w:drawing>
      </w:r>
      <w:r>
        <w:rPr>
          <w:rFonts w:hint="eastAsia"/>
          <w:lang w:val="en-US" w:eastAsia="zh-CN"/>
        </w:rPr>
        <w:drawing>
          <wp:inline distT="0" distB="0" distL="114300" distR="114300">
            <wp:extent cx="5752465" cy="4067175"/>
            <wp:effectExtent l="0" t="0" r="635" b="9525"/>
            <wp:docPr id="100" name="图片 100" descr="黑龙江天时利精密科技有限公司新建_2025年11月03日141329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黑龙江天时利精密科技有限公司新建_2025年11月03日141329_分析报告_10"/>
                    <pic:cNvPicPr>
                      <a:picLocks noChangeAspect="1"/>
                    </pic:cNvPicPr>
                  </pic:nvPicPr>
                  <pic:blipFill>
                    <a:blip r:embed="rId173"/>
                    <a:stretch>
                      <a:fillRect/>
                    </a:stretch>
                  </pic:blipFill>
                  <pic:spPr>
                    <a:xfrm>
                      <a:off x="0" y="0"/>
                      <a:ext cx="5752465" cy="4067175"/>
                    </a:xfrm>
                    <a:prstGeom prst="rect">
                      <a:avLst/>
                    </a:prstGeom>
                  </pic:spPr>
                </pic:pic>
              </a:graphicData>
            </a:graphic>
          </wp:inline>
        </w:drawing>
      </w:r>
    </w:p>
    <w:sectPr>
      <w:pgSz w:w="11906" w:h="16838"/>
      <w:pgMar w:top="1134" w:right="1417" w:bottom="1134" w:left="1417" w:header="850" w:footer="992" w:gutter="0"/>
      <w:pgBorders>
        <w:top w:val="none" w:sz="0" w:space="0"/>
        <w:left w:val="none" w:sz="0" w:space="0"/>
        <w:bottom w:val="none" w:sz="0" w:space="0"/>
        <w:right w:val="none" w:sz="0" w:space="0"/>
      </w:pgBorders>
      <w:pgNumType w:fmt="decimal"/>
      <w:cols w:space="0" w:num="1"/>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Arial Unicode MS">
    <w:panose1 w:val="020B0604020202020204"/>
    <w:charset w:val="86"/>
    <w:family w:val="auto"/>
    <w:pitch w:val="default"/>
    <w:sig w:usb0="FFFFFFFF" w:usb1="E9FFFFFF" w:usb2="0000003F" w:usb3="00000000" w:csb0="603F01FF" w:csb1="FFFF0000"/>
  </w:font>
  <w:font w:name="仿宋_GB2312">
    <w:panose1 w:val="02010609030101010101"/>
    <w:charset w:val="86"/>
    <w:family w:val="modern"/>
    <w:pitch w:val="default"/>
    <w:sig w:usb0="00000001" w:usb1="080E0000" w:usb2="00000000" w:usb3="00000000" w:csb0="00040000" w:csb1="00000000"/>
  </w:font>
  <w:font w:name="方正小标宋简体">
    <w:panose1 w:val="03000509000000000000"/>
    <w:charset w:val="86"/>
    <w:family w:val="script"/>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Cambria Math">
    <w:panose1 w:val="02040503050406030204"/>
    <w:charset w:val="00"/>
    <w:family w:val="roman"/>
    <w:pitch w:val="default"/>
    <w:sig w:usb0="E00006FF" w:usb1="420024FF" w:usb2="02000000" w:usb3="00000000" w:csb0="2000019F" w:csb1="00000000"/>
  </w:font>
  <w:font w:name="Segoe UI">
    <w:panose1 w:val="020B0502040204020203"/>
    <w:charset w:val="00"/>
    <w:family w:val="auto"/>
    <w:pitch w:val="default"/>
    <w:sig w:usb0="E4002EFF" w:usb1="C000E47F" w:usb2="00000009" w:usb3="00000000" w:csb0="200001FF" w:csb1="0000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modern"/>
    <w:pitch w:val="default"/>
    <w:sig w:usb0="00000203" w:usb1="288F0000" w:usb2="00000006" w:usb3="00000000" w:csb0="00040001" w:csb1="00000000"/>
  </w:font>
  <w:font w:name="Wingdings 2">
    <w:panose1 w:val="05020102010507070707"/>
    <w:charset w:val="02"/>
    <w:family w:val="roman"/>
    <w:pitch w:val="default"/>
    <w:sig w:usb0="00000000" w:usb1="00000000" w:usb2="00000000" w:usb3="00000000" w:csb0="8000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6A3D2F">
    <w:pPr>
      <w:spacing w:line="173" w:lineRule="auto"/>
      <w:rPr>
        <w:rFonts w:ascii="Times New Roman" w:hAnsi="Times New Roman" w:eastAsia="Times New Roman" w:cs="Times New Roman"/>
        <w:sz w:val="18"/>
        <w:szCs w:val="18"/>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E897A0">
    <w:pPr>
      <w:spacing w:line="173"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2B254D">
                          <w:pPr>
                            <w:pStyle w:val="16"/>
                          </w:pPr>
                          <w:r>
                            <w:fldChar w:fldCharType="begin"/>
                          </w:r>
                          <w:r>
                            <w:instrText xml:space="preserve"> PAGE  \* MERGEFORMAT </w:instrText>
                          </w:r>
                          <w:r>
                            <w:fldChar w:fldCharType="separate"/>
                          </w:r>
                          <w:r>
                            <w:t>CXV</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14:paraId="4B2B254D">
                    <w:pPr>
                      <w:pStyle w:val="16"/>
                    </w:pPr>
                    <w:r>
                      <w:fldChar w:fldCharType="begin"/>
                    </w:r>
                    <w:r>
                      <w:instrText xml:space="preserve"> PAGE  \* MERGEFORMAT </w:instrText>
                    </w:r>
                    <w:r>
                      <w:fldChar w:fldCharType="separate"/>
                    </w:r>
                    <w:r>
                      <w:t>CXV</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8CF9C7">
    <w:pPr>
      <w:spacing w:line="173" w:lineRule="auto"/>
      <w:rPr>
        <w:rFonts w:ascii="Times New Roman" w:hAnsi="Times New Roman" w:eastAsia="Times New Roman" w:cs="Times New Roman"/>
        <w:sz w:val="18"/>
        <w:szCs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28AA09">
    <w:pPr>
      <w:spacing w:line="173" w:lineRule="auto"/>
      <w:ind w:left="4679"/>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FAA032">
                          <w:pPr>
                            <w:pStyle w:val="16"/>
                          </w:pPr>
                          <w:r>
                            <w:fldChar w:fldCharType="begin"/>
                          </w:r>
                          <w:r>
                            <w:instrText xml:space="preserve"> PAGE  \* MERGEFORMAT </w:instrText>
                          </w:r>
                          <w:r>
                            <w:fldChar w:fldCharType="separate"/>
                          </w:r>
                          <w:r>
                            <w:t>IV</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60FAA032">
                    <w:pPr>
                      <w:pStyle w:val="16"/>
                    </w:pPr>
                    <w:r>
                      <w:fldChar w:fldCharType="begin"/>
                    </w:r>
                    <w:r>
                      <w:instrText xml:space="preserve"> PAGE  \* MERGEFORMAT </w:instrText>
                    </w:r>
                    <w:r>
                      <w:fldChar w:fldCharType="separate"/>
                    </w:r>
                    <w:r>
                      <w:t>IV</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BC2086">
    <w:pPr>
      <w:spacing w:line="176" w:lineRule="auto"/>
      <w:ind w:left="4741"/>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860C35A">
                          <w:pPr>
                            <w:pStyle w:val="16"/>
                          </w:pPr>
                          <w:r>
                            <w:fldChar w:fldCharType="begin"/>
                          </w:r>
                          <w:r>
                            <w:instrText xml:space="preserve"> PAGE  \* MERGEFORMAT </w:instrText>
                          </w:r>
                          <w:r>
                            <w:fldChar w:fldCharType="separate"/>
                          </w:r>
                          <w:r>
                            <w:t>XVII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3860C35A">
                    <w:pPr>
                      <w:pStyle w:val="16"/>
                    </w:pPr>
                    <w:r>
                      <w:fldChar w:fldCharType="begin"/>
                    </w:r>
                    <w:r>
                      <w:instrText xml:space="preserve"> PAGE  \* MERGEFORMAT </w:instrText>
                    </w:r>
                    <w:r>
                      <w:fldChar w:fldCharType="separate"/>
                    </w:r>
                    <w:r>
                      <w:t>XVII</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794C12">
    <w:pPr>
      <w:spacing w:line="176" w:lineRule="auto"/>
      <w:ind w:left="7223"/>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856544">
                          <w:pPr>
                            <w:pStyle w:val="16"/>
                          </w:pPr>
                          <w:r>
                            <w:fldChar w:fldCharType="begin"/>
                          </w:r>
                          <w:r>
                            <w:instrText xml:space="preserve"> PAGE  \* MERGEFORMAT </w:instrText>
                          </w:r>
                          <w:r>
                            <w:fldChar w:fldCharType="separate"/>
                          </w:r>
                          <w:r>
                            <w:t>XXXVI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14:paraId="08856544">
                    <w:pPr>
                      <w:pStyle w:val="16"/>
                    </w:pPr>
                    <w:r>
                      <w:fldChar w:fldCharType="begin"/>
                    </w:r>
                    <w:r>
                      <w:instrText xml:space="preserve"> PAGE  \* MERGEFORMAT </w:instrText>
                    </w:r>
                    <w:r>
                      <w:fldChar w:fldCharType="separate"/>
                    </w:r>
                    <w:r>
                      <w:t>XXXVI</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586215">
    <w:pPr>
      <w:spacing w:line="176" w:lineRule="auto"/>
      <w:ind w:left="7131"/>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0EE622">
                          <w:pPr>
                            <w:pStyle w:val="16"/>
                          </w:pPr>
                          <w:r>
                            <w:fldChar w:fldCharType="begin"/>
                          </w:r>
                          <w:r>
                            <w:instrText xml:space="preserve"> PAGE  \* MERGEFORMAT </w:instrText>
                          </w:r>
                          <w:r>
                            <w:fldChar w:fldCharType="separate"/>
                          </w:r>
                          <w:r>
                            <w:t>XLII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14:paraId="330EE622">
                    <w:pPr>
                      <w:pStyle w:val="16"/>
                    </w:pPr>
                    <w:r>
                      <w:fldChar w:fldCharType="begin"/>
                    </w:r>
                    <w:r>
                      <w:instrText xml:space="preserve"> PAGE  \* MERGEFORMAT </w:instrText>
                    </w:r>
                    <w:r>
                      <w:fldChar w:fldCharType="separate"/>
                    </w:r>
                    <w:r>
                      <w:t>XLII</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71BF95">
    <w:pPr>
      <w:pStyle w:val="16"/>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32DDCB">
                          <w:pPr>
                            <w:pStyle w:val="16"/>
                          </w:pPr>
                          <w:r>
                            <w:fldChar w:fldCharType="begin"/>
                          </w:r>
                          <w:r>
                            <w:instrText xml:space="preserve"> PAGE  \* MERGEFORMAT </w:instrText>
                          </w:r>
                          <w:r>
                            <w:fldChar w:fldCharType="separate"/>
                          </w:r>
                          <w:r>
                            <w:t>LXXV</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MFE50y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QYphGxU8/vp9+&#10;Ppx+fSM4g0CNCzPE3TtExvadbRE8nAccJt5t5XX6ghGBH/IeL/KKNhKeLk0n02kOF4dv2AA/e7zu&#10;fIjvhdUkGQX1qF8nKztsQuxDh5CUzdi1VKqroTKkKejV67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wUTnTICAABjBAAADgAAAAAAAAABACAAAAAfAQAAZHJzL2Uyb0RvYy54bWxQSwUG&#10;AAAAAAYABgBZAQAAwwUAAAAA&#10;">
              <v:fill on="f" focussize="0,0"/>
              <v:stroke on="f" weight="0.5pt"/>
              <v:imagedata o:title=""/>
              <o:lock v:ext="edit" aspectratio="f"/>
              <v:textbox inset="0mm,0mm,0mm,0mm" style="mso-fit-shape-to-text:t;">
                <w:txbxContent>
                  <w:p w14:paraId="3A32DDCB">
                    <w:pPr>
                      <w:pStyle w:val="16"/>
                    </w:pPr>
                    <w:r>
                      <w:fldChar w:fldCharType="begin"/>
                    </w:r>
                    <w:r>
                      <w:instrText xml:space="preserve"> PAGE  \* MERGEFORMAT </w:instrText>
                    </w:r>
                    <w:r>
                      <w:fldChar w:fldCharType="separate"/>
                    </w:r>
                    <w:r>
                      <w:t>LXXV</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F1FD5E">
    <w:pPr>
      <w:pStyle w:val="16"/>
      <w:ind w:right="360"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E712FF">
    <w:pPr>
      <w:tabs>
        <w:tab w:val="center" w:pos="4422"/>
        <w:tab w:val="right" w:pos="8844"/>
      </w:tabs>
      <w:snapToGrid w:val="0"/>
      <w:spacing w:line="240" w:lineRule="auto"/>
      <w:ind w:firstLine="360"/>
      <w:rPr>
        <w:rFonts w:ascii="Times New Roman" w:hAnsi="Calibri" w:eastAsia="宋体" w:cs="Times New Roman"/>
        <w:snapToGrid w:val="0"/>
        <w:sz w:val="18"/>
        <w:szCs w:val="18"/>
        <w:lang w:val="en-US" w:eastAsia="zh-CN" w:bidi="ar-SA"/>
      </w:rPr>
    </w:pPr>
    <w:r>
      <w:rPr>
        <w:rFonts w:hint="eastAsia" w:ascii="Times New Roman" w:hAnsi="Calibri" w:eastAsia="宋体" w:cs="Times New Roman"/>
        <w:snapToGrid w:val="0"/>
        <w:sz w:val="18"/>
        <w:szCs w:val="18"/>
        <w:lang w:val="en-US" w:eastAsia="zh-CN" w:bidi="ar-SA"/>
      </w:rPr>
      <w:t xml:space="preserve">      </w:t>
    </w:r>
    <w:r>
      <w:rPr>
        <w:rFonts w:hint="eastAsia" w:ascii="Times New Roman" w:hAnsi="Calibri" w:eastAsia="宋体" w:cs="Times New Roman"/>
        <w:snapToGrid w:val="0"/>
        <w:sz w:val="18"/>
        <w:szCs w:val="18"/>
        <w:lang w:val="en-US" w:eastAsia="zh-CN" w:bidi="ar-SA"/>
      </w:rPr>
      <w:tab/>
    </w:r>
    <w:r>
      <w:rPr>
        <w:rFonts w:hint="eastAsia" w:ascii="Times New Roman" w:hAnsi="Calibri" w:eastAsia="宋体" w:cs="Times New Roman"/>
        <w:snapToGrid w:val="0"/>
        <w:sz w:val="18"/>
        <w:szCs w:val="18"/>
        <w:lang w:val="en-US" w:eastAsia="zh-CN" w:bidi="ar-SA"/>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03A20F">
    <w:pPr>
      <w:spacing w:line="217" w:lineRule="auto"/>
      <w:ind w:left="1575"/>
      <w:rPr>
        <w:rFonts w:ascii="宋体" w:hAnsi="宋体" w:eastAsia="宋体" w:cs="宋体"/>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7DBFD8">
    <w:pPr>
      <w:spacing w:line="217" w:lineRule="auto"/>
      <w:ind w:left="1575"/>
      <w:rPr>
        <w:rFonts w:ascii="宋体" w:hAnsi="宋体" w:eastAsia="宋体" w:cs="宋体"/>
        <w:sz w:val="18"/>
        <w:szCs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DCDA5A">
    <w:pPr>
      <w:spacing w:line="217" w:lineRule="auto"/>
      <w:jc w:val="center"/>
      <w:rPr>
        <w:rFonts w:hint="eastAsia" w:ascii="宋体" w:hAnsi="宋体" w:eastAsia="宋体" w:cs="宋体"/>
        <w:sz w:val="18"/>
        <w:szCs w:val="18"/>
        <w:lang w:eastAsia="zh-CN"/>
      </w:rPr>
    </w:pPr>
    <w:r>
      <mc:AlternateContent>
        <mc:Choice Requires="wps">
          <w:drawing>
            <wp:anchor distT="0" distB="0" distL="114300" distR="114300" simplePos="0" relativeHeight="251659264" behindDoc="0" locked="0" layoutInCell="0" allowOverlap="1">
              <wp:simplePos x="0" y="0"/>
              <wp:positionH relativeFrom="page">
                <wp:posOffset>900430</wp:posOffset>
              </wp:positionH>
              <wp:positionV relativeFrom="page">
                <wp:posOffset>713740</wp:posOffset>
              </wp:positionV>
              <wp:extent cx="5760720" cy="6350"/>
              <wp:effectExtent l="0" t="0" r="0" b="0"/>
              <wp:wrapNone/>
              <wp:docPr id="19" name="任意多边形 19"/>
              <wp:cNvGraphicFramePr/>
              <a:graphic xmlns:a="http://schemas.openxmlformats.org/drawingml/2006/main">
                <a:graphicData uri="http://schemas.microsoft.com/office/word/2010/wordprocessingShape">
                  <wps:wsp>
                    <wps:cNvSpPr/>
                    <wps:spPr>
                      <a:xfrm>
                        <a:off x="0" y="0"/>
                        <a:ext cx="5760720" cy="6350"/>
                      </a:xfrm>
                      <a:custGeom>
                        <a:avLst/>
                        <a:gdLst/>
                        <a:ahLst/>
                        <a:cxnLst/>
                        <a:pathLst>
                          <a:path w="9072" h="10">
                            <a:moveTo>
                              <a:pt x="0" y="0"/>
                            </a:moveTo>
                            <a:lnTo>
                              <a:pt x="9071" y="0"/>
                            </a:lnTo>
                            <a:lnTo>
                              <a:pt x="9071" y="9"/>
                            </a:lnTo>
                            <a:lnTo>
                              <a:pt x="0" y="9"/>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0.9pt;margin-top:56.2pt;height:0.5pt;width:453.6pt;mso-position-horizontal-relative:page;mso-position-vertical-relative:page;z-index:251659264;mso-width-relative:page;mso-height-relative:page;" fillcolor="#000000" filled="t" stroked="f" coordsize="9072,10" o:allowincell="f" o:gfxdata="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8KJjI2QAAAAwBAAAPAAAAAAAA&#10;AAEAIAAAACIAAABkcnMvZG93bnJldi54bWxQSwECFAAUAAAACACHTuJAAskycBECAAB7BAAADgAA&#10;AAAAAAABACAAAAAoAQAAZHJzL2Uyb0RvYy54bWxQSwUGAAAAAAYABgBZAQAAqwUAAAAA&#10;" path="m0,0l9071,0,9071,9,0,9,0,0xe">
              <v:fill on="t" focussize="0,0"/>
              <v:stroke on="f"/>
              <v:imagedata o:title=""/>
              <o:lock v:ext="edit" aspectratio="f"/>
            </v:shape>
          </w:pict>
        </mc:Fallback>
      </mc:AlternateContent>
    </w:r>
    <w:r>
      <w:rPr>
        <w:rFonts w:hint="eastAsia" w:ascii="宋体" w:hAnsi="宋体" w:eastAsia="宋体" w:cs="宋体"/>
        <w:spacing w:val="-1"/>
        <w:sz w:val="18"/>
        <w:szCs w:val="18"/>
        <w:lang w:eastAsia="zh-CN"/>
      </w:rPr>
      <w:t>黑龙江天时利精密科技有限公司新建项目环境影响报告书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7DE96B">
    <w:pPr>
      <w:pBdr>
        <w:bottom w:val="single" w:color="auto" w:sz="4" w:space="0"/>
      </w:pBdr>
      <w:spacing w:line="217" w:lineRule="auto"/>
      <w:jc w:val="center"/>
      <w:rPr>
        <w:rFonts w:ascii="宋体" w:hAnsi="宋体" w:eastAsia="宋体" w:cs="宋体"/>
        <w:sz w:val="18"/>
        <w:szCs w:val="18"/>
      </w:rPr>
    </w:pPr>
    <w:r>
      <w:rPr>
        <w:rFonts w:hint="eastAsia" w:ascii="宋体" w:hAnsi="宋体" w:eastAsia="宋体" w:cs="宋体"/>
        <w:spacing w:val="-1"/>
        <w:sz w:val="18"/>
        <w:szCs w:val="18"/>
        <w:lang w:eastAsia="zh-CN"/>
      </w:rPr>
      <w:t>黑龙江天时利精密科技有限公司新建项目环境影响报告书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83D15D">
    <w:pPr>
      <w:keepNext w:val="0"/>
      <w:keepLines w:val="0"/>
      <w:pageBreakBefore w:val="0"/>
      <w:widowControl/>
      <w:pBdr>
        <w:bottom w:val="single" w:color="auto" w:sz="4" w:space="0"/>
      </w:pBdr>
      <w:kinsoku w:val="0"/>
      <w:wordWrap/>
      <w:overflowPunct/>
      <w:topLinePunct w:val="0"/>
      <w:bidi w:val="0"/>
      <w:adjustRightInd w:val="0"/>
      <w:snapToGrid w:val="0"/>
      <w:spacing w:line="240" w:lineRule="auto"/>
      <w:ind w:left="0"/>
      <w:jc w:val="center"/>
      <w:textAlignment w:val="baseline"/>
      <w:rPr>
        <w:rFonts w:hint="eastAsia" w:ascii="宋体" w:hAnsi="宋体" w:eastAsia="宋体" w:cs="宋体"/>
        <w:sz w:val="18"/>
        <w:szCs w:val="18"/>
        <w:lang w:eastAsia="zh-CN"/>
      </w:rPr>
    </w:pPr>
    <w:r>
      <w:rPr>
        <w:rFonts w:hint="eastAsia" w:ascii="宋体" w:hAnsi="宋体" w:eastAsia="宋体" w:cs="宋体"/>
        <w:spacing w:val="-1"/>
        <w:sz w:val="18"/>
        <w:szCs w:val="18"/>
        <w:lang w:eastAsia="zh-CN"/>
      </w:rPr>
      <w:t>黑龙江天时利精密科技有限公司新建项目环境影响报告书</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6A5D69">
    <w:pPr>
      <w:pBdr>
        <w:bottom w:val="none" w:color="auto" w:sz="0" w:space="0"/>
      </w:pBdr>
      <w:spacing w:line="217" w:lineRule="auto"/>
      <w:jc w:val="center"/>
      <w:rPr>
        <w:rFonts w:ascii="宋体" w:hAnsi="宋体" w:eastAsia="宋体" w:cs="宋体"/>
        <w:sz w:val="18"/>
        <w:szCs w:val="18"/>
      </w:rPr>
    </w:pPr>
    <w:r>
      <w:rPr>
        <w:rFonts w:hint="eastAsia"/>
        <w:sz w:val="18"/>
        <w:szCs w:val="18"/>
        <w:lang w:val="en-US" w:eastAsia="zh-CN"/>
      </w:rPr>
      <w:t>黑龙江天时利精密科技有限公司新建项目</w:t>
    </w:r>
    <w:r>
      <w:rPr>
        <w:rFonts w:hint="eastAsia" w:ascii="宋体" w:hAnsi="宋体" w:eastAsia="宋体" w:cs="宋体"/>
        <w:spacing w:val="-1"/>
        <w:sz w:val="18"/>
        <w:szCs w:val="18"/>
        <w:lang w:eastAsia="zh-CN"/>
      </w:rPr>
      <w:t>环境</w:t>
    </w:r>
    <w:r>
      <w:rPr>
        <w:rFonts w:ascii="宋体" w:hAnsi="宋体" w:eastAsia="宋体" w:cs="宋体"/>
        <w:spacing w:val="-1"/>
        <w:sz w:val="18"/>
        <w:szCs w:val="18"/>
      </w:rPr>
      <w:t>影响</w:t>
    </w:r>
    <w:r>
      <w:rPr>
        <w:rFonts w:ascii="宋体" w:hAnsi="宋体" w:eastAsia="宋体" w:cs="宋体"/>
        <w:spacing w:val="-2"/>
        <w:sz w:val="18"/>
        <w:szCs w:val="18"/>
      </w:rPr>
      <w:t>报告书</w:t>
    </w:r>
  </w:p>
  <w:p w14:paraId="0D12B2D1">
    <w:pPr>
      <w:pBdr>
        <w:bottom w:val="single" w:color="auto" w:sz="4" w:space="0"/>
      </w:pBdr>
      <w:spacing w:line="217" w:lineRule="auto"/>
      <w:ind w:left="1575"/>
      <w:rPr>
        <w:rFonts w:ascii="宋体" w:hAnsi="宋体" w:eastAsia="宋体" w:cs="宋体"/>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647195"/>
    <w:multiLevelType w:val="singleLevel"/>
    <w:tmpl w:val="85647195"/>
    <w:lvl w:ilvl="0" w:tentative="0">
      <w:start w:val="1"/>
      <w:numFmt w:val="decimal"/>
      <w:suff w:val="nothing"/>
      <w:lvlText w:val="%1、"/>
      <w:lvlJc w:val="left"/>
    </w:lvl>
  </w:abstractNum>
  <w:abstractNum w:abstractNumId="1">
    <w:nsid w:val="A4AE0368"/>
    <w:multiLevelType w:val="singleLevel"/>
    <w:tmpl w:val="A4AE0368"/>
    <w:lvl w:ilvl="0" w:tentative="0">
      <w:start w:val="1"/>
      <w:numFmt w:val="decimal"/>
      <w:lvlText w:val="%1."/>
      <w:lvlJc w:val="left"/>
      <w:pPr>
        <w:tabs>
          <w:tab w:val="left" w:pos="0"/>
        </w:tabs>
        <w:ind w:left="425" w:hanging="425"/>
      </w:pPr>
      <w:rPr>
        <w:rFonts w:hint="default"/>
      </w:rPr>
    </w:lvl>
  </w:abstractNum>
  <w:abstractNum w:abstractNumId="2">
    <w:nsid w:val="A9E36D4D"/>
    <w:multiLevelType w:val="singleLevel"/>
    <w:tmpl w:val="A9E36D4D"/>
    <w:lvl w:ilvl="0" w:tentative="0">
      <w:start w:val="1"/>
      <w:numFmt w:val="decimal"/>
      <w:lvlText w:val="%1."/>
      <w:lvlJc w:val="left"/>
      <w:pPr>
        <w:ind w:left="425" w:hanging="425"/>
      </w:pPr>
      <w:rPr>
        <w:rFonts w:hint="default"/>
      </w:rPr>
    </w:lvl>
  </w:abstractNum>
  <w:abstractNum w:abstractNumId="3">
    <w:nsid w:val="C34D8278"/>
    <w:multiLevelType w:val="singleLevel"/>
    <w:tmpl w:val="C34D8278"/>
    <w:lvl w:ilvl="0" w:tentative="0">
      <w:start w:val="1"/>
      <w:numFmt w:val="decimal"/>
      <w:suff w:val="nothing"/>
      <w:lvlText w:val="（%1）"/>
      <w:lvlJc w:val="left"/>
      <w:pPr>
        <w:ind w:left="630"/>
      </w:pPr>
    </w:lvl>
  </w:abstractNum>
  <w:abstractNum w:abstractNumId="4">
    <w:nsid w:val="D82330CA"/>
    <w:multiLevelType w:val="singleLevel"/>
    <w:tmpl w:val="D82330CA"/>
    <w:lvl w:ilvl="0" w:tentative="0">
      <w:start w:val="1"/>
      <w:numFmt w:val="decimal"/>
      <w:suff w:val="nothing"/>
      <w:lvlText w:val="（%1）"/>
      <w:lvlJc w:val="left"/>
    </w:lvl>
  </w:abstractNum>
  <w:abstractNum w:abstractNumId="5">
    <w:nsid w:val="E080F312"/>
    <w:multiLevelType w:val="singleLevel"/>
    <w:tmpl w:val="E080F312"/>
    <w:lvl w:ilvl="0" w:tentative="0">
      <w:start w:val="1"/>
      <w:numFmt w:val="bullet"/>
      <w:pStyle w:val="15"/>
      <w:lvlText w:val=""/>
      <w:lvlJc w:val="left"/>
      <w:pPr>
        <w:tabs>
          <w:tab w:val="left" w:pos="2040"/>
        </w:tabs>
        <w:ind w:left="2040" w:hanging="360"/>
      </w:pPr>
      <w:rPr>
        <w:rFonts w:hint="default" w:ascii="Wingdings" w:hAnsi="Wingdings"/>
      </w:rPr>
    </w:lvl>
  </w:abstractNum>
  <w:abstractNum w:abstractNumId="6">
    <w:nsid w:val="E13AE366"/>
    <w:multiLevelType w:val="singleLevel"/>
    <w:tmpl w:val="E13AE366"/>
    <w:lvl w:ilvl="0" w:tentative="0">
      <w:start w:val="5"/>
      <w:numFmt w:val="decimal"/>
      <w:suff w:val="nothing"/>
      <w:lvlText w:val="%1、"/>
      <w:lvlJc w:val="left"/>
    </w:lvl>
  </w:abstractNum>
  <w:abstractNum w:abstractNumId="7">
    <w:nsid w:val="ECF7C2E3"/>
    <w:multiLevelType w:val="singleLevel"/>
    <w:tmpl w:val="ECF7C2E3"/>
    <w:lvl w:ilvl="0" w:tentative="0">
      <w:start w:val="4"/>
      <w:numFmt w:val="decimal"/>
      <w:suff w:val="nothing"/>
      <w:lvlText w:val="%1、"/>
      <w:lvlJc w:val="left"/>
    </w:lvl>
  </w:abstractNum>
  <w:abstractNum w:abstractNumId="8">
    <w:nsid w:val="05234EA9"/>
    <w:multiLevelType w:val="multilevel"/>
    <w:tmpl w:val="05234EA9"/>
    <w:lvl w:ilvl="0" w:tentative="0">
      <w:start w:val="1"/>
      <w:numFmt w:val="decimal"/>
      <w:pStyle w:val="91"/>
      <w:lvlText w:val="表6.2-%1. "/>
      <w:lvlJc w:val="center"/>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0D663E45"/>
    <w:multiLevelType w:val="multilevel"/>
    <w:tmpl w:val="0D663E45"/>
    <w:lvl w:ilvl="0" w:tentative="0">
      <w:start w:val="1"/>
      <w:numFmt w:val="decimal"/>
      <w:suff w:val="space"/>
      <w:lvlText w:val="%1"/>
      <w:lvlJc w:val="left"/>
      <w:pPr>
        <w:ind w:left="1277" w:hanging="425"/>
      </w:pPr>
    </w:lvl>
    <w:lvl w:ilvl="1" w:tentative="0">
      <w:start w:val="1"/>
      <w:numFmt w:val="decimal"/>
      <w:suff w:val="space"/>
      <w:lvlText w:val="%1.%2"/>
      <w:lvlJc w:val="left"/>
      <w:pPr>
        <w:ind w:left="3261" w:hanging="567"/>
      </w:pPr>
      <w:rPr>
        <w:rFonts w:hint="default"/>
        <w:highlight w:val="none"/>
      </w:rPr>
    </w:lvl>
    <w:lvl w:ilvl="2" w:tentative="0">
      <w:start w:val="1"/>
      <w:numFmt w:val="decimal"/>
      <w:suff w:val="space"/>
      <w:lvlText w:val="%1.%2.%3"/>
      <w:lvlJc w:val="left"/>
      <w:pPr>
        <w:ind w:left="1561" w:hanging="709"/>
      </w:pPr>
    </w:lvl>
    <w:lvl w:ilvl="3" w:tentative="0">
      <w:start w:val="1"/>
      <w:numFmt w:val="decimal"/>
      <w:pStyle w:val="84"/>
      <w:lvlText w:val="%1.%2.%3.%4"/>
      <w:lvlJc w:val="left"/>
      <w:pPr>
        <w:tabs>
          <w:tab w:val="left" w:pos="426"/>
        </w:tabs>
        <w:ind w:left="426" w:firstLine="0"/>
      </w:pPr>
    </w:lvl>
    <w:lvl w:ilvl="4" w:tentative="0">
      <w:start w:val="1"/>
      <w:numFmt w:val="decimal"/>
      <w:lvlText w:val="%1.%2.%3.%4.%5."/>
      <w:lvlJc w:val="left"/>
      <w:pPr>
        <w:tabs>
          <w:tab w:val="left" w:pos="1844"/>
        </w:tabs>
        <w:ind w:left="1844" w:hanging="992"/>
      </w:pPr>
    </w:lvl>
    <w:lvl w:ilvl="5" w:tentative="0">
      <w:start w:val="1"/>
      <w:numFmt w:val="decimal"/>
      <w:lvlText w:val="%1.%2.%3.%4.%5.%6."/>
      <w:lvlJc w:val="left"/>
      <w:pPr>
        <w:tabs>
          <w:tab w:val="left" w:pos="1986"/>
        </w:tabs>
        <w:ind w:left="1986" w:hanging="1134"/>
      </w:pPr>
    </w:lvl>
    <w:lvl w:ilvl="6" w:tentative="0">
      <w:start w:val="1"/>
      <w:numFmt w:val="decimal"/>
      <w:lvlText w:val="%1.%2.%3.%4.%5.%6.%7."/>
      <w:lvlJc w:val="left"/>
      <w:pPr>
        <w:tabs>
          <w:tab w:val="left" w:pos="2128"/>
        </w:tabs>
        <w:ind w:left="2128" w:hanging="1276"/>
      </w:pPr>
    </w:lvl>
    <w:lvl w:ilvl="7" w:tentative="0">
      <w:start w:val="1"/>
      <w:numFmt w:val="decimal"/>
      <w:lvlText w:val="%1.%2.%3.%4.%5.%6.%7.%8."/>
      <w:lvlJc w:val="left"/>
      <w:pPr>
        <w:tabs>
          <w:tab w:val="left" w:pos="2270"/>
        </w:tabs>
        <w:ind w:left="2270" w:hanging="1418"/>
      </w:pPr>
    </w:lvl>
    <w:lvl w:ilvl="8" w:tentative="0">
      <w:start w:val="1"/>
      <w:numFmt w:val="decimal"/>
      <w:lvlText w:val="%1.%2.%3.%4.%5.%6.%7.%8.%9."/>
      <w:lvlJc w:val="left"/>
      <w:pPr>
        <w:tabs>
          <w:tab w:val="left" w:pos="2411"/>
        </w:tabs>
        <w:ind w:left="2411" w:hanging="1559"/>
      </w:pPr>
    </w:lvl>
  </w:abstractNum>
  <w:abstractNum w:abstractNumId="10">
    <w:nsid w:val="168687D5"/>
    <w:multiLevelType w:val="singleLevel"/>
    <w:tmpl w:val="168687D5"/>
    <w:lvl w:ilvl="0" w:tentative="0">
      <w:start w:val="1"/>
      <w:numFmt w:val="decimal"/>
      <w:lvlText w:val="(%1)"/>
      <w:lvlJc w:val="left"/>
      <w:pPr>
        <w:tabs>
          <w:tab w:val="left" w:pos="312"/>
        </w:tabs>
      </w:pPr>
    </w:lvl>
  </w:abstractNum>
  <w:abstractNum w:abstractNumId="11">
    <w:nsid w:val="1A83870C"/>
    <w:multiLevelType w:val="singleLevel"/>
    <w:tmpl w:val="1A83870C"/>
    <w:lvl w:ilvl="0" w:tentative="0">
      <w:start w:val="6"/>
      <w:numFmt w:val="decimal"/>
      <w:suff w:val="nothing"/>
      <w:lvlText w:val="（%1）"/>
      <w:lvlJc w:val="left"/>
    </w:lvl>
  </w:abstractNum>
  <w:abstractNum w:abstractNumId="12">
    <w:nsid w:val="1DA74297"/>
    <w:multiLevelType w:val="multilevel"/>
    <w:tmpl w:val="1DA74297"/>
    <w:lvl w:ilvl="0" w:tentative="0">
      <w:start w:val="1"/>
      <w:numFmt w:val="decimal"/>
      <w:pStyle w:val="93"/>
      <w:lvlText w:val="图3.2-%1 "/>
      <w:lvlJc w:val="righ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3">
    <w:nsid w:val="1EF353DC"/>
    <w:multiLevelType w:val="singleLevel"/>
    <w:tmpl w:val="1EF353DC"/>
    <w:lvl w:ilvl="0" w:tentative="0">
      <w:start w:val="1"/>
      <w:numFmt w:val="decimal"/>
      <w:lvlText w:val="%1."/>
      <w:lvlJc w:val="left"/>
      <w:pPr>
        <w:ind w:left="425" w:hanging="425"/>
      </w:pPr>
      <w:rPr>
        <w:rFonts w:hint="default"/>
      </w:rPr>
    </w:lvl>
  </w:abstractNum>
  <w:abstractNum w:abstractNumId="14">
    <w:nsid w:val="20FAD89F"/>
    <w:multiLevelType w:val="singleLevel"/>
    <w:tmpl w:val="20FAD89F"/>
    <w:lvl w:ilvl="0" w:tentative="0">
      <w:start w:val="1"/>
      <w:numFmt w:val="decimal"/>
      <w:lvlText w:val="%1."/>
      <w:lvlJc w:val="left"/>
      <w:pPr>
        <w:ind w:left="425" w:hanging="425"/>
      </w:pPr>
      <w:rPr>
        <w:rFonts w:hint="default"/>
      </w:rPr>
    </w:lvl>
  </w:abstractNum>
  <w:abstractNum w:abstractNumId="15">
    <w:nsid w:val="2FBA0F0D"/>
    <w:multiLevelType w:val="singleLevel"/>
    <w:tmpl w:val="2FBA0F0D"/>
    <w:lvl w:ilvl="0" w:tentative="0">
      <w:start w:val="1"/>
      <w:numFmt w:val="decimal"/>
      <w:suff w:val="nothing"/>
      <w:lvlText w:val="%1、"/>
      <w:lvlJc w:val="left"/>
    </w:lvl>
  </w:abstractNum>
  <w:abstractNum w:abstractNumId="16">
    <w:nsid w:val="364E8E53"/>
    <w:multiLevelType w:val="singleLevel"/>
    <w:tmpl w:val="364E8E53"/>
    <w:lvl w:ilvl="0" w:tentative="0">
      <w:start w:val="2"/>
      <w:numFmt w:val="decimal"/>
      <w:suff w:val="nothing"/>
      <w:lvlText w:val="%1、"/>
      <w:lvlJc w:val="left"/>
    </w:lvl>
  </w:abstractNum>
  <w:abstractNum w:abstractNumId="17">
    <w:nsid w:val="3A1B0500"/>
    <w:multiLevelType w:val="singleLevel"/>
    <w:tmpl w:val="3A1B0500"/>
    <w:lvl w:ilvl="0" w:tentative="0">
      <w:start w:val="2"/>
      <w:numFmt w:val="decimal"/>
      <w:suff w:val="nothing"/>
      <w:lvlText w:val="（%1）"/>
      <w:lvlJc w:val="left"/>
    </w:lvl>
  </w:abstractNum>
  <w:abstractNum w:abstractNumId="18">
    <w:nsid w:val="43DD4185"/>
    <w:multiLevelType w:val="singleLevel"/>
    <w:tmpl w:val="43DD4185"/>
    <w:lvl w:ilvl="0" w:tentative="0">
      <w:start w:val="1"/>
      <w:numFmt w:val="decimal"/>
      <w:suff w:val="nothing"/>
      <w:lvlText w:val="（%1）"/>
      <w:lvlJc w:val="left"/>
    </w:lvl>
  </w:abstractNum>
  <w:abstractNum w:abstractNumId="19">
    <w:nsid w:val="49762E53"/>
    <w:multiLevelType w:val="singleLevel"/>
    <w:tmpl w:val="49762E53"/>
    <w:lvl w:ilvl="0" w:tentative="0">
      <w:start w:val="1"/>
      <w:numFmt w:val="decimal"/>
      <w:lvlText w:val="%1."/>
      <w:lvlJc w:val="left"/>
      <w:pPr>
        <w:ind w:left="425" w:hanging="425"/>
      </w:pPr>
      <w:rPr>
        <w:rFonts w:hint="default"/>
      </w:rPr>
    </w:lvl>
  </w:abstractNum>
  <w:abstractNum w:abstractNumId="20">
    <w:nsid w:val="4FEF49CB"/>
    <w:multiLevelType w:val="multilevel"/>
    <w:tmpl w:val="4FEF49CB"/>
    <w:lvl w:ilvl="0" w:tentative="0">
      <w:start w:val="1"/>
      <w:numFmt w:val="decimal"/>
      <w:pStyle w:val="95"/>
      <w:lvlText w:val="表7.2-%1 "/>
      <w:lvlJc w:val="righ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543E2722"/>
    <w:multiLevelType w:val="multilevel"/>
    <w:tmpl w:val="543E2722"/>
    <w:lvl w:ilvl="0" w:tentative="0">
      <w:start w:val="1"/>
      <w:numFmt w:val="decimal"/>
      <w:pStyle w:val="82"/>
      <w:lvlText w:val="表3.1-%1"/>
      <w:lvlJc w:val="right"/>
      <w:pPr>
        <w:ind w:left="2100" w:hanging="420"/>
      </w:pPr>
      <w:rPr>
        <w:rFonts w:hint="default" w:ascii="Times New Roman" w:hAnsi="Times New Roman" w:cs="Times New Roman"/>
        <w:b/>
        <w:bCs w:val="0"/>
        <w:i w:val="0"/>
        <w:iCs w:val="0"/>
        <w:caps w:val="0"/>
        <w:strike w:val="0"/>
        <w:dstrike w:val="0"/>
        <w:snapToGrid w:val="0"/>
        <w:vanish w:val="0"/>
        <w:color w:val="000000"/>
        <w:spacing w:val="0"/>
        <w:w w:val="0"/>
        <w:kern w:val="0"/>
        <w:position w:val="0"/>
        <w:szCs w:val="0"/>
        <w:u w:val="none"/>
        <w:vertAlign w:val="baseline"/>
        <w:lang w:val="en-US"/>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22">
    <w:nsid w:val="54C007F3"/>
    <w:multiLevelType w:val="multilevel"/>
    <w:tmpl w:val="54C007F3"/>
    <w:lvl w:ilvl="0" w:tentative="0">
      <w:start w:val="1"/>
      <w:numFmt w:val="decimal"/>
      <w:pStyle w:val="88"/>
      <w:lvlText w:val="表5.2-%1. "/>
      <w:lvlJc w:val="center"/>
      <w:pPr>
        <w:ind w:left="1320" w:hanging="420"/>
      </w:pPr>
    </w:lvl>
    <w:lvl w:ilvl="1" w:tentative="0">
      <w:start w:val="1"/>
      <w:numFmt w:val="lowerLetter"/>
      <w:lvlText w:val="%2)"/>
      <w:lvlJc w:val="left"/>
      <w:pPr>
        <w:ind w:left="1740" w:hanging="420"/>
      </w:pPr>
    </w:lvl>
    <w:lvl w:ilvl="2" w:tentative="0">
      <w:start w:val="1"/>
      <w:numFmt w:val="lowerRoman"/>
      <w:lvlText w:val="%3."/>
      <w:lvlJc w:val="right"/>
      <w:pPr>
        <w:ind w:left="2160" w:hanging="420"/>
      </w:pPr>
    </w:lvl>
    <w:lvl w:ilvl="3" w:tentative="0">
      <w:start w:val="1"/>
      <w:numFmt w:val="decimal"/>
      <w:lvlText w:val="%4."/>
      <w:lvlJc w:val="left"/>
      <w:pPr>
        <w:ind w:left="2580" w:hanging="420"/>
      </w:pPr>
    </w:lvl>
    <w:lvl w:ilvl="4" w:tentative="0">
      <w:start w:val="1"/>
      <w:numFmt w:val="lowerLetter"/>
      <w:lvlText w:val="%5)"/>
      <w:lvlJc w:val="left"/>
      <w:pPr>
        <w:ind w:left="3000" w:hanging="420"/>
      </w:pPr>
    </w:lvl>
    <w:lvl w:ilvl="5" w:tentative="0">
      <w:start w:val="1"/>
      <w:numFmt w:val="lowerRoman"/>
      <w:lvlText w:val="%6."/>
      <w:lvlJc w:val="right"/>
      <w:pPr>
        <w:ind w:left="3420" w:hanging="420"/>
      </w:pPr>
    </w:lvl>
    <w:lvl w:ilvl="6" w:tentative="0">
      <w:start w:val="1"/>
      <w:numFmt w:val="decimal"/>
      <w:lvlText w:val="%7."/>
      <w:lvlJc w:val="left"/>
      <w:pPr>
        <w:ind w:left="3840" w:hanging="420"/>
      </w:pPr>
    </w:lvl>
    <w:lvl w:ilvl="7" w:tentative="0">
      <w:start w:val="1"/>
      <w:numFmt w:val="lowerLetter"/>
      <w:lvlText w:val="%8)"/>
      <w:lvlJc w:val="left"/>
      <w:pPr>
        <w:ind w:left="4260" w:hanging="420"/>
      </w:pPr>
    </w:lvl>
    <w:lvl w:ilvl="8" w:tentative="0">
      <w:start w:val="1"/>
      <w:numFmt w:val="lowerRoman"/>
      <w:lvlText w:val="%9."/>
      <w:lvlJc w:val="right"/>
      <w:pPr>
        <w:ind w:left="4680" w:hanging="420"/>
      </w:pPr>
    </w:lvl>
  </w:abstractNum>
  <w:abstractNum w:abstractNumId="23">
    <w:nsid w:val="6174751E"/>
    <w:multiLevelType w:val="multilevel"/>
    <w:tmpl w:val="6174751E"/>
    <w:lvl w:ilvl="0" w:tentative="0">
      <w:start w:val="1"/>
      <w:numFmt w:val="decimal"/>
      <w:pStyle w:val="80"/>
      <w:lvlText w:val="表3.4-%1. "/>
      <w:lvlJc w:val="right"/>
      <w:pPr>
        <w:ind w:left="24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61EAAFD6"/>
    <w:multiLevelType w:val="singleLevel"/>
    <w:tmpl w:val="61EAAFD6"/>
    <w:lvl w:ilvl="0" w:tentative="0">
      <w:start w:val="1"/>
      <w:numFmt w:val="decimal"/>
      <w:lvlText w:val="%1."/>
      <w:lvlJc w:val="left"/>
      <w:pPr>
        <w:ind w:left="425" w:hanging="425"/>
      </w:pPr>
      <w:rPr>
        <w:rFonts w:hint="default"/>
      </w:rPr>
    </w:lvl>
  </w:abstractNum>
  <w:abstractNum w:abstractNumId="25">
    <w:nsid w:val="657759D7"/>
    <w:multiLevelType w:val="multilevel"/>
    <w:tmpl w:val="657759D7"/>
    <w:lvl w:ilvl="0" w:tentative="0">
      <w:start w:val="1"/>
      <w:numFmt w:val="decimal"/>
      <w:pStyle w:val="92"/>
      <w:lvlText w:val="图6.2-%1."/>
      <w:lvlJc w:val="righ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6">
    <w:nsid w:val="6BDD3E13"/>
    <w:multiLevelType w:val="multilevel"/>
    <w:tmpl w:val="6BDD3E13"/>
    <w:lvl w:ilvl="0" w:tentative="0">
      <w:start w:val="1"/>
      <w:numFmt w:val="decimal"/>
      <w:pStyle w:val="94"/>
      <w:lvlText w:val="表8.3-%1"/>
      <w:lvlJc w:val="right"/>
      <w:pPr>
        <w:ind w:left="420" w:hanging="420"/>
      </w:pPr>
      <w:rPr>
        <w:rFonts w:hint="default" w:ascii="Times New Roman" w:hAnsi="Times New Roman" w:eastAsia="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703323BD"/>
    <w:multiLevelType w:val="multilevel"/>
    <w:tmpl w:val="703323BD"/>
    <w:lvl w:ilvl="0" w:tentative="0">
      <w:start w:val="1"/>
      <w:numFmt w:val="decimal"/>
      <w:pStyle w:val="81"/>
      <w:lvlText w:val="表3.3-%1. "/>
      <w:lvlJc w:val="righ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8">
    <w:nsid w:val="713D6EF6"/>
    <w:multiLevelType w:val="multilevel"/>
    <w:tmpl w:val="713D6EF6"/>
    <w:lvl w:ilvl="0" w:tentative="0">
      <w:start w:val="1"/>
      <w:numFmt w:val="decimal"/>
      <w:pStyle w:val="97"/>
      <w:lvlText w:val="表5.1-%1."/>
      <w:lvlJc w:val="righ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5"/>
  </w:num>
  <w:num w:numId="2">
    <w:abstractNumId w:val="23"/>
  </w:num>
  <w:num w:numId="3">
    <w:abstractNumId w:val="27"/>
  </w:num>
  <w:num w:numId="4">
    <w:abstractNumId w:val="21"/>
  </w:num>
  <w:num w:numId="5">
    <w:abstractNumId w:val="9"/>
  </w:num>
  <w:num w:numId="6">
    <w:abstractNumId w:val="22"/>
  </w:num>
  <w:num w:numId="7">
    <w:abstractNumId w:val="8"/>
  </w:num>
  <w:num w:numId="8">
    <w:abstractNumId w:val="25"/>
  </w:num>
  <w:num w:numId="9">
    <w:abstractNumId w:val="12"/>
  </w:num>
  <w:num w:numId="10">
    <w:abstractNumId w:val="26"/>
  </w:num>
  <w:num w:numId="11">
    <w:abstractNumId w:val="20"/>
  </w:num>
  <w:num w:numId="12">
    <w:abstractNumId w:val="28"/>
  </w:num>
  <w:num w:numId="13">
    <w:abstractNumId w:val="10"/>
  </w:num>
  <w:num w:numId="14">
    <w:abstractNumId w:val="15"/>
  </w:num>
  <w:num w:numId="15">
    <w:abstractNumId w:val="17"/>
  </w:num>
  <w:num w:numId="16">
    <w:abstractNumId w:val="18"/>
  </w:num>
  <w:num w:numId="17">
    <w:abstractNumId w:val="4"/>
  </w:num>
  <w:num w:numId="18">
    <w:abstractNumId w:val="16"/>
  </w:num>
  <w:num w:numId="19">
    <w:abstractNumId w:val="7"/>
  </w:num>
  <w:num w:numId="20">
    <w:abstractNumId w:val="0"/>
  </w:num>
  <w:num w:numId="21">
    <w:abstractNumId w:val="3"/>
  </w:num>
  <w:num w:numId="22">
    <w:abstractNumId w:val="11"/>
  </w:num>
  <w:num w:numId="23">
    <w:abstractNumId w:val="19"/>
  </w:num>
  <w:num w:numId="24">
    <w:abstractNumId w:val="14"/>
  </w:num>
  <w:num w:numId="25">
    <w:abstractNumId w:val="2"/>
  </w:num>
  <w:num w:numId="26">
    <w:abstractNumId w:val="13"/>
  </w:num>
  <w:num w:numId="27">
    <w:abstractNumId w:val="1"/>
  </w:num>
  <w:num w:numId="28">
    <w:abstractNumId w:val="6"/>
  </w:num>
  <w:num w:numId="2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044EF2"/>
    <w:rsid w:val="000D39EB"/>
    <w:rsid w:val="0011157B"/>
    <w:rsid w:val="001A65AF"/>
    <w:rsid w:val="00311532"/>
    <w:rsid w:val="00424A0C"/>
    <w:rsid w:val="004C676A"/>
    <w:rsid w:val="00537C28"/>
    <w:rsid w:val="0055574E"/>
    <w:rsid w:val="007402CA"/>
    <w:rsid w:val="00962841"/>
    <w:rsid w:val="00A136AC"/>
    <w:rsid w:val="00B71F65"/>
    <w:rsid w:val="00CD51DD"/>
    <w:rsid w:val="00E80370"/>
    <w:rsid w:val="00F20FD4"/>
    <w:rsid w:val="00FC572B"/>
    <w:rsid w:val="0104217D"/>
    <w:rsid w:val="012228EF"/>
    <w:rsid w:val="013400FE"/>
    <w:rsid w:val="014337F8"/>
    <w:rsid w:val="014F219D"/>
    <w:rsid w:val="01516AF1"/>
    <w:rsid w:val="01525124"/>
    <w:rsid w:val="01944595"/>
    <w:rsid w:val="01995B0E"/>
    <w:rsid w:val="01C77DCE"/>
    <w:rsid w:val="01CF1530"/>
    <w:rsid w:val="01CF1E11"/>
    <w:rsid w:val="01D17D61"/>
    <w:rsid w:val="01D63896"/>
    <w:rsid w:val="01DE4D61"/>
    <w:rsid w:val="01EC20E2"/>
    <w:rsid w:val="01EC2E82"/>
    <w:rsid w:val="01F40270"/>
    <w:rsid w:val="01F83A31"/>
    <w:rsid w:val="01FB1A59"/>
    <w:rsid w:val="024318C6"/>
    <w:rsid w:val="0248481F"/>
    <w:rsid w:val="02493B6C"/>
    <w:rsid w:val="0256755B"/>
    <w:rsid w:val="02720839"/>
    <w:rsid w:val="02914086"/>
    <w:rsid w:val="02944B48"/>
    <w:rsid w:val="029D706B"/>
    <w:rsid w:val="02AC7FF1"/>
    <w:rsid w:val="02C941D1"/>
    <w:rsid w:val="02CC4B77"/>
    <w:rsid w:val="02D86704"/>
    <w:rsid w:val="02E5725D"/>
    <w:rsid w:val="031D432A"/>
    <w:rsid w:val="031D7830"/>
    <w:rsid w:val="03411FB9"/>
    <w:rsid w:val="034766CD"/>
    <w:rsid w:val="03535D03"/>
    <w:rsid w:val="03785CC3"/>
    <w:rsid w:val="03B15391"/>
    <w:rsid w:val="03B409DD"/>
    <w:rsid w:val="03BA01F7"/>
    <w:rsid w:val="03C42540"/>
    <w:rsid w:val="03D270B5"/>
    <w:rsid w:val="03FD4132"/>
    <w:rsid w:val="03FE411B"/>
    <w:rsid w:val="041122E2"/>
    <w:rsid w:val="0442248D"/>
    <w:rsid w:val="044B5AAE"/>
    <w:rsid w:val="044B7594"/>
    <w:rsid w:val="0455536E"/>
    <w:rsid w:val="046250D8"/>
    <w:rsid w:val="046C12B8"/>
    <w:rsid w:val="04913A8E"/>
    <w:rsid w:val="04A211E7"/>
    <w:rsid w:val="04A42180"/>
    <w:rsid w:val="04A71242"/>
    <w:rsid w:val="04AD7ABA"/>
    <w:rsid w:val="04C64E6C"/>
    <w:rsid w:val="04D035F5"/>
    <w:rsid w:val="04F07245"/>
    <w:rsid w:val="050D2A9B"/>
    <w:rsid w:val="0514288D"/>
    <w:rsid w:val="051A0D14"/>
    <w:rsid w:val="05272903"/>
    <w:rsid w:val="05277A9F"/>
    <w:rsid w:val="054664F7"/>
    <w:rsid w:val="05527054"/>
    <w:rsid w:val="05567BCF"/>
    <w:rsid w:val="055A55B4"/>
    <w:rsid w:val="056A6870"/>
    <w:rsid w:val="056E33CA"/>
    <w:rsid w:val="057523EE"/>
    <w:rsid w:val="05791C2B"/>
    <w:rsid w:val="059B1E55"/>
    <w:rsid w:val="05A64EA5"/>
    <w:rsid w:val="05AF76AE"/>
    <w:rsid w:val="05C313E2"/>
    <w:rsid w:val="05CA26AE"/>
    <w:rsid w:val="06274B5B"/>
    <w:rsid w:val="062D376D"/>
    <w:rsid w:val="0661309E"/>
    <w:rsid w:val="06840B3B"/>
    <w:rsid w:val="06856661"/>
    <w:rsid w:val="068E50FC"/>
    <w:rsid w:val="069C6813"/>
    <w:rsid w:val="06A05249"/>
    <w:rsid w:val="06BD2BEF"/>
    <w:rsid w:val="06DB44D3"/>
    <w:rsid w:val="07087596"/>
    <w:rsid w:val="070D0B30"/>
    <w:rsid w:val="072432CE"/>
    <w:rsid w:val="07267E44"/>
    <w:rsid w:val="072D11D3"/>
    <w:rsid w:val="07593DFA"/>
    <w:rsid w:val="077E5BEF"/>
    <w:rsid w:val="0781725F"/>
    <w:rsid w:val="07A2040D"/>
    <w:rsid w:val="07C56A4F"/>
    <w:rsid w:val="07CD6512"/>
    <w:rsid w:val="07DC1E60"/>
    <w:rsid w:val="07F97307"/>
    <w:rsid w:val="07FB4E2D"/>
    <w:rsid w:val="080B2B96"/>
    <w:rsid w:val="081172DC"/>
    <w:rsid w:val="081A109D"/>
    <w:rsid w:val="0822221C"/>
    <w:rsid w:val="082500FC"/>
    <w:rsid w:val="08332819"/>
    <w:rsid w:val="084314D4"/>
    <w:rsid w:val="085602B5"/>
    <w:rsid w:val="08577FD8"/>
    <w:rsid w:val="08640C24"/>
    <w:rsid w:val="086504F8"/>
    <w:rsid w:val="08834CC4"/>
    <w:rsid w:val="0889068B"/>
    <w:rsid w:val="089A796F"/>
    <w:rsid w:val="08B1198F"/>
    <w:rsid w:val="08F16230"/>
    <w:rsid w:val="08FD4BD5"/>
    <w:rsid w:val="090669C2"/>
    <w:rsid w:val="090827CD"/>
    <w:rsid w:val="090A12E5"/>
    <w:rsid w:val="092712B2"/>
    <w:rsid w:val="09357A62"/>
    <w:rsid w:val="095C563D"/>
    <w:rsid w:val="09680BF5"/>
    <w:rsid w:val="09824426"/>
    <w:rsid w:val="099866AB"/>
    <w:rsid w:val="09CE3AAA"/>
    <w:rsid w:val="09D90C3C"/>
    <w:rsid w:val="09E8771F"/>
    <w:rsid w:val="0A023DFB"/>
    <w:rsid w:val="0A1E4E03"/>
    <w:rsid w:val="0A2E0600"/>
    <w:rsid w:val="0A345C38"/>
    <w:rsid w:val="0A3A07BE"/>
    <w:rsid w:val="0A60541B"/>
    <w:rsid w:val="0A677B61"/>
    <w:rsid w:val="0A690774"/>
    <w:rsid w:val="0A6A6C22"/>
    <w:rsid w:val="0A7D5FCD"/>
    <w:rsid w:val="0A8F226A"/>
    <w:rsid w:val="0A9642EF"/>
    <w:rsid w:val="0AB84672"/>
    <w:rsid w:val="0AD71C4C"/>
    <w:rsid w:val="0ADD7B50"/>
    <w:rsid w:val="0AE75B3C"/>
    <w:rsid w:val="0AEB0BF0"/>
    <w:rsid w:val="0B13248D"/>
    <w:rsid w:val="0B13564E"/>
    <w:rsid w:val="0B195DEC"/>
    <w:rsid w:val="0B1D50BA"/>
    <w:rsid w:val="0B427292"/>
    <w:rsid w:val="0B434C20"/>
    <w:rsid w:val="0B500265"/>
    <w:rsid w:val="0B61723B"/>
    <w:rsid w:val="0B942F0D"/>
    <w:rsid w:val="0BC7297B"/>
    <w:rsid w:val="0BDD25B3"/>
    <w:rsid w:val="0BF21DA7"/>
    <w:rsid w:val="0C140FB0"/>
    <w:rsid w:val="0C2B1794"/>
    <w:rsid w:val="0C2C2F6F"/>
    <w:rsid w:val="0C41726D"/>
    <w:rsid w:val="0C521B61"/>
    <w:rsid w:val="0C684A5B"/>
    <w:rsid w:val="0C7C2D33"/>
    <w:rsid w:val="0C824D94"/>
    <w:rsid w:val="0C8C0749"/>
    <w:rsid w:val="0C946488"/>
    <w:rsid w:val="0CA9751C"/>
    <w:rsid w:val="0CC021A1"/>
    <w:rsid w:val="0CC71781"/>
    <w:rsid w:val="0CCA74C4"/>
    <w:rsid w:val="0CCD4054"/>
    <w:rsid w:val="0CDA7E69"/>
    <w:rsid w:val="0CE57E5A"/>
    <w:rsid w:val="0CE91CB7"/>
    <w:rsid w:val="0CE95932"/>
    <w:rsid w:val="0CEB118D"/>
    <w:rsid w:val="0D044784"/>
    <w:rsid w:val="0D044989"/>
    <w:rsid w:val="0D066A0A"/>
    <w:rsid w:val="0D0C551D"/>
    <w:rsid w:val="0D3C0F7B"/>
    <w:rsid w:val="0D3F045D"/>
    <w:rsid w:val="0D486352"/>
    <w:rsid w:val="0D4B4CD3"/>
    <w:rsid w:val="0D676AC1"/>
    <w:rsid w:val="0D7D2A2D"/>
    <w:rsid w:val="0DA33F9D"/>
    <w:rsid w:val="0DA87805"/>
    <w:rsid w:val="0DC9777B"/>
    <w:rsid w:val="0DCB704F"/>
    <w:rsid w:val="0DCD1019"/>
    <w:rsid w:val="0DFA0062"/>
    <w:rsid w:val="0E034A3B"/>
    <w:rsid w:val="0E0662D9"/>
    <w:rsid w:val="0E1C2635"/>
    <w:rsid w:val="0E305316"/>
    <w:rsid w:val="0E545297"/>
    <w:rsid w:val="0E552E8F"/>
    <w:rsid w:val="0E751F87"/>
    <w:rsid w:val="0E984360"/>
    <w:rsid w:val="0EAC1A53"/>
    <w:rsid w:val="0EE505E5"/>
    <w:rsid w:val="0EE53289"/>
    <w:rsid w:val="0EEA6919"/>
    <w:rsid w:val="0EF25E12"/>
    <w:rsid w:val="0F044E32"/>
    <w:rsid w:val="0F0847B9"/>
    <w:rsid w:val="0F1072DE"/>
    <w:rsid w:val="0F1A3753"/>
    <w:rsid w:val="0F205179"/>
    <w:rsid w:val="0F296AC0"/>
    <w:rsid w:val="0F391B1A"/>
    <w:rsid w:val="0F613CB6"/>
    <w:rsid w:val="0F6A63E1"/>
    <w:rsid w:val="0F733789"/>
    <w:rsid w:val="0F7709E5"/>
    <w:rsid w:val="0F7A4A3C"/>
    <w:rsid w:val="0F7B4AA5"/>
    <w:rsid w:val="0F852411"/>
    <w:rsid w:val="0F8B1A2C"/>
    <w:rsid w:val="0F8F1193"/>
    <w:rsid w:val="0F8F20ED"/>
    <w:rsid w:val="0FBD2063"/>
    <w:rsid w:val="0FC2411A"/>
    <w:rsid w:val="0FC30926"/>
    <w:rsid w:val="0FCC6DFA"/>
    <w:rsid w:val="0FDA17CC"/>
    <w:rsid w:val="0FDF0F1F"/>
    <w:rsid w:val="0FDF5838"/>
    <w:rsid w:val="0FE200E3"/>
    <w:rsid w:val="100565B7"/>
    <w:rsid w:val="10196798"/>
    <w:rsid w:val="103510F8"/>
    <w:rsid w:val="103A226A"/>
    <w:rsid w:val="1062035A"/>
    <w:rsid w:val="10664B5E"/>
    <w:rsid w:val="106D2B6E"/>
    <w:rsid w:val="108E3427"/>
    <w:rsid w:val="109776BD"/>
    <w:rsid w:val="109951E3"/>
    <w:rsid w:val="109B53FF"/>
    <w:rsid w:val="10A649A1"/>
    <w:rsid w:val="10BB2E7F"/>
    <w:rsid w:val="10BE10ED"/>
    <w:rsid w:val="10D601E5"/>
    <w:rsid w:val="10DE64AA"/>
    <w:rsid w:val="10E36F22"/>
    <w:rsid w:val="10E66141"/>
    <w:rsid w:val="10E67546"/>
    <w:rsid w:val="11032FA4"/>
    <w:rsid w:val="1109680C"/>
    <w:rsid w:val="110E4329"/>
    <w:rsid w:val="111016B8"/>
    <w:rsid w:val="114B136B"/>
    <w:rsid w:val="11656537"/>
    <w:rsid w:val="116C7384"/>
    <w:rsid w:val="11786AB5"/>
    <w:rsid w:val="117A14B8"/>
    <w:rsid w:val="1186164E"/>
    <w:rsid w:val="118F1102"/>
    <w:rsid w:val="119F2F9C"/>
    <w:rsid w:val="11B15073"/>
    <w:rsid w:val="11BD71AA"/>
    <w:rsid w:val="11CC3396"/>
    <w:rsid w:val="11D72467"/>
    <w:rsid w:val="11E04CE1"/>
    <w:rsid w:val="11FC33E4"/>
    <w:rsid w:val="120E7433"/>
    <w:rsid w:val="122431D2"/>
    <w:rsid w:val="122469F0"/>
    <w:rsid w:val="12255CD4"/>
    <w:rsid w:val="12396F54"/>
    <w:rsid w:val="124D2736"/>
    <w:rsid w:val="124D5203"/>
    <w:rsid w:val="125A68B4"/>
    <w:rsid w:val="125D456E"/>
    <w:rsid w:val="12687563"/>
    <w:rsid w:val="1273087D"/>
    <w:rsid w:val="12786986"/>
    <w:rsid w:val="12961F0E"/>
    <w:rsid w:val="12BE6B73"/>
    <w:rsid w:val="12C61FDA"/>
    <w:rsid w:val="12E11965"/>
    <w:rsid w:val="12EE7E64"/>
    <w:rsid w:val="132E255A"/>
    <w:rsid w:val="135568F2"/>
    <w:rsid w:val="13655850"/>
    <w:rsid w:val="137609B5"/>
    <w:rsid w:val="138D2BB9"/>
    <w:rsid w:val="13936EAE"/>
    <w:rsid w:val="13A04ADA"/>
    <w:rsid w:val="13A55FEE"/>
    <w:rsid w:val="13A91BE1"/>
    <w:rsid w:val="13CC66FB"/>
    <w:rsid w:val="13D03791"/>
    <w:rsid w:val="13DC1FB6"/>
    <w:rsid w:val="13E175CD"/>
    <w:rsid w:val="13ED10E4"/>
    <w:rsid w:val="13ED52C0"/>
    <w:rsid w:val="13F015BE"/>
    <w:rsid w:val="13F111A4"/>
    <w:rsid w:val="141379A2"/>
    <w:rsid w:val="142F1223"/>
    <w:rsid w:val="1439793E"/>
    <w:rsid w:val="143F42F3"/>
    <w:rsid w:val="144B565A"/>
    <w:rsid w:val="144F21BD"/>
    <w:rsid w:val="145C6C53"/>
    <w:rsid w:val="147C10A3"/>
    <w:rsid w:val="14973EB4"/>
    <w:rsid w:val="14A66120"/>
    <w:rsid w:val="14A800EA"/>
    <w:rsid w:val="14AA1ABA"/>
    <w:rsid w:val="14AB30F5"/>
    <w:rsid w:val="14B44F82"/>
    <w:rsid w:val="14B52807"/>
    <w:rsid w:val="14D130B6"/>
    <w:rsid w:val="14E60C13"/>
    <w:rsid w:val="14ED7BAB"/>
    <w:rsid w:val="14FB46BE"/>
    <w:rsid w:val="15194B44"/>
    <w:rsid w:val="152A5853"/>
    <w:rsid w:val="153951E6"/>
    <w:rsid w:val="153E27FD"/>
    <w:rsid w:val="155618F4"/>
    <w:rsid w:val="15643144"/>
    <w:rsid w:val="158063CA"/>
    <w:rsid w:val="158247E6"/>
    <w:rsid w:val="15875F52"/>
    <w:rsid w:val="15AF54A9"/>
    <w:rsid w:val="15B87D80"/>
    <w:rsid w:val="15C26140"/>
    <w:rsid w:val="15C73A33"/>
    <w:rsid w:val="15D60C87"/>
    <w:rsid w:val="15DE18EA"/>
    <w:rsid w:val="16112265"/>
    <w:rsid w:val="162B44C6"/>
    <w:rsid w:val="16551BAC"/>
    <w:rsid w:val="16692350"/>
    <w:rsid w:val="166D5BA5"/>
    <w:rsid w:val="167D24FA"/>
    <w:rsid w:val="169B16A6"/>
    <w:rsid w:val="16A40CB1"/>
    <w:rsid w:val="16A60BC5"/>
    <w:rsid w:val="16BD0F90"/>
    <w:rsid w:val="16CB00C0"/>
    <w:rsid w:val="16D709B8"/>
    <w:rsid w:val="16EA1A18"/>
    <w:rsid w:val="16F14633"/>
    <w:rsid w:val="1705386D"/>
    <w:rsid w:val="17056E8A"/>
    <w:rsid w:val="17057A51"/>
    <w:rsid w:val="17103D25"/>
    <w:rsid w:val="171F4A71"/>
    <w:rsid w:val="172F2BDB"/>
    <w:rsid w:val="17316275"/>
    <w:rsid w:val="175E2CE2"/>
    <w:rsid w:val="178169D1"/>
    <w:rsid w:val="178833B6"/>
    <w:rsid w:val="17966920"/>
    <w:rsid w:val="17976192"/>
    <w:rsid w:val="17A54E09"/>
    <w:rsid w:val="17AC14E3"/>
    <w:rsid w:val="17AD199B"/>
    <w:rsid w:val="17B02FA2"/>
    <w:rsid w:val="17B467F6"/>
    <w:rsid w:val="17D15EA0"/>
    <w:rsid w:val="17D46E24"/>
    <w:rsid w:val="17DA4A5F"/>
    <w:rsid w:val="17E4720C"/>
    <w:rsid w:val="18056F50"/>
    <w:rsid w:val="18201364"/>
    <w:rsid w:val="18407B66"/>
    <w:rsid w:val="184F26DA"/>
    <w:rsid w:val="18544FDE"/>
    <w:rsid w:val="185A16FC"/>
    <w:rsid w:val="18636CAE"/>
    <w:rsid w:val="18736C61"/>
    <w:rsid w:val="188A5EBB"/>
    <w:rsid w:val="18BA4D45"/>
    <w:rsid w:val="18D15FE1"/>
    <w:rsid w:val="18DA45EA"/>
    <w:rsid w:val="18DA672E"/>
    <w:rsid w:val="18DB79D7"/>
    <w:rsid w:val="18E544DC"/>
    <w:rsid w:val="18EC0939"/>
    <w:rsid w:val="18F65BE9"/>
    <w:rsid w:val="18F97167"/>
    <w:rsid w:val="1932447C"/>
    <w:rsid w:val="193F2DAA"/>
    <w:rsid w:val="19503165"/>
    <w:rsid w:val="195A5B9A"/>
    <w:rsid w:val="195C5DF6"/>
    <w:rsid w:val="196539AE"/>
    <w:rsid w:val="196F567B"/>
    <w:rsid w:val="197247DD"/>
    <w:rsid w:val="19766A09"/>
    <w:rsid w:val="19940C3D"/>
    <w:rsid w:val="199649B5"/>
    <w:rsid w:val="199777E0"/>
    <w:rsid w:val="199E1ABC"/>
    <w:rsid w:val="19A3296E"/>
    <w:rsid w:val="19A76BC3"/>
    <w:rsid w:val="19AE6C3A"/>
    <w:rsid w:val="19B2175B"/>
    <w:rsid w:val="19B82418"/>
    <w:rsid w:val="19C00160"/>
    <w:rsid w:val="19CC487B"/>
    <w:rsid w:val="19D4213B"/>
    <w:rsid w:val="19D76D7C"/>
    <w:rsid w:val="19E219A9"/>
    <w:rsid w:val="19F811CC"/>
    <w:rsid w:val="1A2F0966"/>
    <w:rsid w:val="1A37068C"/>
    <w:rsid w:val="1A414FE6"/>
    <w:rsid w:val="1A5A18E8"/>
    <w:rsid w:val="1A6E76E0"/>
    <w:rsid w:val="1A774E7A"/>
    <w:rsid w:val="1A89276C"/>
    <w:rsid w:val="1A8A0541"/>
    <w:rsid w:val="1A8E7704"/>
    <w:rsid w:val="1A9A6727"/>
    <w:rsid w:val="1AAF4C8E"/>
    <w:rsid w:val="1AB06DF8"/>
    <w:rsid w:val="1AC24D56"/>
    <w:rsid w:val="1ADC56BE"/>
    <w:rsid w:val="1AF30046"/>
    <w:rsid w:val="1B0018B5"/>
    <w:rsid w:val="1B291859"/>
    <w:rsid w:val="1B2E1125"/>
    <w:rsid w:val="1B50619C"/>
    <w:rsid w:val="1B652734"/>
    <w:rsid w:val="1B99078D"/>
    <w:rsid w:val="1BA05BE1"/>
    <w:rsid w:val="1BA35B0C"/>
    <w:rsid w:val="1BCB7FB4"/>
    <w:rsid w:val="1BCC2910"/>
    <w:rsid w:val="1BD01CD5"/>
    <w:rsid w:val="1BDE5070"/>
    <w:rsid w:val="1BEA0FE8"/>
    <w:rsid w:val="1C1222ED"/>
    <w:rsid w:val="1C1A313F"/>
    <w:rsid w:val="1C1F1D32"/>
    <w:rsid w:val="1C31325D"/>
    <w:rsid w:val="1C512E16"/>
    <w:rsid w:val="1C7134B8"/>
    <w:rsid w:val="1C735BE1"/>
    <w:rsid w:val="1C746B04"/>
    <w:rsid w:val="1C752FA8"/>
    <w:rsid w:val="1C8054A9"/>
    <w:rsid w:val="1C8808A6"/>
    <w:rsid w:val="1C8A23DA"/>
    <w:rsid w:val="1C9541D4"/>
    <w:rsid w:val="1CA4563B"/>
    <w:rsid w:val="1CB6582C"/>
    <w:rsid w:val="1CB658ED"/>
    <w:rsid w:val="1CC57360"/>
    <w:rsid w:val="1CC87CDF"/>
    <w:rsid w:val="1CD22C12"/>
    <w:rsid w:val="1D066D66"/>
    <w:rsid w:val="1D291DE0"/>
    <w:rsid w:val="1D2D3883"/>
    <w:rsid w:val="1D365748"/>
    <w:rsid w:val="1D3C3AC6"/>
    <w:rsid w:val="1D401B7E"/>
    <w:rsid w:val="1D6152DA"/>
    <w:rsid w:val="1D660B43"/>
    <w:rsid w:val="1D734FE3"/>
    <w:rsid w:val="1D7D62C3"/>
    <w:rsid w:val="1D92679E"/>
    <w:rsid w:val="1DA03EEE"/>
    <w:rsid w:val="1DA31139"/>
    <w:rsid w:val="1DAB5641"/>
    <w:rsid w:val="1DE25065"/>
    <w:rsid w:val="1DE3194B"/>
    <w:rsid w:val="1DF17480"/>
    <w:rsid w:val="1DF42207"/>
    <w:rsid w:val="1E081BFA"/>
    <w:rsid w:val="1E1E0B8D"/>
    <w:rsid w:val="1E1E31CB"/>
    <w:rsid w:val="1E320A25"/>
    <w:rsid w:val="1E531FCB"/>
    <w:rsid w:val="1E756287"/>
    <w:rsid w:val="1E7B6870"/>
    <w:rsid w:val="1E851DE6"/>
    <w:rsid w:val="1E892D3B"/>
    <w:rsid w:val="1EA705ED"/>
    <w:rsid w:val="1EB10CE8"/>
    <w:rsid w:val="1EBF675C"/>
    <w:rsid w:val="1ED66619"/>
    <w:rsid w:val="1EF62054"/>
    <w:rsid w:val="1F0625DD"/>
    <w:rsid w:val="1F100D66"/>
    <w:rsid w:val="1F145E5B"/>
    <w:rsid w:val="1F15438D"/>
    <w:rsid w:val="1F657590"/>
    <w:rsid w:val="1F6615E2"/>
    <w:rsid w:val="1F664E2A"/>
    <w:rsid w:val="1F6C0C40"/>
    <w:rsid w:val="1F7F0B99"/>
    <w:rsid w:val="1F9A430D"/>
    <w:rsid w:val="1FA77A2D"/>
    <w:rsid w:val="1FB73B17"/>
    <w:rsid w:val="1FB94DC1"/>
    <w:rsid w:val="1FC45C81"/>
    <w:rsid w:val="1FCF0C21"/>
    <w:rsid w:val="1FD16BF6"/>
    <w:rsid w:val="1FD4787E"/>
    <w:rsid w:val="1FE37E5F"/>
    <w:rsid w:val="1FF23067"/>
    <w:rsid w:val="1FF266BE"/>
    <w:rsid w:val="200D1749"/>
    <w:rsid w:val="20144BEA"/>
    <w:rsid w:val="201E74B3"/>
    <w:rsid w:val="20210D51"/>
    <w:rsid w:val="203609CD"/>
    <w:rsid w:val="20515ADA"/>
    <w:rsid w:val="20546C98"/>
    <w:rsid w:val="2058178A"/>
    <w:rsid w:val="20641C15"/>
    <w:rsid w:val="20795DD4"/>
    <w:rsid w:val="207B66B3"/>
    <w:rsid w:val="20895C0A"/>
    <w:rsid w:val="20B7775D"/>
    <w:rsid w:val="20BE47F2"/>
    <w:rsid w:val="20C55B80"/>
    <w:rsid w:val="20D3029D"/>
    <w:rsid w:val="20D67D8D"/>
    <w:rsid w:val="20E73D48"/>
    <w:rsid w:val="20EE7FD1"/>
    <w:rsid w:val="20F16975"/>
    <w:rsid w:val="211E0E7D"/>
    <w:rsid w:val="213D22F1"/>
    <w:rsid w:val="214D4EB3"/>
    <w:rsid w:val="215D400B"/>
    <w:rsid w:val="215E177E"/>
    <w:rsid w:val="2163669C"/>
    <w:rsid w:val="21637EDE"/>
    <w:rsid w:val="21967C09"/>
    <w:rsid w:val="21A476A4"/>
    <w:rsid w:val="21AA77CB"/>
    <w:rsid w:val="21BA77E7"/>
    <w:rsid w:val="21D56297"/>
    <w:rsid w:val="21E12E8E"/>
    <w:rsid w:val="21E6673E"/>
    <w:rsid w:val="21F64E2C"/>
    <w:rsid w:val="22140793"/>
    <w:rsid w:val="22185D98"/>
    <w:rsid w:val="22201DA0"/>
    <w:rsid w:val="22245E0F"/>
    <w:rsid w:val="22322BA7"/>
    <w:rsid w:val="223B69ED"/>
    <w:rsid w:val="22574EFE"/>
    <w:rsid w:val="226D66FE"/>
    <w:rsid w:val="2278331B"/>
    <w:rsid w:val="22843E76"/>
    <w:rsid w:val="228D4886"/>
    <w:rsid w:val="22A5210D"/>
    <w:rsid w:val="22B73203"/>
    <w:rsid w:val="22B81625"/>
    <w:rsid w:val="22BA6EAF"/>
    <w:rsid w:val="22C8671F"/>
    <w:rsid w:val="22E204DE"/>
    <w:rsid w:val="22E32041"/>
    <w:rsid w:val="22EC3898"/>
    <w:rsid w:val="22F34A05"/>
    <w:rsid w:val="23012161"/>
    <w:rsid w:val="233D2CBA"/>
    <w:rsid w:val="234C3FAD"/>
    <w:rsid w:val="23547806"/>
    <w:rsid w:val="23566F63"/>
    <w:rsid w:val="235D02F2"/>
    <w:rsid w:val="237779BB"/>
    <w:rsid w:val="238639E1"/>
    <w:rsid w:val="23910AF4"/>
    <w:rsid w:val="23931F66"/>
    <w:rsid w:val="2398757C"/>
    <w:rsid w:val="239C1C25"/>
    <w:rsid w:val="23B107E7"/>
    <w:rsid w:val="23B75C54"/>
    <w:rsid w:val="23D17DC4"/>
    <w:rsid w:val="23F21382"/>
    <w:rsid w:val="23F23130"/>
    <w:rsid w:val="23F24EDE"/>
    <w:rsid w:val="24197930"/>
    <w:rsid w:val="241B709D"/>
    <w:rsid w:val="241E5CD3"/>
    <w:rsid w:val="24282E7A"/>
    <w:rsid w:val="24312E81"/>
    <w:rsid w:val="24343749"/>
    <w:rsid w:val="243E45C7"/>
    <w:rsid w:val="245416F5"/>
    <w:rsid w:val="24605D27"/>
    <w:rsid w:val="247E6188"/>
    <w:rsid w:val="248144B4"/>
    <w:rsid w:val="248D5FC1"/>
    <w:rsid w:val="248F097F"/>
    <w:rsid w:val="24B93C4E"/>
    <w:rsid w:val="24C70119"/>
    <w:rsid w:val="24C900C7"/>
    <w:rsid w:val="24D32F62"/>
    <w:rsid w:val="24DE5462"/>
    <w:rsid w:val="24E44663"/>
    <w:rsid w:val="24EC4023"/>
    <w:rsid w:val="25090731"/>
    <w:rsid w:val="251D7019"/>
    <w:rsid w:val="252A06A8"/>
    <w:rsid w:val="25323514"/>
    <w:rsid w:val="25477C36"/>
    <w:rsid w:val="255676EF"/>
    <w:rsid w:val="25602A1C"/>
    <w:rsid w:val="257200E5"/>
    <w:rsid w:val="25761B3F"/>
    <w:rsid w:val="25893620"/>
    <w:rsid w:val="25A20B82"/>
    <w:rsid w:val="25AB7A3A"/>
    <w:rsid w:val="25AF5400"/>
    <w:rsid w:val="25BA7F75"/>
    <w:rsid w:val="25CB3688"/>
    <w:rsid w:val="260B3AE0"/>
    <w:rsid w:val="26134E39"/>
    <w:rsid w:val="26141908"/>
    <w:rsid w:val="26185D90"/>
    <w:rsid w:val="26521602"/>
    <w:rsid w:val="26665E8F"/>
    <w:rsid w:val="2678162D"/>
    <w:rsid w:val="267A53F0"/>
    <w:rsid w:val="26BA7B18"/>
    <w:rsid w:val="26BC7A25"/>
    <w:rsid w:val="26DA0443"/>
    <w:rsid w:val="26E31456"/>
    <w:rsid w:val="26E516C7"/>
    <w:rsid w:val="26E825C8"/>
    <w:rsid w:val="270311B0"/>
    <w:rsid w:val="270D533A"/>
    <w:rsid w:val="27120687"/>
    <w:rsid w:val="272E7452"/>
    <w:rsid w:val="27356372"/>
    <w:rsid w:val="274719E5"/>
    <w:rsid w:val="274D32DB"/>
    <w:rsid w:val="27691B9F"/>
    <w:rsid w:val="276D1D14"/>
    <w:rsid w:val="27710810"/>
    <w:rsid w:val="27743E5C"/>
    <w:rsid w:val="277B51EB"/>
    <w:rsid w:val="278505C3"/>
    <w:rsid w:val="278542BB"/>
    <w:rsid w:val="27871DE1"/>
    <w:rsid w:val="27B651F3"/>
    <w:rsid w:val="27B76782"/>
    <w:rsid w:val="27C11584"/>
    <w:rsid w:val="27DF3EE1"/>
    <w:rsid w:val="28177B03"/>
    <w:rsid w:val="28372B7F"/>
    <w:rsid w:val="28481571"/>
    <w:rsid w:val="28605909"/>
    <w:rsid w:val="28665E9B"/>
    <w:rsid w:val="28926C90"/>
    <w:rsid w:val="289360AA"/>
    <w:rsid w:val="28C26CFB"/>
    <w:rsid w:val="28C46455"/>
    <w:rsid w:val="28DE3C83"/>
    <w:rsid w:val="28F23013"/>
    <w:rsid w:val="291259B4"/>
    <w:rsid w:val="2919115F"/>
    <w:rsid w:val="292E61F6"/>
    <w:rsid w:val="29341AF5"/>
    <w:rsid w:val="29393012"/>
    <w:rsid w:val="29580E98"/>
    <w:rsid w:val="296E29B3"/>
    <w:rsid w:val="297F7A93"/>
    <w:rsid w:val="29824AA8"/>
    <w:rsid w:val="29915199"/>
    <w:rsid w:val="2996455E"/>
    <w:rsid w:val="29B72D20"/>
    <w:rsid w:val="29B844D4"/>
    <w:rsid w:val="29BF52CD"/>
    <w:rsid w:val="29E25DC6"/>
    <w:rsid w:val="2A0400B7"/>
    <w:rsid w:val="2A043423"/>
    <w:rsid w:val="2A051102"/>
    <w:rsid w:val="2A087B86"/>
    <w:rsid w:val="2A1D6A2D"/>
    <w:rsid w:val="2A335204"/>
    <w:rsid w:val="2A415297"/>
    <w:rsid w:val="2A5D507B"/>
    <w:rsid w:val="2A673E21"/>
    <w:rsid w:val="2ABE5B1A"/>
    <w:rsid w:val="2ACA02C2"/>
    <w:rsid w:val="2AE05CC6"/>
    <w:rsid w:val="2B1940D6"/>
    <w:rsid w:val="2B234F0D"/>
    <w:rsid w:val="2B253DEB"/>
    <w:rsid w:val="2B255B99"/>
    <w:rsid w:val="2B271F87"/>
    <w:rsid w:val="2B520CDA"/>
    <w:rsid w:val="2B5449A3"/>
    <w:rsid w:val="2B597F39"/>
    <w:rsid w:val="2B5F7F28"/>
    <w:rsid w:val="2B6568DD"/>
    <w:rsid w:val="2B7924D3"/>
    <w:rsid w:val="2B7B3A0B"/>
    <w:rsid w:val="2B894ABF"/>
    <w:rsid w:val="2B9B5E5B"/>
    <w:rsid w:val="2BAA613D"/>
    <w:rsid w:val="2BBD4024"/>
    <w:rsid w:val="2BD43465"/>
    <w:rsid w:val="2BF343F3"/>
    <w:rsid w:val="2C0931CD"/>
    <w:rsid w:val="2C0C23AB"/>
    <w:rsid w:val="2C112457"/>
    <w:rsid w:val="2C167BD8"/>
    <w:rsid w:val="2C3B50DA"/>
    <w:rsid w:val="2C4209CD"/>
    <w:rsid w:val="2C7072E8"/>
    <w:rsid w:val="2C755D0D"/>
    <w:rsid w:val="2C804767"/>
    <w:rsid w:val="2CC97BEB"/>
    <w:rsid w:val="2CDA76DE"/>
    <w:rsid w:val="2CDF621C"/>
    <w:rsid w:val="2CE915E7"/>
    <w:rsid w:val="2CEF2903"/>
    <w:rsid w:val="2CF27769"/>
    <w:rsid w:val="2CF94F11"/>
    <w:rsid w:val="2D067876"/>
    <w:rsid w:val="2D1265F1"/>
    <w:rsid w:val="2D1C4D7A"/>
    <w:rsid w:val="2D35408E"/>
    <w:rsid w:val="2D3661BD"/>
    <w:rsid w:val="2D3D212F"/>
    <w:rsid w:val="2D3E0A65"/>
    <w:rsid w:val="2D564730"/>
    <w:rsid w:val="2D736E31"/>
    <w:rsid w:val="2D750B6D"/>
    <w:rsid w:val="2D777B7A"/>
    <w:rsid w:val="2D9D5B09"/>
    <w:rsid w:val="2DA749EF"/>
    <w:rsid w:val="2DCE2518"/>
    <w:rsid w:val="2DD7321A"/>
    <w:rsid w:val="2DE05DD0"/>
    <w:rsid w:val="2DF865B0"/>
    <w:rsid w:val="2E084AD9"/>
    <w:rsid w:val="2E133665"/>
    <w:rsid w:val="2E24038A"/>
    <w:rsid w:val="2E320624"/>
    <w:rsid w:val="2E3A0F5A"/>
    <w:rsid w:val="2E4564F4"/>
    <w:rsid w:val="2E613C69"/>
    <w:rsid w:val="2E80471D"/>
    <w:rsid w:val="2E905A1F"/>
    <w:rsid w:val="2E9F5C62"/>
    <w:rsid w:val="2EBC1AF3"/>
    <w:rsid w:val="2EF13EAC"/>
    <w:rsid w:val="2EF835C5"/>
    <w:rsid w:val="2F2C3498"/>
    <w:rsid w:val="2F345295"/>
    <w:rsid w:val="2F3910AA"/>
    <w:rsid w:val="2F3D7B25"/>
    <w:rsid w:val="2F3E7229"/>
    <w:rsid w:val="2F4131BE"/>
    <w:rsid w:val="2F4A3E20"/>
    <w:rsid w:val="2F792957"/>
    <w:rsid w:val="2F8867B5"/>
    <w:rsid w:val="2F8F1EDE"/>
    <w:rsid w:val="2F933A9E"/>
    <w:rsid w:val="2F967065"/>
    <w:rsid w:val="2F9A414A"/>
    <w:rsid w:val="2FAA5B44"/>
    <w:rsid w:val="2FAF126E"/>
    <w:rsid w:val="2FB15C4D"/>
    <w:rsid w:val="2FE14DF5"/>
    <w:rsid w:val="2FE27255"/>
    <w:rsid w:val="2FEC07F3"/>
    <w:rsid w:val="302D0419"/>
    <w:rsid w:val="30313679"/>
    <w:rsid w:val="30360848"/>
    <w:rsid w:val="303D3985"/>
    <w:rsid w:val="306233EC"/>
    <w:rsid w:val="30821D54"/>
    <w:rsid w:val="308570DA"/>
    <w:rsid w:val="30AF7E29"/>
    <w:rsid w:val="30E12562"/>
    <w:rsid w:val="30E262DA"/>
    <w:rsid w:val="30F878AC"/>
    <w:rsid w:val="30FC240E"/>
    <w:rsid w:val="313034EA"/>
    <w:rsid w:val="313308E4"/>
    <w:rsid w:val="31395673"/>
    <w:rsid w:val="31440D1D"/>
    <w:rsid w:val="31501496"/>
    <w:rsid w:val="31505F30"/>
    <w:rsid w:val="31551F9A"/>
    <w:rsid w:val="31603F91"/>
    <w:rsid w:val="3163373C"/>
    <w:rsid w:val="31774052"/>
    <w:rsid w:val="3179422E"/>
    <w:rsid w:val="31940B55"/>
    <w:rsid w:val="31B57BF0"/>
    <w:rsid w:val="31C205E6"/>
    <w:rsid w:val="31C679AA"/>
    <w:rsid w:val="31C75B74"/>
    <w:rsid w:val="31CD277D"/>
    <w:rsid w:val="31E11978"/>
    <w:rsid w:val="31F87078"/>
    <w:rsid w:val="32250554"/>
    <w:rsid w:val="323808A8"/>
    <w:rsid w:val="324E00CB"/>
    <w:rsid w:val="32560D2E"/>
    <w:rsid w:val="328268AA"/>
    <w:rsid w:val="32871542"/>
    <w:rsid w:val="32881AA4"/>
    <w:rsid w:val="329B6479"/>
    <w:rsid w:val="329D695D"/>
    <w:rsid w:val="32AE46C6"/>
    <w:rsid w:val="32CE636A"/>
    <w:rsid w:val="32D677E9"/>
    <w:rsid w:val="32EC2057"/>
    <w:rsid w:val="330E785B"/>
    <w:rsid w:val="3310712F"/>
    <w:rsid w:val="33165760"/>
    <w:rsid w:val="33245CBD"/>
    <w:rsid w:val="33356B95"/>
    <w:rsid w:val="33440A3B"/>
    <w:rsid w:val="3350390F"/>
    <w:rsid w:val="33727E29"/>
    <w:rsid w:val="3380239F"/>
    <w:rsid w:val="338B331E"/>
    <w:rsid w:val="33953C2E"/>
    <w:rsid w:val="339870D2"/>
    <w:rsid w:val="33A559E7"/>
    <w:rsid w:val="33A65CE5"/>
    <w:rsid w:val="33B26FA6"/>
    <w:rsid w:val="33B77164"/>
    <w:rsid w:val="33D313E6"/>
    <w:rsid w:val="33F00AC4"/>
    <w:rsid w:val="33FB26D9"/>
    <w:rsid w:val="34155C30"/>
    <w:rsid w:val="341C3FDE"/>
    <w:rsid w:val="341D7D55"/>
    <w:rsid w:val="3439114E"/>
    <w:rsid w:val="345C5C9D"/>
    <w:rsid w:val="346959F8"/>
    <w:rsid w:val="34887D3E"/>
    <w:rsid w:val="348B1120"/>
    <w:rsid w:val="348C6744"/>
    <w:rsid w:val="349A13A6"/>
    <w:rsid w:val="34A73A14"/>
    <w:rsid w:val="34BD6F13"/>
    <w:rsid w:val="34C250E4"/>
    <w:rsid w:val="34C26737"/>
    <w:rsid w:val="34C46423"/>
    <w:rsid w:val="34DA5C46"/>
    <w:rsid w:val="34E601D4"/>
    <w:rsid w:val="34FD577E"/>
    <w:rsid w:val="35096C4A"/>
    <w:rsid w:val="35116B4A"/>
    <w:rsid w:val="353466F6"/>
    <w:rsid w:val="353F2BC2"/>
    <w:rsid w:val="3546508A"/>
    <w:rsid w:val="35497E40"/>
    <w:rsid w:val="35527407"/>
    <w:rsid w:val="35531786"/>
    <w:rsid w:val="355F451E"/>
    <w:rsid w:val="35675000"/>
    <w:rsid w:val="35717D1D"/>
    <w:rsid w:val="35747C9D"/>
    <w:rsid w:val="3583008C"/>
    <w:rsid w:val="359C0069"/>
    <w:rsid w:val="35B04BF9"/>
    <w:rsid w:val="35B439A1"/>
    <w:rsid w:val="35C8047F"/>
    <w:rsid w:val="35E52AF5"/>
    <w:rsid w:val="35E93C67"/>
    <w:rsid w:val="360B29CC"/>
    <w:rsid w:val="362178A5"/>
    <w:rsid w:val="36235561"/>
    <w:rsid w:val="36295031"/>
    <w:rsid w:val="36297806"/>
    <w:rsid w:val="36306DF5"/>
    <w:rsid w:val="364A5420"/>
    <w:rsid w:val="365A6A30"/>
    <w:rsid w:val="365E28A7"/>
    <w:rsid w:val="367148C1"/>
    <w:rsid w:val="367C74C9"/>
    <w:rsid w:val="36806379"/>
    <w:rsid w:val="3695459B"/>
    <w:rsid w:val="36A466B6"/>
    <w:rsid w:val="36C80C21"/>
    <w:rsid w:val="36C85AB1"/>
    <w:rsid w:val="36C95F72"/>
    <w:rsid w:val="36CF7301"/>
    <w:rsid w:val="36E346A5"/>
    <w:rsid w:val="36E8167B"/>
    <w:rsid w:val="36EC7EB3"/>
    <w:rsid w:val="36ED79DC"/>
    <w:rsid w:val="36F75539"/>
    <w:rsid w:val="36FB49B7"/>
    <w:rsid w:val="37105528"/>
    <w:rsid w:val="37114410"/>
    <w:rsid w:val="371240AC"/>
    <w:rsid w:val="371E0C7C"/>
    <w:rsid w:val="373227C5"/>
    <w:rsid w:val="3733791C"/>
    <w:rsid w:val="373D1926"/>
    <w:rsid w:val="37461944"/>
    <w:rsid w:val="37591082"/>
    <w:rsid w:val="37872C98"/>
    <w:rsid w:val="378C1261"/>
    <w:rsid w:val="37B63DE0"/>
    <w:rsid w:val="37BC3018"/>
    <w:rsid w:val="37C30C14"/>
    <w:rsid w:val="37D631F9"/>
    <w:rsid w:val="37D84221"/>
    <w:rsid w:val="37EB7469"/>
    <w:rsid w:val="37F012DD"/>
    <w:rsid w:val="380A4A95"/>
    <w:rsid w:val="383B4C4E"/>
    <w:rsid w:val="383C1F04"/>
    <w:rsid w:val="38562038"/>
    <w:rsid w:val="38657F1D"/>
    <w:rsid w:val="386A108F"/>
    <w:rsid w:val="38710670"/>
    <w:rsid w:val="387E27F1"/>
    <w:rsid w:val="388B1FB8"/>
    <w:rsid w:val="38915088"/>
    <w:rsid w:val="389C66B2"/>
    <w:rsid w:val="38A21551"/>
    <w:rsid w:val="38AC78FA"/>
    <w:rsid w:val="38AD5420"/>
    <w:rsid w:val="38AF2F46"/>
    <w:rsid w:val="38B03902"/>
    <w:rsid w:val="38B173D4"/>
    <w:rsid w:val="38B465B8"/>
    <w:rsid w:val="38B77E9B"/>
    <w:rsid w:val="38B90269"/>
    <w:rsid w:val="38E2331B"/>
    <w:rsid w:val="38EB7BBE"/>
    <w:rsid w:val="38FC32F5"/>
    <w:rsid w:val="38FD1F03"/>
    <w:rsid w:val="39047736"/>
    <w:rsid w:val="390A4620"/>
    <w:rsid w:val="39262D30"/>
    <w:rsid w:val="39311BAD"/>
    <w:rsid w:val="39430981"/>
    <w:rsid w:val="39437C06"/>
    <w:rsid w:val="39453E84"/>
    <w:rsid w:val="396B73F3"/>
    <w:rsid w:val="396F26D5"/>
    <w:rsid w:val="39730417"/>
    <w:rsid w:val="397B127F"/>
    <w:rsid w:val="397D29BD"/>
    <w:rsid w:val="39815F88"/>
    <w:rsid w:val="398F0CF0"/>
    <w:rsid w:val="39AE6012"/>
    <w:rsid w:val="39AE76A2"/>
    <w:rsid w:val="39B36A66"/>
    <w:rsid w:val="39CA7C94"/>
    <w:rsid w:val="39F8091D"/>
    <w:rsid w:val="3A100FCE"/>
    <w:rsid w:val="3A12378C"/>
    <w:rsid w:val="3A26548A"/>
    <w:rsid w:val="3A272F0D"/>
    <w:rsid w:val="3A2A1F43"/>
    <w:rsid w:val="3A2E6000"/>
    <w:rsid w:val="3A4122C4"/>
    <w:rsid w:val="3A484BB9"/>
    <w:rsid w:val="3A621AD1"/>
    <w:rsid w:val="3A773F37"/>
    <w:rsid w:val="3A9839D5"/>
    <w:rsid w:val="3AA4675A"/>
    <w:rsid w:val="3AAA0646"/>
    <w:rsid w:val="3AB17449"/>
    <w:rsid w:val="3AB24F6F"/>
    <w:rsid w:val="3AB4098F"/>
    <w:rsid w:val="3AB605BC"/>
    <w:rsid w:val="3ACB5912"/>
    <w:rsid w:val="3AD60676"/>
    <w:rsid w:val="3ADA05B7"/>
    <w:rsid w:val="3AE3337B"/>
    <w:rsid w:val="3AED2E24"/>
    <w:rsid w:val="3AF33ECE"/>
    <w:rsid w:val="3B0752BB"/>
    <w:rsid w:val="3B337E5E"/>
    <w:rsid w:val="3B3977BC"/>
    <w:rsid w:val="3B3C1C66"/>
    <w:rsid w:val="3B3D27BF"/>
    <w:rsid w:val="3B6A7F86"/>
    <w:rsid w:val="3B6C15C2"/>
    <w:rsid w:val="3B710987"/>
    <w:rsid w:val="3B782B1F"/>
    <w:rsid w:val="3B787F67"/>
    <w:rsid w:val="3B846932"/>
    <w:rsid w:val="3B9C66E6"/>
    <w:rsid w:val="3B9D177C"/>
    <w:rsid w:val="3BAB6E46"/>
    <w:rsid w:val="3BBA0580"/>
    <w:rsid w:val="3BBC42F8"/>
    <w:rsid w:val="3BC4735F"/>
    <w:rsid w:val="3BCD6245"/>
    <w:rsid w:val="3BF943C2"/>
    <w:rsid w:val="3C0428C6"/>
    <w:rsid w:val="3C0D6901"/>
    <w:rsid w:val="3C1F431E"/>
    <w:rsid w:val="3C2148F9"/>
    <w:rsid w:val="3C3420E0"/>
    <w:rsid w:val="3C613D8B"/>
    <w:rsid w:val="3C696521"/>
    <w:rsid w:val="3C7F3750"/>
    <w:rsid w:val="3C8A61A4"/>
    <w:rsid w:val="3CB0308D"/>
    <w:rsid w:val="3CBC20D5"/>
    <w:rsid w:val="3CBD31B6"/>
    <w:rsid w:val="3CCF3BB7"/>
    <w:rsid w:val="3CD92C87"/>
    <w:rsid w:val="3D080047"/>
    <w:rsid w:val="3D347EBE"/>
    <w:rsid w:val="3D5B025F"/>
    <w:rsid w:val="3D8425C8"/>
    <w:rsid w:val="3DB00644"/>
    <w:rsid w:val="3E1A52D5"/>
    <w:rsid w:val="3E39158D"/>
    <w:rsid w:val="3E3B7B31"/>
    <w:rsid w:val="3E483BB4"/>
    <w:rsid w:val="3E490945"/>
    <w:rsid w:val="3E513636"/>
    <w:rsid w:val="3E52684D"/>
    <w:rsid w:val="3E5E1C00"/>
    <w:rsid w:val="3E65446C"/>
    <w:rsid w:val="3E76482F"/>
    <w:rsid w:val="3E8D3D29"/>
    <w:rsid w:val="3EA352FB"/>
    <w:rsid w:val="3EBC016B"/>
    <w:rsid w:val="3EBF1A09"/>
    <w:rsid w:val="3EBF7C5B"/>
    <w:rsid w:val="3EC87D98"/>
    <w:rsid w:val="3ECA25A9"/>
    <w:rsid w:val="3ECC5115"/>
    <w:rsid w:val="3ED61844"/>
    <w:rsid w:val="3EDB3EF4"/>
    <w:rsid w:val="3EE867BC"/>
    <w:rsid w:val="3EF75453"/>
    <w:rsid w:val="3F073ADC"/>
    <w:rsid w:val="3F0B2EA0"/>
    <w:rsid w:val="3F1551DB"/>
    <w:rsid w:val="3F214472"/>
    <w:rsid w:val="3F346C78"/>
    <w:rsid w:val="3F566811"/>
    <w:rsid w:val="3F6A406B"/>
    <w:rsid w:val="3F7856BE"/>
    <w:rsid w:val="3F793AA4"/>
    <w:rsid w:val="3F964E60"/>
    <w:rsid w:val="3F9B2DCE"/>
    <w:rsid w:val="3FDB6D73"/>
    <w:rsid w:val="3FEE77B2"/>
    <w:rsid w:val="3FFA0F4B"/>
    <w:rsid w:val="40104C12"/>
    <w:rsid w:val="401F2997"/>
    <w:rsid w:val="405016DC"/>
    <w:rsid w:val="40533F4D"/>
    <w:rsid w:val="4063054B"/>
    <w:rsid w:val="40643F31"/>
    <w:rsid w:val="40827A86"/>
    <w:rsid w:val="40920B61"/>
    <w:rsid w:val="40A12470"/>
    <w:rsid w:val="40BA6DA3"/>
    <w:rsid w:val="40BC7120"/>
    <w:rsid w:val="40CF3720"/>
    <w:rsid w:val="40DE6A1A"/>
    <w:rsid w:val="40E22E81"/>
    <w:rsid w:val="40F63E08"/>
    <w:rsid w:val="40FC5E25"/>
    <w:rsid w:val="41003DB0"/>
    <w:rsid w:val="41036525"/>
    <w:rsid w:val="411A73CB"/>
    <w:rsid w:val="41304718"/>
    <w:rsid w:val="41321107"/>
    <w:rsid w:val="41584CD3"/>
    <w:rsid w:val="415B0C46"/>
    <w:rsid w:val="415D3E87"/>
    <w:rsid w:val="41636602"/>
    <w:rsid w:val="416F7716"/>
    <w:rsid w:val="417D0085"/>
    <w:rsid w:val="41825609"/>
    <w:rsid w:val="41931BA0"/>
    <w:rsid w:val="41B95CFE"/>
    <w:rsid w:val="41CA6CFC"/>
    <w:rsid w:val="41D13F2D"/>
    <w:rsid w:val="41D34149"/>
    <w:rsid w:val="41D6428B"/>
    <w:rsid w:val="41D67F90"/>
    <w:rsid w:val="41D7769B"/>
    <w:rsid w:val="41D91034"/>
    <w:rsid w:val="41F12885"/>
    <w:rsid w:val="41F8770C"/>
    <w:rsid w:val="42097F4F"/>
    <w:rsid w:val="4218203C"/>
    <w:rsid w:val="42246753"/>
    <w:rsid w:val="422C6789"/>
    <w:rsid w:val="42424E2B"/>
    <w:rsid w:val="424E557E"/>
    <w:rsid w:val="425D1C65"/>
    <w:rsid w:val="42611755"/>
    <w:rsid w:val="42621029"/>
    <w:rsid w:val="4263271B"/>
    <w:rsid w:val="42825877"/>
    <w:rsid w:val="429554CB"/>
    <w:rsid w:val="42A44D37"/>
    <w:rsid w:val="42B5384F"/>
    <w:rsid w:val="42B92207"/>
    <w:rsid w:val="42C972FA"/>
    <w:rsid w:val="42D71A17"/>
    <w:rsid w:val="42E83C24"/>
    <w:rsid w:val="42EB2DDD"/>
    <w:rsid w:val="42EF105C"/>
    <w:rsid w:val="431605DB"/>
    <w:rsid w:val="432C22FD"/>
    <w:rsid w:val="433A51B1"/>
    <w:rsid w:val="43481B4B"/>
    <w:rsid w:val="4351367F"/>
    <w:rsid w:val="43513AA8"/>
    <w:rsid w:val="43571209"/>
    <w:rsid w:val="435B2648"/>
    <w:rsid w:val="4360210D"/>
    <w:rsid w:val="436B4229"/>
    <w:rsid w:val="437454B8"/>
    <w:rsid w:val="43750B18"/>
    <w:rsid w:val="438A0837"/>
    <w:rsid w:val="438B7C9A"/>
    <w:rsid w:val="4391317D"/>
    <w:rsid w:val="43A7080B"/>
    <w:rsid w:val="43CC3FD9"/>
    <w:rsid w:val="43CE1B59"/>
    <w:rsid w:val="43D24ED2"/>
    <w:rsid w:val="43E048FB"/>
    <w:rsid w:val="43E837B0"/>
    <w:rsid w:val="440875AB"/>
    <w:rsid w:val="440A3726"/>
    <w:rsid w:val="441311BF"/>
    <w:rsid w:val="441706D6"/>
    <w:rsid w:val="442F62DC"/>
    <w:rsid w:val="44472BCC"/>
    <w:rsid w:val="44697061"/>
    <w:rsid w:val="446B6DA9"/>
    <w:rsid w:val="44705C7F"/>
    <w:rsid w:val="44846754"/>
    <w:rsid w:val="448718D0"/>
    <w:rsid w:val="44A21D28"/>
    <w:rsid w:val="44A43B7B"/>
    <w:rsid w:val="44A92F3F"/>
    <w:rsid w:val="44AE681A"/>
    <w:rsid w:val="44B31520"/>
    <w:rsid w:val="44BB092A"/>
    <w:rsid w:val="44D06B35"/>
    <w:rsid w:val="44DC0B83"/>
    <w:rsid w:val="44E20593"/>
    <w:rsid w:val="450E7246"/>
    <w:rsid w:val="45116F9F"/>
    <w:rsid w:val="45181E73"/>
    <w:rsid w:val="451A5BEB"/>
    <w:rsid w:val="452A192A"/>
    <w:rsid w:val="452E5288"/>
    <w:rsid w:val="452E7E3E"/>
    <w:rsid w:val="45505AB1"/>
    <w:rsid w:val="455F19D3"/>
    <w:rsid w:val="457E521D"/>
    <w:rsid w:val="459E681C"/>
    <w:rsid w:val="45A60722"/>
    <w:rsid w:val="45C64D7A"/>
    <w:rsid w:val="45CB0510"/>
    <w:rsid w:val="45D651FD"/>
    <w:rsid w:val="45F25DBF"/>
    <w:rsid w:val="45F53824"/>
    <w:rsid w:val="45FD5A76"/>
    <w:rsid w:val="460348D1"/>
    <w:rsid w:val="461202BD"/>
    <w:rsid w:val="46195EA3"/>
    <w:rsid w:val="461A28EF"/>
    <w:rsid w:val="462036D5"/>
    <w:rsid w:val="46251E0D"/>
    <w:rsid w:val="464253F9"/>
    <w:rsid w:val="464359F4"/>
    <w:rsid w:val="4665733A"/>
    <w:rsid w:val="467A1461"/>
    <w:rsid w:val="469B25A2"/>
    <w:rsid w:val="469C1DF3"/>
    <w:rsid w:val="46AB7443"/>
    <w:rsid w:val="46BE611A"/>
    <w:rsid w:val="46CE3131"/>
    <w:rsid w:val="46D03D24"/>
    <w:rsid w:val="46DF0E9A"/>
    <w:rsid w:val="46E85922"/>
    <w:rsid w:val="46E97F6B"/>
    <w:rsid w:val="46F012F9"/>
    <w:rsid w:val="4712301E"/>
    <w:rsid w:val="471D091C"/>
    <w:rsid w:val="47226FD9"/>
    <w:rsid w:val="473D6F8F"/>
    <w:rsid w:val="47541B6A"/>
    <w:rsid w:val="475C74D6"/>
    <w:rsid w:val="47613705"/>
    <w:rsid w:val="479E48B1"/>
    <w:rsid w:val="47A8679C"/>
    <w:rsid w:val="47AC3472"/>
    <w:rsid w:val="47BE41C3"/>
    <w:rsid w:val="47CD603E"/>
    <w:rsid w:val="47E32E09"/>
    <w:rsid w:val="47F646ED"/>
    <w:rsid w:val="47FB343B"/>
    <w:rsid w:val="480706A9"/>
    <w:rsid w:val="482B7945"/>
    <w:rsid w:val="48301DF6"/>
    <w:rsid w:val="483376F0"/>
    <w:rsid w:val="483C4701"/>
    <w:rsid w:val="483E6094"/>
    <w:rsid w:val="48403914"/>
    <w:rsid w:val="48530805"/>
    <w:rsid w:val="485B6C46"/>
    <w:rsid w:val="48645AFB"/>
    <w:rsid w:val="488226F3"/>
    <w:rsid w:val="48A766BF"/>
    <w:rsid w:val="48AC05C9"/>
    <w:rsid w:val="48B63926"/>
    <w:rsid w:val="48BA11FA"/>
    <w:rsid w:val="48BE1D88"/>
    <w:rsid w:val="48C61658"/>
    <w:rsid w:val="48D643E2"/>
    <w:rsid w:val="48D766C0"/>
    <w:rsid w:val="48EB47DC"/>
    <w:rsid w:val="491017DF"/>
    <w:rsid w:val="4933371F"/>
    <w:rsid w:val="49404145"/>
    <w:rsid w:val="49520768"/>
    <w:rsid w:val="49545323"/>
    <w:rsid w:val="49755AE6"/>
    <w:rsid w:val="49883A6B"/>
    <w:rsid w:val="498D4320"/>
    <w:rsid w:val="499026C5"/>
    <w:rsid w:val="49957F36"/>
    <w:rsid w:val="49E21E05"/>
    <w:rsid w:val="49EC1F28"/>
    <w:rsid w:val="49FC2411"/>
    <w:rsid w:val="4A0550BC"/>
    <w:rsid w:val="4A11580F"/>
    <w:rsid w:val="4A275968"/>
    <w:rsid w:val="4A286FFC"/>
    <w:rsid w:val="4A314F18"/>
    <w:rsid w:val="4A3A3DFD"/>
    <w:rsid w:val="4A4F62B5"/>
    <w:rsid w:val="4A731EC8"/>
    <w:rsid w:val="4A7E6C1C"/>
    <w:rsid w:val="4A936E43"/>
    <w:rsid w:val="4A9A4103"/>
    <w:rsid w:val="4AA37352"/>
    <w:rsid w:val="4AB80380"/>
    <w:rsid w:val="4AC94CD8"/>
    <w:rsid w:val="4AD52506"/>
    <w:rsid w:val="4AF56EDE"/>
    <w:rsid w:val="4AFD326F"/>
    <w:rsid w:val="4B146C4C"/>
    <w:rsid w:val="4B155BCD"/>
    <w:rsid w:val="4B1F0583"/>
    <w:rsid w:val="4B2509CF"/>
    <w:rsid w:val="4B306168"/>
    <w:rsid w:val="4B4F0B9C"/>
    <w:rsid w:val="4B584769"/>
    <w:rsid w:val="4B7101FD"/>
    <w:rsid w:val="4B7D0C82"/>
    <w:rsid w:val="4B810772"/>
    <w:rsid w:val="4B8B15F1"/>
    <w:rsid w:val="4BA206E8"/>
    <w:rsid w:val="4BA51A26"/>
    <w:rsid w:val="4BB62FE7"/>
    <w:rsid w:val="4BCD4DA7"/>
    <w:rsid w:val="4BE17463"/>
    <w:rsid w:val="4BE33F9B"/>
    <w:rsid w:val="4BEA6D10"/>
    <w:rsid w:val="4BF225A0"/>
    <w:rsid w:val="4BF339B0"/>
    <w:rsid w:val="4BF474EC"/>
    <w:rsid w:val="4C150230"/>
    <w:rsid w:val="4C181CE0"/>
    <w:rsid w:val="4C2061DD"/>
    <w:rsid w:val="4C3A6B73"/>
    <w:rsid w:val="4C3C21A3"/>
    <w:rsid w:val="4C523EBC"/>
    <w:rsid w:val="4C537145"/>
    <w:rsid w:val="4C5F726F"/>
    <w:rsid w:val="4C601EC0"/>
    <w:rsid w:val="4C6C6A83"/>
    <w:rsid w:val="4C7C5D8B"/>
    <w:rsid w:val="4C7E6688"/>
    <w:rsid w:val="4C866811"/>
    <w:rsid w:val="4C942727"/>
    <w:rsid w:val="4C950EB3"/>
    <w:rsid w:val="4C9C048A"/>
    <w:rsid w:val="4CA7245A"/>
    <w:rsid w:val="4CC90623"/>
    <w:rsid w:val="4CCB2C82"/>
    <w:rsid w:val="4CD80146"/>
    <w:rsid w:val="4CF92386"/>
    <w:rsid w:val="4D1675E0"/>
    <w:rsid w:val="4D1B4BF6"/>
    <w:rsid w:val="4D341CB6"/>
    <w:rsid w:val="4D371A30"/>
    <w:rsid w:val="4D3A5B11"/>
    <w:rsid w:val="4D3F6B37"/>
    <w:rsid w:val="4D467EC5"/>
    <w:rsid w:val="4D4A11FE"/>
    <w:rsid w:val="4D525435"/>
    <w:rsid w:val="4D5636C2"/>
    <w:rsid w:val="4D5E08FC"/>
    <w:rsid w:val="4D8073F2"/>
    <w:rsid w:val="4D87403A"/>
    <w:rsid w:val="4DA370C6"/>
    <w:rsid w:val="4DA80092"/>
    <w:rsid w:val="4DB60A87"/>
    <w:rsid w:val="4DC31516"/>
    <w:rsid w:val="4DC67E79"/>
    <w:rsid w:val="4DCD4A82"/>
    <w:rsid w:val="4DE87874"/>
    <w:rsid w:val="4E113D5D"/>
    <w:rsid w:val="4E135344"/>
    <w:rsid w:val="4E4361B3"/>
    <w:rsid w:val="4E4C336A"/>
    <w:rsid w:val="4E5E123E"/>
    <w:rsid w:val="4E6421B0"/>
    <w:rsid w:val="4E6E3FBD"/>
    <w:rsid w:val="4E70062F"/>
    <w:rsid w:val="4E89266D"/>
    <w:rsid w:val="4E956EC4"/>
    <w:rsid w:val="4EAF34D1"/>
    <w:rsid w:val="4EC5306C"/>
    <w:rsid w:val="4EC7464B"/>
    <w:rsid w:val="4EE4617A"/>
    <w:rsid w:val="4EF21E07"/>
    <w:rsid w:val="4EF3288A"/>
    <w:rsid w:val="4F016F2F"/>
    <w:rsid w:val="4F0771E0"/>
    <w:rsid w:val="4F161B19"/>
    <w:rsid w:val="4F1F277C"/>
    <w:rsid w:val="4F247D92"/>
    <w:rsid w:val="4F260972"/>
    <w:rsid w:val="4F372CC3"/>
    <w:rsid w:val="4F4977F9"/>
    <w:rsid w:val="4F6A776F"/>
    <w:rsid w:val="4F822D0B"/>
    <w:rsid w:val="4F845943"/>
    <w:rsid w:val="4F91170B"/>
    <w:rsid w:val="4F934F18"/>
    <w:rsid w:val="4FC833F9"/>
    <w:rsid w:val="4FE57280"/>
    <w:rsid w:val="4FF3763E"/>
    <w:rsid w:val="4FFB4B91"/>
    <w:rsid w:val="50017504"/>
    <w:rsid w:val="500E25FE"/>
    <w:rsid w:val="50153B7F"/>
    <w:rsid w:val="502F2E92"/>
    <w:rsid w:val="5049110A"/>
    <w:rsid w:val="504A2613"/>
    <w:rsid w:val="506E3F2C"/>
    <w:rsid w:val="50784012"/>
    <w:rsid w:val="508D1967"/>
    <w:rsid w:val="509D6294"/>
    <w:rsid w:val="50C74A6A"/>
    <w:rsid w:val="50CA6717"/>
    <w:rsid w:val="50CD6207"/>
    <w:rsid w:val="50D4718B"/>
    <w:rsid w:val="50E24882"/>
    <w:rsid w:val="50F25C6E"/>
    <w:rsid w:val="50F25EDA"/>
    <w:rsid w:val="51090C30"/>
    <w:rsid w:val="510B737C"/>
    <w:rsid w:val="510F1C3C"/>
    <w:rsid w:val="511931FB"/>
    <w:rsid w:val="51334917"/>
    <w:rsid w:val="51491D32"/>
    <w:rsid w:val="51514940"/>
    <w:rsid w:val="515327E2"/>
    <w:rsid w:val="51581CBE"/>
    <w:rsid w:val="51631477"/>
    <w:rsid w:val="51663215"/>
    <w:rsid w:val="516B0122"/>
    <w:rsid w:val="516D7C5F"/>
    <w:rsid w:val="519C4558"/>
    <w:rsid w:val="51CC64BF"/>
    <w:rsid w:val="51E41A5B"/>
    <w:rsid w:val="51F7568B"/>
    <w:rsid w:val="51FF4AE6"/>
    <w:rsid w:val="522D1654"/>
    <w:rsid w:val="52341E8E"/>
    <w:rsid w:val="52497B10"/>
    <w:rsid w:val="52575E63"/>
    <w:rsid w:val="52591F3F"/>
    <w:rsid w:val="525B7A2A"/>
    <w:rsid w:val="52635035"/>
    <w:rsid w:val="527F1783"/>
    <w:rsid w:val="528568FD"/>
    <w:rsid w:val="528B0128"/>
    <w:rsid w:val="52950FA7"/>
    <w:rsid w:val="52B7716F"/>
    <w:rsid w:val="52D41C73"/>
    <w:rsid w:val="52D77259"/>
    <w:rsid w:val="530E461A"/>
    <w:rsid w:val="53117559"/>
    <w:rsid w:val="531B76FE"/>
    <w:rsid w:val="53281983"/>
    <w:rsid w:val="533B291C"/>
    <w:rsid w:val="534C0852"/>
    <w:rsid w:val="53690469"/>
    <w:rsid w:val="537700C9"/>
    <w:rsid w:val="53780AA4"/>
    <w:rsid w:val="537D2167"/>
    <w:rsid w:val="5391332A"/>
    <w:rsid w:val="539420E6"/>
    <w:rsid w:val="53977B7E"/>
    <w:rsid w:val="539E0D4B"/>
    <w:rsid w:val="53B92A73"/>
    <w:rsid w:val="53BE23CA"/>
    <w:rsid w:val="53D041D1"/>
    <w:rsid w:val="53F35F85"/>
    <w:rsid w:val="53F50F2E"/>
    <w:rsid w:val="53F97A84"/>
    <w:rsid w:val="53FA0A4D"/>
    <w:rsid w:val="53FC1520"/>
    <w:rsid w:val="540754E7"/>
    <w:rsid w:val="540B1521"/>
    <w:rsid w:val="54166797"/>
    <w:rsid w:val="54180096"/>
    <w:rsid w:val="54181E8F"/>
    <w:rsid w:val="5425031B"/>
    <w:rsid w:val="542631B6"/>
    <w:rsid w:val="54280325"/>
    <w:rsid w:val="543F11CA"/>
    <w:rsid w:val="546319C0"/>
    <w:rsid w:val="54684BC5"/>
    <w:rsid w:val="548D462B"/>
    <w:rsid w:val="549D2057"/>
    <w:rsid w:val="54A13C33"/>
    <w:rsid w:val="54C449A1"/>
    <w:rsid w:val="54C93027"/>
    <w:rsid w:val="54D264E2"/>
    <w:rsid w:val="54D745DB"/>
    <w:rsid w:val="54E029AD"/>
    <w:rsid w:val="55121A39"/>
    <w:rsid w:val="551C42B8"/>
    <w:rsid w:val="552D1C3E"/>
    <w:rsid w:val="55452810"/>
    <w:rsid w:val="55592760"/>
    <w:rsid w:val="557D5AAF"/>
    <w:rsid w:val="55B41744"/>
    <w:rsid w:val="55C0121A"/>
    <w:rsid w:val="55CB540B"/>
    <w:rsid w:val="55CE6CAA"/>
    <w:rsid w:val="55DA564E"/>
    <w:rsid w:val="55E95892"/>
    <w:rsid w:val="55EC63FA"/>
    <w:rsid w:val="560721BC"/>
    <w:rsid w:val="56110C5E"/>
    <w:rsid w:val="5621327D"/>
    <w:rsid w:val="562E6171"/>
    <w:rsid w:val="563E2BBB"/>
    <w:rsid w:val="56415DEC"/>
    <w:rsid w:val="564231F4"/>
    <w:rsid w:val="56461F01"/>
    <w:rsid w:val="5656765D"/>
    <w:rsid w:val="565A05B8"/>
    <w:rsid w:val="565B0ECE"/>
    <w:rsid w:val="568C5532"/>
    <w:rsid w:val="568E6439"/>
    <w:rsid w:val="569A3030"/>
    <w:rsid w:val="56C66E8C"/>
    <w:rsid w:val="56CA1CA8"/>
    <w:rsid w:val="56EF518A"/>
    <w:rsid w:val="56F21BAC"/>
    <w:rsid w:val="56FD753C"/>
    <w:rsid w:val="571B5F1F"/>
    <w:rsid w:val="5728768E"/>
    <w:rsid w:val="57600001"/>
    <w:rsid w:val="576176AA"/>
    <w:rsid w:val="576E2795"/>
    <w:rsid w:val="578C2978"/>
    <w:rsid w:val="5790495D"/>
    <w:rsid w:val="57B478F7"/>
    <w:rsid w:val="57BB4CEC"/>
    <w:rsid w:val="57CA524F"/>
    <w:rsid w:val="57CD4D3F"/>
    <w:rsid w:val="57E82409"/>
    <w:rsid w:val="57E9601D"/>
    <w:rsid w:val="58136BF6"/>
    <w:rsid w:val="582157B7"/>
    <w:rsid w:val="582C202D"/>
    <w:rsid w:val="58397D2F"/>
    <w:rsid w:val="58466E37"/>
    <w:rsid w:val="584A2FE9"/>
    <w:rsid w:val="584E40D2"/>
    <w:rsid w:val="585F64F9"/>
    <w:rsid w:val="5875165E"/>
    <w:rsid w:val="587753D7"/>
    <w:rsid w:val="587C29ED"/>
    <w:rsid w:val="58970BBD"/>
    <w:rsid w:val="589C061A"/>
    <w:rsid w:val="58C62C5F"/>
    <w:rsid w:val="58DE74A8"/>
    <w:rsid w:val="58E467E4"/>
    <w:rsid w:val="58EF652E"/>
    <w:rsid w:val="58F80111"/>
    <w:rsid w:val="58FE5F8F"/>
    <w:rsid w:val="590225DB"/>
    <w:rsid w:val="59097FF9"/>
    <w:rsid w:val="590A624B"/>
    <w:rsid w:val="590F00B2"/>
    <w:rsid w:val="59232E69"/>
    <w:rsid w:val="592E180D"/>
    <w:rsid w:val="593F47FB"/>
    <w:rsid w:val="5944329C"/>
    <w:rsid w:val="59457283"/>
    <w:rsid w:val="595251F6"/>
    <w:rsid w:val="59645E7F"/>
    <w:rsid w:val="597731B4"/>
    <w:rsid w:val="599F73C0"/>
    <w:rsid w:val="59DA2457"/>
    <w:rsid w:val="59E923DD"/>
    <w:rsid w:val="59FE56A9"/>
    <w:rsid w:val="5A056A12"/>
    <w:rsid w:val="5A105AE3"/>
    <w:rsid w:val="5A1E613F"/>
    <w:rsid w:val="5A4968FF"/>
    <w:rsid w:val="5A4A5FB2"/>
    <w:rsid w:val="5A6A3EC8"/>
    <w:rsid w:val="5A736072"/>
    <w:rsid w:val="5A7B0A82"/>
    <w:rsid w:val="5A7F67C4"/>
    <w:rsid w:val="5A9B2ED2"/>
    <w:rsid w:val="5ABA15AB"/>
    <w:rsid w:val="5ABA263E"/>
    <w:rsid w:val="5ABE78CE"/>
    <w:rsid w:val="5AC02939"/>
    <w:rsid w:val="5AC7557B"/>
    <w:rsid w:val="5AC8787B"/>
    <w:rsid w:val="5ADD173D"/>
    <w:rsid w:val="5AEA2B03"/>
    <w:rsid w:val="5AFE1DDF"/>
    <w:rsid w:val="5B0354D7"/>
    <w:rsid w:val="5B157129"/>
    <w:rsid w:val="5B223F16"/>
    <w:rsid w:val="5B392E17"/>
    <w:rsid w:val="5B48305A"/>
    <w:rsid w:val="5B4B48F9"/>
    <w:rsid w:val="5B4B77BA"/>
    <w:rsid w:val="5B4D5910"/>
    <w:rsid w:val="5B61403B"/>
    <w:rsid w:val="5B6854AA"/>
    <w:rsid w:val="5B6B6089"/>
    <w:rsid w:val="5B743E4F"/>
    <w:rsid w:val="5B86769A"/>
    <w:rsid w:val="5B8F4FC4"/>
    <w:rsid w:val="5B914A01"/>
    <w:rsid w:val="5B9D664B"/>
    <w:rsid w:val="5BBC5BCE"/>
    <w:rsid w:val="5BBE50CA"/>
    <w:rsid w:val="5BC8419B"/>
    <w:rsid w:val="5BD25782"/>
    <w:rsid w:val="5BD82550"/>
    <w:rsid w:val="5BEC0CF4"/>
    <w:rsid w:val="5BF0593D"/>
    <w:rsid w:val="5BFE196B"/>
    <w:rsid w:val="5C007110"/>
    <w:rsid w:val="5C0A270F"/>
    <w:rsid w:val="5C1C51E6"/>
    <w:rsid w:val="5C214C43"/>
    <w:rsid w:val="5C381321"/>
    <w:rsid w:val="5C4B3179"/>
    <w:rsid w:val="5C6555AC"/>
    <w:rsid w:val="5C6A7000"/>
    <w:rsid w:val="5C6F1771"/>
    <w:rsid w:val="5C816EBC"/>
    <w:rsid w:val="5C8D22CE"/>
    <w:rsid w:val="5C8E0F41"/>
    <w:rsid w:val="5C917245"/>
    <w:rsid w:val="5C983B6D"/>
    <w:rsid w:val="5C9C2561"/>
    <w:rsid w:val="5C9F30C9"/>
    <w:rsid w:val="5CBE02DF"/>
    <w:rsid w:val="5CC6692D"/>
    <w:rsid w:val="5CCB2E26"/>
    <w:rsid w:val="5CD03307"/>
    <w:rsid w:val="5CD85C35"/>
    <w:rsid w:val="5CE15186"/>
    <w:rsid w:val="5CE46DB3"/>
    <w:rsid w:val="5CEC5C67"/>
    <w:rsid w:val="5CF35248"/>
    <w:rsid w:val="5D071DDC"/>
    <w:rsid w:val="5D22030C"/>
    <w:rsid w:val="5D2252B9"/>
    <w:rsid w:val="5D2B13D6"/>
    <w:rsid w:val="5D2B2C34"/>
    <w:rsid w:val="5D3A69D3"/>
    <w:rsid w:val="5D3E1BE0"/>
    <w:rsid w:val="5D4178F4"/>
    <w:rsid w:val="5D423AD9"/>
    <w:rsid w:val="5D577585"/>
    <w:rsid w:val="5D5A52C7"/>
    <w:rsid w:val="5D5F6439"/>
    <w:rsid w:val="5D647EF4"/>
    <w:rsid w:val="5D710DA2"/>
    <w:rsid w:val="5D747405"/>
    <w:rsid w:val="5D9E51B4"/>
    <w:rsid w:val="5DAD189A"/>
    <w:rsid w:val="5DB37655"/>
    <w:rsid w:val="5DBE5856"/>
    <w:rsid w:val="5DFB4772"/>
    <w:rsid w:val="5DFC012C"/>
    <w:rsid w:val="5E0A45F7"/>
    <w:rsid w:val="5E0E2A29"/>
    <w:rsid w:val="5E1E4546"/>
    <w:rsid w:val="5E282CCF"/>
    <w:rsid w:val="5E2A6A47"/>
    <w:rsid w:val="5E310B53"/>
    <w:rsid w:val="5E541D16"/>
    <w:rsid w:val="5E581806"/>
    <w:rsid w:val="5E586F3F"/>
    <w:rsid w:val="5E653F23"/>
    <w:rsid w:val="5E6B6EE8"/>
    <w:rsid w:val="5E7D6910"/>
    <w:rsid w:val="5E880AFA"/>
    <w:rsid w:val="5E8C0F8B"/>
    <w:rsid w:val="5EA4404B"/>
    <w:rsid w:val="5EAB7548"/>
    <w:rsid w:val="5EB36A3D"/>
    <w:rsid w:val="5EC05B97"/>
    <w:rsid w:val="5ED115B9"/>
    <w:rsid w:val="5ED2648D"/>
    <w:rsid w:val="5EF07C91"/>
    <w:rsid w:val="5EF622BB"/>
    <w:rsid w:val="5EFA466C"/>
    <w:rsid w:val="5F033926"/>
    <w:rsid w:val="5F1C6CD8"/>
    <w:rsid w:val="5F1F7677"/>
    <w:rsid w:val="5F294F51"/>
    <w:rsid w:val="5F3A53B0"/>
    <w:rsid w:val="5F4C0C3F"/>
    <w:rsid w:val="5F530220"/>
    <w:rsid w:val="5F6441DB"/>
    <w:rsid w:val="5F805584"/>
    <w:rsid w:val="5F864151"/>
    <w:rsid w:val="5FBE1B3D"/>
    <w:rsid w:val="5FD301E3"/>
    <w:rsid w:val="5FE65EE3"/>
    <w:rsid w:val="5FEB167D"/>
    <w:rsid w:val="5FFA4E12"/>
    <w:rsid w:val="5FFE462F"/>
    <w:rsid w:val="60096DB9"/>
    <w:rsid w:val="6029717B"/>
    <w:rsid w:val="602A2D2E"/>
    <w:rsid w:val="60432042"/>
    <w:rsid w:val="60441BCA"/>
    <w:rsid w:val="60575AEE"/>
    <w:rsid w:val="605C30E4"/>
    <w:rsid w:val="605C4EB2"/>
    <w:rsid w:val="60631B06"/>
    <w:rsid w:val="606F1089"/>
    <w:rsid w:val="60B028AD"/>
    <w:rsid w:val="60D070A4"/>
    <w:rsid w:val="60E23609"/>
    <w:rsid w:val="61080AAF"/>
    <w:rsid w:val="610901C7"/>
    <w:rsid w:val="611D2893"/>
    <w:rsid w:val="61386B7E"/>
    <w:rsid w:val="614813F8"/>
    <w:rsid w:val="614A02EA"/>
    <w:rsid w:val="61693D2A"/>
    <w:rsid w:val="618F19E3"/>
    <w:rsid w:val="618F1D6E"/>
    <w:rsid w:val="6191235B"/>
    <w:rsid w:val="6196163A"/>
    <w:rsid w:val="61AD00BB"/>
    <w:rsid w:val="61AD294E"/>
    <w:rsid w:val="61B41449"/>
    <w:rsid w:val="61BF394A"/>
    <w:rsid w:val="61C574C4"/>
    <w:rsid w:val="61C827FF"/>
    <w:rsid w:val="61DD6FB9"/>
    <w:rsid w:val="61EE6D7E"/>
    <w:rsid w:val="61F730E4"/>
    <w:rsid w:val="61FD78F3"/>
    <w:rsid w:val="620A72BB"/>
    <w:rsid w:val="62210161"/>
    <w:rsid w:val="62373E29"/>
    <w:rsid w:val="625D412A"/>
    <w:rsid w:val="626A672E"/>
    <w:rsid w:val="62854B94"/>
    <w:rsid w:val="62AC5837"/>
    <w:rsid w:val="62CF1501"/>
    <w:rsid w:val="62D00233"/>
    <w:rsid w:val="62DD26EF"/>
    <w:rsid w:val="62F6339C"/>
    <w:rsid w:val="631127C2"/>
    <w:rsid w:val="63301201"/>
    <w:rsid w:val="633F4D43"/>
    <w:rsid w:val="634C4FC7"/>
    <w:rsid w:val="634E31D8"/>
    <w:rsid w:val="63600718"/>
    <w:rsid w:val="636165B6"/>
    <w:rsid w:val="63741E5B"/>
    <w:rsid w:val="637644DD"/>
    <w:rsid w:val="63984453"/>
    <w:rsid w:val="63A6046B"/>
    <w:rsid w:val="63AA37AD"/>
    <w:rsid w:val="63AC2D96"/>
    <w:rsid w:val="63AC469A"/>
    <w:rsid w:val="63B7451C"/>
    <w:rsid w:val="63C17E4E"/>
    <w:rsid w:val="63CB6CB5"/>
    <w:rsid w:val="63D57455"/>
    <w:rsid w:val="63DA25E0"/>
    <w:rsid w:val="63E776F7"/>
    <w:rsid w:val="63ED041B"/>
    <w:rsid w:val="63FA510E"/>
    <w:rsid w:val="64005A77"/>
    <w:rsid w:val="642277FE"/>
    <w:rsid w:val="64264AB1"/>
    <w:rsid w:val="642770AB"/>
    <w:rsid w:val="643728BE"/>
    <w:rsid w:val="64406FC4"/>
    <w:rsid w:val="645669EC"/>
    <w:rsid w:val="64644411"/>
    <w:rsid w:val="646C1BB9"/>
    <w:rsid w:val="647548B5"/>
    <w:rsid w:val="64803D7C"/>
    <w:rsid w:val="64B32242"/>
    <w:rsid w:val="64DA4B01"/>
    <w:rsid w:val="64DE77A6"/>
    <w:rsid w:val="64E8140A"/>
    <w:rsid w:val="64F8789F"/>
    <w:rsid w:val="64FB738F"/>
    <w:rsid w:val="650236C7"/>
    <w:rsid w:val="650638CC"/>
    <w:rsid w:val="65145E42"/>
    <w:rsid w:val="65512720"/>
    <w:rsid w:val="65561E5B"/>
    <w:rsid w:val="655B398A"/>
    <w:rsid w:val="65605444"/>
    <w:rsid w:val="656C3DE9"/>
    <w:rsid w:val="6571397B"/>
    <w:rsid w:val="657E3510"/>
    <w:rsid w:val="65816F97"/>
    <w:rsid w:val="659830FE"/>
    <w:rsid w:val="65C55FDD"/>
    <w:rsid w:val="65C60DEB"/>
    <w:rsid w:val="65D04378"/>
    <w:rsid w:val="65D31C24"/>
    <w:rsid w:val="65D908CE"/>
    <w:rsid w:val="65DC1EC3"/>
    <w:rsid w:val="660A3F5C"/>
    <w:rsid w:val="661324B7"/>
    <w:rsid w:val="662446C4"/>
    <w:rsid w:val="66280D11"/>
    <w:rsid w:val="66291CDA"/>
    <w:rsid w:val="663C2940"/>
    <w:rsid w:val="66482160"/>
    <w:rsid w:val="664A412A"/>
    <w:rsid w:val="66827145"/>
    <w:rsid w:val="66B73214"/>
    <w:rsid w:val="66BD65F1"/>
    <w:rsid w:val="66C35C8B"/>
    <w:rsid w:val="66C50F4B"/>
    <w:rsid w:val="66C739CD"/>
    <w:rsid w:val="66E71979"/>
    <w:rsid w:val="66EE67F2"/>
    <w:rsid w:val="66FE4F15"/>
    <w:rsid w:val="66FE5F4E"/>
    <w:rsid w:val="67041B93"/>
    <w:rsid w:val="670C119E"/>
    <w:rsid w:val="671169F6"/>
    <w:rsid w:val="674C0E45"/>
    <w:rsid w:val="6752056C"/>
    <w:rsid w:val="676D14B1"/>
    <w:rsid w:val="67852F40"/>
    <w:rsid w:val="67900682"/>
    <w:rsid w:val="679D092C"/>
    <w:rsid w:val="67A76795"/>
    <w:rsid w:val="67B64405"/>
    <w:rsid w:val="67DF3F07"/>
    <w:rsid w:val="67F4226C"/>
    <w:rsid w:val="67F96BFE"/>
    <w:rsid w:val="6818192D"/>
    <w:rsid w:val="6850354E"/>
    <w:rsid w:val="68572B2F"/>
    <w:rsid w:val="68580655"/>
    <w:rsid w:val="6864524C"/>
    <w:rsid w:val="68662D72"/>
    <w:rsid w:val="68810835"/>
    <w:rsid w:val="68A45648"/>
    <w:rsid w:val="68BA0A96"/>
    <w:rsid w:val="68BC0BE4"/>
    <w:rsid w:val="68C04838"/>
    <w:rsid w:val="68C42A6D"/>
    <w:rsid w:val="68DD1419"/>
    <w:rsid w:val="68E31F3D"/>
    <w:rsid w:val="68EF66FF"/>
    <w:rsid w:val="68F44821"/>
    <w:rsid w:val="68F71677"/>
    <w:rsid w:val="690802CD"/>
    <w:rsid w:val="69143AF1"/>
    <w:rsid w:val="69164798"/>
    <w:rsid w:val="692844CB"/>
    <w:rsid w:val="692C3FBB"/>
    <w:rsid w:val="69450BD9"/>
    <w:rsid w:val="69490DE0"/>
    <w:rsid w:val="69733998"/>
    <w:rsid w:val="69825989"/>
    <w:rsid w:val="698711F2"/>
    <w:rsid w:val="69931E41"/>
    <w:rsid w:val="69975429"/>
    <w:rsid w:val="699A4CF5"/>
    <w:rsid w:val="69A65140"/>
    <w:rsid w:val="69AB1EB2"/>
    <w:rsid w:val="69B45EBA"/>
    <w:rsid w:val="69BE2739"/>
    <w:rsid w:val="69C064B2"/>
    <w:rsid w:val="69C61FB9"/>
    <w:rsid w:val="6A082AC6"/>
    <w:rsid w:val="6A0B4BDE"/>
    <w:rsid w:val="6A1865B5"/>
    <w:rsid w:val="6A2C1D99"/>
    <w:rsid w:val="6A3F17D8"/>
    <w:rsid w:val="6A535578"/>
    <w:rsid w:val="6A594D3C"/>
    <w:rsid w:val="6A6211F5"/>
    <w:rsid w:val="6A6B28C1"/>
    <w:rsid w:val="6AAD5E11"/>
    <w:rsid w:val="6AB2229E"/>
    <w:rsid w:val="6ABE6E95"/>
    <w:rsid w:val="6AC124E1"/>
    <w:rsid w:val="6AC90B84"/>
    <w:rsid w:val="6ACB1211"/>
    <w:rsid w:val="6ACF0827"/>
    <w:rsid w:val="6AD466B8"/>
    <w:rsid w:val="6AEA7C8A"/>
    <w:rsid w:val="6B133AE7"/>
    <w:rsid w:val="6B271157"/>
    <w:rsid w:val="6B2E2ECD"/>
    <w:rsid w:val="6B3E7FD6"/>
    <w:rsid w:val="6B47278C"/>
    <w:rsid w:val="6B5751C5"/>
    <w:rsid w:val="6B633598"/>
    <w:rsid w:val="6B8E4AB9"/>
    <w:rsid w:val="6B99331C"/>
    <w:rsid w:val="6BB45ADF"/>
    <w:rsid w:val="6BBD714D"/>
    <w:rsid w:val="6BC56001"/>
    <w:rsid w:val="6BC76B50"/>
    <w:rsid w:val="6BCB406A"/>
    <w:rsid w:val="6BD76E4B"/>
    <w:rsid w:val="6BE96194"/>
    <w:rsid w:val="6BFA214F"/>
    <w:rsid w:val="6C307222"/>
    <w:rsid w:val="6C376EFF"/>
    <w:rsid w:val="6C5D26DE"/>
    <w:rsid w:val="6C604859"/>
    <w:rsid w:val="6C8D5649"/>
    <w:rsid w:val="6C932286"/>
    <w:rsid w:val="6CC560F4"/>
    <w:rsid w:val="6CC77785"/>
    <w:rsid w:val="6CCD19E4"/>
    <w:rsid w:val="6CCF71A6"/>
    <w:rsid w:val="6CD4638C"/>
    <w:rsid w:val="6CD75FEC"/>
    <w:rsid w:val="6D002DE2"/>
    <w:rsid w:val="6D072E5F"/>
    <w:rsid w:val="6D0E31A9"/>
    <w:rsid w:val="6D0E5786"/>
    <w:rsid w:val="6D107750"/>
    <w:rsid w:val="6D233CCC"/>
    <w:rsid w:val="6D2C3AE6"/>
    <w:rsid w:val="6D2F053D"/>
    <w:rsid w:val="6D316241"/>
    <w:rsid w:val="6D383A6A"/>
    <w:rsid w:val="6D390A55"/>
    <w:rsid w:val="6D464F20"/>
    <w:rsid w:val="6D4A4A10"/>
    <w:rsid w:val="6D643DFF"/>
    <w:rsid w:val="6D793A84"/>
    <w:rsid w:val="6D851EEC"/>
    <w:rsid w:val="6D863E0F"/>
    <w:rsid w:val="6D9101AC"/>
    <w:rsid w:val="6D9E05AC"/>
    <w:rsid w:val="6D9E3F65"/>
    <w:rsid w:val="6DA24B6A"/>
    <w:rsid w:val="6DB24D6B"/>
    <w:rsid w:val="6DB6160C"/>
    <w:rsid w:val="6DDD6E2A"/>
    <w:rsid w:val="6DEB3BCA"/>
    <w:rsid w:val="6DF25E59"/>
    <w:rsid w:val="6DF42BCE"/>
    <w:rsid w:val="6DF46479"/>
    <w:rsid w:val="6E050D98"/>
    <w:rsid w:val="6E080427"/>
    <w:rsid w:val="6E0B27E6"/>
    <w:rsid w:val="6E34753E"/>
    <w:rsid w:val="6E3A3C49"/>
    <w:rsid w:val="6E3B404D"/>
    <w:rsid w:val="6E461CB0"/>
    <w:rsid w:val="6E515CA6"/>
    <w:rsid w:val="6E55366C"/>
    <w:rsid w:val="6E6A23B4"/>
    <w:rsid w:val="6E755215"/>
    <w:rsid w:val="6E851A78"/>
    <w:rsid w:val="6ECA348F"/>
    <w:rsid w:val="6ED20C37"/>
    <w:rsid w:val="6EDA1DC4"/>
    <w:rsid w:val="6EDA5B74"/>
    <w:rsid w:val="6EDC2772"/>
    <w:rsid w:val="6EE13152"/>
    <w:rsid w:val="6EE56679"/>
    <w:rsid w:val="6EE80984"/>
    <w:rsid w:val="6EEA6711"/>
    <w:rsid w:val="6EEE5DC7"/>
    <w:rsid w:val="6EF9118A"/>
    <w:rsid w:val="6EFF4545"/>
    <w:rsid w:val="6F131AC6"/>
    <w:rsid w:val="6F17388B"/>
    <w:rsid w:val="6F203477"/>
    <w:rsid w:val="6F255735"/>
    <w:rsid w:val="6F571666"/>
    <w:rsid w:val="6F5B7934"/>
    <w:rsid w:val="6F670AA8"/>
    <w:rsid w:val="6F6C5073"/>
    <w:rsid w:val="6F8D52D8"/>
    <w:rsid w:val="6F9901B2"/>
    <w:rsid w:val="6FAB0966"/>
    <w:rsid w:val="6FC21A38"/>
    <w:rsid w:val="6FC43175"/>
    <w:rsid w:val="6FC565D0"/>
    <w:rsid w:val="6FDD7EEB"/>
    <w:rsid w:val="6FE91A27"/>
    <w:rsid w:val="70076BE8"/>
    <w:rsid w:val="70147557"/>
    <w:rsid w:val="70182BA3"/>
    <w:rsid w:val="701B08E6"/>
    <w:rsid w:val="701C75B8"/>
    <w:rsid w:val="70206657"/>
    <w:rsid w:val="705604C3"/>
    <w:rsid w:val="70590E1E"/>
    <w:rsid w:val="705F3C0B"/>
    <w:rsid w:val="70824EF6"/>
    <w:rsid w:val="709A1D55"/>
    <w:rsid w:val="709A41BE"/>
    <w:rsid w:val="709A461F"/>
    <w:rsid w:val="70A602DC"/>
    <w:rsid w:val="70AC59E2"/>
    <w:rsid w:val="70B86252"/>
    <w:rsid w:val="70C50F0F"/>
    <w:rsid w:val="70D37ED8"/>
    <w:rsid w:val="71031AA6"/>
    <w:rsid w:val="7104137A"/>
    <w:rsid w:val="711C0290"/>
    <w:rsid w:val="71236462"/>
    <w:rsid w:val="71285068"/>
    <w:rsid w:val="712910C5"/>
    <w:rsid w:val="712E52F8"/>
    <w:rsid w:val="713420C5"/>
    <w:rsid w:val="71342394"/>
    <w:rsid w:val="714D2D21"/>
    <w:rsid w:val="714F0E73"/>
    <w:rsid w:val="716A57FC"/>
    <w:rsid w:val="71804D53"/>
    <w:rsid w:val="718D2D18"/>
    <w:rsid w:val="71BB4C59"/>
    <w:rsid w:val="71C83C2F"/>
    <w:rsid w:val="71CF0B0E"/>
    <w:rsid w:val="72004F7C"/>
    <w:rsid w:val="720B5B34"/>
    <w:rsid w:val="72161365"/>
    <w:rsid w:val="722A3661"/>
    <w:rsid w:val="723C4ABE"/>
    <w:rsid w:val="72406E13"/>
    <w:rsid w:val="72586F54"/>
    <w:rsid w:val="72591622"/>
    <w:rsid w:val="7270708A"/>
    <w:rsid w:val="727D36F1"/>
    <w:rsid w:val="7280445C"/>
    <w:rsid w:val="72807126"/>
    <w:rsid w:val="72873175"/>
    <w:rsid w:val="728B1D53"/>
    <w:rsid w:val="72962981"/>
    <w:rsid w:val="729C5C2A"/>
    <w:rsid w:val="72C34EA5"/>
    <w:rsid w:val="72C7520C"/>
    <w:rsid w:val="72C75D24"/>
    <w:rsid w:val="72CA214F"/>
    <w:rsid w:val="73046E24"/>
    <w:rsid w:val="73082679"/>
    <w:rsid w:val="731C5F37"/>
    <w:rsid w:val="73216213"/>
    <w:rsid w:val="73345810"/>
    <w:rsid w:val="735937A8"/>
    <w:rsid w:val="735E1215"/>
    <w:rsid w:val="735E6655"/>
    <w:rsid w:val="73727874"/>
    <w:rsid w:val="737C5B3F"/>
    <w:rsid w:val="737E5413"/>
    <w:rsid w:val="73920EBF"/>
    <w:rsid w:val="739F35DC"/>
    <w:rsid w:val="73B27805"/>
    <w:rsid w:val="73C67815"/>
    <w:rsid w:val="73C848E1"/>
    <w:rsid w:val="73CE3DC7"/>
    <w:rsid w:val="73D20082"/>
    <w:rsid w:val="73D615D4"/>
    <w:rsid w:val="73D93474"/>
    <w:rsid w:val="73DE6703"/>
    <w:rsid w:val="73E00C6A"/>
    <w:rsid w:val="73E0372B"/>
    <w:rsid w:val="73FE47A6"/>
    <w:rsid w:val="740055BB"/>
    <w:rsid w:val="74007F92"/>
    <w:rsid w:val="740718AD"/>
    <w:rsid w:val="7419513C"/>
    <w:rsid w:val="742A10F7"/>
    <w:rsid w:val="74325266"/>
    <w:rsid w:val="743510E2"/>
    <w:rsid w:val="746C6120"/>
    <w:rsid w:val="747D56CB"/>
    <w:rsid w:val="74892554"/>
    <w:rsid w:val="74895FBC"/>
    <w:rsid w:val="74B00580"/>
    <w:rsid w:val="74C54FD7"/>
    <w:rsid w:val="74F80974"/>
    <w:rsid w:val="74FC2CC1"/>
    <w:rsid w:val="750E6C6B"/>
    <w:rsid w:val="75241FEA"/>
    <w:rsid w:val="752C5CAF"/>
    <w:rsid w:val="754C32EF"/>
    <w:rsid w:val="75656A7A"/>
    <w:rsid w:val="756B7C19"/>
    <w:rsid w:val="756D63B5"/>
    <w:rsid w:val="757077E6"/>
    <w:rsid w:val="75915EA6"/>
    <w:rsid w:val="75924848"/>
    <w:rsid w:val="75A84187"/>
    <w:rsid w:val="75AD719E"/>
    <w:rsid w:val="75CA04F1"/>
    <w:rsid w:val="75D14180"/>
    <w:rsid w:val="75D315DC"/>
    <w:rsid w:val="75ED6880"/>
    <w:rsid w:val="76037EB7"/>
    <w:rsid w:val="76124539"/>
    <w:rsid w:val="761323C6"/>
    <w:rsid w:val="76257DC8"/>
    <w:rsid w:val="76397D18"/>
    <w:rsid w:val="7646191B"/>
    <w:rsid w:val="764D731F"/>
    <w:rsid w:val="764F12E9"/>
    <w:rsid w:val="765069A7"/>
    <w:rsid w:val="76516E0F"/>
    <w:rsid w:val="765406AD"/>
    <w:rsid w:val="76642C4E"/>
    <w:rsid w:val="767D696B"/>
    <w:rsid w:val="76A2766B"/>
    <w:rsid w:val="76A74C81"/>
    <w:rsid w:val="76AA163F"/>
    <w:rsid w:val="76D11043"/>
    <w:rsid w:val="76DA50C1"/>
    <w:rsid w:val="76E732D0"/>
    <w:rsid w:val="76EE465E"/>
    <w:rsid w:val="76F23FB2"/>
    <w:rsid w:val="77071260"/>
    <w:rsid w:val="770E1A9B"/>
    <w:rsid w:val="773120B7"/>
    <w:rsid w:val="77427187"/>
    <w:rsid w:val="77505A36"/>
    <w:rsid w:val="77642B72"/>
    <w:rsid w:val="7771226C"/>
    <w:rsid w:val="778154D2"/>
    <w:rsid w:val="778925D9"/>
    <w:rsid w:val="778E659F"/>
    <w:rsid w:val="77996CC0"/>
    <w:rsid w:val="77997E27"/>
    <w:rsid w:val="779F2A68"/>
    <w:rsid w:val="77A501F1"/>
    <w:rsid w:val="77A63F3F"/>
    <w:rsid w:val="77B77E41"/>
    <w:rsid w:val="77B91110"/>
    <w:rsid w:val="77BA4E88"/>
    <w:rsid w:val="77FC7CE8"/>
    <w:rsid w:val="7817394F"/>
    <w:rsid w:val="781C51FB"/>
    <w:rsid w:val="782D1AFA"/>
    <w:rsid w:val="78412EB3"/>
    <w:rsid w:val="78421F70"/>
    <w:rsid w:val="78434743"/>
    <w:rsid w:val="785173F2"/>
    <w:rsid w:val="78547F06"/>
    <w:rsid w:val="786527E8"/>
    <w:rsid w:val="78872FBC"/>
    <w:rsid w:val="788D60F9"/>
    <w:rsid w:val="789E3C3D"/>
    <w:rsid w:val="78A24185"/>
    <w:rsid w:val="78A64125"/>
    <w:rsid w:val="78C0202A"/>
    <w:rsid w:val="78D12489"/>
    <w:rsid w:val="78E3729D"/>
    <w:rsid w:val="78E52CDF"/>
    <w:rsid w:val="78EF29B1"/>
    <w:rsid w:val="78FA4387"/>
    <w:rsid w:val="79254583"/>
    <w:rsid w:val="792627D5"/>
    <w:rsid w:val="7940316B"/>
    <w:rsid w:val="79415FFC"/>
    <w:rsid w:val="79776C14"/>
    <w:rsid w:val="79960FDD"/>
    <w:rsid w:val="79B67668"/>
    <w:rsid w:val="79DF0902"/>
    <w:rsid w:val="79E24ADD"/>
    <w:rsid w:val="79FD2986"/>
    <w:rsid w:val="7A1B7CE2"/>
    <w:rsid w:val="7A376404"/>
    <w:rsid w:val="7A7C6A82"/>
    <w:rsid w:val="7A844288"/>
    <w:rsid w:val="7A8C48BA"/>
    <w:rsid w:val="7A8E4586"/>
    <w:rsid w:val="7AA91ADE"/>
    <w:rsid w:val="7AAC00DA"/>
    <w:rsid w:val="7AAE4CD2"/>
    <w:rsid w:val="7AC34054"/>
    <w:rsid w:val="7ADF6323"/>
    <w:rsid w:val="7AE76DB2"/>
    <w:rsid w:val="7AEC5358"/>
    <w:rsid w:val="7AF34939"/>
    <w:rsid w:val="7AF64429"/>
    <w:rsid w:val="7AFE32DE"/>
    <w:rsid w:val="7B02692A"/>
    <w:rsid w:val="7B045492"/>
    <w:rsid w:val="7B094167"/>
    <w:rsid w:val="7B095F0A"/>
    <w:rsid w:val="7B354F51"/>
    <w:rsid w:val="7B48416D"/>
    <w:rsid w:val="7B5C3128"/>
    <w:rsid w:val="7B62386D"/>
    <w:rsid w:val="7B85763F"/>
    <w:rsid w:val="7BA64102"/>
    <w:rsid w:val="7BA71F7C"/>
    <w:rsid w:val="7BFA62D9"/>
    <w:rsid w:val="7C127041"/>
    <w:rsid w:val="7C3255A3"/>
    <w:rsid w:val="7C405389"/>
    <w:rsid w:val="7C5717FC"/>
    <w:rsid w:val="7C595B5C"/>
    <w:rsid w:val="7C6929D9"/>
    <w:rsid w:val="7C694787"/>
    <w:rsid w:val="7C75386F"/>
    <w:rsid w:val="7C7C3C7B"/>
    <w:rsid w:val="7C7F1306"/>
    <w:rsid w:val="7C9B5A33"/>
    <w:rsid w:val="7CAA3813"/>
    <w:rsid w:val="7CC33357"/>
    <w:rsid w:val="7CD442F6"/>
    <w:rsid w:val="7CDB518C"/>
    <w:rsid w:val="7CDC13FD"/>
    <w:rsid w:val="7CE73678"/>
    <w:rsid w:val="7CF01DD4"/>
    <w:rsid w:val="7CFE1373"/>
    <w:rsid w:val="7D0B583E"/>
    <w:rsid w:val="7D160F4B"/>
    <w:rsid w:val="7D1D3EEF"/>
    <w:rsid w:val="7D1E37CD"/>
    <w:rsid w:val="7D23702C"/>
    <w:rsid w:val="7D425312"/>
    <w:rsid w:val="7D580A83"/>
    <w:rsid w:val="7D580FFF"/>
    <w:rsid w:val="7D747B63"/>
    <w:rsid w:val="7D777A3E"/>
    <w:rsid w:val="7D7D4E70"/>
    <w:rsid w:val="7D80622C"/>
    <w:rsid w:val="7D87580C"/>
    <w:rsid w:val="7D8A2C07"/>
    <w:rsid w:val="7D8D2272"/>
    <w:rsid w:val="7D957F29"/>
    <w:rsid w:val="7DB14637"/>
    <w:rsid w:val="7DBA34EC"/>
    <w:rsid w:val="7DCE69B8"/>
    <w:rsid w:val="7DE849E1"/>
    <w:rsid w:val="7E1E64FE"/>
    <w:rsid w:val="7E402C0C"/>
    <w:rsid w:val="7E551E7E"/>
    <w:rsid w:val="7E5F63D8"/>
    <w:rsid w:val="7E7B36FD"/>
    <w:rsid w:val="7E7E276B"/>
    <w:rsid w:val="7E9640E7"/>
    <w:rsid w:val="7E9F0934"/>
    <w:rsid w:val="7EA313D0"/>
    <w:rsid w:val="7EB1784D"/>
    <w:rsid w:val="7EC6610C"/>
    <w:rsid w:val="7EEA6053"/>
    <w:rsid w:val="7EF50554"/>
    <w:rsid w:val="7EFB200E"/>
    <w:rsid w:val="7F1B558F"/>
    <w:rsid w:val="7F230BDA"/>
    <w:rsid w:val="7F2419DE"/>
    <w:rsid w:val="7F24326C"/>
    <w:rsid w:val="7F3818C3"/>
    <w:rsid w:val="7F402117"/>
    <w:rsid w:val="7F4A4D43"/>
    <w:rsid w:val="7F631961"/>
    <w:rsid w:val="7F6F14B8"/>
    <w:rsid w:val="7F6F306D"/>
    <w:rsid w:val="7F7B6CAB"/>
    <w:rsid w:val="7F89586C"/>
    <w:rsid w:val="7F9A1827"/>
    <w:rsid w:val="7FB96A9B"/>
    <w:rsid w:val="7FDA1D9D"/>
    <w:rsid w:val="7FEA5BDF"/>
    <w:rsid w:val="7FEB2083"/>
    <w:rsid w:val="7FF32CE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99"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qFormat/>
    <w:uiPriority w:val="0"/>
    <w:pPr>
      <w:keepNext/>
      <w:keepLines/>
      <w:spacing w:before="340" w:after="330" w:line="578" w:lineRule="auto"/>
      <w:outlineLvl w:val="0"/>
    </w:pPr>
    <w:rPr>
      <w:b/>
      <w:bCs/>
      <w:kern w:val="44"/>
      <w:sz w:val="44"/>
      <w:szCs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6">
    <w:name w:val="heading 5"/>
    <w:basedOn w:val="5"/>
    <w:next w:val="1"/>
    <w:unhideWhenUsed/>
    <w:qFormat/>
    <w:uiPriority w:val="9"/>
    <w:pPr>
      <w:ind w:left="992" w:hanging="992"/>
      <w:outlineLvl w:val="4"/>
    </w:pPr>
  </w:style>
  <w:style w:type="character" w:default="1" w:styleId="24">
    <w:name w:val="Default Paragraph Font"/>
    <w:semiHidden/>
    <w:qFormat/>
    <w:uiPriority w:val="0"/>
  </w:style>
  <w:style w:type="table" w:default="1" w:styleId="22">
    <w:name w:val="Normal Table"/>
    <w:semiHidden/>
    <w:qFormat/>
    <w:uiPriority w:val="0"/>
    <w:tblPr>
      <w:tblCellMar>
        <w:top w:w="0" w:type="dxa"/>
        <w:left w:w="108" w:type="dxa"/>
        <w:bottom w:w="0" w:type="dxa"/>
        <w:right w:w="108" w:type="dxa"/>
      </w:tblCellMar>
    </w:tblPr>
  </w:style>
  <w:style w:type="paragraph" w:styleId="7">
    <w:name w:val="Normal Indent"/>
    <w:basedOn w:val="1"/>
    <w:next w:val="1"/>
    <w:qFormat/>
    <w:uiPriority w:val="0"/>
    <w:pPr>
      <w:ind w:firstLine="420"/>
    </w:pPr>
  </w:style>
  <w:style w:type="paragraph" w:styleId="8">
    <w:name w:val="toa heading"/>
    <w:basedOn w:val="1"/>
    <w:next w:val="1"/>
    <w:qFormat/>
    <w:uiPriority w:val="0"/>
    <w:pPr>
      <w:spacing w:before="120"/>
    </w:pPr>
    <w:rPr>
      <w:rFonts w:ascii="Arial" w:hAnsi="Arial"/>
    </w:rPr>
  </w:style>
  <w:style w:type="paragraph" w:styleId="9">
    <w:name w:val="annotation text"/>
    <w:basedOn w:val="1"/>
    <w:unhideWhenUsed/>
    <w:qFormat/>
    <w:uiPriority w:val="0"/>
    <w:pPr>
      <w:jc w:val="left"/>
    </w:pPr>
  </w:style>
  <w:style w:type="paragraph" w:styleId="10">
    <w:name w:val="Body Text"/>
    <w:basedOn w:val="1"/>
    <w:next w:val="1"/>
    <w:semiHidden/>
    <w:qFormat/>
    <w:uiPriority w:val="0"/>
    <w:rPr>
      <w:rFonts w:ascii="Arial" w:hAnsi="Arial" w:eastAsia="Arial" w:cs="Arial"/>
      <w:sz w:val="2"/>
      <w:szCs w:val="2"/>
      <w:lang w:val="en-US" w:eastAsia="en-US" w:bidi="ar-SA"/>
    </w:rPr>
  </w:style>
  <w:style w:type="paragraph" w:styleId="11">
    <w:name w:val="Body Text Indent"/>
    <w:basedOn w:val="1"/>
    <w:next w:val="12"/>
    <w:qFormat/>
    <w:uiPriority w:val="0"/>
    <w:pPr>
      <w:spacing w:after="120"/>
      <w:ind w:left="420"/>
    </w:pPr>
    <w:rPr>
      <w:rFonts w:ascii="Times New Roman" w:hAnsi="Times New Roman"/>
      <w:szCs w:val="24"/>
    </w:rPr>
  </w:style>
  <w:style w:type="paragraph" w:styleId="12">
    <w:name w:val="Body Text First Indent 2"/>
    <w:basedOn w:val="11"/>
    <w:next w:val="13"/>
    <w:unhideWhenUsed/>
    <w:qFormat/>
    <w:uiPriority w:val="99"/>
    <w:pPr>
      <w:ind w:left="420" w:leftChars="200" w:firstLine="420"/>
    </w:pPr>
    <w:rPr>
      <w:sz w:val="21"/>
    </w:rPr>
  </w:style>
  <w:style w:type="paragraph" w:styleId="13">
    <w:name w:val="Body Text First Indent"/>
    <w:basedOn w:val="10"/>
    <w:next w:val="1"/>
    <w:qFormat/>
    <w:uiPriority w:val="0"/>
    <w:pPr>
      <w:adjustRightInd w:val="0"/>
      <w:spacing w:after="0" w:line="312" w:lineRule="auto"/>
      <w:ind w:firstLine="567"/>
      <w:textAlignment w:val="baseline"/>
    </w:pPr>
    <w:rPr>
      <w:kern w:val="0"/>
      <w:sz w:val="28"/>
      <w:szCs w:val="20"/>
    </w:rPr>
  </w:style>
  <w:style w:type="paragraph" w:styleId="14">
    <w:name w:val="Plain Text"/>
    <w:basedOn w:val="1"/>
    <w:qFormat/>
    <w:uiPriority w:val="0"/>
    <w:rPr>
      <w:rFonts w:ascii="宋体" w:hAnsi="Courier New"/>
      <w:szCs w:val="21"/>
    </w:rPr>
  </w:style>
  <w:style w:type="paragraph" w:styleId="15">
    <w:name w:val="List Bullet 5"/>
    <w:basedOn w:val="1"/>
    <w:qFormat/>
    <w:uiPriority w:val="0"/>
    <w:pPr>
      <w:numPr>
        <w:ilvl w:val="0"/>
        <w:numId w:val="1"/>
      </w:numPr>
    </w:pPr>
  </w:style>
  <w:style w:type="paragraph" w:styleId="16">
    <w:name w:val="footer"/>
    <w:basedOn w:val="1"/>
    <w:next w:val="1"/>
    <w:qFormat/>
    <w:uiPriority w:val="0"/>
    <w:pPr>
      <w:tabs>
        <w:tab w:val="center" w:pos="4153"/>
        <w:tab w:val="right" w:pos="8306"/>
      </w:tabs>
      <w:snapToGrid w:val="0"/>
      <w:jc w:val="left"/>
    </w:pPr>
    <w:rPr>
      <w:sz w:val="18"/>
    </w:rPr>
  </w:style>
  <w:style w:type="paragraph" w:styleId="17">
    <w:name w:val="toc 1"/>
    <w:basedOn w:val="1"/>
    <w:next w:val="1"/>
    <w:unhideWhenUsed/>
    <w:qFormat/>
    <w:uiPriority w:val="39"/>
    <w:pPr>
      <w:tabs>
        <w:tab w:val="right" w:leader="middleDot" w:pos="9060"/>
      </w:tabs>
      <w:spacing w:before="120"/>
      <w:jc w:val="center"/>
    </w:pPr>
    <w:rPr>
      <w:rFonts w:ascii="Calibri" w:hAnsi="Calibri"/>
      <w:b/>
      <w:bCs/>
      <w:i/>
      <w:iCs/>
      <w:sz w:val="24"/>
    </w:rPr>
  </w:style>
  <w:style w:type="paragraph" w:styleId="18">
    <w:name w:val="toc 2"/>
    <w:basedOn w:val="1"/>
    <w:next w:val="1"/>
    <w:qFormat/>
    <w:uiPriority w:val="0"/>
    <w:pPr>
      <w:ind w:left="420" w:leftChars="200"/>
    </w:pPr>
  </w:style>
  <w:style w:type="paragraph" w:styleId="19">
    <w:name w:val="Message Header"/>
    <w:basedOn w:val="1"/>
    <w:qFormat/>
    <w:uiPriority w:val="99"/>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rPr>
  </w:style>
  <w:style w:type="paragraph" w:styleId="20">
    <w:name w:val="Normal (Web)"/>
    <w:basedOn w:val="1"/>
    <w:qFormat/>
    <w:uiPriority w:val="0"/>
    <w:pPr>
      <w:spacing w:before="0" w:beforeAutospacing="1" w:after="0" w:afterAutospacing="1"/>
      <w:ind w:left="0" w:right="0"/>
      <w:jc w:val="left"/>
    </w:pPr>
    <w:rPr>
      <w:kern w:val="0"/>
      <w:sz w:val="24"/>
      <w:lang w:val="en-US" w:eastAsia="zh-CN" w:bidi="ar"/>
    </w:rPr>
  </w:style>
  <w:style w:type="paragraph" w:styleId="21">
    <w:name w:val="annotation subject"/>
    <w:basedOn w:val="1"/>
    <w:next w:val="1"/>
    <w:qFormat/>
    <w:uiPriority w:val="0"/>
    <w:pPr>
      <w:spacing w:line="240" w:lineRule="auto"/>
      <w:ind w:firstLine="0" w:firstLineChars="0"/>
    </w:pPr>
    <w:rPr>
      <w:rFonts w:ascii="Times New Roman" w:hAnsi="Times New Roman" w:eastAsia="黑体"/>
      <w:sz w:val="21"/>
      <w:szCs w:val="21"/>
    </w:rPr>
  </w:style>
  <w:style w:type="table" w:styleId="23">
    <w:name w:val="Table Grid"/>
    <w:basedOn w:val="22"/>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5">
    <w:name w:val="样式 正文文本缩进 + 行距: 1.5 倍行距"/>
    <w:basedOn w:val="26"/>
    <w:qFormat/>
    <w:uiPriority w:val="0"/>
    <w:pPr>
      <w:spacing w:after="120" w:line="360" w:lineRule="auto"/>
      <w:ind w:left="90" w:leftChars="32" w:firstLine="560" w:firstLineChars="200"/>
    </w:pPr>
    <w:rPr>
      <w:rFonts w:cs="宋体"/>
      <w:sz w:val="24"/>
    </w:rPr>
  </w:style>
  <w:style w:type="paragraph" w:customStyle="1" w:styleId="26">
    <w:name w:val="Body Text Indent"/>
    <w:basedOn w:val="27"/>
    <w:next w:val="25"/>
    <w:qFormat/>
    <w:uiPriority w:val="0"/>
    <w:pPr>
      <w:spacing w:after="120" w:afterLines="0"/>
      <w:ind w:left="420" w:leftChars="200"/>
    </w:pPr>
    <w:rPr>
      <w:rFonts w:ascii="Times New Roman" w:hAnsi="Times New Roman" w:eastAsia="宋体"/>
      <w:sz w:val="24"/>
    </w:rPr>
  </w:style>
  <w:style w:type="paragraph" w:customStyle="1" w:styleId="27">
    <w:name w:val="Normal"/>
    <w:qFormat/>
    <w:uiPriority w:val="0"/>
    <w:pPr>
      <w:widowControl w:val="0"/>
      <w:adjustRightInd w:val="0"/>
      <w:spacing w:line="360" w:lineRule="atLeast"/>
      <w:textAlignment w:val="baseline"/>
    </w:pPr>
    <w:rPr>
      <w:rFonts w:ascii="Tms Rmn" w:hAnsi="Tms Rmn" w:eastAsia="宋体" w:cs="Times New Roman"/>
      <w:lang w:val="en-US" w:eastAsia="zh-CN" w:bidi="ar-SA"/>
    </w:rPr>
  </w:style>
  <w:style w:type="paragraph" w:customStyle="1" w:styleId="28">
    <w:name w:val="xl27"/>
    <w:basedOn w:val="1"/>
    <w:semiHidden/>
    <w:qFormat/>
    <w:uiPriority w:val="0"/>
    <w:pPr>
      <w:widowControl/>
      <w:spacing w:before="100" w:beforeAutospacing="1" w:after="100" w:afterAutospacing="1" w:line="240" w:lineRule="auto"/>
      <w:ind w:firstLine="0" w:firstLineChars="0"/>
      <w:jc w:val="center"/>
      <w:textAlignment w:val="center"/>
    </w:pPr>
    <w:rPr>
      <w:rFonts w:ascii="Arial Unicode MS" w:hAnsi="Arial Unicode MS" w:eastAsia="Arial Unicode MS"/>
      <w:bCs/>
      <w:kern w:val="0"/>
      <w:sz w:val="20"/>
      <w:szCs w:val="32"/>
    </w:rPr>
  </w:style>
  <w:style w:type="paragraph" w:customStyle="1" w:styleId="29">
    <w:name w:val="Normal (Web)1"/>
    <w:basedOn w:val="1"/>
    <w:next w:val="30"/>
    <w:autoRedefine/>
    <w:qFormat/>
    <w:uiPriority w:val="0"/>
    <w:pPr>
      <w:widowControl/>
    </w:pPr>
    <w:rPr>
      <w:rFonts w:ascii="宋体" w:eastAsia="宋体" w:cs="Times New Roman"/>
      <w:sz w:val="24"/>
      <w:szCs w:val="21"/>
    </w:rPr>
  </w:style>
  <w:style w:type="paragraph" w:customStyle="1" w:styleId="30">
    <w:name w:val="Date1"/>
    <w:basedOn w:val="1"/>
    <w:next w:val="1"/>
    <w:autoRedefine/>
    <w:qFormat/>
    <w:uiPriority w:val="0"/>
    <w:pPr>
      <w:ind w:left="2500" w:leftChars="2500"/>
    </w:pPr>
  </w:style>
  <w:style w:type="paragraph" w:customStyle="1" w:styleId="31">
    <w:name w:val="正文格式"/>
    <w:basedOn w:val="1"/>
    <w:next w:val="1"/>
    <w:autoRedefine/>
    <w:qFormat/>
    <w:uiPriority w:val="0"/>
    <w:pPr>
      <w:spacing w:line="360" w:lineRule="auto"/>
      <w:ind w:firstLine="420" w:firstLineChars="200"/>
    </w:pPr>
    <w:rPr>
      <w:kern w:val="0"/>
      <w:szCs w:val="21"/>
    </w:rPr>
  </w:style>
  <w:style w:type="paragraph" w:customStyle="1" w:styleId="32">
    <w:name w:val="Default"/>
    <w:basedOn w:val="33"/>
    <w:next w:val="1"/>
    <w:autoRedefine/>
    <w:qFormat/>
    <w:uiPriority w:val="0"/>
    <w:pPr>
      <w:widowControl w:val="0"/>
      <w:autoSpaceDE w:val="0"/>
      <w:autoSpaceDN w:val="0"/>
      <w:adjustRightInd w:val="0"/>
    </w:pPr>
    <w:rPr>
      <w:rFonts w:ascii="仿宋_GB2312" w:eastAsia="仿宋_GB2312"/>
      <w:color w:val="000000"/>
      <w:sz w:val="24"/>
      <w:szCs w:val="24"/>
      <w:lang w:val="en-US" w:eastAsia="zh-CN" w:bidi="ar-SA"/>
    </w:rPr>
  </w:style>
  <w:style w:type="paragraph" w:customStyle="1" w:styleId="33">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34">
    <w:name w:val="表格里"/>
    <w:basedOn w:val="1"/>
    <w:next w:val="35"/>
    <w:qFormat/>
    <w:uiPriority w:val="0"/>
    <w:pPr>
      <w:tabs>
        <w:tab w:val="left" w:pos="567"/>
      </w:tabs>
      <w:spacing w:line="240" w:lineRule="auto"/>
      <w:ind w:left="0" w:firstLine="0" w:firstLineChars="0"/>
      <w:jc w:val="center"/>
    </w:pPr>
    <w:rPr>
      <w:snapToGrid w:val="0"/>
      <w:kern w:val="2"/>
      <w:sz w:val="21"/>
      <w:szCs w:val="21"/>
    </w:rPr>
  </w:style>
  <w:style w:type="paragraph" w:customStyle="1" w:styleId="35">
    <w:name w:val="正文1"/>
    <w:basedOn w:val="36"/>
    <w:autoRedefine/>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36">
    <w:name w:val="正文11"/>
    <w:autoRedefine/>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37">
    <w:name w:val="表格文字"/>
    <w:basedOn w:val="1"/>
    <w:link w:val="72"/>
    <w:qFormat/>
    <w:uiPriority w:val="0"/>
    <w:pPr>
      <w:tabs>
        <w:tab w:val="left" w:pos="277"/>
        <w:tab w:val="left" w:pos="600"/>
        <w:tab w:val="left" w:pos="780"/>
        <w:tab w:val="left" w:pos="2517"/>
      </w:tabs>
      <w:spacing w:line="240" w:lineRule="auto"/>
      <w:ind w:firstLine="0" w:firstLineChars="0"/>
      <w:jc w:val="center"/>
    </w:pPr>
    <w:rPr>
      <w:sz w:val="21"/>
      <w:szCs w:val="21"/>
    </w:rPr>
  </w:style>
  <w:style w:type="paragraph" w:customStyle="1" w:styleId="38">
    <w:name w:val="正文4"/>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39">
    <w:name w:val="表中文字"/>
    <w:basedOn w:val="1"/>
    <w:autoRedefine/>
    <w:qFormat/>
    <w:uiPriority w:val="0"/>
    <w:pPr>
      <w:jc w:val="center"/>
    </w:pPr>
    <w:rPr>
      <w:rFonts w:ascii="Times New Roman" w:hAnsi="Times New Roman"/>
      <w:szCs w:val="20"/>
    </w:rPr>
  </w:style>
  <w:style w:type="paragraph" w:customStyle="1" w:styleId="40">
    <w:name w:val="【正文】"/>
    <w:basedOn w:val="1"/>
    <w:link w:val="90"/>
    <w:autoRedefine/>
    <w:qFormat/>
    <w:uiPriority w:val="0"/>
    <w:pPr>
      <w:widowControl/>
      <w:adjustRightInd w:val="0"/>
      <w:snapToGrid w:val="0"/>
      <w:spacing w:line="360" w:lineRule="auto"/>
      <w:ind w:firstLine="480" w:firstLineChars="200"/>
      <w:jc w:val="left"/>
    </w:pPr>
    <w:rPr>
      <w:rFonts w:asciiTheme="minorHAnsi" w:hAnsiTheme="minorHAnsi" w:eastAsiaTheme="minorEastAsia" w:cstheme="minorBidi"/>
      <w:sz w:val="24"/>
    </w:rPr>
  </w:style>
  <w:style w:type="table" w:customStyle="1" w:styleId="41">
    <w:name w:val="Table Normal"/>
    <w:autoRedefine/>
    <w:semiHidden/>
    <w:unhideWhenUsed/>
    <w:qFormat/>
    <w:uiPriority w:val="0"/>
    <w:tblPr>
      <w:tblCellMar>
        <w:top w:w="0" w:type="dxa"/>
        <w:left w:w="0" w:type="dxa"/>
        <w:bottom w:w="0" w:type="dxa"/>
        <w:right w:w="0" w:type="dxa"/>
      </w:tblCellMar>
    </w:tblPr>
  </w:style>
  <w:style w:type="paragraph" w:customStyle="1" w:styleId="42">
    <w:name w:val="Table Text"/>
    <w:basedOn w:val="1"/>
    <w:autoRedefine/>
    <w:semiHidden/>
    <w:qFormat/>
    <w:uiPriority w:val="0"/>
    <w:rPr>
      <w:rFonts w:ascii="Times New Roman" w:hAnsi="Times New Roman" w:eastAsia="Times New Roman" w:cs="Times New Roman"/>
      <w:sz w:val="20"/>
      <w:szCs w:val="20"/>
      <w:lang w:val="en-US" w:eastAsia="en-US" w:bidi="ar-SA"/>
    </w:rPr>
  </w:style>
  <w:style w:type="paragraph" w:customStyle="1" w:styleId="43">
    <w:name w:val="图片"/>
    <w:basedOn w:val="1"/>
    <w:qFormat/>
    <w:uiPriority w:val="0"/>
    <w:pPr>
      <w:keepNext/>
      <w:widowControl w:val="0"/>
      <w:spacing w:line="240" w:lineRule="auto"/>
      <w:ind w:hanging="11" w:firstLineChars="0"/>
      <w:jc w:val="center"/>
    </w:pPr>
    <w:rPr>
      <w:rFonts w:ascii="Times New Roman" w:hAnsi="Times New Roman"/>
      <w:smallCaps/>
    </w:rPr>
  </w:style>
  <w:style w:type="paragraph" w:customStyle="1" w:styleId="44">
    <w:name w:val="表格标题"/>
    <w:basedOn w:val="35"/>
    <w:next w:val="35"/>
    <w:qFormat/>
    <w:uiPriority w:val="0"/>
    <w:pPr>
      <w:keepNext/>
      <w:keepLines w:val="0"/>
      <w:pageBreakBefore w:val="0"/>
      <w:widowControl w:val="0"/>
      <w:tabs>
        <w:tab w:val="left" w:pos="1120"/>
      </w:tabs>
      <w:kinsoku/>
      <w:wordWrap/>
      <w:overflowPunct/>
      <w:topLinePunct w:val="0"/>
      <w:autoSpaceDE/>
      <w:autoSpaceDN/>
      <w:bidi w:val="0"/>
      <w:adjustRightInd/>
      <w:snapToGrid/>
      <w:spacing w:before="0" w:after="0" w:line="520" w:lineRule="exact"/>
      <w:ind w:right="-108" w:rightChars="0"/>
      <w:jc w:val="center"/>
      <w:textAlignment w:val="auto"/>
    </w:pPr>
    <w:rPr>
      <w:rFonts w:ascii="Times New Roman" w:hAnsi="Times New Roman" w:eastAsia="宋体" w:cs="Times New Roman"/>
      <w:b/>
      <w:kern w:val="24"/>
      <w:sz w:val="24"/>
      <w:szCs w:val="18"/>
    </w:rPr>
  </w:style>
  <w:style w:type="paragraph" w:customStyle="1" w:styleId="45">
    <w:name w:val="【表头】"/>
    <w:basedOn w:val="46"/>
    <w:autoRedefine/>
    <w:qFormat/>
    <w:uiPriority w:val="0"/>
    <w:pPr>
      <w:spacing w:line="460" w:lineRule="exact"/>
      <w:jc w:val="center"/>
    </w:pPr>
    <w:rPr>
      <w:rFonts w:eastAsia="黑体" w:cs="宋体"/>
      <w:kern w:val="0"/>
      <w:sz w:val="24"/>
      <w:szCs w:val="20"/>
    </w:rPr>
  </w:style>
  <w:style w:type="paragraph" w:customStyle="1" w:styleId="46">
    <w:name w:val="0"/>
    <w:basedOn w:val="1"/>
    <w:autoRedefine/>
    <w:qFormat/>
    <w:uiPriority w:val="99"/>
    <w:pPr>
      <w:widowControl/>
      <w:snapToGrid w:val="0"/>
      <w:jc w:val="left"/>
    </w:pPr>
    <w:rPr>
      <w:rFonts w:ascii="宋体"/>
      <w:kern w:val="0"/>
      <w:sz w:val="20"/>
      <w:szCs w:val="20"/>
    </w:rPr>
  </w:style>
  <w:style w:type="paragraph" w:customStyle="1" w:styleId="47">
    <w:name w:val="【表中文字】"/>
    <w:basedOn w:val="48"/>
    <w:autoRedefine/>
    <w:qFormat/>
    <w:uiPriority w:val="0"/>
    <w:pPr>
      <w:jc w:val="center"/>
    </w:pPr>
    <w:rPr>
      <w:lang w:val="zh-CN"/>
    </w:rPr>
  </w:style>
  <w:style w:type="paragraph" w:customStyle="1" w:styleId="48">
    <w:name w:val=".表1-1-1内容"/>
    <w:basedOn w:val="1"/>
    <w:autoRedefine/>
    <w:qFormat/>
    <w:uiPriority w:val="0"/>
    <w:pPr>
      <w:spacing w:line="300" w:lineRule="exact"/>
      <w:jc w:val="center"/>
    </w:pPr>
    <w:rPr>
      <w:kern w:val="0"/>
      <w:szCs w:val="21"/>
    </w:rPr>
  </w:style>
  <w:style w:type="paragraph" w:customStyle="1" w:styleId="49">
    <w:name w:val="通用正文"/>
    <w:basedOn w:val="50"/>
    <w:qFormat/>
    <w:uiPriority w:val="0"/>
    <w:pPr>
      <w:wordWrap w:val="0"/>
      <w:topLinePunct/>
      <w:spacing w:line="360" w:lineRule="auto"/>
      <w:ind w:firstLine="420" w:firstLineChars="200"/>
      <w:jc w:val="left"/>
    </w:pPr>
    <w:rPr>
      <w:rFonts w:ascii="Times New Roman" w:hAnsi="Times New Roman"/>
      <w:sz w:val="24"/>
    </w:rPr>
  </w:style>
  <w:style w:type="paragraph" w:customStyle="1" w:styleId="50">
    <w:name w:val="00通用正文"/>
    <w:basedOn w:val="1"/>
    <w:qFormat/>
    <w:uiPriority w:val="0"/>
    <w:pPr>
      <w:widowControl w:val="0"/>
      <w:wordWrap w:val="0"/>
      <w:spacing w:after="0" w:line="360" w:lineRule="auto"/>
      <w:ind w:firstLine="420" w:firstLineChars="200"/>
      <w:jc w:val="left"/>
    </w:pPr>
    <w:rPr>
      <w:rFonts w:ascii="Times New Roman" w:hAnsi="Times New Roman" w:eastAsia="宋体" w:cs="Times New Roman"/>
      <w:color w:val="000000"/>
      <w:kern w:val="2"/>
      <w:sz w:val="24"/>
      <w:szCs w:val="24"/>
      <w:lang w:val="en-US" w:bidi="ar-SA"/>
    </w:rPr>
  </w:style>
  <w:style w:type="paragraph" w:customStyle="1" w:styleId="51">
    <w:name w:val="0图表表头"/>
    <w:basedOn w:val="50"/>
    <w:qFormat/>
    <w:uiPriority w:val="0"/>
    <w:pPr>
      <w:spacing w:line="240" w:lineRule="auto"/>
      <w:ind w:firstLine="0" w:firstLineChars="0"/>
      <w:jc w:val="center"/>
    </w:pPr>
    <w:rPr>
      <w:rFonts w:hint="eastAsia" w:ascii="Times New Roman" w:hAnsi="Times New Roman" w:eastAsia="宋体" w:cs="宋体"/>
      <w:b/>
      <w:sz w:val="24"/>
    </w:rPr>
  </w:style>
  <w:style w:type="paragraph" w:customStyle="1" w:styleId="52">
    <w:name w:val="a正文"/>
    <w:basedOn w:val="31"/>
    <w:autoRedefine/>
    <w:qFormat/>
    <w:uiPriority w:val="0"/>
    <w:pPr>
      <w:spacing w:line="520" w:lineRule="exact"/>
      <w:ind w:firstLine="200"/>
    </w:pPr>
    <w:rPr>
      <w:sz w:val="24"/>
    </w:rPr>
  </w:style>
  <w:style w:type="paragraph" w:customStyle="1" w:styleId="53">
    <w:name w:val="正文----------------"/>
    <w:basedOn w:val="1"/>
    <w:autoRedefine/>
    <w:qFormat/>
    <w:uiPriority w:val="0"/>
    <w:pPr>
      <w:spacing w:line="440" w:lineRule="exact"/>
      <w:ind w:firstLine="544" w:firstLineChars="200"/>
    </w:pPr>
    <w:rPr>
      <w:rFonts w:ascii="Times New Roman" w:hAnsi="Times New Roman" w:cs="宋体"/>
      <w:spacing w:val="16"/>
      <w:sz w:val="24"/>
      <w:szCs w:val="20"/>
    </w:rPr>
  </w:style>
  <w:style w:type="paragraph" w:customStyle="1" w:styleId="54">
    <w:name w:val="表格中文字"/>
    <w:basedOn w:val="55"/>
    <w:autoRedefine/>
    <w:qFormat/>
    <w:uiPriority w:val="0"/>
    <w:pPr>
      <w:spacing w:line="360" w:lineRule="exact"/>
      <w:ind w:firstLine="0" w:firstLineChars="0"/>
      <w:jc w:val="center"/>
    </w:pPr>
    <w:rPr>
      <w:rFonts w:ascii="Times New Roman" w:hAnsi="Times New Roman"/>
      <w:color w:val="auto"/>
      <w:sz w:val="21"/>
      <w:szCs w:val="21"/>
    </w:rPr>
  </w:style>
  <w:style w:type="paragraph" w:customStyle="1" w:styleId="55">
    <w:name w:val="填表正文"/>
    <w:basedOn w:val="1"/>
    <w:autoRedefine/>
    <w:qFormat/>
    <w:uiPriority w:val="0"/>
    <w:pPr>
      <w:adjustRightInd w:val="0"/>
      <w:snapToGrid w:val="0"/>
      <w:jc w:val="center"/>
    </w:pPr>
    <w:rPr>
      <w:rFonts w:ascii="宋体" w:hAnsi="Calibri"/>
      <w:color w:val="000000"/>
      <w:kern w:val="0"/>
      <w:szCs w:val="44"/>
    </w:rPr>
  </w:style>
  <w:style w:type="character" w:customStyle="1" w:styleId="56">
    <w:name w:val="font41"/>
    <w:basedOn w:val="24"/>
    <w:autoRedefine/>
    <w:qFormat/>
    <w:uiPriority w:val="0"/>
    <w:rPr>
      <w:rFonts w:hint="default" w:ascii="Times New Roman" w:hAnsi="Times New Roman" w:cs="Times New Roman"/>
      <w:color w:val="000000"/>
      <w:sz w:val="11"/>
      <w:szCs w:val="11"/>
      <w:u w:val="none"/>
    </w:rPr>
  </w:style>
  <w:style w:type="paragraph" w:customStyle="1" w:styleId="57">
    <w:name w:val="!正文(alt+c)"/>
    <w:autoRedefine/>
    <w:qFormat/>
    <w:uiPriority w:val="0"/>
    <w:pPr>
      <w:spacing w:line="300" w:lineRule="auto"/>
      <w:ind w:firstLine="480" w:firstLineChars="200"/>
      <w:jc w:val="center"/>
    </w:pPr>
    <w:rPr>
      <w:rFonts w:ascii="宋体" w:hAnsi="宋体" w:eastAsia="宋体" w:cs="Times New Roman"/>
      <w:sz w:val="24"/>
      <w:szCs w:val="24"/>
      <w:lang w:val="en-US" w:eastAsia="zh-CN" w:bidi="ar-SA"/>
    </w:rPr>
  </w:style>
  <w:style w:type="paragraph" w:customStyle="1" w:styleId="58">
    <w:name w:val="表格内容"/>
    <w:basedOn w:val="1"/>
    <w:autoRedefine/>
    <w:qFormat/>
    <w:uiPriority w:val="0"/>
    <w:pPr>
      <w:ind w:firstLine="0" w:firstLineChars="0"/>
      <w:jc w:val="center"/>
    </w:pPr>
    <w:rPr>
      <w:bCs/>
      <w:sz w:val="21"/>
    </w:rPr>
  </w:style>
  <w:style w:type="paragraph" w:customStyle="1" w:styleId="59">
    <w:name w:val="表格内"/>
    <w:basedOn w:val="60"/>
    <w:qFormat/>
    <w:uiPriority w:val="0"/>
    <w:rPr>
      <w:rFonts w:ascii="Times New Roman" w:hAnsi="Times New Roman" w:eastAsia="宋体"/>
      <w:sz w:val="21"/>
    </w:rPr>
  </w:style>
  <w:style w:type="paragraph" w:customStyle="1" w:styleId="60">
    <w:name w:val="表后"/>
    <w:next w:val="59"/>
    <w:qFormat/>
    <w:uiPriority w:val="0"/>
    <w:pPr>
      <w:jc w:val="center"/>
    </w:pPr>
    <w:rPr>
      <w:rFonts w:ascii="黑体" w:hAnsi="黑体" w:eastAsia="黑体" w:cs="Times New Roman"/>
      <w:bCs/>
      <w:kern w:val="2"/>
      <w:sz w:val="24"/>
      <w:szCs w:val="24"/>
      <w:lang w:val="en-US" w:eastAsia="zh-CN" w:bidi="ar-SA"/>
    </w:rPr>
  </w:style>
  <w:style w:type="paragraph" w:customStyle="1" w:styleId="61">
    <w:name w:val="_Style 4"/>
    <w:autoRedefine/>
    <w:qFormat/>
    <w:uiPriority w:val="1"/>
    <w:pPr>
      <w:widowControl w:val="0"/>
      <w:spacing w:line="440" w:lineRule="exact"/>
      <w:jc w:val="both"/>
    </w:pPr>
    <w:rPr>
      <w:rFonts w:ascii="Times New Roman" w:hAnsi="Times New Roman" w:eastAsia="仿宋_GB2312" w:cs="Times New Roman"/>
      <w:kern w:val="2"/>
      <w:sz w:val="24"/>
      <w:szCs w:val="24"/>
      <w:lang w:val="en-US" w:eastAsia="zh-CN" w:bidi="ar-SA"/>
    </w:rPr>
  </w:style>
  <w:style w:type="paragraph" w:customStyle="1" w:styleId="62">
    <w:name w:val="报告书正文"/>
    <w:basedOn w:val="1"/>
    <w:autoRedefine/>
    <w:qFormat/>
    <w:uiPriority w:val="0"/>
    <w:pPr>
      <w:spacing w:line="360" w:lineRule="auto"/>
      <w:ind w:firstLine="480" w:firstLineChars="200"/>
      <w:jc w:val="left"/>
    </w:pPr>
    <w:rPr>
      <w:rFonts w:ascii="Times New Roman" w:hAnsi="Times New Roman"/>
      <w:sz w:val="24"/>
      <w:szCs w:val="24"/>
    </w:rPr>
  </w:style>
  <w:style w:type="table" w:customStyle="1" w:styleId="63">
    <w:name w:val="[表格样式]"/>
    <w:basedOn w:val="22"/>
    <w:autoRedefine/>
    <w:qFormat/>
    <w:uiPriority w:val="99"/>
    <w:pPr>
      <w:adjustRightInd w:val="0"/>
      <w:snapToGrid w:val="0"/>
      <w:jc w:val="center"/>
    </w:pPr>
    <w:rPr>
      <w:snapToGrid w:val="0"/>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64">
    <w:name w:val="正文00"/>
    <w:basedOn w:val="1"/>
    <w:next w:val="65"/>
    <w:autoRedefine/>
    <w:qFormat/>
    <w:uiPriority w:val="0"/>
    <w:pPr>
      <w:spacing w:line="360" w:lineRule="auto"/>
      <w:ind w:firstLine="480" w:firstLineChars="200"/>
      <w:jc w:val="both"/>
    </w:pPr>
    <w:rPr>
      <w:rFonts w:ascii="Times New Roman" w:hAnsi="宋体" w:cs="宋体"/>
      <w:kern w:val="2"/>
      <w:szCs w:val="24"/>
    </w:rPr>
  </w:style>
  <w:style w:type="paragraph" w:customStyle="1" w:styleId="65">
    <w:name w:val="样式 Times New Roman 五号 居中1"/>
    <w:basedOn w:val="1"/>
    <w:next w:val="66"/>
    <w:autoRedefine/>
    <w:qFormat/>
    <w:uiPriority w:val="0"/>
    <w:pPr>
      <w:jc w:val="center"/>
    </w:pPr>
    <w:rPr>
      <w:rFonts w:ascii="Times New Roman" w:cs="宋体"/>
      <w:kern w:val="2"/>
      <w:sz w:val="21"/>
    </w:rPr>
  </w:style>
  <w:style w:type="paragraph" w:customStyle="1" w:styleId="66">
    <w:name w:val="表头"/>
    <w:basedOn w:val="18"/>
    <w:next w:val="1"/>
    <w:autoRedefine/>
    <w:qFormat/>
    <w:uiPriority w:val="0"/>
    <w:pPr>
      <w:tabs>
        <w:tab w:val="right" w:leader="dot" w:pos="8190"/>
      </w:tabs>
      <w:spacing w:line="360" w:lineRule="auto"/>
      <w:jc w:val="center"/>
    </w:pPr>
    <w:rPr>
      <w:rFonts w:ascii="Times New Roman" w:hAnsi="Times New Roman" w:eastAsia="黑体"/>
      <w:kern w:val="2"/>
      <w:szCs w:val="24"/>
      <w:lang w:val="en-US" w:eastAsia="zh-CN"/>
    </w:rPr>
  </w:style>
  <w:style w:type="paragraph" w:customStyle="1" w:styleId="67">
    <w:name w:val="p19"/>
    <w:basedOn w:val="1"/>
    <w:autoRedefine/>
    <w:qFormat/>
    <w:uiPriority w:val="0"/>
    <w:pPr>
      <w:widowControl/>
      <w:jc w:val="center"/>
    </w:pPr>
    <w:rPr>
      <w:rFonts w:ascii="Times New Roman" w:hAnsi="Times New Roman"/>
      <w:kern w:val="0"/>
      <w:szCs w:val="21"/>
    </w:rPr>
  </w:style>
  <w:style w:type="paragraph" w:customStyle="1" w:styleId="68">
    <w:name w:val="Other|1"/>
    <w:basedOn w:val="1"/>
    <w:qFormat/>
    <w:uiPriority w:val="0"/>
    <w:pPr>
      <w:widowControl w:val="0"/>
      <w:shd w:val="clear" w:color="auto" w:fill="auto"/>
      <w:jc w:val="center"/>
    </w:pPr>
    <w:rPr>
      <w:sz w:val="20"/>
      <w:szCs w:val="20"/>
      <w:u w:val="none"/>
      <w:shd w:val="clear" w:color="auto" w:fill="auto"/>
      <w:lang w:val="zh-TW" w:eastAsia="zh-TW" w:bidi="zh-TW"/>
    </w:rPr>
  </w:style>
  <w:style w:type="paragraph" w:customStyle="1" w:styleId="69">
    <w:name w:val="列出段落1"/>
    <w:basedOn w:val="1"/>
    <w:next w:val="1"/>
    <w:qFormat/>
    <w:uiPriority w:val="0"/>
    <w:pPr>
      <w:ind w:firstLine="420" w:firstLineChars="200"/>
    </w:pPr>
    <w:rPr>
      <w:rFonts w:ascii="Calibri" w:hAnsi="Calibri"/>
      <w:szCs w:val="22"/>
    </w:rPr>
  </w:style>
  <w:style w:type="paragraph" w:styleId="70">
    <w:name w:val="List Paragraph"/>
    <w:basedOn w:val="1"/>
    <w:qFormat/>
    <w:uiPriority w:val="0"/>
    <w:pPr>
      <w:ind w:firstLine="420" w:firstLineChars="200"/>
    </w:pPr>
  </w:style>
  <w:style w:type="paragraph" w:customStyle="1" w:styleId="71">
    <w:name w:val="报告表正文"/>
    <w:basedOn w:val="1"/>
    <w:qFormat/>
    <w:uiPriority w:val="0"/>
    <w:pPr>
      <w:spacing w:line="360" w:lineRule="auto"/>
      <w:ind w:firstLine="420" w:firstLineChars="200"/>
    </w:pPr>
    <w:rPr>
      <w:rFonts w:cs="Times New Roman"/>
      <w:sz w:val="24"/>
      <w:szCs w:val="24"/>
    </w:rPr>
  </w:style>
  <w:style w:type="character" w:customStyle="1" w:styleId="72">
    <w:name w:val="表格文字 Char"/>
    <w:link w:val="37"/>
    <w:qFormat/>
    <w:uiPriority w:val="0"/>
    <w:rPr>
      <w:sz w:val="21"/>
      <w:szCs w:val="21"/>
    </w:rPr>
  </w:style>
  <w:style w:type="paragraph" w:customStyle="1" w:styleId="73">
    <w:name w:val="图名"/>
    <w:basedOn w:val="1"/>
    <w:qFormat/>
    <w:uiPriority w:val="0"/>
    <w:pPr>
      <w:widowControl w:val="0"/>
      <w:spacing w:line="480" w:lineRule="exact"/>
      <w:ind w:firstLine="0" w:firstLineChars="0"/>
      <w:jc w:val="center"/>
    </w:pPr>
    <w:rPr>
      <w:b/>
      <w:bCs/>
    </w:rPr>
  </w:style>
  <w:style w:type="paragraph" w:customStyle="1" w:styleId="74">
    <w:name w:val="附图"/>
    <w:basedOn w:val="1"/>
    <w:next w:val="37"/>
    <w:qFormat/>
    <w:uiPriority w:val="0"/>
    <w:pPr>
      <w:keepNext/>
      <w:keepLines/>
      <w:autoSpaceDE/>
      <w:autoSpaceDN/>
      <w:spacing w:line="560" w:lineRule="exact"/>
      <w:ind w:firstLine="0" w:firstLineChars="0"/>
      <w:textAlignment w:val="auto"/>
      <w:outlineLvl w:val="1"/>
    </w:pPr>
    <w:rPr>
      <w:b/>
      <w:bCs/>
      <w:sz w:val="28"/>
      <w:szCs w:val="28"/>
    </w:rPr>
  </w:style>
  <w:style w:type="paragraph" w:customStyle="1" w:styleId="75">
    <w:name w:val="表格内文字"/>
    <w:basedOn w:val="1"/>
    <w:qFormat/>
    <w:uiPriority w:val="0"/>
    <w:pPr>
      <w:spacing w:line="240" w:lineRule="auto"/>
      <w:ind w:firstLine="0" w:firstLineChars="0"/>
      <w:jc w:val="center"/>
    </w:pPr>
    <w:rPr>
      <w:rFonts w:hint="eastAsia" w:cs="Times New Roman"/>
      <w:color w:val="000000"/>
      <w:sz w:val="21"/>
      <w:szCs w:val="21"/>
    </w:rPr>
  </w:style>
  <w:style w:type="paragraph" w:customStyle="1" w:styleId="76">
    <w:name w:val="表头、图名"/>
    <w:basedOn w:val="1"/>
    <w:next w:val="1"/>
    <w:qFormat/>
    <w:uiPriority w:val="0"/>
    <w:pPr>
      <w:ind w:firstLine="0" w:firstLineChars="0"/>
      <w:jc w:val="center"/>
    </w:pPr>
    <w:rPr>
      <w:rFonts w:hint="eastAsia" w:ascii="Times New Roman" w:hAnsi="Times New Roman" w:eastAsia="黑体" w:cs="Times New Roman"/>
    </w:rPr>
  </w:style>
  <w:style w:type="paragraph" w:customStyle="1" w:styleId="77">
    <w:name w:val="图表"/>
    <w:basedOn w:val="1"/>
    <w:qFormat/>
    <w:uiPriority w:val="0"/>
    <w:pPr>
      <w:ind w:firstLine="0" w:firstLineChars="0"/>
      <w:jc w:val="center"/>
    </w:pPr>
    <w:rPr>
      <w:rFonts w:eastAsia="黑体"/>
    </w:rPr>
  </w:style>
  <w:style w:type="paragraph" w:customStyle="1" w:styleId="78">
    <w:name w:val="0表格文字"/>
    <w:basedOn w:val="50"/>
    <w:next w:val="50"/>
    <w:qFormat/>
    <w:uiPriority w:val="0"/>
    <w:pPr>
      <w:autoSpaceDE/>
      <w:autoSpaceDN/>
      <w:adjustRightInd/>
      <w:spacing w:line="240" w:lineRule="auto"/>
      <w:ind w:firstLine="0" w:firstLineChars="0"/>
      <w:jc w:val="center"/>
    </w:pPr>
    <w:rPr>
      <w:rFonts w:ascii="Times New Roman" w:hAnsi="Times New Roman" w:eastAsia="宋体" w:cs="宋体"/>
      <w:color w:val="000000"/>
      <w:sz w:val="21"/>
      <w:szCs w:val="21"/>
    </w:rPr>
  </w:style>
  <w:style w:type="paragraph" w:customStyle="1" w:styleId="79">
    <w:name w:val="书正文"/>
    <w:basedOn w:val="1"/>
    <w:qFormat/>
    <w:uiPriority w:val="0"/>
  </w:style>
  <w:style w:type="paragraph" w:customStyle="1" w:styleId="80">
    <w:name w:val="表3.4"/>
    <w:basedOn w:val="81"/>
    <w:qFormat/>
    <w:uiPriority w:val="0"/>
    <w:pPr>
      <w:numPr>
        <w:numId w:val="2"/>
      </w:numPr>
      <w:ind w:left="420"/>
    </w:pPr>
  </w:style>
  <w:style w:type="paragraph" w:customStyle="1" w:styleId="81">
    <w:name w:val="表3.3"/>
    <w:basedOn w:val="82"/>
    <w:next w:val="1"/>
    <w:qFormat/>
    <w:uiPriority w:val="0"/>
    <w:pPr>
      <w:numPr>
        <w:numId w:val="3"/>
      </w:numPr>
    </w:pPr>
  </w:style>
  <w:style w:type="paragraph" w:customStyle="1" w:styleId="82">
    <w:name w:val="表3.1"/>
    <w:basedOn w:val="1"/>
    <w:qFormat/>
    <w:uiPriority w:val="0"/>
    <w:pPr>
      <w:numPr>
        <w:ilvl w:val="0"/>
        <w:numId w:val="4"/>
      </w:numPr>
      <w:spacing w:before="81" w:after="81"/>
      <w:ind w:left="0" w:firstLine="0" w:firstLineChars="0"/>
      <w:jc w:val="center"/>
    </w:pPr>
    <w:rPr>
      <w:b/>
      <w:snapToGrid w:val="0"/>
      <w:color w:val="000000"/>
      <w:w w:val="0"/>
      <w:kern w:val="0"/>
    </w:rPr>
  </w:style>
  <w:style w:type="paragraph" w:customStyle="1" w:styleId="83">
    <w:name w:val="合稿【表中文字】"/>
    <w:basedOn w:val="1"/>
    <w:qFormat/>
    <w:uiPriority w:val="0"/>
    <w:pPr>
      <w:adjustRightInd w:val="0"/>
      <w:snapToGrid w:val="0"/>
      <w:spacing w:line="312" w:lineRule="auto"/>
      <w:ind w:left="9" w:leftChars="9" w:right="9" w:rightChars="9" w:firstLine="0" w:firstLineChars="0"/>
      <w:jc w:val="center"/>
    </w:pPr>
    <w:rPr>
      <w:snapToGrid w:val="0"/>
      <w:color w:val="000000"/>
      <w:sz w:val="21"/>
      <w:szCs w:val="20"/>
    </w:rPr>
  </w:style>
  <w:style w:type="paragraph" w:customStyle="1" w:styleId="84">
    <w:name w:val="标题四"/>
    <w:basedOn w:val="1"/>
    <w:qFormat/>
    <w:uiPriority w:val="0"/>
    <w:pPr>
      <w:keepNext/>
      <w:keepLines/>
      <w:numPr>
        <w:ilvl w:val="3"/>
        <w:numId w:val="5"/>
      </w:numPr>
      <w:tabs>
        <w:tab w:val="left" w:pos="1134"/>
      </w:tabs>
      <w:adjustRightInd w:val="0"/>
      <w:spacing w:line="420" w:lineRule="auto"/>
      <w:ind w:left="0" w:firstLineChars="0"/>
      <w:textAlignment w:val="baseline"/>
      <w:outlineLvl w:val="3"/>
    </w:pPr>
    <w:rPr>
      <w:rFonts w:eastAsiaTheme="minorEastAsia" w:cstheme="minorBidi"/>
      <w:b/>
      <w:bCs/>
      <w:szCs w:val="28"/>
    </w:rPr>
  </w:style>
  <w:style w:type="paragraph" w:customStyle="1" w:styleId="85">
    <w:name w:val="样式 正文001 + 首行缩进:  2 字符1"/>
    <w:basedOn w:val="1"/>
    <w:qFormat/>
    <w:uiPriority w:val="0"/>
    <w:pPr>
      <w:spacing w:before="60" w:line="460" w:lineRule="exact"/>
      <w:ind w:firstLine="480"/>
    </w:pPr>
    <w:rPr>
      <w:rFonts w:ascii="宋体" w:hAnsi="宋体"/>
      <w:szCs w:val="22"/>
    </w:rPr>
  </w:style>
  <w:style w:type="character" w:customStyle="1" w:styleId="86">
    <w:name w:val="NormalCharacter"/>
    <w:qFormat/>
    <w:uiPriority w:val="0"/>
    <w:rPr>
      <w:kern w:val="2"/>
      <w:sz w:val="21"/>
      <w:szCs w:val="24"/>
      <w:lang w:val="en-US" w:eastAsia="zh-CN" w:bidi="ar-SA"/>
    </w:rPr>
  </w:style>
  <w:style w:type="paragraph" w:customStyle="1" w:styleId="87">
    <w:name w:val="【表中文字】-"/>
    <w:basedOn w:val="1"/>
    <w:autoRedefine/>
    <w:qFormat/>
    <w:uiPriority w:val="0"/>
    <w:pPr>
      <w:adjustRightInd w:val="0"/>
      <w:snapToGrid w:val="0"/>
      <w:jc w:val="center"/>
    </w:pPr>
    <w:rPr>
      <w:kern w:val="0"/>
      <w:sz w:val="18"/>
      <w:szCs w:val="20"/>
    </w:rPr>
  </w:style>
  <w:style w:type="paragraph" w:customStyle="1" w:styleId="88">
    <w:name w:val="表5.2-"/>
    <w:basedOn w:val="1"/>
    <w:qFormat/>
    <w:uiPriority w:val="0"/>
    <w:pPr>
      <w:numPr>
        <w:ilvl w:val="0"/>
        <w:numId w:val="6"/>
      </w:numPr>
      <w:spacing w:before="81" w:after="81"/>
      <w:ind w:firstLine="0" w:firstLineChars="0"/>
      <w:jc w:val="center"/>
    </w:pPr>
    <w:rPr>
      <w:b/>
    </w:rPr>
  </w:style>
  <w:style w:type="paragraph" w:customStyle="1" w:styleId="89">
    <w:name w:val="11111"/>
    <w:basedOn w:val="1"/>
    <w:next w:val="1"/>
    <w:autoRedefine/>
    <w:qFormat/>
    <w:uiPriority w:val="0"/>
    <w:pPr>
      <w:spacing w:line="360" w:lineRule="auto"/>
      <w:ind w:firstLine="200" w:firstLineChars="200"/>
    </w:pPr>
    <w:rPr>
      <w:rFonts w:ascii="宋体" w:hAnsi="宋体" w:cs="宋体"/>
      <w:sz w:val="24"/>
    </w:rPr>
  </w:style>
  <w:style w:type="character" w:customStyle="1" w:styleId="90">
    <w:name w:val="【正文】 Char"/>
    <w:link w:val="40"/>
    <w:autoRedefine/>
    <w:qFormat/>
    <w:uiPriority w:val="0"/>
    <w:rPr>
      <w:rFonts w:asciiTheme="minorHAnsi" w:hAnsiTheme="minorHAnsi" w:eastAsiaTheme="minorEastAsia" w:cstheme="minorBidi"/>
      <w:sz w:val="24"/>
    </w:rPr>
  </w:style>
  <w:style w:type="paragraph" w:customStyle="1" w:styleId="91">
    <w:name w:val="表6.2"/>
    <w:basedOn w:val="88"/>
    <w:qFormat/>
    <w:uiPriority w:val="0"/>
    <w:pPr>
      <w:numPr>
        <w:numId w:val="7"/>
      </w:numPr>
    </w:pPr>
  </w:style>
  <w:style w:type="paragraph" w:customStyle="1" w:styleId="92">
    <w:name w:val="图6.2"/>
    <w:basedOn w:val="93"/>
    <w:qFormat/>
    <w:uiPriority w:val="0"/>
    <w:pPr>
      <w:numPr>
        <w:numId w:val="8"/>
      </w:numPr>
    </w:pPr>
  </w:style>
  <w:style w:type="paragraph" w:customStyle="1" w:styleId="93">
    <w:name w:val="图3.2"/>
    <w:basedOn w:val="1"/>
    <w:qFormat/>
    <w:uiPriority w:val="0"/>
    <w:pPr>
      <w:numPr>
        <w:ilvl w:val="0"/>
        <w:numId w:val="9"/>
      </w:numPr>
      <w:adjustRightInd w:val="0"/>
      <w:snapToGrid w:val="0"/>
      <w:ind w:left="0" w:firstLine="0" w:firstLineChars="0"/>
      <w:jc w:val="center"/>
    </w:pPr>
    <w:rPr>
      <w:rFonts w:cs="宋体"/>
      <w:b/>
      <w:snapToGrid w:val="0"/>
      <w:color w:val="000000"/>
      <w:kern w:val="28"/>
      <w:szCs w:val="20"/>
    </w:rPr>
  </w:style>
  <w:style w:type="paragraph" w:customStyle="1" w:styleId="94">
    <w:name w:val="表8.3"/>
    <w:basedOn w:val="95"/>
    <w:qFormat/>
    <w:uiPriority w:val="0"/>
    <w:pPr>
      <w:numPr>
        <w:numId w:val="10"/>
      </w:numPr>
      <w:ind w:left="0" w:right="0" w:firstLine="0"/>
    </w:pPr>
  </w:style>
  <w:style w:type="paragraph" w:customStyle="1" w:styleId="95">
    <w:name w:val="表7.2"/>
    <w:basedOn w:val="88"/>
    <w:next w:val="64"/>
    <w:qFormat/>
    <w:uiPriority w:val="0"/>
    <w:pPr>
      <w:numPr>
        <w:numId w:val="11"/>
      </w:numPr>
      <w:spacing w:before="0" w:after="0"/>
      <w:ind w:left="0" w:right="108" w:firstLine="0"/>
    </w:pPr>
  </w:style>
  <w:style w:type="paragraph" w:customStyle="1" w:styleId="96">
    <w:name w:val="缩进2"/>
    <w:basedOn w:val="1"/>
    <w:autoRedefine/>
    <w:qFormat/>
    <w:uiPriority w:val="0"/>
    <w:pPr>
      <w:ind w:firstLine="476" w:firstLineChars="200"/>
    </w:pPr>
  </w:style>
  <w:style w:type="paragraph" w:customStyle="1" w:styleId="97">
    <w:name w:val="表5.1"/>
    <w:basedOn w:val="1"/>
    <w:qFormat/>
    <w:uiPriority w:val="0"/>
    <w:pPr>
      <w:numPr>
        <w:ilvl w:val="0"/>
        <w:numId w:val="12"/>
      </w:numPr>
      <w:spacing w:before="81" w:after="81"/>
      <w:ind w:left="0" w:firstLine="0" w:firstLineChars="0"/>
      <w:jc w:val="center"/>
    </w:pPr>
    <w:rPr>
      <w:b/>
    </w:rPr>
  </w:style>
  <w:style w:type="paragraph" w:customStyle="1" w:styleId="98">
    <w:name w:val="样式 标题 4款标题1.1.1.1 南陵标题 4标题 4 CharH4PIM 4h4First Subheadin..."/>
    <w:basedOn w:val="5"/>
    <w:qFormat/>
    <w:uiPriority w:val="0"/>
    <w:pPr>
      <w:numPr>
        <w:ilvl w:val="0"/>
        <w:numId w:val="0"/>
      </w:numPr>
      <w:tabs>
        <w:tab w:val="left" w:pos="0"/>
      </w:tabs>
      <w:spacing w:line="360" w:lineRule="auto"/>
      <w:ind w:left="1418" w:hanging="851"/>
    </w:pPr>
    <w:rPr>
      <w:rFonts w:ascii="黑体"/>
      <w:kern w:val="0"/>
    </w:rPr>
  </w:style>
  <w:style w:type="paragraph" w:customStyle="1" w:styleId="99">
    <w:name w:val="Table Paragraph"/>
    <w:basedOn w:val="1"/>
    <w:qFormat/>
    <w:uiPriority w:val="1"/>
    <w:pPr>
      <w:widowControl w:val="0"/>
      <w:autoSpaceDE w:val="0"/>
      <w:autoSpaceDN w:val="0"/>
      <w:snapToGrid/>
      <w:spacing w:after="0"/>
    </w:pPr>
    <w:rPr>
      <w:rFonts w:ascii="Times New Roman" w:hAnsi="Times New Roman" w:eastAsia="宋体" w:cs="Times New Roman"/>
      <w:sz w:val="24"/>
      <w:szCs w:val="24"/>
    </w:rPr>
  </w:style>
  <w:style w:type="paragraph" w:customStyle="1" w:styleId="100">
    <w:name w:val="表头00"/>
    <w:basedOn w:val="1"/>
    <w:autoRedefine/>
    <w:qFormat/>
    <w:uiPriority w:val="0"/>
    <w:pPr>
      <w:spacing w:line="360" w:lineRule="auto"/>
      <w:jc w:val="center"/>
    </w:pPr>
    <w:rPr>
      <w:rFonts w:ascii="Times New Roman" w:hAnsi="Times New Roman" w:eastAsia="黑体" w:cs="Times New Roman"/>
      <w:sz w:val="24"/>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51.png"/><Relationship Id="rId98" Type="http://schemas.openxmlformats.org/officeDocument/2006/relationships/image" Target="media/image50.png"/><Relationship Id="rId97" Type="http://schemas.openxmlformats.org/officeDocument/2006/relationships/image" Target="media/image49.jpeg"/><Relationship Id="rId96" Type="http://schemas.openxmlformats.org/officeDocument/2006/relationships/image" Target="media/image48.jpeg"/><Relationship Id="rId95" Type="http://schemas.openxmlformats.org/officeDocument/2006/relationships/image" Target="media/image47.png"/><Relationship Id="rId94" Type="http://schemas.openxmlformats.org/officeDocument/2006/relationships/image" Target="media/image46.png"/><Relationship Id="rId93" Type="http://schemas.openxmlformats.org/officeDocument/2006/relationships/image" Target="media/image45.png"/><Relationship Id="rId92" Type="http://schemas.openxmlformats.org/officeDocument/2006/relationships/image" Target="media/image44.png"/><Relationship Id="rId91" Type="http://schemas.openxmlformats.org/officeDocument/2006/relationships/image" Target="media/image43.png"/><Relationship Id="rId90" Type="http://schemas.openxmlformats.org/officeDocument/2006/relationships/image" Target="media/image42.png"/><Relationship Id="rId9" Type="http://schemas.openxmlformats.org/officeDocument/2006/relationships/header" Target="header3.xml"/><Relationship Id="rId89" Type="http://schemas.openxmlformats.org/officeDocument/2006/relationships/image" Target="media/image41.wmf"/><Relationship Id="rId88" Type="http://schemas.openxmlformats.org/officeDocument/2006/relationships/oleObject" Target="embeddings/oleObject27.bin"/><Relationship Id="rId87" Type="http://schemas.openxmlformats.org/officeDocument/2006/relationships/image" Target="media/image40.wmf"/><Relationship Id="rId86" Type="http://schemas.openxmlformats.org/officeDocument/2006/relationships/oleObject" Target="embeddings/oleObject26.bin"/><Relationship Id="rId85" Type="http://schemas.openxmlformats.org/officeDocument/2006/relationships/image" Target="media/image39.wmf"/><Relationship Id="rId84" Type="http://schemas.openxmlformats.org/officeDocument/2006/relationships/oleObject" Target="embeddings/oleObject25.bin"/><Relationship Id="rId83" Type="http://schemas.openxmlformats.org/officeDocument/2006/relationships/image" Target="media/image38.png"/><Relationship Id="rId82" Type="http://schemas.openxmlformats.org/officeDocument/2006/relationships/image" Target="media/image37.png"/><Relationship Id="rId81" Type="http://schemas.openxmlformats.org/officeDocument/2006/relationships/image" Target="media/image36.png"/><Relationship Id="rId80" Type="http://schemas.openxmlformats.org/officeDocument/2006/relationships/image" Target="media/image35.png"/><Relationship Id="rId8" Type="http://schemas.openxmlformats.org/officeDocument/2006/relationships/footer" Target="footer2.xml"/><Relationship Id="rId79" Type="http://schemas.openxmlformats.org/officeDocument/2006/relationships/image" Target="media/image34.png"/><Relationship Id="rId78" Type="http://schemas.openxmlformats.org/officeDocument/2006/relationships/image" Target="media/image33.png"/><Relationship Id="rId77" Type="http://schemas.openxmlformats.org/officeDocument/2006/relationships/image" Target="media/image32.png"/><Relationship Id="rId76" Type="http://schemas.openxmlformats.org/officeDocument/2006/relationships/oleObject" Target="embeddings/oleObject24.bin"/><Relationship Id="rId75" Type="http://schemas.openxmlformats.org/officeDocument/2006/relationships/image" Target="media/image31.wmf"/><Relationship Id="rId74" Type="http://schemas.openxmlformats.org/officeDocument/2006/relationships/oleObject" Target="embeddings/oleObject23.bin"/><Relationship Id="rId73" Type="http://schemas.openxmlformats.org/officeDocument/2006/relationships/image" Target="media/image30.wmf"/><Relationship Id="rId72" Type="http://schemas.openxmlformats.org/officeDocument/2006/relationships/oleObject" Target="embeddings/oleObject22.bin"/><Relationship Id="rId71" Type="http://schemas.openxmlformats.org/officeDocument/2006/relationships/image" Target="media/image29.wmf"/><Relationship Id="rId70" Type="http://schemas.openxmlformats.org/officeDocument/2006/relationships/oleObject" Target="embeddings/oleObject21.bin"/><Relationship Id="rId7" Type="http://schemas.openxmlformats.org/officeDocument/2006/relationships/header" Target="header2.xml"/><Relationship Id="rId69" Type="http://schemas.openxmlformats.org/officeDocument/2006/relationships/image" Target="media/image28.wmf"/><Relationship Id="rId68" Type="http://schemas.openxmlformats.org/officeDocument/2006/relationships/oleObject" Target="embeddings/oleObject20.bin"/><Relationship Id="rId67" Type="http://schemas.openxmlformats.org/officeDocument/2006/relationships/image" Target="media/image27.wmf"/><Relationship Id="rId66" Type="http://schemas.openxmlformats.org/officeDocument/2006/relationships/oleObject" Target="embeddings/oleObject19.bin"/><Relationship Id="rId65" Type="http://schemas.openxmlformats.org/officeDocument/2006/relationships/image" Target="media/image26.wmf"/><Relationship Id="rId64" Type="http://schemas.openxmlformats.org/officeDocument/2006/relationships/oleObject" Target="embeddings/oleObject18.bin"/><Relationship Id="rId63" Type="http://schemas.openxmlformats.org/officeDocument/2006/relationships/image" Target="media/image25.wmf"/><Relationship Id="rId62" Type="http://schemas.openxmlformats.org/officeDocument/2006/relationships/oleObject" Target="embeddings/oleObject17.bin"/><Relationship Id="rId61" Type="http://schemas.openxmlformats.org/officeDocument/2006/relationships/image" Target="media/image24.wmf"/><Relationship Id="rId60" Type="http://schemas.openxmlformats.org/officeDocument/2006/relationships/oleObject" Target="embeddings/oleObject16.bin"/><Relationship Id="rId6" Type="http://schemas.openxmlformats.org/officeDocument/2006/relationships/footer" Target="footer1.xml"/><Relationship Id="rId59" Type="http://schemas.openxmlformats.org/officeDocument/2006/relationships/image" Target="media/image23.wmf"/><Relationship Id="rId58" Type="http://schemas.openxmlformats.org/officeDocument/2006/relationships/oleObject" Target="embeddings/oleObject15.bin"/><Relationship Id="rId57" Type="http://schemas.openxmlformats.org/officeDocument/2006/relationships/image" Target="media/image22.wmf"/><Relationship Id="rId56" Type="http://schemas.openxmlformats.org/officeDocument/2006/relationships/oleObject" Target="embeddings/oleObject14.bin"/><Relationship Id="rId55" Type="http://schemas.openxmlformats.org/officeDocument/2006/relationships/image" Target="media/image21.wmf"/><Relationship Id="rId54" Type="http://schemas.openxmlformats.org/officeDocument/2006/relationships/oleObject" Target="embeddings/oleObject13.bin"/><Relationship Id="rId53" Type="http://schemas.openxmlformats.org/officeDocument/2006/relationships/image" Target="media/image20.wmf"/><Relationship Id="rId52" Type="http://schemas.openxmlformats.org/officeDocument/2006/relationships/oleObject" Target="embeddings/oleObject12.bin"/><Relationship Id="rId51" Type="http://schemas.openxmlformats.org/officeDocument/2006/relationships/image" Target="media/image19.wmf"/><Relationship Id="rId50" Type="http://schemas.openxmlformats.org/officeDocument/2006/relationships/oleObject" Target="embeddings/oleObject11.bin"/><Relationship Id="rId5" Type="http://schemas.openxmlformats.org/officeDocument/2006/relationships/header" Target="header1.xml"/><Relationship Id="rId49" Type="http://schemas.openxmlformats.org/officeDocument/2006/relationships/image" Target="media/image18.wmf"/><Relationship Id="rId48" Type="http://schemas.openxmlformats.org/officeDocument/2006/relationships/oleObject" Target="embeddings/oleObject10.bin"/><Relationship Id="rId47" Type="http://schemas.openxmlformats.org/officeDocument/2006/relationships/image" Target="media/image17.wmf"/><Relationship Id="rId46" Type="http://schemas.openxmlformats.org/officeDocument/2006/relationships/oleObject" Target="embeddings/oleObject9.bin"/><Relationship Id="rId45" Type="http://schemas.openxmlformats.org/officeDocument/2006/relationships/image" Target="media/image16.wmf"/><Relationship Id="rId44" Type="http://schemas.openxmlformats.org/officeDocument/2006/relationships/oleObject" Target="embeddings/oleObject8.bin"/><Relationship Id="rId43" Type="http://schemas.openxmlformats.org/officeDocument/2006/relationships/image" Target="media/image15.png"/><Relationship Id="rId42" Type="http://schemas.openxmlformats.org/officeDocument/2006/relationships/image" Target="media/image14.wmf"/><Relationship Id="rId41" Type="http://schemas.openxmlformats.org/officeDocument/2006/relationships/oleObject" Target="embeddings/oleObject7.bin"/><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emf"/><Relationship Id="rId37" Type="http://schemas.openxmlformats.org/officeDocument/2006/relationships/oleObject" Target="embeddings/oleObject6.bin"/><Relationship Id="rId36" Type="http://schemas.openxmlformats.org/officeDocument/2006/relationships/image" Target="media/image10.emf"/><Relationship Id="rId35" Type="http://schemas.openxmlformats.org/officeDocument/2006/relationships/oleObject" Target="embeddings/oleObject5.bin"/><Relationship Id="rId34" Type="http://schemas.openxmlformats.org/officeDocument/2006/relationships/image" Target="media/image9.emf"/><Relationship Id="rId33" Type="http://schemas.openxmlformats.org/officeDocument/2006/relationships/oleObject" Target="embeddings/oleObject4.bin"/><Relationship Id="rId32" Type="http://schemas.openxmlformats.org/officeDocument/2006/relationships/image" Target="media/image8.emf"/><Relationship Id="rId31" Type="http://schemas.openxmlformats.org/officeDocument/2006/relationships/oleObject" Target="embeddings/oleObject3.bin"/><Relationship Id="rId30" Type="http://schemas.openxmlformats.org/officeDocument/2006/relationships/image" Target="media/image7.emf"/><Relationship Id="rId3" Type="http://schemas.openxmlformats.org/officeDocument/2006/relationships/footnotes" Target="footnotes.xml"/><Relationship Id="rId29" Type="http://schemas.openxmlformats.org/officeDocument/2006/relationships/oleObject" Target="embeddings/oleObject2.bin"/><Relationship Id="rId28" Type="http://schemas.openxmlformats.org/officeDocument/2006/relationships/image" Target="media/image6.png"/><Relationship Id="rId27" Type="http://schemas.openxmlformats.org/officeDocument/2006/relationships/image" Target="media/image5.wmf"/><Relationship Id="rId26" Type="http://schemas.openxmlformats.org/officeDocument/2006/relationships/oleObject" Target="embeddings/oleObject1.bin"/><Relationship Id="rId25" Type="http://schemas.openxmlformats.org/officeDocument/2006/relationships/image" Target="media/image4.png"/><Relationship Id="rId24" Type="http://schemas.openxmlformats.org/officeDocument/2006/relationships/image" Target="media/image3.png"/><Relationship Id="rId23" Type="http://schemas.openxmlformats.org/officeDocument/2006/relationships/image" Target="media/image2.png"/><Relationship Id="rId22" Type="http://schemas.openxmlformats.org/officeDocument/2006/relationships/image" Target="media/image1.png"/><Relationship Id="rId21" Type="http://schemas.openxmlformats.org/officeDocument/2006/relationships/theme" Target="theme/theme1.xml"/><Relationship Id="rId20" Type="http://schemas.openxmlformats.org/officeDocument/2006/relationships/footer" Target="footer10.xml"/><Relationship Id="rId2" Type="http://schemas.openxmlformats.org/officeDocument/2006/relationships/settings" Target="settings.xml"/><Relationship Id="rId19" Type="http://schemas.openxmlformats.org/officeDocument/2006/relationships/header" Target="header6.xml"/><Relationship Id="rId18" Type="http://schemas.openxmlformats.org/officeDocument/2006/relationships/footer" Target="footer9.xml"/><Relationship Id="rId176" Type="http://schemas.openxmlformats.org/officeDocument/2006/relationships/fontTable" Target="fontTable.xml"/><Relationship Id="rId175" Type="http://schemas.openxmlformats.org/officeDocument/2006/relationships/numbering" Target="numbering.xml"/><Relationship Id="rId174" Type="http://schemas.openxmlformats.org/officeDocument/2006/relationships/customXml" Target="../customXml/item1.xml"/><Relationship Id="rId173" Type="http://schemas.openxmlformats.org/officeDocument/2006/relationships/image" Target="media/image121.png"/><Relationship Id="rId172" Type="http://schemas.openxmlformats.org/officeDocument/2006/relationships/image" Target="media/image120.png"/><Relationship Id="rId171" Type="http://schemas.openxmlformats.org/officeDocument/2006/relationships/image" Target="media/image119.png"/><Relationship Id="rId170" Type="http://schemas.openxmlformats.org/officeDocument/2006/relationships/image" Target="media/image118.png"/><Relationship Id="rId17" Type="http://schemas.openxmlformats.org/officeDocument/2006/relationships/footer" Target="footer8.xml"/><Relationship Id="rId169" Type="http://schemas.openxmlformats.org/officeDocument/2006/relationships/image" Target="media/image117.png"/><Relationship Id="rId168" Type="http://schemas.openxmlformats.org/officeDocument/2006/relationships/image" Target="media/image116.png"/><Relationship Id="rId167" Type="http://schemas.openxmlformats.org/officeDocument/2006/relationships/image" Target="media/image115.png"/><Relationship Id="rId166" Type="http://schemas.openxmlformats.org/officeDocument/2006/relationships/image" Target="media/image114.png"/><Relationship Id="rId165" Type="http://schemas.openxmlformats.org/officeDocument/2006/relationships/image" Target="media/image113.png"/><Relationship Id="rId164" Type="http://schemas.openxmlformats.org/officeDocument/2006/relationships/image" Target="media/image112.png"/><Relationship Id="rId163" Type="http://schemas.openxmlformats.org/officeDocument/2006/relationships/image" Target="media/image111.png"/><Relationship Id="rId162" Type="http://schemas.openxmlformats.org/officeDocument/2006/relationships/image" Target="media/image110.png"/><Relationship Id="rId161" Type="http://schemas.openxmlformats.org/officeDocument/2006/relationships/image" Target="media/image109.png"/><Relationship Id="rId160" Type="http://schemas.openxmlformats.org/officeDocument/2006/relationships/image" Target="media/image108.png"/><Relationship Id="rId16" Type="http://schemas.openxmlformats.org/officeDocument/2006/relationships/footer" Target="footer7.xml"/><Relationship Id="rId159" Type="http://schemas.openxmlformats.org/officeDocument/2006/relationships/image" Target="media/image107.png"/><Relationship Id="rId158" Type="http://schemas.openxmlformats.org/officeDocument/2006/relationships/image" Target="media/image106.png"/><Relationship Id="rId157" Type="http://schemas.openxmlformats.org/officeDocument/2006/relationships/image" Target="media/image105.png"/><Relationship Id="rId156" Type="http://schemas.openxmlformats.org/officeDocument/2006/relationships/image" Target="media/image104.png"/><Relationship Id="rId155" Type="http://schemas.openxmlformats.org/officeDocument/2006/relationships/image" Target="media/image103.png"/><Relationship Id="rId154" Type="http://schemas.openxmlformats.org/officeDocument/2006/relationships/image" Target="media/image102.png"/><Relationship Id="rId153" Type="http://schemas.openxmlformats.org/officeDocument/2006/relationships/image" Target="media/image101.png"/><Relationship Id="rId152" Type="http://schemas.openxmlformats.org/officeDocument/2006/relationships/image" Target="media/image100.png"/><Relationship Id="rId151" Type="http://schemas.openxmlformats.org/officeDocument/2006/relationships/image" Target="media/image99.png"/><Relationship Id="rId150" Type="http://schemas.openxmlformats.org/officeDocument/2006/relationships/image" Target="media/image98.png"/><Relationship Id="rId15" Type="http://schemas.openxmlformats.org/officeDocument/2006/relationships/header" Target="header5.xml"/><Relationship Id="rId149" Type="http://schemas.openxmlformats.org/officeDocument/2006/relationships/image" Target="media/image97.png"/><Relationship Id="rId148" Type="http://schemas.openxmlformats.org/officeDocument/2006/relationships/image" Target="media/image96.png"/><Relationship Id="rId147" Type="http://schemas.openxmlformats.org/officeDocument/2006/relationships/image" Target="media/image95.png"/><Relationship Id="rId146" Type="http://schemas.openxmlformats.org/officeDocument/2006/relationships/image" Target="media/image94.png"/><Relationship Id="rId145" Type="http://schemas.openxmlformats.org/officeDocument/2006/relationships/image" Target="media/image93.png"/><Relationship Id="rId144" Type="http://schemas.openxmlformats.org/officeDocument/2006/relationships/image" Target="media/image92.png"/><Relationship Id="rId143" Type="http://schemas.openxmlformats.org/officeDocument/2006/relationships/image" Target="media/image91.png"/><Relationship Id="rId142" Type="http://schemas.openxmlformats.org/officeDocument/2006/relationships/image" Target="media/image90.png"/><Relationship Id="rId141" Type="http://schemas.openxmlformats.org/officeDocument/2006/relationships/image" Target="media/image89.png"/><Relationship Id="rId140" Type="http://schemas.openxmlformats.org/officeDocument/2006/relationships/image" Target="media/image88.png"/><Relationship Id="rId14" Type="http://schemas.openxmlformats.org/officeDocument/2006/relationships/footer" Target="footer6.xml"/><Relationship Id="rId139" Type="http://schemas.openxmlformats.org/officeDocument/2006/relationships/image" Target="media/image87.png"/><Relationship Id="rId138" Type="http://schemas.openxmlformats.org/officeDocument/2006/relationships/image" Target="media/image86.png"/><Relationship Id="rId137" Type="http://schemas.openxmlformats.org/officeDocument/2006/relationships/image" Target="media/image85.png"/><Relationship Id="rId136" Type="http://schemas.openxmlformats.org/officeDocument/2006/relationships/image" Target="media/image84.png"/><Relationship Id="rId135" Type="http://schemas.openxmlformats.org/officeDocument/2006/relationships/image" Target="media/image83.png"/><Relationship Id="rId134" Type="http://schemas.openxmlformats.org/officeDocument/2006/relationships/image" Target="media/image82.png"/><Relationship Id="rId133" Type="http://schemas.openxmlformats.org/officeDocument/2006/relationships/image" Target="media/image81.png"/><Relationship Id="rId132" Type="http://schemas.openxmlformats.org/officeDocument/2006/relationships/image" Target="media/image80.png"/><Relationship Id="rId131" Type="http://schemas.openxmlformats.org/officeDocument/2006/relationships/image" Target="media/image79.png"/><Relationship Id="rId130" Type="http://schemas.openxmlformats.org/officeDocument/2006/relationships/image" Target="media/image78.png"/><Relationship Id="rId13" Type="http://schemas.openxmlformats.org/officeDocument/2006/relationships/footer" Target="footer5.xml"/><Relationship Id="rId129" Type="http://schemas.openxmlformats.org/officeDocument/2006/relationships/image" Target="media/image77.png"/><Relationship Id="rId128" Type="http://schemas.openxmlformats.org/officeDocument/2006/relationships/image" Target="media/image76.png"/><Relationship Id="rId127" Type="http://schemas.openxmlformats.org/officeDocument/2006/relationships/image" Target="media/image75.png"/><Relationship Id="rId126" Type="http://schemas.openxmlformats.org/officeDocument/2006/relationships/image" Target="media/image74.png"/><Relationship Id="rId125" Type="http://schemas.openxmlformats.org/officeDocument/2006/relationships/image" Target="media/image73.png"/><Relationship Id="rId124" Type="http://schemas.openxmlformats.org/officeDocument/2006/relationships/image" Target="media/image72.jpeg"/><Relationship Id="rId123" Type="http://schemas.openxmlformats.org/officeDocument/2006/relationships/image" Target="media/image71.jpeg"/><Relationship Id="rId122" Type="http://schemas.openxmlformats.org/officeDocument/2006/relationships/image" Target="media/image70.jpeg"/><Relationship Id="rId121" Type="http://schemas.openxmlformats.org/officeDocument/2006/relationships/image" Target="media/image69.jpeg"/><Relationship Id="rId120" Type="http://schemas.openxmlformats.org/officeDocument/2006/relationships/image" Target="media/image68.png"/><Relationship Id="rId12" Type="http://schemas.openxmlformats.org/officeDocument/2006/relationships/footer" Target="footer4.xml"/><Relationship Id="rId119" Type="http://schemas.openxmlformats.org/officeDocument/2006/relationships/image" Target="media/image67.png"/><Relationship Id="rId118" Type="http://schemas.openxmlformats.org/officeDocument/2006/relationships/image" Target="media/image66.png"/><Relationship Id="rId117" Type="http://schemas.openxmlformats.org/officeDocument/2006/relationships/image" Target="media/image65.png"/><Relationship Id="rId116" Type="http://schemas.openxmlformats.org/officeDocument/2006/relationships/image" Target="media/image64.jpeg"/><Relationship Id="rId115" Type="http://schemas.openxmlformats.org/officeDocument/2006/relationships/image" Target="media/image63.png"/><Relationship Id="rId114" Type="http://schemas.openxmlformats.org/officeDocument/2006/relationships/image" Target="media/image62.png"/><Relationship Id="rId113" Type="http://schemas.openxmlformats.org/officeDocument/2006/relationships/image" Target="media/image61.png"/><Relationship Id="rId112" Type="http://schemas.openxmlformats.org/officeDocument/2006/relationships/chart" Target="charts/chart3.xml"/><Relationship Id="rId111" Type="http://schemas.openxmlformats.org/officeDocument/2006/relationships/chart" Target="charts/chart2.xml"/><Relationship Id="rId110" Type="http://schemas.openxmlformats.org/officeDocument/2006/relationships/chart" Target="charts/chart1.xml"/><Relationship Id="rId11" Type="http://schemas.openxmlformats.org/officeDocument/2006/relationships/header" Target="header4.xml"/><Relationship Id="rId109" Type="http://schemas.openxmlformats.org/officeDocument/2006/relationships/image" Target="media/image60.wmf"/><Relationship Id="rId108" Type="http://schemas.openxmlformats.org/officeDocument/2006/relationships/oleObject" Target="embeddings/oleObject28.bin"/><Relationship Id="rId107" Type="http://schemas.openxmlformats.org/officeDocument/2006/relationships/image" Target="media/image59.png"/><Relationship Id="rId106" Type="http://schemas.openxmlformats.org/officeDocument/2006/relationships/image" Target="media/image58.png"/><Relationship Id="rId105" Type="http://schemas.openxmlformats.org/officeDocument/2006/relationships/image" Target="media/image57.png"/><Relationship Id="rId104" Type="http://schemas.openxmlformats.org/officeDocument/2006/relationships/image" Target="media/image56.png"/><Relationship Id="rId103" Type="http://schemas.openxmlformats.org/officeDocument/2006/relationships/image" Target="media/image55.png"/><Relationship Id="rId102" Type="http://schemas.openxmlformats.org/officeDocument/2006/relationships/image" Target="media/image54.png"/><Relationship Id="rId101" Type="http://schemas.openxmlformats.org/officeDocument/2006/relationships/image" Target="media/image53.png"/><Relationship Id="rId100" Type="http://schemas.openxmlformats.org/officeDocument/2006/relationships/image" Target="media/image52.png"/><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E:\&#36213;\2025&#24180;&#39033;&#30446;\&#20116;&#24120;&#29275;&#23478;--&#26032;&#33021;&#28304;&#27773;&#36710;&#35013;&#39280;&#37197;&#20214;&#31934;&#23494;&#21046;&#36896;&#39033;&#30446;\&#22320;&#19979;&#27700;&#22270;.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E:\&#36213;\2025&#24180;&#39033;&#30446;\&#20116;&#24120;&#29275;&#23478;--&#26032;&#33021;&#28304;&#27773;&#36710;&#35013;&#39280;&#37197;&#20214;&#31934;&#23494;&#21046;&#36896;&#39033;&#30446;\&#22320;&#19979;&#27700;&#22270;.xlsx"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E:\&#36213;\2025&#24180;&#39033;&#30446;\&#20116;&#24120;&#29275;&#23478;--&#26032;&#33021;&#28304;&#27773;&#36710;&#35013;&#39280;&#37197;&#20214;&#31934;&#23494;&#21046;&#36896;&#39033;&#30446;\&#22320;&#19979;&#27700;&#2227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[地下水图.xlsx]Sheet1!$B$2</c:f>
              <c:strCache>
                <c:ptCount val="1"/>
                <c:pt idx="0">
                  <c:v>浓度</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[地下水图.xlsx]Sheet1!$A$3:$A$13</c:f>
              <c:numCache>
                <c:formatCode>General</c:formatCode>
                <c:ptCount val="11"/>
                <c:pt idx="0">
                  <c:v>0</c:v>
                </c:pt>
                <c:pt idx="1">
                  <c:v>50</c:v>
                </c:pt>
                <c:pt idx="2">
                  <c:v>100</c:v>
                </c:pt>
                <c:pt idx="3">
                  <c:v>150</c:v>
                </c:pt>
                <c:pt idx="4">
                  <c:v>200</c:v>
                </c:pt>
                <c:pt idx="5">
                  <c:v>250</c:v>
                </c:pt>
                <c:pt idx="6">
                  <c:v>300</c:v>
                </c:pt>
                <c:pt idx="7">
                  <c:v>350</c:v>
                </c:pt>
                <c:pt idx="8">
                  <c:v>400</c:v>
                </c:pt>
                <c:pt idx="9">
                  <c:v>450</c:v>
                </c:pt>
                <c:pt idx="10">
                  <c:v>500</c:v>
                </c:pt>
              </c:numCache>
            </c:numRef>
          </c:xVal>
          <c:yVal>
            <c:numRef>
              <c:f>[地下水图.xlsx]Sheet1!$B$3:$B$13</c:f>
              <c:numCache>
                <c:formatCode>0.00E+00</c:formatCode>
                <c:ptCount val="11"/>
                <c:pt idx="0">
                  <c:v>11.6</c:v>
                </c:pt>
                <c:pt idx="1">
                  <c:v>1.66e-9</c:v>
                </c:pt>
                <c:pt idx="2">
                  <c:v>0</c:v>
                </c:pt>
                <c:pt idx="3">
                  <c:v>0</c:v>
                </c:pt>
                <c:pt idx="4">
                  <c:v>0</c:v>
                </c:pt>
                <c:pt idx="5">
                  <c:v>0</c:v>
                </c:pt>
                <c:pt idx="6">
                  <c:v>0</c:v>
                </c:pt>
                <c:pt idx="7">
                  <c:v>0</c:v>
                </c:pt>
                <c:pt idx="8">
                  <c:v>0</c:v>
                </c:pt>
                <c:pt idx="9">
                  <c:v>0</c:v>
                </c:pt>
                <c:pt idx="10">
                  <c:v>0</c:v>
                </c:pt>
              </c:numCache>
            </c:numRef>
          </c:yVal>
          <c:smooth val="0"/>
        </c:ser>
        <c:dLbls>
          <c:showLegendKey val="0"/>
          <c:showVal val="0"/>
          <c:showCatName val="0"/>
          <c:showSerName val="0"/>
          <c:showPercent val="0"/>
          <c:showBubbleSize val="0"/>
        </c:dLbls>
        <c:axId val="382094084"/>
        <c:axId val="673409305"/>
      </c:scatterChart>
      <c:valAx>
        <c:axId val="382094084"/>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ln>
                      <a:noFill/>
                    </a:ln>
                    <a:solidFill>
                      <a:schemeClr val="tx1">
                        <a:lumMod val="65000"/>
                        <a:lumOff val="35000"/>
                      </a:schemeClr>
                    </a:solidFill>
                    <a:latin typeface="+mn-lt"/>
                    <a:ea typeface="+mn-ea"/>
                    <a:cs typeface="+mn-cs"/>
                  </a:defRPr>
                </a:pPr>
                <a:r>
                  <a:t>距离</a:t>
                </a:r>
                <a:r>
                  <a:rPr lang="en-US" altLang="zh-CN"/>
                  <a:t>m</a:t>
                </a:r>
                <a:endParaRPr lang="en-US" altLang="zh-CN"/>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ln>
                  <a:noFill/>
                </a:ln>
                <a:solidFill>
                  <a:schemeClr val="tx1">
                    <a:lumMod val="65000"/>
                    <a:lumOff val="35000"/>
                  </a:schemeClr>
                </a:solidFill>
                <a:latin typeface="+mn-lt"/>
                <a:ea typeface="+mn-ea"/>
                <a:cs typeface="+mn-cs"/>
              </a:defRPr>
            </a:pPr>
          </a:p>
        </c:txPr>
        <c:crossAx val="673409305"/>
        <c:crosses val="autoZero"/>
        <c:crossBetween val="midCat"/>
      </c:valAx>
      <c:valAx>
        <c:axId val="673409305"/>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ln>
                      <a:noFill/>
                    </a:ln>
                    <a:solidFill>
                      <a:schemeClr val="tx1">
                        <a:lumMod val="65000"/>
                        <a:lumOff val="35000"/>
                      </a:schemeClr>
                    </a:solidFill>
                    <a:latin typeface="+mn-lt"/>
                    <a:ea typeface="+mn-ea"/>
                    <a:cs typeface="+mn-cs"/>
                  </a:defRPr>
                </a:pPr>
                <a:r>
                  <a:t>浓度mg/L</a:t>
                </a:r>
              </a:p>
            </c:rich>
          </c:tx>
          <c:layout>
            <c:manualLayout>
              <c:xMode val="edge"/>
              <c:yMode val="edge"/>
              <c:x val="0.0318319904900277"/>
              <c:y val="0.290969364426155"/>
            </c:manualLayout>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ln>
                  <a:noFill/>
                </a:ln>
                <a:solidFill>
                  <a:schemeClr val="tx1">
                    <a:lumMod val="65000"/>
                    <a:lumOff val="35000"/>
                  </a:schemeClr>
                </a:solidFill>
                <a:latin typeface="+mn-lt"/>
                <a:ea typeface="+mn-ea"/>
                <a:cs typeface="+mn-cs"/>
              </a:defRPr>
            </a:pPr>
          </a:p>
        </c:txPr>
        <c:crossAx val="382094084"/>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extLst>
      <c:ext uri="{0b15fc19-7d7d-44ad-8c2d-2c3a37ce22c3}">
        <chartProps xmlns="https://web.wps.cn/et/2018/main" chartId="{dcc43f20-f31f-4299-aeaf-cdf9cde93f38}"/>
      </c:ext>
    </c:extLst>
  </c:chart>
  <c:spPr>
    <a:solidFill>
      <a:schemeClr val="bg1"/>
    </a:solidFill>
    <a:ln w="9525" cap="flat" cmpd="sng" algn="ctr">
      <a:noFill/>
      <a:round/>
    </a:ln>
    <a:effectLst/>
  </c:spPr>
  <c:txPr>
    <a:bodyPr/>
    <a:lstStyle/>
    <a:p>
      <a:pPr>
        <a:defRPr lang="zh-CN">
          <a:ln>
            <a:noFill/>
          </a:ln>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[地下水图.xlsx]Sheet1!$A$18:$A$28</c:f>
              <c:numCache>
                <c:formatCode>General</c:formatCode>
                <c:ptCount val="11"/>
                <c:pt idx="0">
                  <c:v>0</c:v>
                </c:pt>
                <c:pt idx="1">
                  <c:v>50</c:v>
                </c:pt>
                <c:pt idx="2">
                  <c:v>100</c:v>
                </c:pt>
                <c:pt idx="3">
                  <c:v>150</c:v>
                </c:pt>
                <c:pt idx="4">
                  <c:v>200</c:v>
                </c:pt>
                <c:pt idx="5">
                  <c:v>250</c:v>
                </c:pt>
                <c:pt idx="6">
                  <c:v>300</c:v>
                </c:pt>
                <c:pt idx="7">
                  <c:v>350</c:v>
                </c:pt>
                <c:pt idx="8">
                  <c:v>400</c:v>
                </c:pt>
                <c:pt idx="9">
                  <c:v>450</c:v>
                </c:pt>
                <c:pt idx="10">
                  <c:v>500</c:v>
                </c:pt>
              </c:numCache>
            </c:numRef>
          </c:xVal>
          <c:yVal>
            <c:numRef>
              <c:f>[地下水图.xlsx]Sheet1!$B$18:$B$28</c:f>
              <c:numCache>
                <c:formatCode>0.00E+00</c:formatCode>
                <c:ptCount val="11"/>
                <c:pt idx="0">
                  <c:v>0.219</c:v>
                </c:pt>
                <c:pt idx="1">
                  <c:v>9.98</c:v>
                </c:pt>
                <c:pt idx="2">
                  <c:v>0.655</c:v>
                </c:pt>
                <c:pt idx="3">
                  <c:v>7.36e-5</c:v>
                </c:pt>
                <c:pt idx="4">
                  <c:v>1.61e-11</c:v>
                </c:pt>
                <c:pt idx="5">
                  <c:v>0</c:v>
                </c:pt>
                <c:pt idx="6">
                  <c:v>0</c:v>
                </c:pt>
                <c:pt idx="7">
                  <c:v>0</c:v>
                </c:pt>
                <c:pt idx="8">
                  <c:v>0</c:v>
                </c:pt>
                <c:pt idx="9">
                  <c:v>0</c:v>
                </c:pt>
                <c:pt idx="10">
                  <c:v>0</c:v>
                </c:pt>
              </c:numCache>
            </c:numRef>
          </c:yVal>
          <c:smooth val="0"/>
        </c:ser>
        <c:dLbls>
          <c:showLegendKey val="0"/>
          <c:showVal val="0"/>
          <c:showCatName val="0"/>
          <c:showSerName val="0"/>
          <c:showPercent val="0"/>
          <c:showBubbleSize val="0"/>
        </c:dLbls>
        <c:axId val="216960890"/>
        <c:axId val="806566248"/>
      </c:scatterChart>
      <c:valAx>
        <c:axId val="216960890"/>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距离</a:t>
                </a:r>
                <a:r>
                  <a:rPr lang="en-US" altLang="zh-CN"/>
                  <a:t>m</a:t>
                </a:r>
                <a:endParaRPr lang="en-US" altLang="zh-CN"/>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06566248"/>
        <c:crosses val="autoZero"/>
        <c:crossBetween val="midCat"/>
      </c:valAx>
      <c:valAx>
        <c:axId val="806566248"/>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浓度mg/L</a:t>
                </a:r>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16960890"/>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extLst>
      <c:ext uri="{0b15fc19-7d7d-44ad-8c2d-2c3a37ce22c3}">
        <chartProps xmlns="https://web.wps.cn/et/2018/main" chartId="{79366de3-6617-4765-8eef-aa236e5e052e}"/>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[地下水图.xlsx]Sheet1!$A$33:$A$43</c:f>
              <c:numCache>
                <c:formatCode>General</c:formatCode>
                <c:ptCount val="11"/>
                <c:pt idx="0">
                  <c:v>0</c:v>
                </c:pt>
                <c:pt idx="1">
                  <c:v>50</c:v>
                </c:pt>
                <c:pt idx="2">
                  <c:v>100</c:v>
                </c:pt>
                <c:pt idx="3">
                  <c:v>150</c:v>
                </c:pt>
                <c:pt idx="4">
                  <c:v>200</c:v>
                </c:pt>
                <c:pt idx="5">
                  <c:v>250</c:v>
                </c:pt>
                <c:pt idx="6">
                  <c:v>300</c:v>
                </c:pt>
                <c:pt idx="7">
                  <c:v>350</c:v>
                </c:pt>
                <c:pt idx="8">
                  <c:v>400</c:v>
                </c:pt>
                <c:pt idx="9">
                  <c:v>450</c:v>
                </c:pt>
                <c:pt idx="10">
                  <c:v>500</c:v>
                </c:pt>
              </c:numCache>
            </c:numRef>
          </c:xVal>
          <c:yVal>
            <c:numRef>
              <c:f>[地下水图.xlsx]Sheet1!$B$33:$B$43</c:f>
              <c:numCache>
                <c:formatCode>0.00E+00</c:formatCode>
                <c:ptCount val="11"/>
                <c:pt idx="0">
                  <c:v>0.000245</c:v>
                </c:pt>
                <c:pt idx="1">
                  <c:v>0.0596</c:v>
                </c:pt>
                <c:pt idx="2">
                  <c:v>1.7</c:v>
                </c:pt>
                <c:pt idx="3">
                  <c:v>5.76</c:v>
                </c:pt>
                <c:pt idx="4">
                  <c:v>2.37</c:v>
                </c:pt>
                <c:pt idx="5">
                  <c:v>0.119</c:v>
                </c:pt>
                <c:pt idx="6">
                  <c:v>0.00073</c:v>
                </c:pt>
                <c:pt idx="7">
                  <c:v>5.52e-7</c:v>
                </c:pt>
                <c:pt idx="8">
                  <c:v>5.61e-11</c:v>
                </c:pt>
                <c:pt idx="9">
                  <c:v>0</c:v>
                </c:pt>
                <c:pt idx="10">
                  <c:v>0</c:v>
                </c:pt>
              </c:numCache>
            </c:numRef>
          </c:yVal>
          <c:smooth val="0"/>
        </c:ser>
        <c:dLbls>
          <c:showLegendKey val="0"/>
          <c:showVal val="0"/>
          <c:showCatName val="0"/>
          <c:showSerName val="0"/>
          <c:showPercent val="0"/>
          <c:showBubbleSize val="0"/>
        </c:dLbls>
        <c:axId val="657065053"/>
        <c:axId val="739967674"/>
      </c:scatterChart>
      <c:valAx>
        <c:axId val="657065053"/>
        <c:scaling>
          <c:orientation val="minMax"/>
        </c:scaling>
        <c:delete val="0"/>
        <c:axPos val="b"/>
        <c:majorGridlines>
          <c:spPr>
            <a:ln w="9525" cap="flat" cmpd="sng" algn="ctr">
              <a:solidFill>
                <a:schemeClr val="lt1">
                  <a:lumMod val="90200"/>
                </a:schemeClr>
              </a:solidFill>
              <a:round/>
            </a:ln>
            <a:effectLst/>
          </c:spPr>
        </c:majorGridlines>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距离</a:t>
                </a:r>
                <a:r>
                  <a:rPr lang="en-US" altLang="zh-CN"/>
                  <a:t>m</a:t>
                </a:r>
                <a:endParaRPr lang="en-US" altLang="zh-CN"/>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39967674"/>
        <c:crosses val="autoZero"/>
        <c:crossBetween val="midCat"/>
      </c:valAx>
      <c:valAx>
        <c:axId val="739967674"/>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浓度mg/L</a:t>
                </a:r>
              </a:p>
            </c:rich>
          </c:tx>
          <c:layout/>
          <c:overlay val="0"/>
          <c:spPr>
            <a:noFill/>
            <a:ln>
              <a:noFill/>
            </a:ln>
            <a:effectLst/>
          </c:spPr>
        </c:title>
        <c:numFmt formatCode="0.00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57065053"/>
        <c:crosses val="autoZero"/>
        <c:crossBetween val="midCat"/>
      </c:valAx>
      <c:spPr>
        <a:noFill/>
        <a:ln w="9525" cap="flat" cmpd="sng" algn="ctr">
          <a:solidFill>
            <a:schemeClr val="tx1">
              <a:lumMod val="15000"/>
              <a:lumOff val="85000"/>
            </a:schemeClr>
          </a:solidFill>
          <a:round/>
        </a:ln>
        <a:effectLst/>
      </c:spPr>
    </c:plotArea>
    <c:plotVisOnly val="1"/>
    <c:dispBlanksAs val="gap"/>
    <c:showDLblsOverMax val="0"/>
    <c:extLst>
      <c:ext uri="{0b15fc19-7d7d-44ad-8c2d-2c3a37ce22c3}">
        <chartProps xmlns="https://web.wps.cn/et/2018/main" chartId="{1d9da32d-3440-4e3a-9b4f-07f344838c52}"/>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17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no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17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no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17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no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264</Pages>
  <Words>6590</Words>
  <Characters>7239</Characters>
  <Lines>0</Lines>
  <Paragraphs>0</Paragraphs>
  <TotalTime>16</TotalTime>
  <ScaleCrop>false</ScaleCrop>
  <LinksUpToDate>false</LinksUpToDate>
  <CharactersWithSpaces>7542</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2025-12-03T00:52:00Z</dcterms:created>
  <dc:creator>YY</dc:creator>
  <cp:lastModifiedBy>Sheena Zhao^</cp:lastModifiedBy>
  <dcterms:modified xsi:type="dcterms:W3CDTF">2025-12-29T06:34:02Z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KSOTemplateDocerSaveRecord">
    <vt:lpwstr>eyJoZGlkIjoiOWNjYTIxYmFhNTQwN2JjZTk2MDg2MzFlYTQ1MThlZjIiLCJ1c2VySWQiOiI0MTAzNzI5ODkifQ==</vt:lpwstr>
  </property>
  <property fmtid="{D5CDD505-2E9C-101B-9397-08002B2CF9AE}" pid="4" name="ICV">
    <vt:lpwstr>0F7113CDE50A41929E0C0068EA39300F_12</vt:lpwstr>
  </property>
</Properties>
</file>